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ind w:firstLine="480" w:firstLineChars="200"/>
        <w:rPr>
          <w:rFonts w:ascii="Times New Roman" w:hAnsi="Times New Roman" w:cs="Times New Roman"/>
        </w:rPr>
      </w:pPr>
    </w:p>
    <w:p>
      <w:pPr>
        <w:spacing w:line="360" w:lineRule="auto"/>
        <w:ind w:firstLine="480" w:firstLineChars="200"/>
        <w:rPr>
          <w:rFonts w:ascii="Times New Roman" w:hAnsi="Times New Roman" w:cs="Times New Roman"/>
        </w:rPr>
      </w:pPr>
    </w:p>
    <w:p>
      <w:pPr>
        <w:spacing w:line="360" w:lineRule="auto"/>
        <w:ind w:firstLine="480" w:firstLineChars="200"/>
        <w:rPr>
          <w:rFonts w:ascii="Times New Roman" w:hAnsi="Times New Roman" w:cs="Times New Roman"/>
        </w:rPr>
      </w:pPr>
    </w:p>
    <w:p>
      <w:pPr>
        <w:spacing w:line="360" w:lineRule="auto"/>
        <w:ind w:firstLine="480" w:firstLineChars="200"/>
        <w:rPr>
          <w:rFonts w:ascii="Times New Roman" w:hAnsi="Times New Roman" w:cs="Times New Roman"/>
        </w:rPr>
      </w:pPr>
    </w:p>
    <w:p>
      <w:pPr>
        <w:spacing w:line="360" w:lineRule="auto"/>
        <w:jc w:val="center"/>
        <w:rPr>
          <w:rFonts w:ascii="Times New Roman" w:hAnsi="Times New Roman" w:cs="Times New Roman"/>
          <w:b/>
          <w:sz w:val="44"/>
          <w:szCs w:val="44"/>
        </w:rPr>
      </w:pPr>
      <w:r>
        <w:rPr>
          <w:rFonts w:ascii="Times New Roman" w:hAnsi="Times New Roman" w:cs="Times New Roman"/>
          <w:b/>
          <w:sz w:val="44"/>
          <w:szCs w:val="44"/>
        </w:rPr>
        <w:t>湖南中经锂电新材料科技有限公司</w:t>
      </w:r>
    </w:p>
    <w:p>
      <w:pPr>
        <w:spacing w:line="360" w:lineRule="auto"/>
        <w:jc w:val="center"/>
        <w:rPr>
          <w:rFonts w:ascii="Times New Roman" w:hAnsi="Times New Roman" w:cs="Times New Roman"/>
          <w:b/>
          <w:sz w:val="44"/>
          <w:szCs w:val="44"/>
        </w:rPr>
      </w:pPr>
      <w:r>
        <w:rPr>
          <w:rFonts w:ascii="Times New Roman" w:hAnsi="Times New Roman" w:cs="Times New Roman"/>
          <w:b/>
          <w:sz w:val="44"/>
          <w:szCs w:val="44"/>
        </w:rPr>
        <w:t>年处理8万吨废旧锂电池及锂电池废料的综合回收利用项目（一期）</w:t>
      </w:r>
    </w:p>
    <w:p>
      <w:pPr>
        <w:spacing w:line="360" w:lineRule="auto"/>
        <w:jc w:val="center"/>
        <w:rPr>
          <w:rFonts w:ascii="Times New Roman" w:hAnsi="Times New Roman" w:cs="Times New Roman"/>
          <w:b/>
          <w:sz w:val="44"/>
          <w:szCs w:val="44"/>
        </w:rPr>
      </w:pPr>
      <w:r>
        <w:rPr>
          <w:rFonts w:hint="eastAsia" w:ascii="Times New Roman" w:hAnsi="Times New Roman" w:cs="Times New Roman"/>
          <w:b/>
          <w:sz w:val="44"/>
          <w:szCs w:val="44"/>
        </w:rPr>
        <w:t>环境影响评价报告书</w:t>
      </w:r>
    </w:p>
    <w:p>
      <w:pPr>
        <w:spacing w:line="360" w:lineRule="auto"/>
        <w:jc w:val="center"/>
        <w:rPr>
          <w:rFonts w:ascii="Times New Roman" w:hAnsi="Times New Roman" w:cs="Times New Roman"/>
          <w:b/>
          <w:sz w:val="44"/>
          <w:szCs w:val="44"/>
        </w:rPr>
      </w:pPr>
    </w:p>
    <w:p>
      <w:pPr>
        <w:spacing w:line="360" w:lineRule="auto"/>
        <w:jc w:val="center"/>
        <w:rPr>
          <w:rFonts w:ascii="Times New Roman" w:hAnsi="Times New Roman" w:cs="Times New Roman"/>
          <w:b/>
          <w:sz w:val="44"/>
          <w:szCs w:val="44"/>
        </w:rPr>
      </w:pPr>
      <w:r>
        <w:rPr>
          <w:rFonts w:ascii="Times New Roman" w:hAnsi="Times New Roman" w:cs="Times New Roman"/>
          <w:b/>
          <w:sz w:val="44"/>
          <w:szCs w:val="44"/>
        </w:rPr>
        <w:t>（</w:t>
      </w:r>
      <w:r>
        <w:rPr>
          <w:rFonts w:hint="eastAsia" w:ascii="Times New Roman" w:hAnsi="Times New Roman" w:cs="Times New Roman"/>
          <w:b/>
          <w:sz w:val="44"/>
          <w:szCs w:val="44"/>
        </w:rPr>
        <w:t>报批</w:t>
      </w:r>
      <w:r>
        <w:rPr>
          <w:rFonts w:ascii="Times New Roman" w:hAnsi="Times New Roman" w:cs="Times New Roman"/>
          <w:b/>
          <w:sz w:val="44"/>
          <w:szCs w:val="44"/>
        </w:rPr>
        <w:t>稿）</w:t>
      </w:r>
    </w:p>
    <w:p>
      <w:pPr>
        <w:spacing w:line="360" w:lineRule="auto"/>
        <w:jc w:val="center"/>
        <w:rPr>
          <w:rFonts w:ascii="Times New Roman" w:hAnsi="Times New Roman" w:cs="Times New Roman"/>
          <w:b/>
          <w:sz w:val="44"/>
          <w:szCs w:val="44"/>
        </w:rPr>
      </w:pPr>
    </w:p>
    <w:p>
      <w:pPr>
        <w:spacing w:line="360" w:lineRule="auto"/>
        <w:jc w:val="center"/>
        <w:rPr>
          <w:rFonts w:ascii="Times New Roman" w:hAnsi="Times New Roman" w:cs="Times New Roman"/>
          <w:b/>
          <w:sz w:val="44"/>
          <w:szCs w:val="44"/>
        </w:rPr>
      </w:pPr>
    </w:p>
    <w:p>
      <w:pPr>
        <w:spacing w:line="360" w:lineRule="auto"/>
        <w:jc w:val="center"/>
        <w:rPr>
          <w:rFonts w:ascii="Times New Roman" w:hAnsi="Times New Roman" w:cs="Times New Roman"/>
          <w:b/>
          <w:sz w:val="44"/>
          <w:szCs w:val="44"/>
        </w:rPr>
      </w:pPr>
    </w:p>
    <w:p>
      <w:pPr>
        <w:spacing w:line="360" w:lineRule="auto"/>
        <w:jc w:val="center"/>
        <w:rPr>
          <w:rFonts w:ascii="Times New Roman" w:hAnsi="Times New Roman" w:cs="Times New Roman"/>
          <w:b/>
          <w:sz w:val="44"/>
          <w:szCs w:val="44"/>
        </w:rPr>
      </w:pPr>
    </w:p>
    <w:p>
      <w:pPr>
        <w:spacing w:line="360" w:lineRule="auto"/>
        <w:jc w:val="center"/>
        <w:rPr>
          <w:rFonts w:ascii="Times New Roman" w:hAnsi="Times New Roman" w:cs="Times New Roman"/>
          <w:b/>
          <w:sz w:val="44"/>
          <w:szCs w:val="44"/>
        </w:rPr>
      </w:pPr>
    </w:p>
    <w:p>
      <w:pPr>
        <w:spacing w:line="360" w:lineRule="auto"/>
        <w:jc w:val="center"/>
        <w:rPr>
          <w:rFonts w:ascii="Times New Roman" w:hAnsi="Times New Roman" w:cs="Times New Roman"/>
          <w:b/>
          <w:sz w:val="44"/>
          <w:szCs w:val="44"/>
        </w:rPr>
      </w:pPr>
    </w:p>
    <w:p>
      <w:pPr>
        <w:autoSpaceDE w:val="0"/>
        <w:autoSpaceDN w:val="0"/>
        <w:spacing w:line="360" w:lineRule="auto"/>
        <w:jc w:val="center"/>
        <w:rPr>
          <w:rFonts w:ascii="Times New Roman" w:hAnsi="Times New Roman" w:cs="Times New Roman"/>
          <w:b/>
          <w:sz w:val="32"/>
          <w:szCs w:val="32"/>
        </w:rPr>
      </w:pPr>
      <w:r>
        <w:rPr>
          <w:rFonts w:ascii="Times New Roman" w:hAnsi="Times New Roman" w:cs="Times New Roman"/>
          <w:b/>
          <w:sz w:val="32"/>
          <w:szCs w:val="32"/>
        </w:rPr>
        <w:t>建设单位：湖南中经锂电新材料科技有限公司</w:t>
      </w:r>
    </w:p>
    <w:p>
      <w:pPr>
        <w:autoSpaceDE w:val="0"/>
        <w:autoSpaceDN w:val="0"/>
        <w:spacing w:line="360" w:lineRule="auto"/>
        <w:jc w:val="center"/>
        <w:rPr>
          <w:rFonts w:ascii="Times New Roman" w:hAnsi="Times New Roman" w:cs="Times New Roman"/>
          <w:b/>
          <w:sz w:val="32"/>
          <w:szCs w:val="32"/>
        </w:rPr>
      </w:pPr>
      <w:r>
        <w:rPr>
          <w:rFonts w:ascii="Times New Roman" w:hAnsi="Times New Roman" w:cs="Times New Roman"/>
          <w:b/>
          <w:sz w:val="32"/>
          <w:szCs w:val="32"/>
        </w:rPr>
        <w:t>编制单位：湖南道和环保科技有限公司</w:t>
      </w:r>
    </w:p>
    <w:p>
      <w:pPr>
        <w:autoSpaceDE w:val="0"/>
        <w:autoSpaceDN w:val="0"/>
        <w:spacing w:line="360" w:lineRule="auto"/>
        <w:jc w:val="center"/>
        <w:rPr>
          <w:rFonts w:ascii="Times New Roman" w:hAnsi="Times New Roman" w:cs="Times New Roman"/>
          <w:b/>
          <w:sz w:val="32"/>
          <w:szCs w:val="32"/>
        </w:rPr>
      </w:pPr>
      <w:r>
        <w:rPr>
          <w:rFonts w:ascii="Times New Roman" w:hAnsi="Times New Roman" w:cs="Times New Roman"/>
          <w:b/>
          <w:sz w:val="32"/>
          <w:szCs w:val="32"/>
        </w:rPr>
        <w:t>二零二三年</w:t>
      </w:r>
      <w:r>
        <w:rPr>
          <w:rFonts w:hint="eastAsia" w:ascii="Times New Roman" w:hAnsi="Times New Roman" w:cs="Times New Roman"/>
          <w:b/>
          <w:sz w:val="32"/>
          <w:szCs w:val="32"/>
        </w:rPr>
        <w:t>十一</w:t>
      </w:r>
      <w:r>
        <w:rPr>
          <w:rFonts w:ascii="Times New Roman" w:hAnsi="Times New Roman" w:cs="Times New Roman"/>
          <w:b/>
          <w:sz w:val="32"/>
          <w:szCs w:val="32"/>
        </w:rPr>
        <w:t>月</w:t>
      </w:r>
    </w:p>
    <w:p>
      <w:pPr>
        <w:autoSpaceDE w:val="0"/>
        <w:autoSpaceDN w:val="0"/>
        <w:spacing w:line="360" w:lineRule="auto"/>
        <w:jc w:val="center"/>
        <w:rPr>
          <w:rFonts w:ascii="Times New Roman" w:hAnsi="Times New Roman" w:cs="Times New Roman"/>
          <w:b/>
          <w:sz w:val="32"/>
          <w:szCs w:val="32"/>
        </w:rPr>
      </w:pPr>
    </w:p>
    <w:p>
      <w:pPr>
        <w:jc w:val="center"/>
        <w:rPr>
          <w:b/>
          <w:sz w:val="32"/>
          <w:szCs w:val="32"/>
        </w:rPr>
      </w:pPr>
      <w:bookmarkStart w:id="0" w:name="_Toc144236721"/>
      <w:r>
        <w:rPr>
          <w:b/>
          <w:sz w:val="32"/>
          <w:szCs w:val="32"/>
        </w:rPr>
        <w:t>目</w:t>
      </w:r>
      <w:r>
        <w:rPr>
          <w:rFonts w:hint="eastAsia"/>
          <w:b/>
          <w:sz w:val="32"/>
          <w:szCs w:val="32"/>
        </w:rPr>
        <w:t xml:space="preserve"> </w:t>
      </w:r>
      <w:r>
        <w:rPr>
          <w:b/>
          <w:sz w:val="32"/>
          <w:szCs w:val="32"/>
        </w:rPr>
        <w:t>录</w:t>
      </w:r>
      <w:bookmarkEnd w:id="0"/>
    </w:p>
    <w:p>
      <w:pPr>
        <w:pStyle w:val="24"/>
        <w:tabs>
          <w:tab w:val="right" w:leader="dot" w:pos="8296"/>
        </w:tabs>
        <w:spacing w:line="360" w:lineRule="auto"/>
        <w:rPr>
          <w:rFonts w:asciiTheme="minorHAnsi" w:hAnsiTheme="minorHAnsi" w:eastAsiaTheme="minorEastAsia" w:cstheme="minorBidi"/>
          <w:sz w:val="24"/>
        </w:rPr>
      </w:pPr>
      <w:r>
        <w:rPr>
          <w:rFonts w:ascii="Times New Roman" w:hAnsi="Times New Roman"/>
          <w:sz w:val="24"/>
        </w:rPr>
        <w:fldChar w:fldCharType="begin"/>
      </w:r>
      <w:r>
        <w:rPr>
          <w:rFonts w:ascii="Times New Roman" w:hAnsi="Times New Roman"/>
          <w:sz w:val="24"/>
        </w:rPr>
        <w:instrText xml:space="preserve"> TOC \o "1-3" \h \z \u </w:instrText>
      </w:r>
      <w:r>
        <w:rPr>
          <w:rFonts w:ascii="Times New Roman" w:hAnsi="Times New Roman"/>
          <w:sz w:val="24"/>
        </w:rPr>
        <w:fldChar w:fldCharType="separate"/>
      </w:r>
      <w:r>
        <w:fldChar w:fldCharType="begin"/>
      </w:r>
      <w:r>
        <w:instrText xml:space="preserve"> HYPERLINK \l "_Toc147847972" </w:instrText>
      </w:r>
      <w:r>
        <w:fldChar w:fldCharType="separate"/>
      </w:r>
      <w:r>
        <w:rPr>
          <w:rStyle w:val="39"/>
          <w:rFonts w:hint="eastAsia" w:ascii="Times New Roman" w:hAnsi="Times New Roman"/>
          <w:sz w:val="24"/>
        </w:rPr>
        <w:t>第</w:t>
      </w:r>
      <w:r>
        <w:rPr>
          <w:rStyle w:val="39"/>
          <w:rFonts w:ascii="Times New Roman" w:hAnsi="Times New Roman"/>
          <w:sz w:val="24"/>
        </w:rPr>
        <w:t>1</w:t>
      </w:r>
      <w:r>
        <w:rPr>
          <w:rStyle w:val="39"/>
          <w:rFonts w:hint="eastAsia" w:ascii="Times New Roman" w:hAnsi="Times New Roman"/>
          <w:sz w:val="24"/>
        </w:rPr>
        <w:t>章</w:t>
      </w:r>
      <w:r>
        <w:rPr>
          <w:rStyle w:val="39"/>
          <w:rFonts w:ascii="Times New Roman" w:hAnsi="Times New Roman"/>
          <w:sz w:val="24"/>
        </w:rPr>
        <w:t xml:space="preserve"> </w:t>
      </w:r>
      <w:r>
        <w:rPr>
          <w:rStyle w:val="39"/>
          <w:rFonts w:hint="eastAsia" w:ascii="Times New Roman" w:hAnsi="Times New Roman"/>
          <w:sz w:val="24"/>
        </w:rPr>
        <w:t>概论</w:t>
      </w:r>
      <w:r>
        <w:rPr>
          <w:sz w:val="24"/>
        </w:rPr>
        <w:tab/>
      </w:r>
      <w:r>
        <w:rPr>
          <w:sz w:val="24"/>
        </w:rPr>
        <w:fldChar w:fldCharType="begin"/>
      </w:r>
      <w:r>
        <w:rPr>
          <w:sz w:val="24"/>
        </w:rPr>
        <w:instrText xml:space="preserve"> PAGEREF _Toc147847972 \h </w:instrText>
      </w:r>
      <w:r>
        <w:rPr>
          <w:sz w:val="24"/>
        </w:rPr>
        <w:fldChar w:fldCharType="separate"/>
      </w:r>
      <w:r>
        <w:rPr>
          <w:sz w:val="24"/>
        </w:rPr>
        <w:t>1</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"_Toc147847973" </w:instrText>
      </w:r>
      <w:r>
        <w:fldChar w:fldCharType="separate"/>
      </w:r>
      <w:r>
        <w:rPr>
          <w:rStyle w:val="39"/>
          <w:sz w:val="24"/>
        </w:rPr>
        <w:t xml:space="preserve">1.1 </w:t>
      </w:r>
      <w:r>
        <w:rPr>
          <w:rStyle w:val="39"/>
          <w:rFonts w:hint="eastAsia"/>
          <w:sz w:val="24"/>
        </w:rPr>
        <w:t>项目由来</w:t>
      </w:r>
      <w:r>
        <w:rPr>
          <w:sz w:val="24"/>
        </w:rPr>
        <w:tab/>
      </w:r>
      <w:r>
        <w:rPr>
          <w:sz w:val="24"/>
        </w:rPr>
        <w:fldChar w:fldCharType="begin"/>
      </w:r>
      <w:r>
        <w:rPr>
          <w:sz w:val="24"/>
        </w:rPr>
        <w:instrText xml:space="preserve"> PAGEREF _Toc147847973 \h </w:instrText>
      </w:r>
      <w:r>
        <w:rPr>
          <w:sz w:val="24"/>
        </w:rPr>
        <w:fldChar w:fldCharType="separate"/>
      </w:r>
      <w:r>
        <w:rPr>
          <w:sz w:val="24"/>
        </w:rPr>
        <w:t>1</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"_Toc147847974" </w:instrText>
      </w:r>
      <w:r>
        <w:fldChar w:fldCharType="separate"/>
      </w:r>
      <w:r>
        <w:rPr>
          <w:rStyle w:val="39"/>
          <w:sz w:val="24"/>
        </w:rPr>
        <w:t xml:space="preserve">1.2 </w:t>
      </w:r>
      <w:r>
        <w:rPr>
          <w:rStyle w:val="39"/>
          <w:rFonts w:hint="eastAsia"/>
          <w:sz w:val="24"/>
        </w:rPr>
        <w:t>建设项目特点</w:t>
      </w:r>
      <w:r>
        <w:rPr>
          <w:sz w:val="24"/>
        </w:rPr>
        <w:tab/>
      </w:r>
      <w:r>
        <w:rPr>
          <w:sz w:val="24"/>
        </w:rPr>
        <w:fldChar w:fldCharType="begin"/>
      </w:r>
      <w:r>
        <w:rPr>
          <w:sz w:val="24"/>
        </w:rPr>
        <w:instrText xml:space="preserve"> PAGEREF _Toc147847974 \h </w:instrText>
      </w:r>
      <w:r>
        <w:rPr>
          <w:sz w:val="24"/>
        </w:rPr>
        <w:fldChar w:fldCharType="separate"/>
      </w:r>
      <w:r>
        <w:rPr>
          <w:sz w:val="24"/>
        </w:rPr>
        <w:t>3</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"_Toc147847975" </w:instrText>
      </w:r>
      <w:r>
        <w:fldChar w:fldCharType="separate"/>
      </w:r>
      <w:r>
        <w:rPr>
          <w:rStyle w:val="39"/>
          <w:sz w:val="24"/>
        </w:rPr>
        <w:t xml:space="preserve">1.3 </w:t>
      </w:r>
      <w:r>
        <w:rPr>
          <w:rStyle w:val="39"/>
          <w:rFonts w:hint="eastAsia"/>
          <w:sz w:val="24"/>
        </w:rPr>
        <w:t>环境影响评价过程</w:t>
      </w:r>
      <w:r>
        <w:rPr>
          <w:sz w:val="24"/>
        </w:rPr>
        <w:tab/>
      </w:r>
      <w:r>
        <w:rPr>
          <w:sz w:val="24"/>
        </w:rPr>
        <w:fldChar w:fldCharType="begin"/>
      </w:r>
      <w:r>
        <w:rPr>
          <w:sz w:val="24"/>
        </w:rPr>
        <w:instrText xml:space="preserve"> PAGEREF _Toc147847975 \h </w:instrText>
      </w:r>
      <w:r>
        <w:rPr>
          <w:sz w:val="24"/>
        </w:rPr>
        <w:fldChar w:fldCharType="separate"/>
      </w:r>
      <w:r>
        <w:rPr>
          <w:sz w:val="24"/>
        </w:rPr>
        <w:t>3</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"_Toc147847976" </w:instrText>
      </w:r>
      <w:r>
        <w:fldChar w:fldCharType="separate"/>
      </w:r>
      <w:r>
        <w:rPr>
          <w:rStyle w:val="39"/>
          <w:sz w:val="24"/>
        </w:rPr>
        <w:t xml:space="preserve">1.4 </w:t>
      </w:r>
      <w:r>
        <w:rPr>
          <w:rStyle w:val="39"/>
          <w:rFonts w:hint="eastAsia"/>
          <w:sz w:val="24"/>
        </w:rPr>
        <w:t>关注的主要环境问题</w:t>
      </w:r>
      <w:r>
        <w:rPr>
          <w:sz w:val="24"/>
        </w:rPr>
        <w:tab/>
      </w:r>
      <w:r>
        <w:rPr>
          <w:sz w:val="24"/>
        </w:rPr>
        <w:fldChar w:fldCharType="begin"/>
      </w:r>
      <w:r>
        <w:rPr>
          <w:sz w:val="24"/>
        </w:rPr>
        <w:instrText xml:space="preserve"> PAGEREF _Toc147847976 \h </w:instrText>
      </w:r>
      <w:r>
        <w:rPr>
          <w:sz w:val="24"/>
        </w:rPr>
        <w:fldChar w:fldCharType="separate"/>
      </w:r>
      <w:r>
        <w:rPr>
          <w:sz w:val="24"/>
        </w:rPr>
        <w:t>4</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"_Toc147847977" </w:instrText>
      </w:r>
      <w:r>
        <w:fldChar w:fldCharType="separate"/>
      </w:r>
      <w:r>
        <w:rPr>
          <w:rStyle w:val="39"/>
          <w:sz w:val="24"/>
        </w:rPr>
        <w:t xml:space="preserve">1.5 </w:t>
      </w:r>
      <w:r>
        <w:rPr>
          <w:rStyle w:val="39"/>
          <w:rFonts w:hint="eastAsia"/>
          <w:sz w:val="24"/>
        </w:rPr>
        <w:t>环境影响评价结论</w:t>
      </w:r>
      <w:r>
        <w:rPr>
          <w:sz w:val="24"/>
        </w:rPr>
        <w:tab/>
      </w:r>
      <w:r>
        <w:rPr>
          <w:sz w:val="24"/>
        </w:rPr>
        <w:fldChar w:fldCharType="begin"/>
      </w:r>
      <w:r>
        <w:rPr>
          <w:sz w:val="24"/>
        </w:rPr>
        <w:instrText xml:space="preserve"> PAGEREF _Toc147847977 \h </w:instrText>
      </w:r>
      <w:r>
        <w:rPr>
          <w:sz w:val="24"/>
        </w:rPr>
        <w:fldChar w:fldCharType="separate"/>
      </w:r>
      <w:r>
        <w:rPr>
          <w:sz w:val="24"/>
        </w:rPr>
        <w:t>5</w:t>
      </w:r>
      <w:r>
        <w:rPr>
          <w:sz w:val="24"/>
        </w:rPr>
        <w:fldChar w:fldCharType="end"/>
      </w:r>
      <w:r>
        <w:rPr>
          <w:sz w:val="24"/>
        </w:rPr>
        <w:fldChar w:fldCharType="end"/>
      </w:r>
    </w:p>
    <w:p>
      <w:pPr>
        <w:pStyle w:val="24"/>
        <w:tabs>
          <w:tab w:val="right" w:leader="dot" w:pos="8296"/>
        </w:tabs>
        <w:spacing w:line="360" w:lineRule="auto"/>
        <w:rPr>
          <w:rFonts w:asciiTheme="minorHAnsi" w:hAnsiTheme="minorHAnsi" w:eastAsiaTheme="minorEastAsia" w:cstheme="minorBidi"/>
          <w:sz w:val="24"/>
        </w:rPr>
      </w:pPr>
      <w:r>
        <w:fldChar w:fldCharType="begin"/>
      </w:r>
      <w:r>
        <w:instrText xml:space="preserve"> HYPERLINK \l "_Toc147847978" </w:instrText>
      </w:r>
      <w:r>
        <w:fldChar w:fldCharType="separate"/>
      </w:r>
      <w:r>
        <w:rPr>
          <w:rStyle w:val="39"/>
          <w:rFonts w:hint="eastAsia" w:ascii="Times New Roman" w:hAnsi="Times New Roman"/>
          <w:sz w:val="24"/>
        </w:rPr>
        <w:t>第</w:t>
      </w:r>
      <w:r>
        <w:rPr>
          <w:rStyle w:val="39"/>
          <w:rFonts w:ascii="Times New Roman" w:hAnsi="Times New Roman"/>
          <w:sz w:val="24"/>
        </w:rPr>
        <w:t>2</w:t>
      </w:r>
      <w:r>
        <w:rPr>
          <w:rStyle w:val="39"/>
          <w:rFonts w:hint="eastAsia" w:ascii="Times New Roman" w:hAnsi="Times New Roman"/>
          <w:sz w:val="24"/>
        </w:rPr>
        <w:t>章</w:t>
      </w:r>
      <w:r>
        <w:rPr>
          <w:rStyle w:val="39"/>
          <w:rFonts w:ascii="Times New Roman" w:hAnsi="Times New Roman"/>
          <w:sz w:val="24"/>
        </w:rPr>
        <w:t xml:space="preserve"> </w:t>
      </w:r>
      <w:r>
        <w:rPr>
          <w:rStyle w:val="39"/>
          <w:rFonts w:hint="eastAsia" w:ascii="Times New Roman" w:hAnsi="Times New Roman"/>
          <w:sz w:val="24"/>
        </w:rPr>
        <w:t>总则</w:t>
      </w:r>
      <w:r>
        <w:rPr>
          <w:sz w:val="24"/>
        </w:rPr>
        <w:tab/>
      </w:r>
      <w:r>
        <w:rPr>
          <w:sz w:val="24"/>
        </w:rPr>
        <w:fldChar w:fldCharType="begin"/>
      </w:r>
      <w:r>
        <w:rPr>
          <w:sz w:val="24"/>
        </w:rPr>
        <w:instrText xml:space="preserve"> PAGEREF _Toc147847978 \h </w:instrText>
      </w:r>
      <w:r>
        <w:rPr>
          <w:sz w:val="24"/>
        </w:rPr>
        <w:fldChar w:fldCharType="separate"/>
      </w:r>
      <w:r>
        <w:rPr>
          <w:sz w:val="24"/>
        </w:rPr>
        <w:t>6</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"_Toc147847979" </w:instrText>
      </w:r>
      <w:r>
        <w:fldChar w:fldCharType="separate"/>
      </w:r>
      <w:r>
        <w:rPr>
          <w:rStyle w:val="39"/>
          <w:sz w:val="24"/>
        </w:rPr>
        <w:t xml:space="preserve">2.1 </w:t>
      </w:r>
      <w:r>
        <w:rPr>
          <w:rStyle w:val="39"/>
          <w:rFonts w:hint="eastAsia"/>
          <w:sz w:val="24"/>
        </w:rPr>
        <w:t>编制依据</w:t>
      </w:r>
      <w:r>
        <w:rPr>
          <w:sz w:val="24"/>
        </w:rPr>
        <w:tab/>
      </w:r>
      <w:r>
        <w:rPr>
          <w:sz w:val="24"/>
        </w:rPr>
        <w:fldChar w:fldCharType="begin"/>
      </w:r>
      <w:r>
        <w:rPr>
          <w:sz w:val="24"/>
        </w:rPr>
        <w:instrText xml:space="preserve"> PAGEREF _Toc147847979 \h </w:instrText>
      </w:r>
      <w:r>
        <w:rPr>
          <w:sz w:val="24"/>
        </w:rPr>
        <w:fldChar w:fldCharType="separate"/>
      </w:r>
      <w:r>
        <w:rPr>
          <w:sz w:val="24"/>
        </w:rPr>
        <w:t>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"_Toc147847980" </w:instrText>
      </w:r>
      <w:r>
        <w:fldChar w:fldCharType="separate"/>
      </w:r>
      <w:r>
        <w:rPr>
          <w:rStyle w:val="39"/>
          <w:rFonts w:ascii="Times New Roman" w:hAnsi="Times New Roman"/>
          <w:sz w:val="24"/>
        </w:rPr>
        <w:t xml:space="preserve">2.1.1 </w:t>
      </w:r>
      <w:r>
        <w:rPr>
          <w:rStyle w:val="39"/>
          <w:rFonts w:hint="eastAsia" w:ascii="Times New Roman" w:hAnsi="Times New Roman"/>
          <w:sz w:val="24"/>
        </w:rPr>
        <w:t>环境保护法律、行政法规</w:t>
      </w:r>
      <w:r>
        <w:rPr>
          <w:sz w:val="24"/>
        </w:rPr>
        <w:tab/>
      </w:r>
      <w:r>
        <w:rPr>
          <w:sz w:val="24"/>
        </w:rPr>
        <w:fldChar w:fldCharType="begin"/>
      </w:r>
      <w:r>
        <w:rPr>
          <w:sz w:val="24"/>
        </w:rPr>
        <w:instrText xml:space="preserve"> PAGEREF _Toc147847980 \h </w:instrText>
      </w:r>
      <w:r>
        <w:rPr>
          <w:sz w:val="24"/>
        </w:rPr>
        <w:fldChar w:fldCharType="separate"/>
      </w:r>
      <w:r>
        <w:rPr>
          <w:sz w:val="24"/>
        </w:rPr>
        <w:t>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"_Toc147847981" </w:instrText>
      </w:r>
      <w:r>
        <w:fldChar w:fldCharType="separate"/>
      </w:r>
      <w:r>
        <w:rPr>
          <w:rStyle w:val="39"/>
          <w:rFonts w:ascii="Times New Roman" w:hAnsi="Times New Roman"/>
          <w:sz w:val="24"/>
        </w:rPr>
        <w:t xml:space="preserve">2.1.2 </w:t>
      </w:r>
      <w:r>
        <w:rPr>
          <w:rStyle w:val="39"/>
          <w:rFonts w:hint="eastAsia" w:ascii="Times New Roman" w:hAnsi="Times New Roman"/>
          <w:sz w:val="24"/>
        </w:rPr>
        <w:t>规章及规范性文件</w:t>
      </w:r>
      <w:r>
        <w:rPr>
          <w:sz w:val="24"/>
        </w:rPr>
        <w:tab/>
      </w:r>
      <w:r>
        <w:rPr>
          <w:sz w:val="24"/>
        </w:rPr>
        <w:fldChar w:fldCharType="begin"/>
      </w:r>
      <w:r>
        <w:rPr>
          <w:sz w:val="24"/>
        </w:rPr>
        <w:instrText xml:space="preserve"> PAGEREF _Toc147847981 \h </w:instrText>
      </w:r>
      <w:r>
        <w:rPr>
          <w:sz w:val="24"/>
        </w:rPr>
        <w:fldChar w:fldCharType="separate"/>
      </w:r>
      <w:r>
        <w:rPr>
          <w:sz w:val="24"/>
        </w:rPr>
        <w:t>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"_Toc147847982" </w:instrText>
      </w:r>
      <w:r>
        <w:fldChar w:fldCharType="separate"/>
      </w:r>
      <w:r>
        <w:rPr>
          <w:rStyle w:val="39"/>
          <w:rFonts w:ascii="Times New Roman" w:hAnsi="Times New Roman"/>
          <w:sz w:val="24"/>
        </w:rPr>
        <w:t xml:space="preserve">2.1.3 </w:t>
      </w:r>
      <w:r>
        <w:rPr>
          <w:rStyle w:val="39"/>
          <w:rFonts w:hint="eastAsia" w:ascii="Times New Roman" w:hAnsi="Times New Roman"/>
          <w:sz w:val="24"/>
        </w:rPr>
        <w:t>地方法规及文件</w:t>
      </w:r>
      <w:r>
        <w:rPr>
          <w:sz w:val="24"/>
        </w:rPr>
        <w:tab/>
      </w:r>
      <w:r>
        <w:rPr>
          <w:sz w:val="24"/>
        </w:rPr>
        <w:fldChar w:fldCharType="begin"/>
      </w:r>
      <w:r>
        <w:rPr>
          <w:sz w:val="24"/>
        </w:rPr>
        <w:instrText xml:space="preserve"> PAGEREF _Toc147847982 \h </w:instrText>
      </w:r>
      <w:r>
        <w:rPr>
          <w:sz w:val="24"/>
        </w:rPr>
        <w:fldChar w:fldCharType="separate"/>
      </w:r>
      <w:r>
        <w:rPr>
          <w:sz w:val="24"/>
        </w:rPr>
        <w:t>8</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"_Toc147847983" </w:instrText>
      </w:r>
      <w:r>
        <w:fldChar w:fldCharType="separate"/>
      </w:r>
      <w:r>
        <w:rPr>
          <w:rStyle w:val="39"/>
          <w:rFonts w:ascii="Times New Roman" w:hAnsi="Times New Roman"/>
          <w:sz w:val="24"/>
        </w:rPr>
        <w:t xml:space="preserve">2.1.4 </w:t>
      </w:r>
      <w:r>
        <w:rPr>
          <w:rStyle w:val="39"/>
          <w:rFonts w:hint="eastAsia" w:ascii="Times New Roman" w:hAnsi="Times New Roman"/>
          <w:sz w:val="24"/>
        </w:rPr>
        <w:t>技术导则和规范</w:t>
      </w:r>
      <w:r>
        <w:rPr>
          <w:sz w:val="24"/>
        </w:rPr>
        <w:tab/>
      </w:r>
      <w:r>
        <w:rPr>
          <w:sz w:val="24"/>
        </w:rPr>
        <w:fldChar w:fldCharType="begin"/>
      </w:r>
      <w:r>
        <w:rPr>
          <w:sz w:val="24"/>
        </w:rPr>
        <w:instrText xml:space="preserve"> PAGEREF _Toc147847983 \h </w:instrText>
      </w:r>
      <w:r>
        <w:rPr>
          <w:sz w:val="24"/>
        </w:rPr>
        <w:fldChar w:fldCharType="separate"/>
      </w:r>
      <w:r>
        <w:rPr>
          <w:sz w:val="24"/>
        </w:rPr>
        <w:t>10</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"_Toc147847984" </w:instrText>
      </w:r>
      <w:r>
        <w:fldChar w:fldCharType="separate"/>
      </w:r>
      <w:r>
        <w:rPr>
          <w:rStyle w:val="39"/>
          <w:rFonts w:ascii="Times New Roman" w:hAnsi="Times New Roman"/>
          <w:sz w:val="24"/>
        </w:rPr>
        <w:t xml:space="preserve">2.1.5 </w:t>
      </w:r>
      <w:r>
        <w:rPr>
          <w:rStyle w:val="39"/>
          <w:rFonts w:hint="eastAsia" w:ascii="Times New Roman" w:hAnsi="Times New Roman"/>
          <w:sz w:val="24"/>
        </w:rPr>
        <w:t>其他文件</w:t>
      </w:r>
      <w:r>
        <w:rPr>
          <w:sz w:val="24"/>
        </w:rPr>
        <w:tab/>
      </w:r>
      <w:r>
        <w:rPr>
          <w:sz w:val="24"/>
        </w:rPr>
        <w:fldChar w:fldCharType="begin"/>
      </w:r>
      <w:r>
        <w:rPr>
          <w:sz w:val="24"/>
        </w:rPr>
        <w:instrText xml:space="preserve"> PAGEREF _Toc147847984 \h </w:instrText>
      </w:r>
      <w:r>
        <w:rPr>
          <w:sz w:val="24"/>
        </w:rPr>
        <w:fldChar w:fldCharType="separate"/>
      </w:r>
      <w:r>
        <w:rPr>
          <w:sz w:val="24"/>
        </w:rPr>
        <w:t>11</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"_Toc147847985" </w:instrText>
      </w:r>
      <w:r>
        <w:fldChar w:fldCharType="separate"/>
      </w:r>
      <w:r>
        <w:rPr>
          <w:rStyle w:val="39"/>
          <w:sz w:val="24"/>
        </w:rPr>
        <w:t xml:space="preserve">2.2 </w:t>
      </w:r>
      <w:r>
        <w:rPr>
          <w:rStyle w:val="39"/>
          <w:rFonts w:hint="eastAsia"/>
          <w:sz w:val="24"/>
        </w:rPr>
        <w:t>评价目的</w:t>
      </w:r>
      <w:r>
        <w:rPr>
          <w:sz w:val="24"/>
        </w:rPr>
        <w:tab/>
      </w:r>
      <w:r>
        <w:rPr>
          <w:sz w:val="24"/>
        </w:rPr>
        <w:fldChar w:fldCharType="begin"/>
      </w:r>
      <w:r>
        <w:rPr>
          <w:sz w:val="24"/>
        </w:rPr>
        <w:instrText xml:space="preserve"> PAGEREF _Toc147847985 \h </w:instrText>
      </w:r>
      <w:r>
        <w:rPr>
          <w:sz w:val="24"/>
        </w:rPr>
        <w:fldChar w:fldCharType="separate"/>
      </w:r>
      <w:r>
        <w:rPr>
          <w:sz w:val="24"/>
        </w:rPr>
        <w:t>11</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"_Toc147847986" </w:instrText>
      </w:r>
      <w:r>
        <w:fldChar w:fldCharType="separate"/>
      </w:r>
      <w:r>
        <w:rPr>
          <w:rStyle w:val="39"/>
          <w:sz w:val="24"/>
        </w:rPr>
        <w:t xml:space="preserve">2.3 </w:t>
      </w:r>
      <w:r>
        <w:rPr>
          <w:rStyle w:val="39"/>
          <w:rFonts w:hint="eastAsia"/>
          <w:sz w:val="24"/>
        </w:rPr>
        <w:t>评价内容和重点</w:t>
      </w:r>
      <w:r>
        <w:rPr>
          <w:sz w:val="24"/>
        </w:rPr>
        <w:tab/>
      </w:r>
      <w:r>
        <w:rPr>
          <w:sz w:val="24"/>
        </w:rPr>
        <w:fldChar w:fldCharType="begin"/>
      </w:r>
      <w:r>
        <w:rPr>
          <w:sz w:val="24"/>
        </w:rPr>
        <w:instrText xml:space="preserve"> PAGEREF _Toc147847986 \h </w:instrText>
      </w:r>
      <w:r>
        <w:rPr>
          <w:sz w:val="24"/>
        </w:rPr>
        <w:fldChar w:fldCharType="separate"/>
      </w:r>
      <w:r>
        <w:rPr>
          <w:sz w:val="24"/>
        </w:rPr>
        <w:t>12</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"_Toc147847987" </w:instrText>
      </w:r>
      <w:r>
        <w:fldChar w:fldCharType="separate"/>
      </w:r>
      <w:r>
        <w:rPr>
          <w:rStyle w:val="39"/>
          <w:rFonts w:ascii="Times New Roman" w:hAnsi="Times New Roman"/>
          <w:sz w:val="24"/>
        </w:rPr>
        <w:t xml:space="preserve">2.3.1 </w:t>
      </w:r>
      <w:r>
        <w:rPr>
          <w:rStyle w:val="39"/>
          <w:rFonts w:hint="eastAsia" w:ascii="Times New Roman" w:hAnsi="Times New Roman"/>
          <w:sz w:val="24"/>
        </w:rPr>
        <w:t>评价内容</w:t>
      </w:r>
      <w:r>
        <w:rPr>
          <w:sz w:val="24"/>
        </w:rPr>
        <w:tab/>
      </w:r>
      <w:r>
        <w:rPr>
          <w:sz w:val="24"/>
        </w:rPr>
        <w:fldChar w:fldCharType="begin"/>
      </w:r>
      <w:r>
        <w:rPr>
          <w:sz w:val="24"/>
        </w:rPr>
        <w:instrText xml:space="preserve"> PAGEREF _Toc147847987 \h </w:instrText>
      </w:r>
      <w:r>
        <w:rPr>
          <w:sz w:val="24"/>
        </w:rPr>
        <w:fldChar w:fldCharType="separate"/>
      </w:r>
      <w:r>
        <w:rPr>
          <w:sz w:val="24"/>
        </w:rPr>
        <w:t>12</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"_Toc147847988" </w:instrText>
      </w:r>
      <w:r>
        <w:fldChar w:fldCharType="separate"/>
      </w:r>
      <w:r>
        <w:rPr>
          <w:rStyle w:val="39"/>
          <w:rFonts w:ascii="Times New Roman" w:hAnsi="Times New Roman"/>
          <w:sz w:val="24"/>
        </w:rPr>
        <w:t xml:space="preserve">2.3.2 </w:t>
      </w:r>
      <w:r>
        <w:rPr>
          <w:rStyle w:val="39"/>
          <w:rFonts w:hint="eastAsia" w:ascii="Times New Roman" w:hAnsi="Times New Roman"/>
          <w:sz w:val="24"/>
        </w:rPr>
        <w:t>评价重点</w:t>
      </w:r>
      <w:r>
        <w:rPr>
          <w:sz w:val="24"/>
        </w:rPr>
        <w:tab/>
      </w:r>
      <w:r>
        <w:rPr>
          <w:sz w:val="24"/>
        </w:rPr>
        <w:fldChar w:fldCharType="begin"/>
      </w:r>
      <w:r>
        <w:rPr>
          <w:sz w:val="24"/>
        </w:rPr>
        <w:instrText xml:space="preserve"> PAGEREF _Toc147847988 \h </w:instrText>
      </w:r>
      <w:r>
        <w:rPr>
          <w:sz w:val="24"/>
        </w:rPr>
        <w:fldChar w:fldCharType="separate"/>
      </w:r>
      <w:r>
        <w:rPr>
          <w:sz w:val="24"/>
        </w:rPr>
        <w:t>12</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"_Toc147847989" </w:instrText>
      </w:r>
      <w:r>
        <w:fldChar w:fldCharType="separate"/>
      </w:r>
      <w:r>
        <w:rPr>
          <w:rStyle w:val="39"/>
          <w:sz w:val="24"/>
        </w:rPr>
        <w:t xml:space="preserve">2.4 </w:t>
      </w:r>
      <w:r>
        <w:rPr>
          <w:rStyle w:val="39"/>
          <w:rFonts w:hint="eastAsia"/>
          <w:sz w:val="24"/>
        </w:rPr>
        <w:t>环境影响识别和评价因子筛选</w:t>
      </w:r>
      <w:r>
        <w:rPr>
          <w:sz w:val="24"/>
        </w:rPr>
        <w:tab/>
      </w:r>
      <w:r>
        <w:rPr>
          <w:sz w:val="24"/>
        </w:rPr>
        <w:fldChar w:fldCharType="begin"/>
      </w:r>
      <w:r>
        <w:rPr>
          <w:sz w:val="24"/>
        </w:rPr>
        <w:instrText xml:space="preserve"> PAGEREF _Toc147847989 \h </w:instrText>
      </w:r>
      <w:r>
        <w:rPr>
          <w:sz w:val="24"/>
        </w:rPr>
        <w:fldChar w:fldCharType="separate"/>
      </w:r>
      <w:r>
        <w:rPr>
          <w:sz w:val="24"/>
        </w:rPr>
        <w:t>13</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"_Toc147847990" </w:instrText>
      </w:r>
      <w:r>
        <w:fldChar w:fldCharType="separate"/>
      </w:r>
      <w:r>
        <w:rPr>
          <w:rStyle w:val="39"/>
          <w:rFonts w:ascii="Times New Roman" w:hAnsi="Times New Roman"/>
          <w:sz w:val="24"/>
        </w:rPr>
        <w:t xml:space="preserve">2.4.1 </w:t>
      </w:r>
      <w:r>
        <w:rPr>
          <w:rStyle w:val="39"/>
          <w:rFonts w:hint="eastAsia" w:ascii="Times New Roman" w:hAnsi="Times New Roman"/>
          <w:sz w:val="24"/>
        </w:rPr>
        <w:t>环境影响识别</w:t>
      </w:r>
      <w:r>
        <w:rPr>
          <w:sz w:val="24"/>
        </w:rPr>
        <w:tab/>
      </w:r>
      <w:r>
        <w:rPr>
          <w:sz w:val="24"/>
        </w:rPr>
        <w:fldChar w:fldCharType="begin"/>
      </w:r>
      <w:r>
        <w:rPr>
          <w:sz w:val="24"/>
        </w:rPr>
        <w:instrText xml:space="preserve"> PAGEREF _Toc147847990 \h </w:instrText>
      </w:r>
      <w:r>
        <w:rPr>
          <w:sz w:val="24"/>
        </w:rPr>
        <w:fldChar w:fldCharType="separate"/>
      </w:r>
      <w:r>
        <w:rPr>
          <w:sz w:val="24"/>
        </w:rPr>
        <w:t>13</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"_Toc147847991" </w:instrText>
      </w:r>
      <w:r>
        <w:fldChar w:fldCharType="separate"/>
      </w:r>
      <w:r>
        <w:rPr>
          <w:rStyle w:val="39"/>
          <w:rFonts w:ascii="Times New Roman" w:hAnsi="Times New Roman"/>
          <w:sz w:val="24"/>
        </w:rPr>
        <w:t xml:space="preserve">2.4.2 </w:t>
      </w:r>
      <w:r>
        <w:rPr>
          <w:rStyle w:val="39"/>
          <w:rFonts w:hint="eastAsia" w:ascii="Times New Roman" w:hAnsi="Times New Roman"/>
          <w:sz w:val="24"/>
        </w:rPr>
        <w:t>评价因子筛选</w:t>
      </w:r>
      <w:r>
        <w:rPr>
          <w:sz w:val="24"/>
        </w:rPr>
        <w:tab/>
      </w:r>
      <w:r>
        <w:rPr>
          <w:sz w:val="24"/>
        </w:rPr>
        <w:fldChar w:fldCharType="begin"/>
      </w:r>
      <w:r>
        <w:rPr>
          <w:sz w:val="24"/>
        </w:rPr>
        <w:instrText xml:space="preserve"> PAGEREF _Toc147847991 \h </w:instrText>
      </w:r>
      <w:r>
        <w:rPr>
          <w:sz w:val="24"/>
        </w:rPr>
        <w:fldChar w:fldCharType="separate"/>
      </w:r>
      <w:r>
        <w:rPr>
          <w:sz w:val="24"/>
        </w:rPr>
        <w:t>14</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"_Toc147847992" </w:instrText>
      </w:r>
      <w:r>
        <w:fldChar w:fldCharType="separate"/>
      </w:r>
      <w:r>
        <w:rPr>
          <w:rStyle w:val="39"/>
          <w:sz w:val="24"/>
        </w:rPr>
        <w:t xml:space="preserve">2.5 </w:t>
      </w:r>
      <w:r>
        <w:rPr>
          <w:rStyle w:val="39"/>
          <w:rFonts w:hint="eastAsia"/>
          <w:sz w:val="24"/>
        </w:rPr>
        <w:t>评价标准</w:t>
      </w:r>
      <w:r>
        <w:rPr>
          <w:sz w:val="24"/>
        </w:rPr>
        <w:tab/>
      </w:r>
      <w:r>
        <w:rPr>
          <w:sz w:val="24"/>
        </w:rPr>
        <w:fldChar w:fldCharType="begin"/>
      </w:r>
      <w:r>
        <w:rPr>
          <w:sz w:val="24"/>
        </w:rPr>
        <w:instrText xml:space="preserve"> PAGEREF _Toc147847992 \h </w:instrText>
      </w:r>
      <w:r>
        <w:rPr>
          <w:sz w:val="24"/>
        </w:rPr>
        <w:fldChar w:fldCharType="separate"/>
      </w:r>
      <w:r>
        <w:rPr>
          <w:sz w:val="24"/>
        </w:rPr>
        <w:t>15</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"_Toc147847993" </w:instrText>
      </w:r>
      <w:r>
        <w:fldChar w:fldCharType="separate"/>
      </w:r>
      <w:r>
        <w:rPr>
          <w:rStyle w:val="39"/>
          <w:rFonts w:ascii="Times New Roman" w:hAnsi="Times New Roman"/>
          <w:sz w:val="24"/>
        </w:rPr>
        <w:t xml:space="preserve">2.5.1 </w:t>
      </w:r>
      <w:r>
        <w:rPr>
          <w:rStyle w:val="39"/>
          <w:rFonts w:hint="eastAsia" w:ascii="Times New Roman" w:hAnsi="Times New Roman"/>
          <w:sz w:val="24"/>
        </w:rPr>
        <w:t>环境质量标准</w:t>
      </w:r>
      <w:r>
        <w:rPr>
          <w:sz w:val="24"/>
        </w:rPr>
        <w:tab/>
      </w:r>
      <w:r>
        <w:rPr>
          <w:sz w:val="24"/>
        </w:rPr>
        <w:fldChar w:fldCharType="begin"/>
      </w:r>
      <w:r>
        <w:rPr>
          <w:sz w:val="24"/>
        </w:rPr>
        <w:instrText xml:space="preserve"> PAGEREF _Toc147847993 \h </w:instrText>
      </w:r>
      <w:r>
        <w:rPr>
          <w:sz w:val="24"/>
        </w:rPr>
        <w:fldChar w:fldCharType="separate"/>
      </w:r>
      <w:r>
        <w:rPr>
          <w:sz w:val="24"/>
        </w:rPr>
        <w:t>15</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"_Toc147847994" </w:instrText>
      </w:r>
      <w:r>
        <w:fldChar w:fldCharType="separate"/>
      </w:r>
      <w:r>
        <w:rPr>
          <w:rStyle w:val="39"/>
          <w:rFonts w:ascii="Times New Roman" w:hAnsi="Times New Roman"/>
          <w:sz w:val="24"/>
        </w:rPr>
        <w:t xml:space="preserve">2.5.2 </w:t>
      </w:r>
      <w:r>
        <w:rPr>
          <w:rStyle w:val="39"/>
          <w:rFonts w:hint="eastAsia" w:ascii="Times New Roman" w:hAnsi="Times New Roman"/>
          <w:sz w:val="24"/>
        </w:rPr>
        <w:t>污染物排放标准</w:t>
      </w:r>
      <w:r>
        <w:rPr>
          <w:sz w:val="24"/>
        </w:rPr>
        <w:tab/>
      </w:r>
      <w:r>
        <w:rPr>
          <w:sz w:val="24"/>
        </w:rPr>
        <w:fldChar w:fldCharType="begin"/>
      </w:r>
      <w:r>
        <w:rPr>
          <w:sz w:val="24"/>
        </w:rPr>
        <w:instrText xml:space="preserve"> PAGEREF _Toc147847994 \h </w:instrText>
      </w:r>
      <w:r>
        <w:rPr>
          <w:sz w:val="24"/>
        </w:rPr>
        <w:fldChar w:fldCharType="separate"/>
      </w:r>
      <w:r>
        <w:rPr>
          <w:sz w:val="24"/>
        </w:rPr>
        <w:t>19</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"_Toc147847995" </w:instrText>
      </w:r>
      <w:r>
        <w:fldChar w:fldCharType="separate"/>
      </w:r>
      <w:r>
        <w:rPr>
          <w:rStyle w:val="39"/>
          <w:sz w:val="24"/>
        </w:rPr>
        <w:t xml:space="preserve">2.6 </w:t>
      </w:r>
      <w:r>
        <w:rPr>
          <w:rStyle w:val="39"/>
          <w:rFonts w:hint="eastAsia"/>
          <w:sz w:val="24"/>
        </w:rPr>
        <w:t>评价工作等级与评价范围</w:t>
      </w:r>
      <w:r>
        <w:rPr>
          <w:sz w:val="24"/>
        </w:rPr>
        <w:tab/>
      </w:r>
      <w:r>
        <w:rPr>
          <w:sz w:val="24"/>
        </w:rPr>
        <w:fldChar w:fldCharType="begin"/>
      </w:r>
      <w:r>
        <w:rPr>
          <w:sz w:val="24"/>
        </w:rPr>
        <w:instrText xml:space="preserve"> PAGEREF _Toc147847995 \h </w:instrText>
      </w:r>
      <w:r>
        <w:rPr>
          <w:sz w:val="24"/>
        </w:rPr>
        <w:fldChar w:fldCharType="separate"/>
      </w:r>
      <w:r>
        <w:rPr>
          <w:sz w:val="24"/>
        </w:rPr>
        <w:t>20</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"_Toc147847996" </w:instrText>
      </w:r>
      <w:r>
        <w:fldChar w:fldCharType="separate"/>
      </w:r>
      <w:r>
        <w:rPr>
          <w:rStyle w:val="39"/>
          <w:rFonts w:ascii="Times New Roman" w:hAnsi="Times New Roman"/>
          <w:sz w:val="24"/>
        </w:rPr>
        <w:t xml:space="preserve">2.6.1 </w:t>
      </w:r>
      <w:r>
        <w:rPr>
          <w:rStyle w:val="39"/>
          <w:rFonts w:hint="eastAsia" w:ascii="Times New Roman" w:hAnsi="Times New Roman"/>
          <w:sz w:val="24"/>
        </w:rPr>
        <w:t>评价工作等级</w:t>
      </w:r>
      <w:r>
        <w:rPr>
          <w:sz w:val="24"/>
        </w:rPr>
        <w:tab/>
      </w:r>
      <w:r>
        <w:rPr>
          <w:sz w:val="24"/>
        </w:rPr>
        <w:fldChar w:fldCharType="begin"/>
      </w:r>
      <w:r>
        <w:rPr>
          <w:sz w:val="24"/>
        </w:rPr>
        <w:instrText xml:space="preserve"> PAGEREF _Toc147847996 \h </w:instrText>
      </w:r>
      <w:r>
        <w:rPr>
          <w:sz w:val="24"/>
        </w:rPr>
        <w:fldChar w:fldCharType="separate"/>
      </w:r>
      <w:r>
        <w:rPr>
          <w:sz w:val="24"/>
        </w:rPr>
        <w:t>20</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"_Toc147847997" </w:instrText>
      </w:r>
      <w:r>
        <w:fldChar w:fldCharType="separate"/>
      </w:r>
      <w:r>
        <w:rPr>
          <w:rStyle w:val="39"/>
          <w:rFonts w:ascii="Times New Roman" w:hAnsi="Times New Roman"/>
          <w:sz w:val="24"/>
        </w:rPr>
        <w:t xml:space="preserve">2.6.2 </w:t>
      </w:r>
      <w:r>
        <w:rPr>
          <w:rStyle w:val="39"/>
          <w:rFonts w:hint="eastAsia" w:ascii="Times New Roman" w:hAnsi="Times New Roman"/>
          <w:sz w:val="24"/>
        </w:rPr>
        <w:t>评价范围</w:t>
      </w:r>
      <w:r>
        <w:rPr>
          <w:sz w:val="24"/>
        </w:rPr>
        <w:tab/>
      </w:r>
      <w:r>
        <w:rPr>
          <w:sz w:val="24"/>
        </w:rPr>
        <w:fldChar w:fldCharType="begin"/>
      </w:r>
      <w:r>
        <w:rPr>
          <w:sz w:val="24"/>
        </w:rPr>
        <w:instrText xml:space="preserve"> PAGEREF _Toc147847997 \h </w:instrText>
      </w:r>
      <w:r>
        <w:rPr>
          <w:sz w:val="24"/>
        </w:rPr>
        <w:fldChar w:fldCharType="separate"/>
      </w:r>
      <w:r>
        <w:rPr>
          <w:sz w:val="24"/>
        </w:rPr>
        <w:t>29</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"_Toc147847998" </w:instrText>
      </w:r>
      <w:r>
        <w:fldChar w:fldCharType="separate"/>
      </w:r>
      <w:r>
        <w:rPr>
          <w:rStyle w:val="39"/>
          <w:sz w:val="24"/>
        </w:rPr>
        <w:t xml:space="preserve">2.7 </w:t>
      </w:r>
      <w:r>
        <w:rPr>
          <w:rStyle w:val="39"/>
          <w:rFonts w:hint="eastAsia"/>
          <w:sz w:val="24"/>
        </w:rPr>
        <w:t>环境保护目标</w:t>
      </w:r>
      <w:r>
        <w:rPr>
          <w:sz w:val="24"/>
        </w:rPr>
        <w:tab/>
      </w:r>
      <w:r>
        <w:rPr>
          <w:sz w:val="24"/>
        </w:rPr>
        <w:fldChar w:fldCharType="begin"/>
      </w:r>
      <w:r>
        <w:rPr>
          <w:sz w:val="24"/>
        </w:rPr>
        <w:instrText xml:space="preserve"> PAGEREF _Toc147847998 \h </w:instrText>
      </w:r>
      <w:r>
        <w:rPr>
          <w:sz w:val="24"/>
        </w:rPr>
        <w:fldChar w:fldCharType="separate"/>
      </w:r>
      <w:r>
        <w:rPr>
          <w:sz w:val="24"/>
        </w:rPr>
        <w:t>31</w:t>
      </w:r>
      <w:r>
        <w:rPr>
          <w:sz w:val="24"/>
        </w:rPr>
        <w:fldChar w:fldCharType="end"/>
      </w:r>
      <w:r>
        <w:rPr>
          <w:sz w:val="24"/>
        </w:rPr>
        <w:fldChar w:fldCharType="end"/>
      </w:r>
    </w:p>
    <w:p>
      <w:pPr>
        <w:pStyle w:val="24"/>
        <w:tabs>
          <w:tab w:val="right" w:leader="dot" w:pos="8296"/>
        </w:tabs>
        <w:spacing w:line="360" w:lineRule="auto"/>
        <w:rPr>
          <w:rFonts w:asciiTheme="minorHAnsi" w:hAnsiTheme="minorHAnsi" w:eastAsiaTheme="minorEastAsia" w:cstheme="minorBidi"/>
          <w:sz w:val="24"/>
        </w:rPr>
      </w:pPr>
      <w:r>
        <w:fldChar w:fldCharType="begin"/>
      </w:r>
      <w:r>
        <w:instrText xml:space="preserve"> HYPERLINK \l "_Toc147847999" </w:instrText>
      </w:r>
      <w:r>
        <w:fldChar w:fldCharType="separate"/>
      </w:r>
      <w:r>
        <w:rPr>
          <w:rStyle w:val="39"/>
          <w:rFonts w:hint="eastAsia" w:ascii="Times New Roman" w:hAnsi="Times New Roman"/>
          <w:sz w:val="24"/>
        </w:rPr>
        <w:t>第</w:t>
      </w:r>
      <w:r>
        <w:rPr>
          <w:rStyle w:val="39"/>
          <w:rFonts w:ascii="Times New Roman" w:hAnsi="Times New Roman"/>
          <w:sz w:val="24"/>
        </w:rPr>
        <w:t>3</w:t>
      </w:r>
      <w:r>
        <w:rPr>
          <w:rStyle w:val="39"/>
          <w:rFonts w:hint="eastAsia" w:ascii="Times New Roman" w:hAnsi="Times New Roman"/>
          <w:sz w:val="24"/>
        </w:rPr>
        <w:t>章</w:t>
      </w:r>
      <w:r>
        <w:rPr>
          <w:rStyle w:val="39"/>
          <w:rFonts w:ascii="Times New Roman" w:hAnsi="Times New Roman"/>
          <w:sz w:val="24"/>
        </w:rPr>
        <w:t xml:space="preserve"> </w:t>
      </w:r>
      <w:r>
        <w:rPr>
          <w:rStyle w:val="39"/>
          <w:rFonts w:hint="eastAsia" w:ascii="Times New Roman" w:hAnsi="Times New Roman"/>
          <w:sz w:val="24"/>
        </w:rPr>
        <w:t>工程分析</w:t>
      </w:r>
      <w:r>
        <w:rPr>
          <w:sz w:val="24"/>
        </w:rPr>
        <w:tab/>
      </w:r>
      <w:r>
        <w:rPr>
          <w:sz w:val="24"/>
        </w:rPr>
        <w:fldChar w:fldCharType="begin"/>
      </w:r>
      <w:r>
        <w:rPr>
          <w:sz w:val="24"/>
        </w:rPr>
        <w:instrText xml:space="preserve"> PAGEREF _Toc147847999 \h </w:instrText>
      </w:r>
      <w:r>
        <w:rPr>
          <w:sz w:val="24"/>
        </w:rPr>
        <w:fldChar w:fldCharType="separate"/>
      </w:r>
      <w:r>
        <w:rPr>
          <w:sz w:val="24"/>
        </w:rPr>
        <w:t>36</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"_Toc147848000" </w:instrText>
      </w:r>
      <w:r>
        <w:fldChar w:fldCharType="separate"/>
      </w:r>
      <w:r>
        <w:rPr>
          <w:rStyle w:val="39"/>
          <w:sz w:val="24"/>
        </w:rPr>
        <w:t xml:space="preserve">3.1 </w:t>
      </w:r>
      <w:r>
        <w:rPr>
          <w:rStyle w:val="39"/>
          <w:rFonts w:hint="eastAsia"/>
          <w:sz w:val="24"/>
        </w:rPr>
        <w:t>拟建项目概况</w:t>
      </w:r>
      <w:r>
        <w:rPr>
          <w:sz w:val="24"/>
        </w:rPr>
        <w:tab/>
      </w:r>
      <w:r>
        <w:rPr>
          <w:sz w:val="24"/>
        </w:rPr>
        <w:fldChar w:fldCharType="begin"/>
      </w:r>
      <w:r>
        <w:rPr>
          <w:sz w:val="24"/>
        </w:rPr>
        <w:instrText xml:space="preserve"> PAGEREF _Toc147848000 \h </w:instrText>
      </w:r>
      <w:r>
        <w:rPr>
          <w:sz w:val="24"/>
        </w:rPr>
        <w:fldChar w:fldCharType="separate"/>
      </w:r>
      <w:r>
        <w:rPr>
          <w:sz w:val="24"/>
        </w:rPr>
        <w:t>36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"_Toc147848001" </w:instrText>
      </w:r>
      <w:r>
        <w:fldChar w:fldCharType="separate"/>
      </w:r>
      <w:r>
        <w:rPr>
          <w:rStyle w:val="39"/>
          <w:rFonts w:ascii="Times New Roman" w:hAnsi="Times New Roman"/>
          <w:sz w:val="24"/>
        </w:rPr>
        <w:t xml:space="preserve">3.1.1 </w:t>
      </w:r>
      <w:r>
        <w:rPr>
          <w:rStyle w:val="39"/>
          <w:rFonts w:hint="eastAsia" w:ascii="Times New Roman" w:hAnsi="Times New Roman"/>
          <w:sz w:val="24"/>
        </w:rPr>
        <w:t>项目基本情况</w:t>
      </w:r>
      <w:r>
        <w:rPr>
          <w:sz w:val="24"/>
        </w:rPr>
        <w:tab/>
      </w:r>
      <w:r>
        <w:rPr>
          <w:sz w:val="24"/>
        </w:rPr>
        <w:fldChar w:fldCharType="begin"/>
      </w:r>
      <w:r>
        <w:rPr>
          <w:sz w:val="24"/>
        </w:rPr>
        <w:instrText xml:space="preserve"> PAGEREF _Toc147848001 \h </w:instrText>
      </w:r>
      <w:r>
        <w:rPr>
          <w:sz w:val="24"/>
        </w:rPr>
        <w:fldChar w:fldCharType="separate"/>
      </w:r>
      <w:r>
        <w:rPr>
          <w:sz w:val="24"/>
        </w:rPr>
        <w:t>36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"_Toc147848002" </w:instrText>
      </w:r>
      <w:r>
        <w:fldChar w:fldCharType="separate"/>
      </w:r>
      <w:r>
        <w:rPr>
          <w:rStyle w:val="39"/>
          <w:rFonts w:ascii="Times New Roman" w:hAnsi="Times New Roman"/>
          <w:sz w:val="24"/>
        </w:rPr>
        <w:t xml:space="preserve">3.1.2 </w:t>
      </w:r>
      <w:r>
        <w:rPr>
          <w:rStyle w:val="39"/>
          <w:rFonts w:hint="eastAsia" w:ascii="Times New Roman" w:hAnsi="Times New Roman"/>
          <w:sz w:val="24"/>
        </w:rPr>
        <w:t>主要建设内容</w:t>
      </w:r>
      <w:r>
        <w:rPr>
          <w:sz w:val="24"/>
        </w:rPr>
        <w:tab/>
      </w:r>
      <w:r>
        <w:rPr>
          <w:sz w:val="24"/>
        </w:rPr>
        <w:fldChar w:fldCharType="begin"/>
      </w:r>
      <w:r>
        <w:rPr>
          <w:sz w:val="24"/>
        </w:rPr>
        <w:instrText xml:space="preserve"> PAGEREF _Toc147848002 \h </w:instrText>
      </w:r>
      <w:r>
        <w:rPr>
          <w:sz w:val="24"/>
        </w:rPr>
        <w:fldChar w:fldCharType="separate"/>
      </w:r>
      <w:r>
        <w:rPr>
          <w:sz w:val="24"/>
        </w:rPr>
        <w:t>37</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"_Toc147848003" </w:instrText>
      </w:r>
      <w:r>
        <w:fldChar w:fldCharType="separate"/>
      </w:r>
      <w:r>
        <w:rPr>
          <w:rStyle w:val="39"/>
          <w:rFonts w:ascii="Times New Roman" w:hAnsi="Times New Roman"/>
          <w:sz w:val="24"/>
        </w:rPr>
        <w:t xml:space="preserve">3.1.3 </w:t>
      </w:r>
      <w:r>
        <w:rPr>
          <w:rStyle w:val="39"/>
          <w:rFonts w:hint="eastAsia" w:ascii="Times New Roman" w:hAnsi="Times New Roman"/>
          <w:sz w:val="24"/>
        </w:rPr>
        <w:t>主要生产设备</w:t>
      </w:r>
      <w:r>
        <w:rPr>
          <w:sz w:val="24"/>
        </w:rPr>
        <w:tab/>
      </w:r>
      <w:r>
        <w:rPr>
          <w:sz w:val="24"/>
        </w:rPr>
        <w:fldChar w:fldCharType="begin"/>
      </w:r>
      <w:r>
        <w:rPr>
          <w:sz w:val="24"/>
        </w:rPr>
        <w:instrText xml:space="preserve"> PAGEREF _Toc147848003 \h </w:instrText>
      </w:r>
      <w:r>
        <w:rPr>
          <w:sz w:val="24"/>
        </w:rPr>
        <w:fldChar w:fldCharType="separate"/>
      </w:r>
      <w:r>
        <w:rPr>
          <w:sz w:val="24"/>
        </w:rPr>
        <w:t>39</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"_Toc147848004" </w:instrText>
      </w:r>
      <w:r>
        <w:fldChar w:fldCharType="separate"/>
      </w:r>
      <w:r>
        <w:rPr>
          <w:rStyle w:val="39"/>
          <w:rFonts w:ascii="Times New Roman" w:hAnsi="Times New Roman"/>
          <w:sz w:val="24"/>
        </w:rPr>
        <w:t xml:space="preserve">3.1.4 </w:t>
      </w:r>
      <w:r>
        <w:rPr>
          <w:rStyle w:val="39"/>
          <w:rFonts w:hint="eastAsia" w:ascii="Times New Roman" w:hAnsi="Times New Roman"/>
          <w:sz w:val="24"/>
        </w:rPr>
        <w:t>产品方案</w:t>
      </w:r>
      <w:r>
        <w:rPr>
          <w:sz w:val="24"/>
        </w:rPr>
        <w:tab/>
      </w:r>
      <w:r>
        <w:rPr>
          <w:sz w:val="24"/>
        </w:rPr>
        <w:fldChar w:fldCharType="begin"/>
      </w:r>
      <w:r>
        <w:rPr>
          <w:sz w:val="24"/>
        </w:rPr>
        <w:instrText xml:space="preserve"> PAGEREF _Toc147848004 \h </w:instrText>
      </w:r>
      <w:r>
        <w:rPr>
          <w:sz w:val="24"/>
        </w:rPr>
        <w:fldChar w:fldCharType="separate"/>
      </w:r>
      <w:r>
        <w:rPr>
          <w:sz w:val="24"/>
        </w:rPr>
        <w:t>46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"_Toc147848005" </w:instrText>
      </w:r>
      <w:r>
        <w:fldChar w:fldCharType="separate"/>
      </w:r>
      <w:r>
        <w:rPr>
          <w:rStyle w:val="39"/>
          <w:rFonts w:ascii="Times New Roman" w:hAnsi="Times New Roman"/>
          <w:sz w:val="24"/>
        </w:rPr>
        <w:t xml:space="preserve">3.1.5 </w:t>
      </w:r>
      <w:r>
        <w:rPr>
          <w:rStyle w:val="39"/>
          <w:rFonts w:hint="eastAsia" w:ascii="Times New Roman" w:hAnsi="Times New Roman"/>
          <w:sz w:val="24"/>
        </w:rPr>
        <w:t>主要原辅材料消耗</w:t>
      </w:r>
      <w:r>
        <w:rPr>
          <w:sz w:val="24"/>
        </w:rPr>
        <w:tab/>
      </w:r>
      <w:r>
        <w:rPr>
          <w:sz w:val="24"/>
        </w:rPr>
        <w:fldChar w:fldCharType="begin"/>
      </w:r>
      <w:r>
        <w:rPr>
          <w:sz w:val="24"/>
        </w:rPr>
        <w:instrText xml:space="preserve"> PAGEREF _Toc147848005 \h </w:instrText>
      </w:r>
      <w:r>
        <w:rPr>
          <w:sz w:val="24"/>
        </w:rPr>
        <w:fldChar w:fldCharType="separate"/>
      </w:r>
      <w:r>
        <w:rPr>
          <w:sz w:val="24"/>
        </w:rPr>
        <w:t>48</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"_Toc147848006" </w:instrText>
      </w:r>
      <w:r>
        <w:fldChar w:fldCharType="separate"/>
      </w:r>
      <w:r>
        <w:rPr>
          <w:rStyle w:val="39"/>
          <w:rFonts w:ascii="Times New Roman" w:hAnsi="Times New Roman"/>
          <w:sz w:val="24"/>
        </w:rPr>
        <w:t xml:space="preserve">3.1.6 </w:t>
      </w:r>
      <w:r>
        <w:rPr>
          <w:rStyle w:val="39"/>
          <w:rFonts w:hint="eastAsia" w:ascii="Times New Roman" w:hAnsi="Times New Roman"/>
          <w:sz w:val="24"/>
        </w:rPr>
        <w:t>公用及辅助工程</w:t>
      </w:r>
      <w:r>
        <w:rPr>
          <w:sz w:val="24"/>
        </w:rPr>
        <w:tab/>
      </w:r>
      <w:r>
        <w:rPr>
          <w:sz w:val="24"/>
        </w:rPr>
        <w:fldChar w:fldCharType="begin"/>
      </w:r>
      <w:r>
        <w:rPr>
          <w:sz w:val="24"/>
        </w:rPr>
        <w:instrText xml:space="preserve"> PAGEREF _Toc147848006 \h </w:instrText>
      </w:r>
      <w:r>
        <w:rPr>
          <w:sz w:val="24"/>
        </w:rPr>
        <w:fldChar w:fldCharType="separate"/>
      </w:r>
      <w:r>
        <w:rPr>
          <w:sz w:val="24"/>
        </w:rPr>
        <w:t>59</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"_Toc147848007" </w:instrText>
      </w:r>
      <w:r>
        <w:fldChar w:fldCharType="separate"/>
      </w:r>
      <w:r>
        <w:rPr>
          <w:rStyle w:val="39"/>
          <w:rFonts w:ascii="Times New Roman" w:hAnsi="Times New Roman"/>
          <w:sz w:val="24"/>
        </w:rPr>
        <w:t xml:space="preserve">3.1.7 </w:t>
      </w:r>
      <w:r>
        <w:rPr>
          <w:rStyle w:val="39"/>
          <w:rFonts w:hint="eastAsia" w:ascii="Times New Roman" w:hAnsi="Times New Roman"/>
          <w:sz w:val="24"/>
        </w:rPr>
        <w:t>总平面布置</w:t>
      </w:r>
      <w:r>
        <w:rPr>
          <w:sz w:val="24"/>
        </w:rPr>
        <w:tab/>
      </w:r>
      <w:r>
        <w:rPr>
          <w:sz w:val="24"/>
        </w:rPr>
        <w:fldChar w:fldCharType="begin"/>
      </w:r>
      <w:r>
        <w:rPr>
          <w:sz w:val="24"/>
        </w:rPr>
        <w:instrText xml:space="preserve"> PAGEREF _Toc147848007 \h </w:instrText>
      </w:r>
      <w:r>
        <w:rPr>
          <w:sz w:val="24"/>
        </w:rPr>
        <w:fldChar w:fldCharType="separate"/>
      </w:r>
      <w:r>
        <w:rPr>
          <w:sz w:val="24"/>
        </w:rPr>
        <w:t>60</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"_Toc147848008" </w:instrText>
      </w:r>
      <w:r>
        <w:fldChar w:fldCharType="separate"/>
      </w:r>
      <w:r>
        <w:rPr>
          <w:rStyle w:val="39"/>
          <w:sz w:val="24"/>
        </w:rPr>
        <w:t xml:space="preserve">3.2 </w:t>
      </w:r>
      <w:r>
        <w:rPr>
          <w:rStyle w:val="39"/>
          <w:rFonts w:hint="eastAsia"/>
          <w:sz w:val="24"/>
        </w:rPr>
        <w:t>工程分析及污染源强分析</w:t>
      </w:r>
      <w:r>
        <w:rPr>
          <w:sz w:val="24"/>
        </w:rPr>
        <w:tab/>
      </w:r>
      <w:r>
        <w:rPr>
          <w:sz w:val="24"/>
        </w:rPr>
        <w:fldChar w:fldCharType="begin"/>
      </w:r>
      <w:r>
        <w:rPr>
          <w:sz w:val="24"/>
        </w:rPr>
        <w:instrText xml:space="preserve"> PAGEREF _Toc147848008 \h </w:instrText>
      </w:r>
      <w:r>
        <w:rPr>
          <w:sz w:val="24"/>
        </w:rPr>
        <w:fldChar w:fldCharType="separate"/>
      </w:r>
      <w:r>
        <w:rPr>
          <w:sz w:val="24"/>
        </w:rPr>
        <w:t>61</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"_Toc147848009" </w:instrText>
      </w:r>
      <w:r>
        <w:fldChar w:fldCharType="separate"/>
      </w:r>
      <w:r>
        <w:rPr>
          <w:rStyle w:val="39"/>
          <w:rFonts w:ascii="Times New Roman" w:hAnsi="Times New Roman"/>
          <w:sz w:val="24"/>
        </w:rPr>
        <w:t xml:space="preserve">3.2.1 </w:t>
      </w:r>
      <w:r>
        <w:rPr>
          <w:rStyle w:val="39"/>
          <w:rFonts w:hint="eastAsia" w:ascii="Times New Roman" w:hAnsi="Times New Roman"/>
          <w:sz w:val="24"/>
        </w:rPr>
        <w:t>施工期工艺流程及污染源强核算</w:t>
      </w:r>
      <w:r>
        <w:rPr>
          <w:sz w:val="24"/>
        </w:rPr>
        <w:tab/>
      </w:r>
      <w:r>
        <w:rPr>
          <w:sz w:val="24"/>
        </w:rPr>
        <w:fldChar w:fldCharType="begin"/>
      </w:r>
      <w:r>
        <w:rPr>
          <w:sz w:val="24"/>
        </w:rPr>
        <w:instrText xml:space="preserve"> PAGEREF _Toc147848009 \h </w:instrText>
      </w:r>
      <w:r>
        <w:rPr>
          <w:sz w:val="24"/>
        </w:rPr>
        <w:fldChar w:fldCharType="separate"/>
      </w:r>
      <w:r>
        <w:rPr>
          <w:sz w:val="24"/>
        </w:rPr>
        <w:t>61</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"_Toc147848010" </w:instrText>
      </w:r>
      <w:r>
        <w:fldChar w:fldCharType="separate"/>
      </w:r>
      <w:r>
        <w:rPr>
          <w:rStyle w:val="39"/>
          <w:rFonts w:ascii="Times New Roman" w:hAnsi="Times New Roman"/>
          <w:sz w:val="24"/>
        </w:rPr>
        <w:t xml:space="preserve">3.2.2 </w:t>
      </w:r>
      <w:r>
        <w:rPr>
          <w:rStyle w:val="39"/>
          <w:rFonts w:hint="eastAsia" w:ascii="Times New Roman" w:hAnsi="Times New Roman"/>
          <w:sz w:val="24"/>
        </w:rPr>
        <w:t>运营期工艺流程</w:t>
      </w:r>
      <w:r>
        <w:rPr>
          <w:sz w:val="24"/>
        </w:rPr>
        <w:tab/>
      </w:r>
      <w:r>
        <w:rPr>
          <w:sz w:val="24"/>
        </w:rPr>
        <w:fldChar w:fldCharType="begin"/>
      </w:r>
      <w:r>
        <w:rPr>
          <w:sz w:val="24"/>
        </w:rPr>
        <w:instrText xml:space="preserve"> PAGEREF _Toc147848010 \h </w:instrText>
      </w:r>
      <w:r>
        <w:rPr>
          <w:sz w:val="24"/>
        </w:rPr>
        <w:fldChar w:fldCharType="separate"/>
      </w:r>
      <w:r>
        <w:rPr>
          <w:sz w:val="24"/>
        </w:rPr>
        <w:t>67</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"_Toc147848011" </w:instrText>
      </w:r>
      <w:r>
        <w:fldChar w:fldCharType="separate"/>
      </w:r>
      <w:r>
        <w:rPr>
          <w:rStyle w:val="39"/>
          <w:rFonts w:ascii="Times New Roman" w:hAnsi="Times New Roman"/>
          <w:sz w:val="24"/>
        </w:rPr>
        <w:t xml:space="preserve">3.2.3 </w:t>
      </w:r>
      <w:r>
        <w:rPr>
          <w:rStyle w:val="39"/>
          <w:rFonts w:hint="eastAsia" w:ascii="Times New Roman" w:hAnsi="Times New Roman"/>
          <w:sz w:val="24"/>
        </w:rPr>
        <w:t>运营期产污环节汇总</w:t>
      </w:r>
      <w:r>
        <w:rPr>
          <w:sz w:val="24"/>
        </w:rPr>
        <w:tab/>
      </w:r>
      <w:r>
        <w:rPr>
          <w:sz w:val="24"/>
        </w:rPr>
        <w:fldChar w:fldCharType="begin"/>
      </w:r>
      <w:r>
        <w:rPr>
          <w:sz w:val="24"/>
        </w:rPr>
        <w:instrText xml:space="preserve"> PAGEREF _Toc147848011 \h </w:instrText>
      </w:r>
      <w:r>
        <w:rPr>
          <w:sz w:val="24"/>
        </w:rPr>
        <w:fldChar w:fldCharType="separate"/>
      </w:r>
      <w:r>
        <w:rPr>
          <w:sz w:val="24"/>
        </w:rPr>
        <w:t>84</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"_Toc147848012" </w:instrText>
      </w:r>
      <w:r>
        <w:fldChar w:fldCharType="separate"/>
      </w:r>
      <w:r>
        <w:rPr>
          <w:rStyle w:val="39"/>
          <w:rFonts w:ascii="Times New Roman" w:hAnsi="Times New Roman"/>
          <w:sz w:val="24"/>
        </w:rPr>
        <w:t xml:space="preserve">3.2.4 </w:t>
      </w:r>
      <w:r>
        <w:rPr>
          <w:rStyle w:val="39"/>
          <w:rFonts w:hint="eastAsia" w:ascii="Times New Roman" w:hAnsi="Times New Roman"/>
          <w:sz w:val="24"/>
        </w:rPr>
        <w:t>运营期物料平衡</w:t>
      </w:r>
      <w:r>
        <w:rPr>
          <w:sz w:val="24"/>
        </w:rPr>
        <w:tab/>
      </w:r>
      <w:r>
        <w:rPr>
          <w:sz w:val="24"/>
        </w:rPr>
        <w:fldChar w:fldCharType="begin"/>
      </w:r>
      <w:r>
        <w:rPr>
          <w:sz w:val="24"/>
        </w:rPr>
        <w:instrText xml:space="preserve"> PAGEREF _Toc147848012 \h </w:instrText>
      </w:r>
      <w:r>
        <w:rPr>
          <w:sz w:val="24"/>
        </w:rPr>
        <w:fldChar w:fldCharType="separate"/>
      </w:r>
      <w:r>
        <w:rPr>
          <w:sz w:val="24"/>
        </w:rPr>
        <w:t>85</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"_Toc147848013" </w:instrText>
      </w:r>
      <w:r>
        <w:fldChar w:fldCharType="separate"/>
      </w:r>
      <w:r>
        <w:rPr>
          <w:rStyle w:val="39"/>
          <w:rFonts w:ascii="Times New Roman" w:hAnsi="Times New Roman"/>
          <w:sz w:val="24"/>
        </w:rPr>
        <w:t xml:space="preserve">3.2.5 </w:t>
      </w:r>
      <w:r>
        <w:rPr>
          <w:rStyle w:val="39"/>
          <w:rFonts w:hint="eastAsia" w:ascii="Times New Roman" w:hAnsi="Times New Roman"/>
          <w:sz w:val="24"/>
        </w:rPr>
        <w:t>运营期元素平衡</w:t>
      </w:r>
      <w:r>
        <w:rPr>
          <w:sz w:val="24"/>
        </w:rPr>
        <w:tab/>
      </w:r>
      <w:r>
        <w:rPr>
          <w:sz w:val="24"/>
        </w:rPr>
        <w:fldChar w:fldCharType="begin"/>
      </w:r>
      <w:r>
        <w:rPr>
          <w:sz w:val="24"/>
        </w:rPr>
        <w:instrText xml:space="preserve"> PAGEREF _Toc147848013 \h </w:instrText>
      </w:r>
      <w:r>
        <w:rPr>
          <w:sz w:val="24"/>
        </w:rPr>
        <w:fldChar w:fldCharType="separate"/>
      </w:r>
      <w:r>
        <w:rPr>
          <w:sz w:val="24"/>
        </w:rPr>
        <w:t>88</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"_Toc147848014" </w:instrText>
      </w:r>
      <w:r>
        <w:fldChar w:fldCharType="separate"/>
      </w:r>
      <w:r>
        <w:rPr>
          <w:rStyle w:val="39"/>
          <w:rFonts w:ascii="Times New Roman" w:hAnsi="Times New Roman"/>
          <w:sz w:val="24"/>
        </w:rPr>
        <w:t xml:space="preserve">3.2.6 </w:t>
      </w:r>
      <w:r>
        <w:rPr>
          <w:rStyle w:val="39"/>
          <w:rFonts w:hint="eastAsia" w:ascii="Times New Roman" w:hAnsi="Times New Roman"/>
          <w:sz w:val="24"/>
        </w:rPr>
        <w:t>运营期水平衡</w:t>
      </w:r>
      <w:r>
        <w:rPr>
          <w:sz w:val="24"/>
        </w:rPr>
        <w:tab/>
      </w:r>
      <w:r>
        <w:rPr>
          <w:sz w:val="24"/>
        </w:rPr>
        <w:fldChar w:fldCharType="begin"/>
      </w:r>
      <w:r>
        <w:rPr>
          <w:sz w:val="24"/>
        </w:rPr>
        <w:instrText xml:space="preserve"> PAGEREF _Toc147848014 \h </w:instrText>
      </w:r>
      <w:r>
        <w:rPr>
          <w:sz w:val="24"/>
        </w:rPr>
        <w:fldChar w:fldCharType="separate"/>
      </w:r>
      <w:r>
        <w:rPr>
          <w:sz w:val="24"/>
        </w:rPr>
        <w:t>90</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"_Toc147848015" </w:instrText>
      </w:r>
      <w:r>
        <w:fldChar w:fldCharType="separate"/>
      </w:r>
      <w:r>
        <w:rPr>
          <w:rStyle w:val="39"/>
          <w:rFonts w:ascii="Times New Roman" w:hAnsi="Times New Roman"/>
          <w:sz w:val="24"/>
        </w:rPr>
        <w:t xml:space="preserve">3.2.5 </w:t>
      </w:r>
      <w:r>
        <w:rPr>
          <w:rStyle w:val="39"/>
          <w:rFonts w:hint="eastAsia" w:ascii="Times New Roman" w:hAnsi="Times New Roman"/>
          <w:sz w:val="24"/>
        </w:rPr>
        <w:t>运营期污染源强核算</w:t>
      </w:r>
      <w:r>
        <w:rPr>
          <w:sz w:val="24"/>
        </w:rPr>
        <w:tab/>
      </w:r>
      <w:r>
        <w:rPr>
          <w:sz w:val="24"/>
        </w:rPr>
        <w:fldChar w:fldCharType="begin"/>
      </w:r>
      <w:r>
        <w:rPr>
          <w:sz w:val="24"/>
        </w:rPr>
        <w:instrText xml:space="preserve"> PAGEREF _Toc147848015 \h </w:instrText>
      </w:r>
      <w:r>
        <w:rPr>
          <w:sz w:val="24"/>
        </w:rPr>
        <w:fldChar w:fldCharType="separate"/>
      </w:r>
      <w:r>
        <w:rPr>
          <w:sz w:val="24"/>
        </w:rPr>
        <w:t>95</w:t>
      </w:r>
      <w:r>
        <w:rPr>
          <w:sz w:val="24"/>
        </w:rPr>
        <w:fldChar w:fldCharType="end"/>
      </w:r>
      <w:r>
        <w:rPr>
          <w:sz w:val="24"/>
        </w:rPr>
        <w:fldChar w:fldCharType="end"/>
      </w:r>
    </w:p>
    <w:p>
      <w:pPr>
        <w:pStyle w:val="24"/>
        <w:tabs>
          <w:tab w:val="right" w:leader="dot" w:pos="8296"/>
        </w:tabs>
        <w:spacing w:line="360" w:lineRule="auto"/>
        <w:rPr>
          <w:rFonts w:asciiTheme="minorHAnsi" w:hAnsiTheme="minorHAnsi" w:eastAsiaTheme="minorEastAsia" w:cstheme="minorBidi"/>
          <w:sz w:val="24"/>
        </w:rPr>
      </w:pPr>
      <w:r>
        <w:fldChar w:fldCharType="begin"/>
      </w:r>
      <w:r>
        <w:instrText xml:space="preserve"> HYPERLINK \l "_Toc147848016" </w:instrText>
      </w:r>
      <w:r>
        <w:fldChar w:fldCharType="separate"/>
      </w:r>
      <w:r>
        <w:rPr>
          <w:rStyle w:val="39"/>
          <w:rFonts w:hint="eastAsia" w:ascii="Times New Roman" w:hAnsi="Times New Roman"/>
          <w:sz w:val="24"/>
        </w:rPr>
        <w:t>第</w:t>
      </w:r>
      <w:r>
        <w:rPr>
          <w:rStyle w:val="39"/>
          <w:rFonts w:ascii="Times New Roman" w:hAnsi="Times New Roman"/>
          <w:sz w:val="24"/>
        </w:rPr>
        <w:t>4</w:t>
      </w:r>
      <w:r>
        <w:rPr>
          <w:rStyle w:val="39"/>
          <w:rFonts w:hint="eastAsia" w:ascii="Times New Roman" w:hAnsi="Times New Roman"/>
          <w:sz w:val="24"/>
        </w:rPr>
        <w:t>章</w:t>
      </w:r>
      <w:r>
        <w:rPr>
          <w:rStyle w:val="39"/>
          <w:rFonts w:ascii="Times New Roman" w:hAnsi="Times New Roman"/>
          <w:sz w:val="24"/>
        </w:rPr>
        <w:t xml:space="preserve"> </w:t>
      </w:r>
      <w:r>
        <w:rPr>
          <w:rStyle w:val="39"/>
          <w:rFonts w:hint="eastAsia" w:ascii="Times New Roman" w:hAnsi="Times New Roman"/>
          <w:sz w:val="24"/>
        </w:rPr>
        <w:t>区域环境概况</w:t>
      </w:r>
      <w:r>
        <w:rPr>
          <w:sz w:val="24"/>
        </w:rPr>
        <w:tab/>
      </w:r>
      <w:r>
        <w:rPr>
          <w:sz w:val="24"/>
        </w:rPr>
        <w:fldChar w:fldCharType="begin"/>
      </w:r>
      <w:r>
        <w:rPr>
          <w:sz w:val="24"/>
        </w:rPr>
        <w:instrText xml:space="preserve"> PAGEREF _Toc147848016 \h </w:instrText>
      </w:r>
      <w:r>
        <w:rPr>
          <w:sz w:val="24"/>
        </w:rPr>
        <w:fldChar w:fldCharType="separate"/>
      </w:r>
      <w:r>
        <w:rPr>
          <w:sz w:val="24"/>
        </w:rPr>
        <w:t>124</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"_Toc147848017" </w:instrText>
      </w:r>
      <w:r>
        <w:fldChar w:fldCharType="separate"/>
      </w:r>
      <w:r>
        <w:rPr>
          <w:rStyle w:val="39"/>
          <w:sz w:val="24"/>
        </w:rPr>
        <w:t xml:space="preserve">4.1 </w:t>
      </w:r>
      <w:r>
        <w:rPr>
          <w:rStyle w:val="39"/>
          <w:rFonts w:hint="eastAsia"/>
          <w:sz w:val="24"/>
        </w:rPr>
        <w:t>自然环境概况</w:t>
      </w:r>
      <w:r>
        <w:rPr>
          <w:sz w:val="24"/>
        </w:rPr>
        <w:tab/>
      </w:r>
      <w:r>
        <w:rPr>
          <w:sz w:val="24"/>
        </w:rPr>
        <w:fldChar w:fldCharType="begin"/>
      </w:r>
      <w:r>
        <w:rPr>
          <w:sz w:val="24"/>
        </w:rPr>
        <w:instrText xml:space="preserve"> PAGEREF _Toc147848017 \h </w:instrText>
      </w:r>
      <w:r>
        <w:rPr>
          <w:sz w:val="24"/>
        </w:rPr>
        <w:fldChar w:fldCharType="separate"/>
      </w:r>
      <w:r>
        <w:rPr>
          <w:sz w:val="24"/>
        </w:rPr>
        <w:t>124</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"_Toc147848018" </w:instrText>
      </w:r>
      <w:r>
        <w:fldChar w:fldCharType="separate"/>
      </w:r>
      <w:r>
        <w:rPr>
          <w:rStyle w:val="39"/>
          <w:rFonts w:ascii="Times New Roman" w:hAnsi="Times New Roman"/>
          <w:sz w:val="24"/>
        </w:rPr>
        <w:t xml:space="preserve">4.1.1 </w:t>
      </w:r>
      <w:r>
        <w:rPr>
          <w:rStyle w:val="39"/>
          <w:rFonts w:hint="eastAsia" w:ascii="Times New Roman" w:hAnsi="Times New Roman"/>
          <w:sz w:val="24"/>
        </w:rPr>
        <w:t>地理位置与交通</w:t>
      </w:r>
      <w:r>
        <w:rPr>
          <w:sz w:val="24"/>
        </w:rPr>
        <w:tab/>
      </w:r>
      <w:r>
        <w:rPr>
          <w:sz w:val="24"/>
        </w:rPr>
        <w:fldChar w:fldCharType="begin"/>
      </w:r>
      <w:r>
        <w:rPr>
          <w:sz w:val="24"/>
        </w:rPr>
        <w:instrText xml:space="preserve"> PAGEREF _Toc147848018 \h </w:instrText>
      </w:r>
      <w:r>
        <w:rPr>
          <w:sz w:val="24"/>
        </w:rPr>
        <w:fldChar w:fldCharType="separate"/>
      </w:r>
      <w:r>
        <w:rPr>
          <w:sz w:val="24"/>
        </w:rPr>
        <w:t>124</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"_Toc147848019" </w:instrText>
      </w:r>
      <w:r>
        <w:fldChar w:fldCharType="separate"/>
      </w:r>
      <w:r>
        <w:rPr>
          <w:rStyle w:val="39"/>
          <w:rFonts w:ascii="Times New Roman" w:hAnsi="Times New Roman"/>
          <w:sz w:val="24"/>
        </w:rPr>
        <w:t xml:space="preserve">4.1.2 </w:t>
      </w:r>
      <w:r>
        <w:rPr>
          <w:rStyle w:val="39"/>
          <w:rFonts w:hint="eastAsia" w:ascii="Times New Roman" w:hAnsi="Times New Roman"/>
          <w:sz w:val="24"/>
        </w:rPr>
        <w:t>地形、地貌及地质</w:t>
      </w:r>
      <w:r>
        <w:rPr>
          <w:sz w:val="24"/>
        </w:rPr>
        <w:tab/>
      </w:r>
      <w:r>
        <w:rPr>
          <w:sz w:val="24"/>
        </w:rPr>
        <w:fldChar w:fldCharType="begin"/>
      </w:r>
      <w:r>
        <w:rPr>
          <w:sz w:val="24"/>
        </w:rPr>
        <w:instrText xml:space="preserve"> PAGEREF _Toc147848019 \h </w:instrText>
      </w:r>
      <w:r>
        <w:rPr>
          <w:sz w:val="24"/>
        </w:rPr>
        <w:fldChar w:fldCharType="separate"/>
      </w:r>
      <w:r>
        <w:rPr>
          <w:sz w:val="24"/>
        </w:rPr>
        <w:t>124</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"_Toc147848020" </w:instrText>
      </w:r>
      <w:r>
        <w:fldChar w:fldCharType="separate"/>
      </w:r>
      <w:r>
        <w:rPr>
          <w:rStyle w:val="39"/>
          <w:rFonts w:ascii="Times New Roman" w:hAnsi="Times New Roman"/>
          <w:sz w:val="24"/>
        </w:rPr>
        <w:t xml:space="preserve">4.1.3 </w:t>
      </w:r>
      <w:r>
        <w:rPr>
          <w:rStyle w:val="39"/>
          <w:rFonts w:hint="eastAsia" w:ascii="Times New Roman" w:hAnsi="Times New Roman"/>
          <w:sz w:val="24"/>
        </w:rPr>
        <w:t>水文</w:t>
      </w:r>
      <w:r>
        <w:rPr>
          <w:sz w:val="24"/>
        </w:rPr>
        <w:tab/>
      </w:r>
      <w:r>
        <w:rPr>
          <w:sz w:val="24"/>
        </w:rPr>
        <w:fldChar w:fldCharType="begin"/>
      </w:r>
      <w:r>
        <w:rPr>
          <w:sz w:val="24"/>
        </w:rPr>
        <w:instrText xml:space="preserve"> PAGEREF _Toc147848020 \h </w:instrText>
      </w:r>
      <w:r>
        <w:rPr>
          <w:sz w:val="24"/>
        </w:rPr>
        <w:fldChar w:fldCharType="separate"/>
      </w:r>
      <w:r>
        <w:rPr>
          <w:sz w:val="24"/>
        </w:rPr>
        <w:t>124</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"_Toc147848021" </w:instrText>
      </w:r>
      <w:r>
        <w:fldChar w:fldCharType="separate"/>
      </w:r>
      <w:r>
        <w:rPr>
          <w:rStyle w:val="39"/>
          <w:rFonts w:ascii="Times New Roman" w:hAnsi="Times New Roman"/>
          <w:sz w:val="24"/>
        </w:rPr>
        <w:t xml:space="preserve">4.1.4 </w:t>
      </w:r>
      <w:r>
        <w:rPr>
          <w:rStyle w:val="39"/>
          <w:rFonts w:hint="eastAsia" w:ascii="Times New Roman" w:hAnsi="Times New Roman"/>
          <w:sz w:val="24"/>
        </w:rPr>
        <w:t>气象</w:t>
      </w:r>
      <w:r>
        <w:rPr>
          <w:sz w:val="24"/>
        </w:rPr>
        <w:tab/>
      </w:r>
      <w:r>
        <w:rPr>
          <w:sz w:val="24"/>
        </w:rPr>
        <w:fldChar w:fldCharType="begin"/>
      </w:r>
      <w:r>
        <w:rPr>
          <w:sz w:val="24"/>
        </w:rPr>
        <w:instrText xml:space="preserve"> PAGEREF _Toc147848021 \h </w:instrText>
      </w:r>
      <w:r>
        <w:rPr>
          <w:sz w:val="24"/>
        </w:rPr>
        <w:fldChar w:fldCharType="separate"/>
      </w:r>
      <w:r>
        <w:rPr>
          <w:sz w:val="24"/>
        </w:rPr>
        <w:t>125</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"_Toc147848022" </w:instrText>
      </w:r>
      <w:r>
        <w:fldChar w:fldCharType="separate"/>
      </w:r>
      <w:r>
        <w:rPr>
          <w:rStyle w:val="39"/>
          <w:rFonts w:ascii="Times New Roman" w:hAnsi="Times New Roman"/>
          <w:sz w:val="24"/>
        </w:rPr>
        <w:t xml:space="preserve">4.1.5 </w:t>
      </w:r>
      <w:r>
        <w:rPr>
          <w:rStyle w:val="39"/>
          <w:rFonts w:hint="eastAsia" w:ascii="Times New Roman" w:hAnsi="Times New Roman"/>
          <w:sz w:val="24"/>
        </w:rPr>
        <w:t>生态环境概况</w:t>
      </w:r>
      <w:r>
        <w:rPr>
          <w:sz w:val="24"/>
        </w:rPr>
        <w:tab/>
      </w:r>
      <w:r>
        <w:rPr>
          <w:sz w:val="24"/>
        </w:rPr>
        <w:fldChar w:fldCharType="begin"/>
      </w:r>
      <w:r>
        <w:rPr>
          <w:sz w:val="24"/>
        </w:rPr>
        <w:instrText xml:space="preserve"> PAGEREF _Toc147848022 \h </w:instrText>
      </w:r>
      <w:r>
        <w:rPr>
          <w:sz w:val="24"/>
        </w:rPr>
        <w:fldChar w:fldCharType="separate"/>
      </w:r>
      <w:r>
        <w:rPr>
          <w:sz w:val="24"/>
        </w:rPr>
        <w:t>125</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"_Toc147848023" </w:instrText>
      </w:r>
      <w:r>
        <w:fldChar w:fldCharType="separate"/>
      </w:r>
      <w:r>
        <w:rPr>
          <w:rStyle w:val="39"/>
          <w:sz w:val="24"/>
        </w:rPr>
        <w:t xml:space="preserve">4.2 </w:t>
      </w:r>
      <w:r>
        <w:rPr>
          <w:rStyle w:val="39"/>
          <w:rFonts w:hint="eastAsia"/>
          <w:sz w:val="24"/>
        </w:rPr>
        <w:t>湖南衡东经济开发区概况及园区规划简介</w:t>
      </w:r>
      <w:r>
        <w:rPr>
          <w:sz w:val="24"/>
        </w:rPr>
        <w:tab/>
      </w:r>
      <w:r>
        <w:rPr>
          <w:sz w:val="24"/>
        </w:rPr>
        <w:fldChar w:fldCharType="begin"/>
      </w:r>
      <w:r>
        <w:rPr>
          <w:sz w:val="24"/>
        </w:rPr>
        <w:instrText xml:space="preserve"> PAGEREF _Toc147848023 \h </w:instrText>
      </w:r>
      <w:r>
        <w:rPr>
          <w:sz w:val="24"/>
        </w:rPr>
        <w:fldChar w:fldCharType="separate"/>
      </w:r>
      <w:r>
        <w:rPr>
          <w:sz w:val="24"/>
        </w:rPr>
        <w:t>126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"_Toc147848024" </w:instrText>
      </w:r>
      <w:r>
        <w:fldChar w:fldCharType="separate"/>
      </w:r>
      <w:r>
        <w:rPr>
          <w:rStyle w:val="39"/>
          <w:rFonts w:ascii="Times New Roman" w:hAnsi="Times New Roman"/>
          <w:sz w:val="24"/>
        </w:rPr>
        <w:t xml:space="preserve">4.2.1 </w:t>
      </w:r>
      <w:r>
        <w:rPr>
          <w:rStyle w:val="39"/>
          <w:rFonts w:hint="eastAsia" w:ascii="Times New Roman" w:hAnsi="Times New Roman"/>
          <w:sz w:val="24"/>
        </w:rPr>
        <w:t>园区性质及规划规模</w:t>
      </w:r>
      <w:r>
        <w:rPr>
          <w:sz w:val="24"/>
        </w:rPr>
        <w:tab/>
      </w:r>
      <w:r>
        <w:rPr>
          <w:sz w:val="24"/>
        </w:rPr>
        <w:fldChar w:fldCharType="begin"/>
      </w:r>
      <w:r>
        <w:rPr>
          <w:sz w:val="24"/>
        </w:rPr>
        <w:instrText xml:space="preserve"> PAGEREF _Toc147848024 \h </w:instrText>
      </w:r>
      <w:r>
        <w:rPr>
          <w:sz w:val="24"/>
        </w:rPr>
        <w:fldChar w:fldCharType="separate"/>
      </w:r>
      <w:r>
        <w:rPr>
          <w:sz w:val="24"/>
        </w:rPr>
        <w:t>126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"_Toc147848025" </w:instrText>
      </w:r>
      <w:r>
        <w:fldChar w:fldCharType="separate"/>
      </w:r>
      <w:r>
        <w:rPr>
          <w:rStyle w:val="39"/>
          <w:rFonts w:ascii="Times New Roman" w:hAnsi="Times New Roman"/>
          <w:sz w:val="24"/>
        </w:rPr>
        <w:t xml:space="preserve">4.2.2 </w:t>
      </w:r>
      <w:r>
        <w:rPr>
          <w:rStyle w:val="39"/>
          <w:rFonts w:hint="eastAsia" w:ascii="Times New Roman" w:hAnsi="Times New Roman"/>
          <w:sz w:val="24"/>
        </w:rPr>
        <w:t>规划期限</w:t>
      </w:r>
      <w:r>
        <w:rPr>
          <w:sz w:val="24"/>
        </w:rPr>
        <w:tab/>
      </w:r>
      <w:r>
        <w:rPr>
          <w:sz w:val="24"/>
        </w:rPr>
        <w:fldChar w:fldCharType="begin"/>
      </w:r>
      <w:r>
        <w:rPr>
          <w:sz w:val="24"/>
        </w:rPr>
        <w:instrText xml:space="preserve"> PAGEREF _Toc147848025 \h </w:instrText>
      </w:r>
      <w:r>
        <w:rPr>
          <w:sz w:val="24"/>
        </w:rPr>
        <w:fldChar w:fldCharType="separate"/>
      </w:r>
      <w:r>
        <w:rPr>
          <w:sz w:val="24"/>
        </w:rPr>
        <w:t>127</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"_Toc147848026" </w:instrText>
      </w:r>
      <w:r>
        <w:fldChar w:fldCharType="separate"/>
      </w:r>
      <w:r>
        <w:rPr>
          <w:rStyle w:val="39"/>
          <w:rFonts w:ascii="Times New Roman" w:hAnsi="Times New Roman"/>
          <w:sz w:val="24"/>
        </w:rPr>
        <w:t xml:space="preserve">4.2.3 </w:t>
      </w:r>
      <w:r>
        <w:rPr>
          <w:rStyle w:val="39"/>
          <w:rFonts w:hint="eastAsia" w:ascii="Times New Roman" w:hAnsi="Times New Roman"/>
          <w:sz w:val="24"/>
        </w:rPr>
        <w:t>规划区功能定位</w:t>
      </w:r>
      <w:r>
        <w:rPr>
          <w:sz w:val="24"/>
        </w:rPr>
        <w:tab/>
      </w:r>
      <w:r>
        <w:rPr>
          <w:sz w:val="24"/>
        </w:rPr>
        <w:fldChar w:fldCharType="begin"/>
      </w:r>
      <w:r>
        <w:rPr>
          <w:sz w:val="24"/>
        </w:rPr>
        <w:instrText xml:space="preserve"> PAGEREF _Toc147848026 \h </w:instrText>
      </w:r>
      <w:r>
        <w:rPr>
          <w:sz w:val="24"/>
        </w:rPr>
        <w:fldChar w:fldCharType="separate"/>
      </w:r>
      <w:r>
        <w:rPr>
          <w:sz w:val="24"/>
        </w:rPr>
        <w:t>127</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"_Toc147848027" </w:instrText>
      </w:r>
      <w:r>
        <w:fldChar w:fldCharType="separate"/>
      </w:r>
      <w:r>
        <w:rPr>
          <w:rStyle w:val="39"/>
          <w:rFonts w:ascii="Times New Roman" w:hAnsi="Times New Roman"/>
          <w:sz w:val="24"/>
        </w:rPr>
        <w:t xml:space="preserve">4.2.4 </w:t>
      </w:r>
      <w:r>
        <w:rPr>
          <w:rStyle w:val="39"/>
          <w:rFonts w:hint="eastAsia" w:ascii="Times New Roman" w:hAnsi="Times New Roman"/>
          <w:sz w:val="24"/>
        </w:rPr>
        <w:t>用地布局规划</w:t>
      </w:r>
      <w:r>
        <w:rPr>
          <w:sz w:val="24"/>
        </w:rPr>
        <w:tab/>
      </w:r>
      <w:r>
        <w:rPr>
          <w:sz w:val="24"/>
        </w:rPr>
        <w:fldChar w:fldCharType="begin"/>
      </w:r>
      <w:r>
        <w:rPr>
          <w:sz w:val="24"/>
        </w:rPr>
        <w:instrText xml:space="preserve"> PAGEREF _Toc147848027 \h </w:instrText>
      </w:r>
      <w:r>
        <w:rPr>
          <w:sz w:val="24"/>
        </w:rPr>
        <w:fldChar w:fldCharType="separate"/>
      </w:r>
      <w:r>
        <w:rPr>
          <w:sz w:val="24"/>
        </w:rPr>
        <w:t>127</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"_Toc147848028" </w:instrText>
      </w:r>
      <w:r>
        <w:fldChar w:fldCharType="separate"/>
      </w:r>
      <w:r>
        <w:rPr>
          <w:rStyle w:val="39"/>
          <w:rFonts w:ascii="Times New Roman" w:hAnsi="Times New Roman"/>
          <w:sz w:val="24"/>
        </w:rPr>
        <w:t xml:space="preserve">4.2.5 </w:t>
      </w:r>
      <w:r>
        <w:rPr>
          <w:rStyle w:val="39"/>
          <w:rFonts w:hint="eastAsia" w:ascii="Times New Roman" w:hAnsi="Times New Roman"/>
          <w:sz w:val="24"/>
        </w:rPr>
        <w:t>园区给水现状</w:t>
      </w:r>
      <w:r>
        <w:rPr>
          <w:sz w:val="24"/>
        </w:rPr>
        <w:tab/>
      </w:r>
      <w:r>
        <w:rPr>
          <w:sz w:val="24"/>
        </w:rPr>
        <w:fldChar w:fldCharType="begin"/>
      </w:r>
      <w:r>
        <w:rPr>
          <w:sz w:val="24"/>
        </w:rPr>
        <w:instrText xml:space="preserve"> PAGEREF _Toc147848028 \h </w:instrText>
      </w:r>
      <w:r>
        <w:rPr>
          <w:sz w:val="24"/>
        </w:rPr>
        <w:fldChar w:fldCharType="separate"/>
      </w:r>
      <w:r>
        <w:rPr>
          <w:sz w:val="24"/>
        </w:rPr>
        <w:t>128</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"_Toc147848029" </w:instrText>
      </w:r>
      <w:r>
        <w:fldChar w:fldCharType="separate"/>
      </w:r>
      <w:r>
        <w:rPr>
          <w:rStyle w:val="39"/>
          <w:rFonts w:ascii="Times New Roman" w:hAnsi="Times New Roman"/>
          <w:sz w:val="24"/>
        </w:rPr>
        <w:t xml:space="preserve">4.2.6 </w:t>
      </w:r>
      <w:r>
        <w:rPr>
          <w:rStyle w:val="39"/>
          <w:rFonts w:hint="eastAsia" w:ascii="Times New Roman" w:hAnsi="Times New Roman"/>
          <w:sz w:val="24"/>
        </w:rPr>
        <w:t>园区排水现状</w:t>
      </w:r>
      <w:r>
        <w:rPr>
          <w:sz w:val="24"/>
        </w:rPr>
        <w:tab/>
      </w:r>
      <w:r>
        <w:rPr>
          <w:sz w:val="24"/>
        </w:rPr>
        <w:fldChar w:fldCharType="begin"/>
      </w:r>
      <w:r>
        <w:rPr>
          <w:sz w:val="24"/>
        </w:rPr>
        <w:instrText xml:space="preserve"> PAGEREF _Toc147848029 \h </w:instrText>
      </w:r>
      <w:r>
        <w:rPr>
          <w:sz w:val="24"/>
        </w:rPr>
        <w:fldChar w:fldCharType="separate"/>
      </w:r>
      <w:r>
        <w:rPr>
          <w:sz w:val="24"/>
        </w:rPr>
        <w:t>128</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"_Toc147848030" </w:instrText>
      </w:r>
      <w:r>
        <w:fldChar w:fldCharType="separate"/>
      </w:r>
      <w:r>
        <w:rPr>
          <w:rStyle w:val="39"/>
          <w:rFonts w:ascii="Times New Roman" w:hAnsi="Times New Roman"/>
          <w:sz w:val="24"/>
        </w:rPr>
        <w:t xml:space="preserve">4.2.7 </w:t>
      </w:r>
      <w:r>
        <w:rPr>
          <w:rStyle w:val="39"/>
          <w:rFonts w:hint="eastAsia" w:ascii="Times New Roman" w:hAnsi="Times New Roman"/>
          <w:sz w:val="24"/>
        </w:rPr>
        <w:t>雨水工程</w:t>
      </w:r>
      <w:r>
        <w:rPr>
          <w:sz w:val="24"/>
        </w:rPr>
        <w:tab/>
      </w:r>
      <w:r>
        <w:rPr>
          <w:sz w:val="24"/>
        </w:rPr>
        <w:fldChar w:fldCharType="begin"/>
      </w:r>
      <w:r>
        <w:rPr>
          <w:sz w:val="24"/>
        </w:rPr>
        <w:instrText xml:space="preserve"> PAGEREF _Toc147848030 \h </w:instrText>
      </w:r>
      <w:r>
        <w:rPr>
          <w:sz w:val="24"/>
        </w:rPr>
        <w:fldChar w:fldCharType="separate"/>
      </w:r>
      <w:r>
        <w:rPr>
          <w:sz w:val="24"/>
        </w:rPr>
        <w:t>129</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"_Toc147848031" </w:instrText>
      </w:r>
      <w:r>
        <w:fldChar w:fldCharType="separate"/>
      </w:r>
      <w:r>
        <w:rPr>
          <w:rStyle w:val="39"/>
          <w:sz w:val="24"/>
        </w:rPr>
        <w:t xml:space="preserve">4.3 </w:t>
      </w:r>
      <w:r>
        <w:rPr>
          <w:rStyle w:val="39"/>
          <w:rFonts w:hint="eastAsia"/>
          <w:sz w:val="24"/>
        </w:rPr>
        <w:t>区域污染源调查</w:t>
      </w:r>
      <w:r>
        <w:rPr>
          <w:sz w:val="24"/>
        </w:rPr>
        <w:tab/>
      </w:r>
      <w:r>
        <w:rPr>
          <w:sz w:val="24"/>
        </w:rPr>
        <w:fldChar w:fldCharType="begin"/>
      </w:r>
      <w:r>
        <w:rPr>
          <w:sz w:val="24"/>
        </w:rPr>
        <w:instrText xml:space="preserve"> PAGEREF _Toc147848031 \h </w:instrText>
      </w:r>
      <w:r>
        <w:rPr>
          <w:sz w:val="24"/>
        </w:rPr>
        <w:fldChar w:fldCharType="separate"/>
      </w:r>
      <w:r>
        <w:rPr>
          <w:sz w:val="24"/>
        </w:rPr>
        <w:t>129</w:t>
      </w:r>
      <w:r>
        <w:rPr>
          <w:sz w:val="24"/>
        </w:rPr>
        <w:fldChar w:fldCharType="end"/>
      </w:r>
      <w:r>
        <w:rPr>
          <w:sz w:val="24"/>
        </w:rPr>
        <w:fldChar w:fldCharType="end"/>
      </w:r>
    </w:p>
    <w:p>
      <w:pPr>
        <w:pStyle w:val="24"/>
        <w:tabs>
          <w:tab w:val="right" w:leader="dot" w:pos="8296"/>
        </w:tabs>
        <w:spacing w:line="360" w:lineRule="auto"/>
        <w:rPr>
          <w:rFonts w:asciiTheme="minorHAnsi" w:hAnsiTheme="minorHAnsi" w:eastAsiaTheme="minorEastAsia" w:cstheme="minorBidi"/>
          <w:sz w:val="24"/>
        </w:rPr>
      </w:pPr>
      <w:r>
        <w:fldChar w:fldCharType="begin"/>
      </w:r>
      <w:r>
        <w:instrText xml:space="preserve"> HYPERLINK \l "_Toc147848032" </w:instrText>
      </w:r>
      <w:r>
        <w:fldChar w:fldCharType="separate"/>
      </w:r>
      <w:r>
        <w:rPr>
          <w:rStyle w:val="39"/>
          <w:rFonts w:hint="eastAsia" w:ascii="Times New Roman" w:hAnsi="Times New Roman"/>
          <w:sz w:val="24"/>
        </w:rPr>
        <w:t>第</w:t>
      </w:r>
      <w:r>
        <w:rPr>
          <w:rStyle w:val="39"/>
          <w:rFonts w:ascii="Times New Roman" w:hAnsi="Times New Roman"/>
          <w:sz w:val="24"/>
        </w:rPr>
        <w:t>5</w:t>
      </w:r>
      <w:r>
        <w:rPr>
          <w:rStyle w:val="39"/>
          <w:rFonts w:hint="eastAsia" w:ascii="Times New Roman" w:hAnsi="Times New Roman"/>
          <w:sz w:val="24"/>
        </w:rPr>
        <w:t>章</w:t>
      </w:r>
      <w:r>
        <w:rPr>
          <w:rStyle w:val="39"/>
          <w:rFonts w:ascii="Times New Roman" w:hAnsi="Times New Roman"/>
          <w:sz w:val="24"/>
        </w:rPr>
        <w:t xml:space="preserve"> </w:t>
      </w:r>
      <w:r>
        <w:rPr>
          <w:rStyle w:val="39"/>
          <w:rFonts w:hint="eastAsia" w:ascii="Times New Roman" w:hAnsi="Times New Roman"/>
          <w:sz w:val="24"/>
        </w:rPr>
        <w:t>环境质量现状调查与评价</w:t>
      </w:r>
      <w:r>
        <w:rPr>
          <w:sz w:val="24"/>
        </w:rPr>
        <w:tab/>
      </w:r>
      <w:r>
        <w:rPr>
          <w:sz w:val="24"/>
        </w:rPr>
        <w:fldChar w:fldCharType="begin"/>
      </w:r>
      <w:r>
        <w:rPr>
          <w:sz w:val="24"/>
        </w:rPr>
        <w:instrText xml:space="preserve"> PAGEREF _Toc147848032 \h </w:instrText>
      </w:r>
      <w:r>
        <w:rPr>
          <w:sz w:val="24"/>
        </w:rPr>
        <w:fldChar w:fldCharType="separate"/>
      </w:r>
      <w:r>
        <w:rPr>
          <w:sz w:val="24"/>
        </w:rPr>
        <w:t>139</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"_Toc147848033" </w:instrText>
      </w:r>
      <w:r>
        <w:fldChar w:fldCharType="separate"/>
      </w:r>
      <w:r>
        <w:rPr>
          <w:rStyle w:val="39"/>
          <w:sz w:val="24"/>
        </w:rPr>
        <w:t xml:space="preserve">5.1 </w:t>
      </w:r>
      <w:r>
        <w:rPr>
          <w:rStyle w:val="39"/>
          <w:rFonts w:hint="eastAsia"/>
          <w:sz w:val="24"/>
        </w:rPr>
        <w:t>环境空气质量现状监测与评价</w:t>
      </w:r>
      <w:r>
        <w:rPr>
          <w:sz w:val="24"/>
        </w:rPr>
        <w:tab/>
      </w:r>
      <w:r>
        <w:rPr>
          <w:sz w:val="24"/>
        </w:rPr>
        <w:fldChar w:fldCharType="begin"/>
      </w:r>
      <w:r>
        <w:rPr>
          <w:sz w:val="24"/>
        </w:rPr>
        <w:instrText xml:space="preserve"> PAGEREF _Toc147848033 \h </w:instrText>
      </w:r>
      <w:r>
        <w:rPr>
          <w:sz w:val="24"/>
        </w:rPr>
        <w:fldChar w:fldCharType="separate"/>
      </w:r>
      <w:r>
        <w:rPr>
          <w:sz w:val="24"/>
        </w:rPr>
        <w:t>139</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"_Toc147848034" </w:instrText>
      </w:r>
      <w:r>
        <w:fldChar w:fldCharType="separate"/>
      </w:r>
      <w:r>
        <w:rPr>
          <w:rStyle w:val="39"/>
          <w:rFonts w:ascii="Times New Roman" w:hAnsi="Times New Roman"/>
          <w:sz w:val="24"/>
        </w:rPr>
        <w:t xml:space="preserve">5.1.1 </w:t>
      </w:r>
      <w:r>
        <w:rPr>
          <w:rStyle w:val="39"/>
          <w:rFonts w:hint="eastAsia" w:ascii="Times New Roman" w:hAnsi="Times New Roman"/>
          <w:sz w:val="24"/>
        </w:rPr>
        <w:t>空气质量达标性分析</w:t>
      </w:r>
      <w:r>
        <w:rPr>
          <w:sz w:val="24"/>
        </w:rPr>
        <w:tab/>
      </w:r>
      <w:r>
        <w:rPr>
          <w:sz w:val="24"/>
        </w:rPr>
        <w:fldChar w:fldCharType="begin"/>
      </w:r>
      <w:r>
        <w:rPr>
          <w:sz w:val="24"/>
        </w:rPr>
        <w:instrText xml:space="preserve"> PAGEREF _Toc147848034 \h </w:instrText>
      </w:r>
      <w:r>
        <w:rPr>
          <w:sz w:val="24"/>
        </w:rPr>
        <w:fldChar w:fldCharType="separate"/>
      </w:r>
      <w:r>
        <w:rPr>
          <w:sz w:val="24"/>
        </w:rPr>
        <w:t>139</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"_Toc147848035" </w:instrText>
      </w:r>
      <w:r>
        <w:fldChar w:fldCharType="separate"/>
      </w:r>
      <w:r>
        <w:rPr>
          <w:rStyle w:val="39"/>
          <w:rFonts w:ascii="Times New Roman" w:hAnsi="Times New Roman"/>
          <w:sz w:val="24"/>
        </w:rPr>
        <w:t xml:space="preserve">5.1.2 </w:t>
      </w:r>
      <w:r>
        <w:rPr>
          <w:rStyle w:val="39"/>
          <w:rFonts w:hint="eastAsia" w:ascii="Times New Roman" w:hAnsi="Times New Roman"/>
          <w:sz w:val="24"/>
        </w:rPr>
        <w:t>现状监测</w:t>
      </w:r>
      <w:r>
        <w:rPr>
          <w:sz w:val="24"/>
        </w:rPr>
        <w:tab/>
      </w:r>
      <w:r>
        <w:rPr>
          <w:sz w:val="24"/>
        </w:rPr>
        <w:fldChar w:fldCharType="begin"/>
      </w:r>
      <w:r>
        <w:rPr>
          <w:sz w:val="24"/>
        </w:rPr>
        <w:instrText xml:space="preserve"> PAGEREF _Toc147848035 \h </w:instrText>
      </w:r>
      <w:r>
        <w:rPr>
          <w:sz w:val="24"/>
        </w:rPr>
        <w:fldChar w:fldCharType="separate"/>
      </w:r>
      <w:r>
        <w:rPr>
          <w:sz w:val="24"/>
        </w:rPr>
        <w:t>139</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"_Toc147848036" </w:instrText>
      </w:r>
      <w:r>
        <w:fldChar w:fldCharType="separate"/>
      </w:r>
      <w:r>
        <w:rPr>
          <w:rStyle w:val="39"/>
          <w:sz w:val="24"/>
        </w:rPr>
        <w:t xml:space="preserve">5.2 </w:t>
      </w:r>
      <w:r>
        <w:rPr>
          <w:rStyle w:val="39"/>
          <w:rFonts w:hint="eastAsia"/>
          <w:sz w:val="24"/>
        </w:rPr>
        <w:t>地表水环境质量现状评价</w:t>
      </w:r>
      <w:r>
        <w:rPr>
          <w:sz w:val="24"/>
        </w:rPr>
        <w:tab/>
      </w:r>
      <w:r>
        <w:rPr>
          <w:sz w:val="24"/>
        </w:rPr>
        <w:fldChar w:fldCharType="begin"/>
      </w:r>
      <w:r>
        <w:rPr>
          <w:sz w:val="24"/>
        </w:rPr>
        <w:instrText xml:space="preserve"> PAGEREF _Toc147848036 \h </w:instrText>
      </w:r>
      <w:r>
        <w:rPr>
          <w:sz w:val="24"/>
        </w:rPr>
        <w:fldChar w:fldCharType="separate"/>
      </w:r>
      <w:r>
        <w:rPr>
          <w:sz w:val="24"/>
        </w:rPr>
        <w:t>142</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"_Toc147848037" </w:instrText>
      </w:r>
      <w:r>
        <w:fldChar w:fldCharType="separate"/>
      </w:r>
      <w:r>
        <w:rPr>
          <w:rStyle w:val="39"/>
          <w:rFonts w:ascii="Times New Roman" w:hAnsi="Times New Roman"/>
          <w:sz w:val="24"/>
        </w:rPr>
        <w:t xml:space="preserve">5.2.1 </w:t>
      </w:r>
      <w:r>
        <w:rPr>
          <w:rStyle w:val="39"/>
          <w:rFonts w:hint="eastAsia" w:ascii="Times New Roman" w:hAnsi="Times New Roman"/>
          <w:sz w:val="24"/>
        </w:rPr>
        <w:t>区域地表水断面环境质量现状</w:t>
      </w:r>
      <w:r>
        <w:rPr>
          <w:sz w:val="24"/>
        </w:rPr>
        <w:tab/>
      </w:r>
      <w:r>
        <w:rPr>
          <w:sz w:val="24"/>
        </w:rPr>
        <w:fldChar w:fldCharType="begin"/>
      </w:r>
      <w:r>
        <w:rPr>
          <w:sz w:val="24"/>
        </w:rPr>
        <w:instrText xml:space="preserve"> PAGEREF _Toc147848037 \h </w:instrText>
      </w:r>
      <w:r>
        <w:rPr>
          <w:sz w:val="24"/>
        </w:rPr>
        <w:fldChar w:fldCharType="separate"/>
      </w:r>
      <w:r>
        <w:rPr>
          <w:sz w:val="24"/>
        </w:rPr>
        <w:t>142</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"_Toc147848038" </w:instrText>
      </w:r>
      <w:r>
        <w:fldChar w:fldCharType="separate"/>
      </w:r>
      <w:r>
        <w:rPr>
          <w:rStyle w:val="39"/>
          <w:rFonts w:ascii="Times New Roman" w:hAnsi="Times New Roman"/>
          <w:sz w:val="24"/>
        </w:rPr>
        <w:t xml:space="preserve">5.2.2 </w:t>
      </w:r>
      <w:r>
        <w:rPr>
          <w:rStyle w:val="39"/>
          <w:rFonts w:hint="eastAsia" w:ascii="Times New Roman" w:hAnsi="Times New Roman"/>
          <w:sz w:val="24"/>
        </w:rPr>
        <w:t>地表水环境现状监测</w:t>
      </w:r>
      <w:r>
        <w:rPr>
          <w:sz w:val="24"/>
        </w:rPr>
        <w:tab/>
      </w:r>
      <w:r>
        <w:rPr>
          <w:sz w:val="24"/>
        </w:rPr>
        <w:fldChar w:fldCharType="begin"/>
      </w:r>
      <w:r>
        <w:rPr>
          <w:sz w:val="24"/>
        </w:rPr>
        <w:instrText xml:space="preserve"> PAGEREF _Toc147848038 \h </w:instrText>
      </w:r>
      <w:r>
        <w:rPr>
          <w:sz w:val="24"/>
        </w:rPr>
        <w:fldChar w:fldCharType="separate"/>
      </w:r>
      <w:r>
        <w:rPr>
          <w:sz w:val="24"/>
        </w:rPr>
        <w:t>142</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"_Toc147848039" </w:instrText>
      </w:r>
      <w:r>
        <w:fldChar w:fldCharType="separate"/>
      </w:r>
      <w:r>
        <w:rPr>
          <w:rStyle w:val="39"/>
          <w:sz w:val="24"/>
        </w:rPr>
        <w:t xml:space="preserve">5.3 </w:t>
      </w:r>
      <w:r>
        <w:rPr>
          <w:rStyle w:val="39"/>
          <w:rFonts w:hint="eastAsia"/>
          <w:sz w:val="24"/>
        </w:rPr>
        <w:t>地下水环境质量现状评价</w:t>
      </w:r>
      <w:r>
        <w:rPr>
          <w:sz w:val="24"/>
        </w:rPr>
        <w:tab/>
      </w:r>
      <w:r>
        <w:rPr>
          <w:sz w:val="24"/>
        </w:rPr>
        <w:fldChar w:fldCharType="begin"/>
      </w:r>
      <w:r>
        <w:rPr>
          <w:sz w:val="24"/>
        </w:rPr>
        <w:instrText xml:space="preserve"> PAGEREF _Toc147848039 \h </w:instrText>
      </w:r>
      <w:r>
        <w:rPr>
          <w:sz w:val="24"/>
        </w:rPr>
        <w:fldChar w:fldCharType="separate"/>
      </w:r>
      <w:r>
        <w:rPr>
          <w:sz w:val="24"/>
        </w:rPr>
        <w:t>146</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"_Toc147848040" </w:instrText>
      </w:r>
      <w:r>
        <w:fldChar w:fldCharType="separate"/>
      </w:r>
      <w:r>
        <w:rPr>
          <w:rStyle w:val="39"/>
          <w:sz w:val="24"/>
        </w:rPr>
        <w:t xml:space="preserve">5.4 </w:t>
      </w:r>
      <w:r>
        <w:rPr>
          <w:rStyle w:val="39"/>
          <w:rFonts w:hint="eastAsia"/>
          <w:sz w:val="24"/>
        </w:rPr>
        <w:t>声环境质量现状调查与评价</w:t>
      </w:r>
      <w:r>
        <w:rPr>
          <w:sz w:val="24"/>
        </w:rPr>
        <w:tab/>
      </w:r>
      <w:r>
        <w:rPr>
          <w:sz w:val="24"/>
        </w:rPr>
        <w:fldChar w:fldCharType="begin"/>
      </w:r>
      <w:r>
        <w:rPr>
          <w:sz w:val="24"/>
        </w:rPr>
        <w:instrText xml:space="preserve"> PAGEREF _Toc147848040 \h </w:instrText>
      </w:r>
      <w:r>
        <w:rPr>
          <w:sz w:val="24"/>
        </w:rPr>
        <w:fldChar w:fldCharType="separate"/>
      </w:r>
      <w:r>
        <w:rPr>
          <w:sz w:val="24"/>
        </w:rPr>
        <w:t>153</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"_Toc147848041" </w:instrText>
      </w:r>
      <w:r>
        <w:fldChar w:fldCharType="separate"/>
      </w:r>
      <w:r>
        <w:rPr>
          <w:rStyle w:val="39"/>
          <w:rFonts w:ascii="Times New Roman" w:hAnsi="Times New Roman"/>
          <w:sz w:val="24"/>
        </w:rPr>
        <w:t xml:space="preserve">5.4.1 </w:t>
      </w:r>
      <w:r>
        <w:rPr>
          <w:rStyle w:val="39"/>
          <w:rFonts w:hint="eastAsia" w:ascii="Times New Roman" w:hAnsi="Times New Roman"/>
          <w:sz w:val="24"/>
        </w:rPr>
        <w:t>综合回收利用厂区</w:t>
      </w:r>
      <w:r>
        <w:rPr>
          <w:sz w:val="24"/>
        </w:rPr>
        <w:tab/>
      </w:r>
      <w:r>
        <w:rPr>
          <w:sz w:val="24"/>
        </w:rPr>
        <w:fldChar w:fldCharType="begin"/>
      </w:r>
      <w:r>
        <w:rPr>
          <w:sz w:val="24"/>
        </w:rPr>
        <w:instrText xml:space="preserve"> PAGEREF _Toc147848041 \h </w:instrText>
      </w:r>
      <w:r>
        <w:rPr>
          <w:sz w:val="24"/>
        </w:rPr>
        <w:fldChar w:fldCharType="separate"/>
      </w:r>
      <w:r>
        <w:rPr>
          <w:sz w:val="24"/>
        </w:rPr>
        <w:t>153</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"_Toc147848042" </w:instrText>
      </w:r>
      <w:r>
        <w:fldChar w:fldCharType="separate"/>
      </w:r>
      <w:r>
        <w:rPr>
          <w:rStyle w:val="39"/>
          <w:rFonts w:ascii="Times New Roman" w:hAnsi="Times New Roman"/>
          <w:sz w:val="24"/>
        </w:rPr>
        <w:t xml:space="preserve">5.4.2 </w:t>
      </w:r>
      <w:r>
        <w:rPr>
          <w:rStyle w:val="39"/>
          <w:rFonts w:hint="eastAsia" w:ascii="Times New Roman" w:hAnsi="Times New Roman"/>
          <w:sz w:val="24"/>
        </w:rPr>
        <w:t>梯次利用厂区</w:t>
      </w:r>
      <w:r>
        <w:rPr>
          <w:sz w:val="24"/>
        </w:rPr>
        <w:tab/>
      </w:r>
      <w:r>
        <w:rPr>
          <w:sz w:val="24"/>
        </w:rPr>
        <w:fldChar w:fldCharType="begin"/>
      </w:r>
      <w:r>
        <w:rPr>
          <w:sz w:val="24"/>
        </w:rPr>
        <w:instrText xml:space="preserve"> PAGEREF _Toc147848042 \h </w:instrText>
      </w:r>
      <w:r>
        <w:rPr>
          <w:sz w:val="24"/>
        </w:rPr>
        <w:fldChar w:fldCharType="separate"/>
      </w:r>
      <w:r>
        <w:rPr>
          <w:sz w:val="24"/>
        </w:rPr>
        <w:t>154</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"_Toc147848043" </w:instrText>
      </w:r>
      <w:r>
        <w:fldChar w:fldCharType="separate"/>
      </w:r>
      <w:r>
        <w:rPr>
          <w:rStyle w:val="39"/>
          <w:sz w:val="24"/>
        </w:rPr>
        <w:t xml:space="preserve">5.5 </w:t>
      </w:r>
      <w:r>
        <w:rPr>
          <w:rStyle w:val="39"/>
          <w:rFonts w:hint="eastAsia"/>
          <w:sz w:val="24"/>
        </w:rPr>
        <w:t>土壤环境质量现状调查与评价</w:t>
      </w:r>
      <w:r>
        <w:rPr>
          <w:sz w:val="24"/>
        </w:rPr>
        <w:tab/>
      </w:r>
      <w:r>
        <w:rPr>
          <w:sz w:val="24"/>
        </w:rPr>
        <w:fldChar w:fldCharType="begin"/>
      </w:r>
      <w:r>
        <w:rPr>
          <w:sz w:val="24"/>
        </w:rPr>
        <w:instrText xml:space="preserve"> PAGEREF _Toc147848043 \h </w:instrText>
      </w:r>
      <w:r>
        <w:rPr>
          <w:sz w:val="24"/>
        </w:rPr>
        <w:fldChar w:fldCharType="separate"/>
      </w:r>
      <w:r>
        <w:rPr>
          <w:sz w:val="24"/>
        </w:rPr>
        <w:t>155</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"_Toc147848044" </w:instrText>
      </w:r>
      <w:r>
        <w:fldChar w:fldCharType="separate"/>
      </w:r>
      <w:r>
        <w:rPr>
          <w:rStyle w:val="39"/>
          <w:sz w:val="24"/>
        </w:rPr>
        <w:t xml:space="preserve">5.6 </w:t>
      </w:r>
      <w:r>
        <w:rPr>
          <w:rStyle w:val="39"/>
          <w:rFonts w:hint="eastAsia"/>
          <w:sz w:val="24"/>
        </w:rPr>
        <w:t>生态环境现状调查</w:t>
      </w:r>
      <w:r>
        <w:rPr>
          <w:sz w:val="24"/>
        </w:rPr>
        <w:tab/>
      </w:r>
      <w:r>
        <w:rPr>
          <w:sz w:val="24"/>
        </w:rPr>
        <w:fldChar w:fldCharType="begin"/>
      </w:r>
      <w:r>
        <w:rPr>
          <w:sz w:val="24"/>
        </w:rPr>
        <w:instrText xml:space="preserve"> PAGEREF _Toc147848044 \h </w:instrText>
      </w:r>
      <w:r>
        <w:rPr>
          <w:sz w:val="24"/>
        </w:rPr>
        <w:fldChar w:fldCharType="separate"/>
      </w:r>
      <w:r>
        <w:rPr>
          <w:sz w:val="24"/>
        </w:rPr>
        <w:t>158</w:t>
      </w:r>
      <w:r>
        <w:rPr>
          <w:sz w:val="24"/>
        </w:rPr>
        <w:fldChar w:fldCharType="end"/>
      </w:r>
      <w:r>
        <w:rPr>
          <w:sz w:val="24"/>
        </w:rPr>
        <w:fldChar w:fldCharType="end"/>
      </w:r>
    </w:p>
    <w:p>
      <w:pPr>
        <w:pStyle w:val="24"/>
        <w:tabs>
          <w:tab w:val="right" w:leader="dot" w:pos="8296"/>
        </w:tabs>
        <w:spacing w:line="360" w:lineRule="auto"/>
        <w:rPr>
          <w:rFonts w:asciiTheme="minorHAnsi" w:hAnsiTheme="minorHAnsi" w:eastAsiaTheme="minorEastAsia" w:cstheme="minorBidi"/>
          <w:sz w:val="24"/>
        </w:rPr>
      </w:pPr>
      <w:r>
        <w:fldChar w:fldCharType="begin"/>
      </w:r>
      <w:r>
        <w:instrText xml:space="preserve"> HYPERLINK \l "_Toc147848045" </w:instrText>
      </w:r>
      <w:r>
        <w:fldChar w:fldCharType="separate"/>
      </w:r>
      <w:r>
        <w:rPr>
          <w:rStyle w:val="39"/>
          <w:rFonts w:hint="eastAsia" w:ascii="Times New Roman" w:hAnsi="Times New Roman"/>
          <w:sz w:val="24"/>
        </w:rPr>
        <w:t>第</w:t>
      </w:r>
      <w:r>
        <w:rPr>
          <w:rStyle w:val="39"/>
          <w:rFonts w:ascii="Times New Roman" w:hAnsi="Times New Roman"/>
          <w:sz w:val="24"/>
        </w:rPr>
        <w:t>6</w:t>
      </w:r>
      <w:r>
        <w:rPr>
          <w:rStyle w:val="39"/>
          <w:rFonts w:hint="eastAsia" w:ascii="Times New Roman" w:hAnsi="Times New Roman"/>
          <w:sz w:val="24"/>
        </w:rPr>
        <w:t>章</w:t>
      </w:r>
      <w:r>
        <w:rPr>
          <w:rStyle w:val="39"/>
          <w:rFonts w:ascii="Times New Roman" w:hAnsi="Times New Roman"/>
          <w:sz w:val="24"/>
        </w:rPr>
        <w:t xml:space="preserve"> </w:t>
      </w:r>
      <w:r>
        <w:rPr>
          <w:rStyle w:val="39"/>
          <w:rFonts w:hint="eastAsia" w:ascii="Times New Roman" w:hAnsi="Times New Roman"/>
          <w:sz w:val="24"/>
        </w:rPr>
        <w:t>环境影响预测与评价</w:t>
      </w:r>
      <w:r>
        <w:rPr>
          <w:sz w:val="24"/>
        </w:rPr>
        <w:tab/>
      </w:r>
      <w:r>
        <w:rPr>
          <w:sz w:val="24"/>
        </w:rPr>
        <w:fldChar w:fldCharType="begin"/>
      </w:r>
      <w:r>
        <w:rPr>
          <w:sz w:val="24"/>
        </w:rPr>
        <w:instrText xml:space="preserve"> PAGEREF _Toc147848045 \h </w:instrText>
      </w:r>
      <w:r>
        <w:rPr>
          <w:sz w:val="24"/>
        </w:rPr>
        <w:fldChar w:fldCharType="separate"/>
      </w:r>
      <w:r>
        <w:rPr>
          <w:sz w:val="24"/>
        </w:rPr>
        <w:t>159</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"_Toc147848046" </w:instrText>
      </w:r>
      <w:r>
        <w:fldChar w:fldCharType="separate"/>
      </w:r>
      <w:r>
        <w:rPr>
          <w:rStyle w:val="39"/>
          <w:sz w:val="24"/>
        </w:rPr>
        <w:t xml:space="preserve">6.1 </w:t>
      </w:r>
      <w:r>
        <w:rPr>
          <w:rStyle w:val="39"/>
          <w:rFonts w:hint="eastAsia"/>
          <w:sz w:val="24"/>
        </w:rPr>
        <w:t>施工期环境影响预测与评价</w:t>
      </w:r>
      <w:r>
        <w:rPr>
          <w:sz w:val="24"/>
        </w:rPr>
        <w:tab/>
      </w:r>
      <w:r>
        <w:rPr>
          <w:sz w:val="24"/>
        </w:rPr>
        <w:fldChar w:fldCharType="begin"/>
      </w:r>
      <w:r>
        <w:rPr>
          <w:sz w:val="24"/>
        </w:rPr>
        <w:instrText xml:space="preserve"> PAGEREF _Toc147848046 \h </w:instrText>
      </w:r>
      <w:r>
        <w:rPr>
          <w:sz w:val="24"/>
        </w:rPr>
        <w:fldChar w:fldCharType="separate"/>
      </w:r>
      <w:r>
        <w:rPr>
          <w:sz w:val="24"/>
        </w:rPr>
        <w:t>159</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"_Toc147848047" </w:instrText>
      </w:r>
      <w:r>
        <w:fldChar w:fldCharType="separate"/>
      </w:r>
      <w:r>
        <w:rPr>
          <w:rStyle w:val="39"/>
          <w:rFonts w:ascii="Times New Roman" w:hAnsi="Times New Roman"/>
          <w:sz w:val="24"/>
        </w:rPr>
        <w:t>6.1.1</w:t>
      </w:r>
      <w:r>
        <w:rPr>
          <w:rStyle w:val="39"/>
          <w:rFonts w:hint="eastAsia" w:ascii="Times New Roman" w:hAnsi="Times New Roman"/>
          <w:sz w:val="24"/>
        </w:rPr>
        <w:t>施工期环境空气影响分析</w:t>
      </w:r>
      <w:r>
        <w:rPr>
          <w:sz w:val="24"/>
        </w:rPr>
        <w:tab/>
      </w:r>
      <w:r>
        <w:rPr>
          <w:sz w:val="24"/>
        </w:rPr>
        <w:fldChar w:fldCharType="begin"/>
      </w:r>
      <w:r>
        <w:rPr>
          <w:sz w:val="24"/>
        </w:rPr>
        <w:instrText xml:space="preserve"> PAGEREF _Toc147848047 \h </w:instrText>
      </w:r>
      <w:r>
        <w:rPr>
          <w:sz w:val="24"/>
        </w:rPr>
        <w:fldChar w:fldCharType="separate"/>
      </w:r>
      <w:r>
        <w:rPr>
          <w:sz w:val="24"/>
        </w:rPr>
        <w:t>159</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"_Toc147848048" </w:instrText>
      </w:r>
      <w:r>
        <w:fldChar w:fldCharType="separate"/>
      </w:r>
      <w:r>
        <w:rPr>
          <w:rStyle w:val="39"/>
          <w:rFonts w:ascii="Times New Roman" w:hAnsi="Times New Roman"/>
          <w:sz w:val="24"/>
        </w:rPr>
        <w:t xml:space="preserve">6.1.2 </w:t>
      </w:r>
      <w:r>
        <w:rPr>
          <w:rStyle w:val="39"/>
          <w:rFonts w:hint="eastAsia" w:ascii="Times New Roman" w:hAnsi="Times New Roman"/>
          <w:sz w:val="24"/>
        </w:rPr>
        <w:t>施工期废水影响分析</w:t>
      </w:r>
      <w:r>
        <w:rPr>
          <w:sz w:val="24"/>
        </w:rPr>
        <w:tab/>
      </w:r>
      <w:r>
        <w:rPr>
          <w:sz w:val="24"/>
        </w:rPr>
        <w:fldChar w:fldCharType="begin"/>
      </w:r>
      <w:r>
        <w:rPr>
          <w:sz w:val="24"/>
        </w:rPr>
        <w:instrText xml:space="preserve"> PAGEREF _Toc147848048 \h </w:instrText>
      </w:r>
      <w:r>
        <w:rPr>
          <w:sz w:val="24"/>
        </w:rPr>
        <w:fldChar w:fldCharType="separate"/>
      </w:r>
      <w:r>
        <w:rPr>
          <w:sz w:val="24"/>
        </w:rPr>
        <w:t>161</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"_Toc147848049" </w:instrText>
      </w:r>
      <w:r>
        <w:fldChar w:fldCharType="separate"/>
      </w:r>
      <w:r>
        <w:rPr>
          <w:rStyle w:val="39"/>
          <w:rFonts w:ascii="Times New Roman" w:hAnsi="Times New Roman"/>
          <w:sz w:val="24"/>
        </w:rPr>
        <w:t xml:space="preserve">6.1.3 </w:t>
      </w:r>
      <w:r>
        <w:rPr>
          <w:rStyle w:val="39"/>
          <w:rFonts w:hint="eastAsia" w:ascii="Times New Roman" w:hAnsi="Times New Roman"/>
          <w:sz w:val="24"/>
        </w:rPr>
        <w:t>施工期噪声影响分析</w:t>
      </w:r>
      <w:r>
        <w:rPr>
          <w:sz w:val="24"/>
        </w:rPr>
        <w:tab/>
      </w:r>
      <w:r>
        <w:rPr>
          <w:sz w:val="24"/>
        </w:rPr>
        <w:fldChar w:fldCharType="begin"/>
      </w:r>
      <w:r>
        <w:rPr>
          <w:sz w:val="24"/>
        </w:rPr>
        <w:instrText xml:space="preserve"> PAGEREF _Toc147848049 \h </w:instrText>
      </w:r>
      <w:r>
        <w:rPr>
          <w:sz w:val="24"/>
        </w:rPr>
        <w:fldChar w:fldCharType="separate"/>
      </w:r>
      <w:r>
        <w:rPr>
          <w:sz w:val="24"/>
        </w:rPr>
        <w:t>162</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"_Toc147848050" </w:instrText>
      </w:r>
      <w:r>
        <w:fldChar w:fldCharType="separate"/>
      </w:r>
      <w:r>
        <w:rPr>
          <w:rStyle w:val="39"/>
          <w:rFonts w:ascii="Times New Roman" w:hAnsi="Times New Roman"/>
          <w:sz w:val="24"/>
        </w:rPr>
        <w:t xml:space="preserve">6.1.4 </w:t>
      </w:r>
      <w:r>
        <w:rPr>
          <w:rStyle w:val="39"/>
          <w:rFonts w:hint="eastAsia" w:ascii="Times New Roman" w:hAnsi="Times New Roman"/>
          <w:sz w:val="24"/>
        </w:rPr>
        <w:t>施工期固体废物影响分析</w:t>
      </w:r>
      <w:r>
        <w:rPr>
          <w:sz w:val="24"/>
        </w:rPr>
        <w:tab/>
      </w:r>
      <w:r>
        <w:rPr>
          <w:sz w:val="24"/>
        </w:rPr>
        <w:fldChar w:fldCharType="begin"/>
      </w:r>
      <w:r>
        <w:rPr>
          <w:sz w:val="24"/>
        </w:rPr>
        <w:instrText xml:space="preserve"> PAGEREF _Toc147848050 \h </w:instrText>
      </w:r>
      <w:r>
        <w:rPr>
          <w:sz w:val="24"/>
        </w:rPr>
        <w:fldChar w:fldCharType="separate"/>
      </w:r>
      <w:r>
        <w:rPr>
          <w:sz w:val="24"/>
        </w:rPr>
        <w:t>164</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"_Toc147848051" </w:instrText>
      </w:r>
      <w:r>
        <w:fldChar w:fldCharType="separate"/>
      </w:r>
      <w:r>
        <w:rPr>
          <w:rStyle w:val="39"/>
          <w:rFonts w:ascii="Times New Roman" w:hAnsi="Times New Roman"/>
          <w:sz w:val="24"/>
        </w:rPr>
        <w:t xml:space="preserve">6.1.5 </w:t>
      </w:r>
      <w:r>
        <w:rPr>
          <w:rStyle w:val="39"/>
          <w:rFonts w:hint="eastAsia" w:ascii="Times New Roman" w:hAnsi="Times New Roman"/>
          <w:sz w:val="24"/>
        </w:rPr>
        <w:t>施工期生态环境影响分析</w:t>
      </w:r>
      <w:r>
        <w:rPr>
          <w:sz w:val="24"/>
        </w:rPr>
        <w:tab/>
      </w:r>
      <w:r>
        <w:rPr>
          <w:sz w:val="24"/>
        </w:rPr>
        <w:fldChar w:fldCharType="begin"/>
      </w:r>
      <w:r>
        <w:rPr>
          <w:sz w:val="24"/>
        </w:rPr>
        <w:instrText xml:space="preserve"> PAGEREF _Toc147848051 \h </w:instrText>
      </w:r>
      <w:r>
        <w:rPr>
          <w:sz w:val="24"/>
        </w:rPr>
        <w:fldChar w:fldCharType="separate"/>
      </w:r>
      <w:r>
        <w:rPr>
          <w:sz w:val="24"/>
        </w:rPr>
        <w:t>164</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"_Toc147848052" </w:instrText>
      </w:r>
      <w:r>
        <w:fldChar w:fldCharType="separate"/>
      </w:r>
      <w:r>
        <w:rPr>
          <w:rStyle w:val="39"/>
          <w:rFonts w:ascii="Times New Roman" w:hAnsi="Times New Roman"/>
          <w:sz w:val="24"/>
        </w:rPr>
        <w:t xml:space="preserve">6.1.6 </w:t>
      </w:r>
      <w:r>
        <w:rPr>
          <w:rStyle w:val="39"/>
          <w:rFonts w:hint="eastAsia" w:ascii="Times New Roman" w:hAnsi="Times New Roman"/>
          <w:sz w:val="24"/>
        </w:rPr>
        <w:t>水土保持影响分析</w:t>
      </w:r>
      <w:r>
        <w:rPr>
          <w:sz w:val="24"/>
        </w:rPr>
        <w:tab/>
      </w:r>
      <w:r>
        <w:rPr>
          <w:sz w:val="24"/>
        </w:rPr>
        <w:fldChar w:fldCharType="begin"/>
      </w:r>
      <w:r>
        <w:rPr>
          <w:sz w:val="24"/>
        </w:rPr>
        <w:instrText xml:space="preserve"> PAGEREF _Toc147848052 \h </w:instrText>
      </w:r>
      <w:r>
        <w:rPr>
          <w:sz w:val="24"/>
        </w:rPr>
        <w:fldChar w:fldCharType="separate"/>
      </w:r>
      <w:r>
        <w:rPr>
          <w:sz w:val="24"/>
        </w:rPr>
        <w:t>164</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"_Toc147848053" </w:instrText>
      </w:r>
      <w:r>
        <w:fldChar w:fldCharType="separate"/>
      </w:r>
      <w:r>
        <w:rPr>
          <w:rStyle w:val="39"/>
          <w:rFonts w:ascii="Times New Roman" w:hAnsi="Times New Roman"/>
          <w:sz w:val="24"/>
        </w:rPr>
        <w:t xml:space="preserve">6.1.7 </w:t>
      </w:r>
      <w:r>
        <w:rPr>
          <w:rStyle w:val="39"/>
          <w:rFonts w:hint="eastAsia" w:ascii="Times New Roman" w:hAnsi="Times New Roman"/>
          <w:sz w:val="24"/>
        </w:rPr>
        <w:t>施工期小结</w:t>
      </w:r>
      <w:r>
        <w:rPr>
          <w:sz w:val="24"/>
        </w:rPr>
        <w:tab/>
      </w:r>
      <w:r>
        <w:rPr>
          <w:sz w:val="24"/>
        </w:rPr>
        <w:fldChar w:fldCharType="begin"/>
      </w:r>
      <w:r>
        <w:rPr>
          <w:sz w:val="24"/>
        </w:rPr>
        <w:instrText xml:space="preserve"> PAGEREF _Toc147848053 \h </w:instrText>
      </w:r>
      <w:r>
        <w:rPr>
          <w:sz w:val="24"/>
        </w:rPr>
        <w:fldChar w:fldCharType="separate"/>
      </w:r>
      <w:r>
        <w:rPr>
          <w:sz w:val="24"/>
        </w:rPr>
        <w:t>165</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"_Toc147848054" </w:instrText>
      </w:r>
      <w:r>
        <w:fldChar w:fldCharType="separate"/>
      </w:r>
      <w:r>
        <w:rPr>
          <w:rStyle w:val="39"/>
          <w:sz w:val="24"/>
        </w:rPr>
        <w:t xml:space="preserve">6.2 </w:t>
      </w:r>
      <w:r>
        <w:rPr>
          <w:rStyle w:val="39"/>
          <w:rFonts w:hint="eastAsia"/>
          <w:sz w:val="24"/>
        </w:rPr>
        <w:t>运营期环境影响分析</w:t>
      </w:r>
      <w:r>
        <w:rPr>
          <w:sz w:val="24"/>
        </w:rPr>
        <w:tab/>
      </w:r>
      <w:r>
        <w:rPr>
          <w:sz w:val="24"/>
        </w:rPr>
        <w:fldChar w:fldCharType="begin"/>
      </w:r>
      <w:r>
        <w:rPr>
          <w:sz w:val="24"/>
        </w:rPr>
        <w:instrText xml:space="preserve"> PAGEREF _Toc147848054 \h </w:instrText>
      </w:r>
      <w:r>
        <w:rPr>
          <w:sz w:val="24"/>
        </w:rPr>
        <w:fldChar w:fldCharType="separate"/>
      </w:r>
      <w:r>
        <w:rPr>
          <w:sz w:val="24"/>
        </w:rPr>
        <w:t>166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"_Toc147848055" </w:instrText>
      </w:r>
      <w:r>
        <w:fldChar w:fldCharType="separate"/>
      </w:r>
      <w:r>
        <w:rPr>
          <w:rStyle w:val="39"/>
          <w:rFonts w:ascii="Times New Roman" w:hAnsi="Times New Roman"/>
          <w:sz w:val="24"/>
        </w:rPr>
        <w:t xml:space="preserve">6.2.1 </w:t>
      </w:r>
      <w:r>
        <w:rPr>
          <w:rStyle w:val="39"/>
          <w:rFonts w:hint="eastAsia" w:ascii="Times New Roman" w:hAnsi="Times New Roman"/>
          <w:sz w:val="24"/>
        </w:rPr>
        <w:t>运营期大气环境影响分析</w:t>
      </w:r>
      <w:r>
        <w:rPr>
          <w:sz w:val="24"/>
        </w:rPr>
        <w:tab/>
      </w:r>
      <w:r>
        <w:rPr>
          <w:sz w:val="24"/>
        </w:rPr>
        <w:fldChar w:fldCharType="begin"/>
      </w:r>
      <w:r>
        <w:rPr>
          <w:sz w:val="24"/>
        </w:rPr>
        <w:instrText xml:space="preserve"> PAGEREF _Toc147848055 \h </w:instrText>
      </w:r>
      <w:r>
        <w:rPr>
          <w:sz w:val="24"/>
        </w:rPr>
        <w:fldChar w:fldCharType="separate"/>
      </w:r>
      <w:r>
        <w:rPr>
          <w:sz w:val="24"/>
        </w:rPr>
        <w:t>166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"_Toc147848056" </w:instrText>
      </w:r>
      <w:r>
        <w:fldChar w:fldCharType="separate"/>
      </w:r>
      <w:r>
        <w:rPr>
          <w:rStyle w:val="39"/>
          <w:rFonts w:ascii="Times New Roman" w:hAnsi="Times New Roman"/>
          <w:sz w:val="24"/>
        </w:rPr>
        <w:t xml:space="preserve">6.2.2 </w:t>
      </w:r>
      <w:r>
        <w:rPr>
          <w:rStyle w:val="39"/>
          <w:rFonts w:hint="eastAsia" w:ascii="Times New Roman" w:hAnsi="Times New Roman"/>
          <w:sz w:val="24"/>
        </w:rPr>
        <w:t>运营期地表水环境影响分析</w:t>
      </w:r>
      <w:r>
        <w:rPr>
          <w:sz w:val="24"/>
        </w:rPr>
        <w:tab/>
      </w:r>
      <w:r>
        <w:rPr>
          <w:sz w:val="24"/>
        </w:rPr>
        <w:fldChar w:fldCharType="begin"/>
      </w:r>
      <w:r>
        <w:rPr>
          <w:sz w:val="24"/>
        </w:rPr>
        <w:instrText xml:space="preserve"> PAGEREF _Toc147848056 \h </w:instrText>
      </w:r>
      <w:r>
        <w:rPr>
          <w:sz w:val="24"/>
        </w:rPr>
        <w:fldChar w:fldCharType="separate"/>
      </w:r>
      <w:r>
        <w:rPr>
          <w:sz w:val="24"/>
        </w:rPr>
        <w:t>222</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"_Toc147848057" </w:instrText>
      </w:r>
      <w:r>
        <w:fldChar w:fldCharType="separate"/>
      </w:r>
      <w:r>
        <w:rPr>
          <w:rStyle w:val="39"/>
          <w:rFonts w:ascii="Times New Roman" w:hAnsi="Times New Roman"/>
          <w:sz w:val="24"/>
        </w:rPr>
        <w:t xml:space="preserve">6.2.3 </w:t>
      </w:r>
      <w:r>
        <w:rPr>
          <w:rStyle w:val="39"/>
          <w:rFonts w:hint="eastAsia" w:ascii="Times New Roman" w:hAnsi="Times New Roman"/>
          <w:sz w:val="24"/>
        </w:rPr>
        <w:t>运营期地下水环境影响分析</w:t>
      </w:r>
      <w:r>
        <w:rPr>
          <w:sz w:val="24"/>
        </w:rPr>
        <w:tab/>
      </w:r>
      <w:r>
        <w:rPr>
          <w:sz w:val="24"/>
        </w:rPr>
        <w:fldChar w:fldCharType="begin"/>
      </w:r>
      <w:r>
        <w:rPr>
          <w:sz w:val="24"/>
        </w:rPr>
        <w:instrText xml:space="preserve"> PAGEREF _Toc147848057 \h </w:instrText>
      </w:r>
      <w:r>
        <w:rPr>
          <w:sz w:val="24"/>
        </w:rPr>
        <w:fldChar w:fldCharType="separate"/>
      </w:r>
      <w:r>
        <w:rPr>
          <w:sz w:val="24"/>
        </w:rPr>
        <w:t>225</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"_Toc147848058" </w:instrText>
      </w:r>
      <w:r>
        <w:fldChar w:fldCharType="separate"/>
      </w:r>
      <w:r>
        <w:rPr>
          <w:rStyle w:val="39"/>
          <w:rFonts w:ascii="Times New Roman" w:hAnsi="Times New Roman"/>
          <w:sz w:val="24"/>
        </w:rPr>
        <w:t xml:space="preserve">6.2.4 </w:t>
      </w:r>
      <w:r>
        <w:rPr>
          <w:rStyle w:val="39"/>
          <w:rFonts w:hint="eastAsia" w:ascii="Times New Roman" w:hAnsi="Times New Roman"/>
          <w:sz w:val="24"/>
        </w:rPr>
        <w:t>运营期声环境影响分析</w:t>
      </w:r>
      <w:r>
        <w:rPr>
          <w:sz w:val="24"/>
        </w:rPr>
        <w:tab/>
      </w:r>
      <w:r>
        <w:rPr>
          <w:sz w:val="24"/>
        </w:rPr>
        <w:fldChar w:fldCharType="begin"/>
      </w:r>
      <w:r>
        <w:rPr>
          <w:sz w:val="24"/>
        </w:rPr>
        <w:instrText xml:space="preserve"> PAGEREF _Toc147848058 \h </w:instrText>
      </w:r>
      <w:r>
        <w:rPr>
          <w:sz w:val="24"/>
        </w:rPr>
        <w:fldChar w:fldCharType="separate"/>
      </w:r>
      <w:r>
        <w:rPr>
          <w:sz w:val="24"/>
        </w:rPr>
        <w:t>229</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"_Toc147848059" </w:instrText>
      </w:r>
      <w:r>
        <w:fldChar w:fldCharType="separate"/>
      </w:r>
      <w:r>
        <w:rPr>
          <w:rStyle w:val="39"/>
          <w:rFonts w:ascii="Times New Roman" w:hAnsi="Times New Roman"/>
          <w:sz w:val="24"/>
        </w:rPr>
        <w:t xml:space="preserve">6.2.5 </w:t>
      </w:r>
      <w:r>
        <w:rPr>
          <w:rStyle w:val="39"/>
          <w:rFonts w:hint="eastAsia" w:ascii="Times New Roman" w:hAnsi="Times New Roman"/>
          <w:sz w:val="24"/>
        </w:rPr>
        <w:t>运营期固体废物环境影响分析</w:t>
      </w:r>
      <w:r>
        <w:rPr>
          <w:sz w:val="24"/>
        </w:rPr>
        <w:tab/>
      </w:r>
      <w:r>
        <w:rPr>
          <w:sz w:val="24"/>
        </w:rPr>
        <w:fldChar w:fldCharType="begin"/>
      </w:r>
      <w:r>
        <w:rPr>
          <w:sz w:val="24"/>
        </w:rPr>
        <w:instrText xml:space="preserve"> PAGEREF _Toc147848059 \h </w:instrText>
      </w:r>
      <w:r>
        <w:rPr>
          <w:sz w:val="24"/>
        </w:rPr>
        <w:fldChar w:fldCharType="separate"/>
      </w:r>
      <w:r>
        <w:rPr>
          <w:sz w:val="24"/>
        </w:rPr>
        <w:t>233</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"_Toc147848060" </w:instrText>
      </w:r>
      <w:r>
        <w:fldChar w:fldCharType="separate"/>
      </w:r>
      <w:r>
        <w:rPr>
          <w:rStyle w:val="39"/>
          <w:rFonts w:ascii="Times New Roman" w:hAnsi="Times New Roman"/>
          <w:sz w:val="24"/>
        </w:rPr>
        <w:t xml:space="preserve">6.2.6 </w:t>
      </w:r>
      <w:r>
        <w:rPr>
          <w:rStyle w:val="39"/>
          <w:rFonts w:hint="eastAsia" w:ascii="Times New Roman" w:hAnsi="Times New Roman"/>
          <w:sz w:val="24"/>
        </w:rPr>
        <w:t>运营期土壤环境影响分析</w:t>
      </w:r>
      <w:r>
        <w:rPr>
          <w:sz w:val="24"/>
        </w:rPr>
        <w:tab/>
      </w:r>
      <w:r>
        <w:rPr>
          <w:sz w:val="24"/>
        </w:rPr>
        <w:fldChar w:fldCharType="begin"/>
      </w:r>
      <w:r>
        <w:rPr>
          <w:sz w:val="24"/>
        </w:rPr>
        <w:instrText xml:space="preserve"> PAGEREF _Toc147848060 \h </w:instrText>
      </w:r>
      <w:r>
        <w:rPr>
          <w:sz w:val="24"/>
        </w:rPr>
        <w:fldChar w:fldCharType="separate"/>
      </w:r>
      <w:r>
        <w:rPr>
          <w:sz w:val="24"/>
        </w:rPr>
        <w:t>235</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"_Toc147848061" </w:instrText>
      </w:r>
      <w:r>
        <w:fldChar w:fldCharType="separate"/>
      </w:r>
      <w:r>
        <w:rPr>
          <w:rStyle w:val="39"/>
          <w:rFonts w:ascii="Times New Roman" w:hAnsi="Times New Roman"/>
          <w:sz w:val="24"/>
        </w:rPr>
        <w:t xml:space="preserve">6.2.3 </w:t>
      </w:r>
      <w:r>
        <w:rPr>
          <w:rStyle w:val="39"/>
          <w:rFonts w:hint="eastAsia" w:ascii="Times New Roman" w:hAnsi="Times New Roman"/>
          <w:sz w:val="24"/>
        </w:rPr>
        <w:t>生态环境影响分析</w:t>
      </w:r>
      <w:r>
        <w:rPr>
          <w:sz w:val="24"/>
        </w:rPr>
        <w:tab/>
      </w:r>
      <w:r>
        <w:rPr>
          <w:sz w:val="24"/>
        </w:rPr>
        <w:fldChar w:fldCharType="begin"/>
      </w:r>
      <w:r>
        <w:rPr>
          <w:sz w:val="24"/>
        </w:rPr>
        <w:instrText xml:space="preserve"> PAGEREF _Toc147848061 \h </w:instrText>
      </w:r>
      <w:r>
        <w:rPr>
          <w:sz w:val="24"/>
        </w:rPr>
        <w:fldChar w:fldCharType="separate"/>
      </w:r>
      <w:r>
        <w:rPr>
          <w:sz w:val="24"/>
        </w:rPr>
        <w:t>237</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"_Toc147848062" </w:instrText>
      </w:r>
      <w:r>
        <w:fldChar w:fldCharType="separate"/>
      </w:r>
      <w:r>
        <w:rPr>
          <w:rStyle w:val="39"/>
          <w:sz w:val="24"/>
        </w:rPr>
        <w:t xml:space="preserve">6.3 </w:t>
      </w:r>
      <w:r>
        <w:rPr>
          <w:rStyle w:val="39"/>
          <w:rFonts w:hint="eastAsia"/>
          <w:sz w:val="24"/>
        </w:rPr>
        <w:t>梯次利用厂区环境影响分析</w:t>
      </w:r>
      <w:r>
        <w:rPr>
          <w:sz w:val="24"/>
        </w:rPr>
        <w:tab/>
      </w:r>
      <w:r>
        <w:rPr>
          <w:sz w:val="24"/>
        </w:rPr>
        <w:fldChar w:fldCharType="begin"/>
      </w:r>
      <w:r>
        <w:rPr>
          <w:sz w:val="24"/>
        </w:rPr>
        <w:instrText xml:space="preserve"> PAGEREF _Toc147848062 \h </w:instrText>
      </w:r>
      <w:r>
        <w:rPr>
          <w:sz w:val="24"/>
        </w:rPr>
        <w:fldChar w:fldCharType="separate"/>
      </w:r>
      <w:r>
        <w:rPr>
          <w:sz w:val="24"/>
        </w:rPr>
        <w:t>237</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"_Toc147848063" </w:instrText>
      </w:r>
      <w:r>
        <w:fldChar w:fldCharType="separate"/>
      </w:r>
      <w:r>
        <w:rPr>
          <w:rStyle w:val="39"/>
          <w:rFonts w:ascii="Times New Roman" w:hAnsi="Times New Roman"/>
          <w:sz w:val="24"/>
        </w:rPr>
        <w:t xml:space="preserve">6.3.1 </w:t>
      </w:r>
      <w:r>
        <w:rPr>
          <w:rStyle w:val="39"/>
          <w:rFonts w:hint="eastAsia" w:ascii="Times New Roman" w:hAnsi="Times New Roman"/>
          <w:sz w:val="24"/>
        </w:rPr>
        <w:t>大气环境影响分析</w:t>
      </w:r>
      <w:r>
        <w:rPr>
          <w:sz w:val="24"/>
        </w:rPr>
        <w:tab/>
      </w:r>
      <w:r>
        <w:rPr>
          <w:sz w:val="24"/>
        </w:rPr>
        <w:fldChar w:fldCharType="begin"/>
      </w:r>
      <w:r>
        <w:rPr>
          <w:sz w:val="24"/>
        </w:rPr>
        <w:instrText xml:space="preserve"> PAGEREF _Toc147848063 \h </w:instrText>
      </w:r>
      <w:r>
        <w:rPr>
          <w:sz w:val="24"/>
        </w:rPr>
        <w:fldChar w:fldCharType="separate"/>
      </w:r>
      <w:r>
        <w:rPr>
          <w:sz w:val="24"/>
        </w:rPr>
        <w:t>237</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"_Toc147848064" </w:instrText>
      </w:r>
      <w:r>
        <w:fldChar w:fldCharType="separate"/>
      </w:r>
      <w:r>
        <w:rPr>
          <w:rStyle w:val="39"/>
          <w:rFonts w:ascii="Times New Roman" w:hAnsi="Times New Roman"/>
          <w:sz w:val="24"/>
        </w:rPr>
        <w:t xml:space="preserve">6.3.2 </w:t>
      </w:r>
      <w:r>
        <w:rPr>
          <w:rStyle w:val="39"/>
          <w:rFonts w:hint="eastAsia" w:ascii="Times New Roman" w:hAnsi="Times New Roman"/>
          <w:sz w:val="24"/>
        </w:rPr>
        <w:t>水环境影响分析</w:t>
      </w:r>
      <w:r>
        <w:rPr>
          <w:sz w:val="24"/>
        </w:rPr>
        <w:tab/>
      </w:r>
      <w:r>
        <w:rPr>
          <w:sz w:val="24"/>
        </w:rPr>
        <w:fldChar w:fldCharType="begin"/>
      </w:r>
      <w:r>
        <w:rPr>
          <w:sz w:val="24"/>
        </w:rPr>
        <w:instrText xml:space="preserve"> PAGEREF _Toc147848064 \h </w:instrText>
      </w:r>
      <w:r>
        <w:rPr>
          <w:sz w:val="24"/>
        </w:rPr>
        <w:fldChar w:fldCharType="separate"/>
      </w:r>
      <w:r>
        <w:rPr>
          <w:sz w:val="24"/>
        </w:rPr>
        <w:t>237</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"_Toc147848065" </w:instrText>
      </w:r>
      <w:r>
        <w:fldChar w:fldCharType="separate"/>
      </w:r>
      <w:r>
        <w:rPr>
          <w:rStyle w:val="39"/>
          <w:rFonts w:ascii="Times New Roman" w:hAnsi="Times New Roman"/>
          <w:sz w:val="24"/>
        </w:rPr>
        <w:t xml:space="preserve">6.3.3 </w:t>
      </w:r>
      <w:r>
        <w:rPr>
          <w:rStyle w:val="39"/>
          <w:rFonts w:hint="eastAsia" w:ascii="Times New Roman" w:hAnsi="Times New Roman"/>
          <w:sz w:val="24"/>
        </w:rPr>
        <w:t>地下水环境影响分析</w:t>
      </w:r>
      <w:r>
        <w:rPr>
          <w:sz w:val="24"/>
        </w:rPr>
        <w:tab/>
      </w:r>
      <w:r>
        <w:rPr>
          <w:sz w:val="24"/>
        </w:rPr>
        <w:fldChar w:fldCharType="begin"/>
      </w:r>
      <w:r>
        <w:rPr>
          <w:sz w:val="24"/>
        </w:rPr>
        <w:instrText xml:space="preserve"> PAGEREF _Toc147848065 \h </w:instrText>
      </w:r>
      <w:r>
        <w:rPr>
          <w:sz w:val="24"/>
        </w:rPr>
        <w:fldChar w:fldCharType="separate"/>
      </w:r>
      <w:r>
        <w:rPr>
          <w:sz w:val="24"/>
        </w:rPr>
        <w:t>238</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"_Toc147848066" </w:instrText>
      </w:r>
      <w:r>
        <w:fldChar w:fldCharType="separate"/>
      </w:r>
      <w:r>
        <w:rPr>
          <w:rStyle w:val="39"/>
          <w:rFonts w:ascii="Times New Roman" w:hAnsi="Times New Roman"/>
          <w:sz w:val="24"/>
        </w:rPr>
        <w:t xml:space="preserve">6.3.4 </w:t>
      </w:r>
      <w:r>
        <w:rPr>
          <w:rStyle w:val="39"/>
          <w:rFonts w:hint="eastAsia" w:ascii="Times New Roman" w:hAnsi="Times New Roman"/>
          <w:sz w:val="24"/>
        </w:rPr>
        <w:t>声环境影响分析</w:t>
      </w:r>
      <w:r>
        <w:rPr>
          <w:sz w:val="24"/>
        </w:rPr>
        <w:tab/>
      </w:r>
      <w:r>
        <w:rPr>
          <w:sz w:val="24"/>
        </w:rPr>
        <w:fldChar w:fldCharType="begin"/>
      </w:r>
      <w:r>
        <w:rPr>
          <w:sz w:val="24"/>
        </w:rPr>
        <w:instrText xml:space="preserve"> PAGEREF _Toc147848066 \h </w:instrText>
      </w:r>
      <w:r>
        <w:rPr>
          <w:sz w:val="24"/>
        </w:rPr>
        <w:fldChar w:fldCharType="separate"/>
      </w:r>
      <w:r>
        <w:rPr>
          <w:sz w:val="24"/>
        </w:rPr>
        <w:t>238</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"_Toc147848067" </w:instrText>
      </w:r>
      <w:r>
        <w:fldChar w:fldCharType="separate"/>
      </w:r>
      <w:r>
        <w:rPr>
          <w:rStyle w:val="39"/>
          <w:rFonts w:ascii="Times New Roman" w:hAnsi="Times New Roman"/>
          <w:sz w:val="24"/>
        </w:rPr>
        <w:t xml:space="preserve">6.3.5 </w:t>
      </w:r>
      <w:r>
        <w:rPr>
          <w:rStyle w:val="39"/>
          <w:rFonts w:hint="eastAsia" w:ascii="Times New Roman" w:hAnsi="Times New Roman"/>
          <w:sz w:val="24"/>
        </w:rPr>
        <w:t>固体废物环境影响分析</w:t>
      </w:r>
      <w:r>
        <w:rPr>
          <w:sz w:val="24"/>
        </w:rPr>
        <w:tab/>
      </w:r>
      <w:r>
        <w:rPr>
          <w:sz w:val="24"/>
        </w:rPr>
        <w:fldChar w:fldCharType="begin"/>
      </w:r>
      <w:r>
        <w:rPr>
          <w:sz w:val="24"/>
        </w:rPr>
        <w:instrText xml:space="preserve"> PAGEREF _Toc147848067 \h </w:instrText>
      </w:r>
      <w:r>
        <w:rPr>
          <w:sz w:val="24"/>
        </w:rPr>
        <w:fldChar w:fldCharType="separate"/>
      </w:r>
      <w:r>
        <w:rPr>
          <w:sz w:val="24"/>
        </w:rPr>
        <w:t>239</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"_Toc147848068" </w:instrText>
      </w:r>
      <w:r>
        <w:fldChar w:fldCharType="separate"/>
      </w:r>
      <w:r>
        <w:rPr>
          <w:rStyle w:val="39"/>
          <w:rFonts w:ascii="Times New Roman" w:hAnsi="Times New Roman"/>
          <w:sz w:val="24"/>
        </w:rPr>
        <w:t xml:space="preserve">6.3.5 </w:t>
      </w:r>
      <w:r>
        <w:rPr>
          <w:rStyle w:val="39"/>
          <w:rFonts w:hint="eastAsia" w:ascii="Times New Roman" w:hAnsi="Times New Roman"/>
          <w:sz w:val="24"/>
        </w:rPr>
        <w:t>土壤环境影响分析</w:t>
      </w:r>
      <w:r>
        <w:rPr>
          <w:sz w:val="24"/>
        </w:rPr>
        <w:tab/>
      </w:r>
      <w:r>
        <w:rPr>
          <w:sz w:val="24"/>
        </w:rPr>
        <w:fldChar w:fldCharType="begin"/>
      </w:r>
      <w:r>
        <w:rPr>
          <w:sz w:val="24"/>
        </w:rPr>
        <w:instrText xml:space="preserve"> PAGEREF _Toc147848068 \h </w:instrText>
      </w:r>
      <w:r>
        <w:rPr>
          <w:sz w:val="24"/>
        </w:rPr>
        <w:fldChar w:fldCharType="separate"/>
      </w:r>
      <w:r>
        <w:rPr>
          <w:sz w:val="24"/>
        </w:rPr>
        <w:t>240</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"_Toc147848069" </w:instrText>
      </w:r>
      <w:r>
        <w:fldChar w:fldCharType="separate"/>
      </w:r>
      <w:r>
        <w:rPr>
          <w:rStyle w:val="39"/>
          <w:rFonts w:ascii="Times New Roman" w:hAnsi="Times New Roman"/>
          <w:sz w:val="24"/>
        </w:rPr>
        <w:t xml:space="preserve">6.3.6 </w:t>
      </w:r>
      <w:r>
        <w:rPr>
          <w:rStyle w:val="39"/>
          <w:rFonts w:hint="eastAsia" w:ascii="Times New Roman" w:hAnsi="Times New Roman"/>
          <w:sz w:val="24"/>
        </w:rPr>
        <w:t>环境风险分析</w:t>
      </w:r>
      <w:r>
        <w:rPr>
          <w:sz w:val="24"/>
        </w:rPr>
        <w:tab/>
      </w:r>
      <w:r>
        <w:rPr>
          <w:sz w:val="24"/>
        </w:rPr>
        <w:fldChar w:fldCharType="begin"/>
      </w:r>
      <w:r>
        <w:rPr>
          <w:sz w:val="24"/>
        </w:rPr>
        <w:instrText xml:space="preserve"> PAGEREF _Toc147848069 \h </w:instrText>
      </w:r>
      <w:r>
        <w:rPr>
          <w:sz w:val="24"/>
        </w:rPr>
        <w:fldChar w:fldCharType="separate"/>
      </w:r>
      <w:r>
        <w:rPr>
          <w:sz w:val="24"/>
        </w:rPr>
        <w:t>240</w:t>
      </w:r>
      <w:r>
        <w:rPr>
          <w:sz w:val="24"/>
        </w:rPr>
        <w:fldChar w:fldCharType="end"/>
      </w:r>
      <w:r>
        <w:rPr>
          <w:sz w:val="24"/>
        </w:rPr>
        <w:fldChar w:fldCharType="end"/>
      </w:r>
    </w:p>
    <w:p>
      <w:pPr>
        <w:pStyle w:val="24"/>
        <w:tabs>
          <w:tab w:val="right" w:leader="dot" w:pos="8296"/>
        </w:tabs>
        <w:spacing w:line="360" w:lineRule="auto"/>
        <w:rPr>
          <w:rFonts w:asciiTheme="minorHAnsi" w:hAnsiTheme="minorHAnsi" w:eastAsiaTheme="minorEastAsia" w:cstheme="minorBidi"/>
          <w:sz w:val="24"/>
        </w:rPr>
      </w:pPr>
      <w:r>
        <w:fldChar w:fldCharType="begin"/>
      </w:r>
      <w:r>
        <w:instrText xml:space="preserve"> HYPERLINK \l "_Toc147848070" </w:instrText>
      </w:r>
      <w:r>
        <w:fldChar w:fldCharType="separate"/>
      </w:r>
      <w:r>
        <w:rPr>
          <w:rStyle w:val="39"/>
          <w:rFonts w:hint="eastAsia" w:ascii="Times New Roman" w:hAnsi="Times New Roman"/>
          <w:sz w:val="24"/>
        </w:rPr>
        <w:t>第</w:t>
      </w:r>
      <w:r>
        <w:rPr>
          <w:rStyle w:val="39"/>
          <w:rFonts w:ascii="Times New Roman" w:hAnsi="Times New Roman"/>
          <w:sz w:val="24"/>
        </w:rPr>
        <w:t>7</w:t>
      </w:r>
      <w:r>
        <w:rPr>
          <w:rStyle w:val="39"/>
          <w:rFonts w:hint="eastAsia" w:ascii="Times New Roman" w:hAnsi="Times New Roman"/>
          <w:sz w:val="24"/>
        </w:rPr>
        <w:t>章</w:t>
      </w:r>
      <w:r>
        <w:rPr>
          <w:rStyle w:val="39"/>
          <w:rFonts w:ascii="Times New Roman" w:hAnsi="Times New Roman"/>
          <w:sz w:val="24"/>
        </w:rPr>
        <w:t xml:space="preserve"> </w:t>
      </w:r>
      <w:r>
        <w:rPr>
          <w:rStyle w:val="39"/>
          <w:rFonts w:hint="eastAsia" w:ascii="Times New Roman" w:hAnsi="Times New Roman"/>
          <w:sz w:val="24"/>
        </w:rPr>
        <w:t>环境风险分析</w:t>
      </w:r>
      <w:r>
        <w:rPr>
          <w:sz w:val="24"/>
        </w:rPr>
        <w:tab/>
      </w:r>
      <w:r>
        <w:rPr>
          <w:sz w:val="24"/>
        </w:rPr>
        <w:fldChar w:fldCharType="begin"/>
      </w:r>
      <w:r>
        <w:rPr>
          <w:sz w:val="24"/>
        </w:rPr>
        <w:instrText xml:space="preserve"> PAGEREF _Toc147848070 \h </w:instrText>
      </w:r>
      <w:r>
        <w:rPr>
          <w:sz w:val="24"/>
        </w:rPr>
        <w:fldChar w:fldCharType="separate"/>
      </w:r>
      <w:r>
        <w:rPr>
          <w:sz w:val="24"/>
        </w:rPr>
        <w:t>241</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"_Toc147848071" </w:instrText>
      </w:r>
      <w:r>
        <w:fldChar w:fldCharType="separate"/>
      </w:r>
      <w:r>
        <w:rPr>
          <w:rStyle w:val="39"/>
          <w:sz w:val="24"/>
        </w:rPr>
        <w:t xml:space="preserve">7.1 </w:t>
      </w:r>
      <w:r>
        <w:rPr>
          <w:rStyle w:val="39"/>
          <w:rFonts w:hint="eastAsia"/>
          <w:sz w:val="24"/>
        </w:rPr>
        <w:t>环境风险评价原则及评价程序</w:t>
      </w:r>
      <w:r>
        <w:rPr>
          <w:sz w:val="24"/>
        </w:rPr>
        <w:tab/>
      </w:r>
      <w:r>
        <w:rPr>
          <w:sz w:val="24"/>
        </w:rPr>
        <w:fldChar w:fldCharType="begin"/>
      </w:r>
      <w:r>
        <w:rPr>
          <w:sz w:val="24"/>
        </w:rPr>
        <w:instrText xml:space="preserve"> PAGEREF _Toc147848071 \h </w:instrText>
      </w:r>
      <w:r>
        <w:rPr>
          <w:sz w:val="24"/>
        </w:rPr>
        <w:fldChar w:fldCharType="separate"/>
      </w:r>
      <w:r>
        <w:rPr>
          <w:sz w:val="24"/>
        </w:rPr>
        <w:t>241</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"_Toc147848072" </w:instrText>
      </w:r>
      <w:r>
        <w:fldChar w:fldCharType="separate"/>
      </w:r>
      <w:r>
        <w:rPr>
          <w:rStyle w:val="39"/>
          <w:sz w:val="24"/>
        </w:rPr>
        <w:t xml:space="preserve">7.2 </w:t>
      </w:r>
      <w:r>
        <w:rPr>
          <w:rStyle w:val="39"/>
          <w:rFonts w:hint="eastAsia"/>
          <w:sz w:val="24"/>
        </w:rPr>
        <w:t>环境风险识别</w:t>
      </w:r>
      <w:r>
        <w:rPr>
          <w:sz w:val="24"/>
        </w:rPr>
        <w:tab/>
      </w:r>
      <w:r>
        <w:rPr>
          <w:sz w:val="24"/>
        </w:rPr>
        <w:fldChar w:fldCharType="begin"/>
      </w:r>
      <w:r>
        <w:rPr>
          <w:sz w:val="24"/>
        </w:rPr>
        <w:instrText xml:space="preserve"> PAGEREF _Toc147848072 \h </w:instrText>
      </w:r>
      <w:r>
        <w:rPr>
          <w:sz w:val="24"/>
        </w:rPr>
        <w:fldChar w:fldCharType="separate"/>
      </w:r>
      <w:r>
        <w:rPr>
          <w:sz w:val="24"/>
        </w:rPr>
        <w:t>242</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"_Toc147848073" </w:instrText>
      </w:r>
      <w:r>
        <w:fldChar w:fldCharType="separate"/>
      </w:r>
      <w:r>
        <w:rPr>
          <w:rStyle w:val="39"/>
          <w:rFonts w:ascii="Times New Roman" w:hAnsi="Times New Roman"/>
          <w:sz w:val="24"/>
        </w:rPr>
        <w:t xml:space="preserve">7.2.1 </w:t>
      </w:r>
      <w:r>
        <w:rPr>
          <w:rStyle w:val="39"/>
          <w:rFonts w:hint="eastAsia" w:ascii="Times New Roman" w:hAnsi="Times New Roman"/>
          <w:sz w:val="24"/>
        </w:rPr>
        <w:t>物质风险识别</w:t>
      </w:r>
      <w:r>
        <w:rPr>
          <w:sz w:val="24"/>
        </w:rPr>
        <w:tab/>
      </w:r>
      <w:r>
        <w:rPr>
          <w:sz w:val="24"/>
        </w:rPr>
        <w:fldChar w:fldCharType="begin"/>
      </w:r>
      <w:r>
        <w:rPr>
          <w:sz w:val="24"/>
        </w:rPr>
        <w:instrText xml:space="preserve"> PAGEREF _Toc147848073 \h </w:instrText>
      </w:r>
      <w:r>
        <w:rPr>
          <w:sz w:val="24"/>
        </w:rPr>
        <w:fldChar w:fldCharType="separate"/>
      </w:r>
      <w:r>
        <w:rPr>
          <w:sz w:val="24"/>
        </w:rPr>
        <w:t>242</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"_Toc147848074" </w:instrText>
      </w:r>
      <w:r>
        <w:fldChar w:fldCharType="separate"/>
      </w:r>
      <w:r>
        <w:rPr>
          <w:rStyle w:val="39"/>
          <w:rFonts w:ascii="Times New Roman" w:hAnsi="Times New Roman"/>
          <w:sz w:val="24"/>
        </w:rPr>
        <w:t xml:space="preserve">7.2.2 </w:t>
      </w:r>
      <w:r>
        <w:rPr>
          <w:rStyle w:val="39"/>
          <w:rFonts w:hint="eastAsia" w:ascii="Times New Roman" w:hAnsi="Times New Roman"/>
          <w:sz w:val="24"/>
        </w:rPr>
        <w:t>生产设施环境风险识别</w:t>
      </w:r>
      <w:r>
        <w:rPr>
          <w:sz w:val="24"/>
        </w:rPr>
        <w:tab/>
      </w:r>
      <w:r>
        <w:rPr>
          <w:sz w:val="24"/>
        </w:rPr>
        <w:fldChar w:fldCharType="begin"/>
      </w:r>
      <w:r>
        <w:rPr>
          <w:sz w:val="24"/>
        </w:rPr>
        <w:instrText xml:space="preserve"> PAGEREF _Toc147848074 \h </w:instrText>
      </w:r>
      <w:r>
        <w:rPr>
          <w:sz w:val="24"/>
        </w:rPr>
        <w:fldChar w:fldCharType="separate"/>
      </w:r>
      <w:r>
        <w:rPr>
          <w:sz w:val="24"/>
        </w:rPr>
        <w:t>243</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"_Toc147848075" </w:instrText>
      </w:r>
      <w:r>
        <w:fldChar w:fldCharType="separate"/>
      </w:r>
      <w:r>
        <w:rPr>
          <w:rStyle w:val="39"/>
          <w:rFonts w:ascii="Times New Roman" w:hAnsi="Times New Roman"/>
          <w:sz w:val="24"/>
        </w:rPr>
        <w:t xml:space="preserve">7.2.3 </w:t>
      </w:r>
      <w:r>
        <w:rPr>
          <w:rStyle w:val="39"/>
          <w:rFonts w:hint="eastAsia" w:ascii="Times New Roman" w:hAnsi="Times New Roman"/>
          <w:sz w:val="24"/>
        </w:rPr>
        <w:t>危险物质扩散途径识别</w:t>
      </w:r>
      <w:r>
        <w:rPr>
          <w:sz w:val="24"/>
        </w:rPr>
        <w:tab/>
      </w:r>
      <w:r>
        <w:rPr>
          <w:sz w:val="24"/>
        </w:rPr>
        <w:fldChar w:fldCharType="begin"/>
      </w:r>
      <w:r>
        <w:rPr>
          <w:sz w:val="24"/>
        </w:rPr>
        <w:instrText xml:space="preserve"> PAGEREF _Toc147848075 \h </w:instrText>
      </w:r>
      <w:r>
        <w:rPr>
          <w:sz w:val="24"/>
        </w:rPr>
        <w:fldChar w:fldCharType="separate"/>
      </w:r>
      <w:r>
        <w:rPr>
          <w:sz w:val="24"/>
        </w:rPr>
        <w:t>243</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"_Toc147848076" </w:instrText>
      </w:r>
      <w:r>
        <w:fldChar w:fldCharType="separate"/>
      </w:r>
      <w:r>
        <w:rPr>
          <w:rStyle w:val="39"/>
          <w:sz w:val="24"/>
        </w:rPr>
        <w:t xml:space="preserve">7.3 </w:t>
      </w:r>
      <w:r>
        <w:rPr>
          <w:rStyle w:val="39"/>
          <w:rFonts w:hint="eastAsia"/>
          <w:sz w:val="24"/>
        </w:rPr>
        <w:t>评价等级及范围</w:t>
      </w:r>
      <w:r>
        <w:rPr>
          <w:sz w:val="24"/>
        </w:rPr>
        <w:tab/>
      </w:r>
      <w:r>
        <w:rPr>
          <w:sz w:val="24"/>
        </w:rPr>
        <w:fldChar w:fldCharType="begin"/>
      </w:r>
      <w:r>
        <w:rPr>
          <w:sz w:val="24"/>
        </w:rPr>
        <w:instrText xml:space="preserve"> PAGEREF _Toc147848076 \h </w:instrText>
      </w:r>
      <w:r>
        <w:rPr>
          <w:sz w:val="24"/>
        </w:rPr>
        <w:fldChar w:fldCharType="separate"/>
      </w:r>
      <w:r>
        <w:rPr>
          <w:sz w:val="24"/>
        </w:rPr>
        <w:t>244</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"_Toc147848077" </w:instrText>
      </w:r>
      <w:r>
        <w:fldChar w:fldCharType="separate"/>
      </w:r>
      <w:r>
        <w:rPr>
          <w:rStyle w:val="39"/>
          <w:rFonts w:ascii="Times New Roman" w:hAnsi="Times New Roman"/>
          <w:sz w:val="24"/>
        </w:rPr>
        <w:t xml:space="preserve">7.3.1 </w:t>
      </w:r>
      <w:r>
        <w:rPr>
          <w:rStyle w:val="39"/>
          <w:rFonts w:hint="eastAsia" w:ascii="Times New Roman" w:hAnsi="Times New Roman"/>
          <w:sz w:val="24"/>
        </w:rPr>
        <w:t>风险潜势初判</w:t>
      </w:r>
      <w:r>
        <w:rPr>
          <w:sz w:val="24"/>
        </w:rPr>
        <w:tab/>
      </w:r>
      <w:r>
        <w:rPr>
          <w:sz w:val="24"/>
        </w:rPr>
        <w:fldChar w:fldCharType="begin"/>
      </w:r>
      <w:r>
        <w:rPr>
          <w:sz w:val="24"/>
        </w:rPr>
        <w:instrText xml:space="preserve"> PAGEREF _Toc147848077 \h </w:instrText>
      </w:r>
      <w:r>
        <w:rPr>
          <w:sz w:val="24"/>
        </w:rPr>
        <w:fldChar w:fldCharType="separate"/>
      </w:r>
      <w:r>
        <w:rPr>
          <w:sz w:val="24"/>
        </w:rPr>
        <w:t>244</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"_Toc147848078" </w:instrText>
      </w:r>
      <w:r>
        <w:fldChar w:fldCharType="separate"/>
      </w:r>
      <w:r>
        <w:rPr>
          <w:rStyle w:val="39"/>
          <w:rFonts w:ascii="Times New Roman" w:hAnsi="Times New Roman"/>
          <w:sz w:val="24"/>
        </w:rPr>
        <w:t xml:space="preserve">7.3.2 </w:t>
      </w:r>
      <w:r>
        <w:rPr>
          <w:rStyle w:val="39"/>
          <w:rFonts w:hint="eastAsia" w:ascii="Times New Roman" w:hAnsi="Times New Roman"/>
          <w:sz w:val="24"/>
        </w:rPr>
        <w:t>建设项目环境风险潜势判断</w:t>
      </w:r>
      <w:r>
        <w:rPr>
          <w:sz w:val="24"/>
        </w:rPr>
        <w:tab/>
      </w:r>
      <w:r>
        <w:rPr>
          <w:sz w:val="24"/>
        </w:rPr>
        <w:fldChar w:fldCharType="begin"/>
      </w:r>
      <w:r>
        <w:rPr>
          <w:sz w:val="24"/>
        </w:rPr>
        <w:instrText xml:space="preserve"> PAGEREF _Toc147848078 \h </w:instrText>
      </w:r>
      <w:r>
        <w:rPr>
          <w:sz w:val="24"/>
        </w:rPr>
        <w:fldChar w:fldCharType="separate"/>
      </w:r>
      <w:r>
        <w:rPr>
          <w:sz w:val="24"/>
        </w:rPr>
        <w:t>249</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"_Toc147848079" </w:instrText>
      </w:r>
      <w:r>
        <w:fldChar w:fldCharType="separate"/>
      </w:r>
      <w:r>
        <w:rPr>
          <w:rStyle w:val="39"/>
          <w:rFonts w:ascii="Times New Roman" w:hAnsi="Times New Roman"/>
          <w:sz w:val="24"/>
        </w:rPr>
        <w:t xml:space="preserve">7.3.3 </w:t>
      </w:r>
      <w:r>
        <w:rPr>
          <w:rStyle w:val="39"/>
          <w:rFonts w:hint="eastAsia" w:ascii="Times New Roman" w:hAnsi="Times New Roman"/>
          <w:sz w:val="24"/>
        </w:rPr>
        <w:t>环境风险评价工作等级确定</w:t>
      </w:r>
      <w:r>
        <w:rPr>
          <w:sz w:val="24"/>
        </w:rPr>
        <w:tab/>
      </w:r>
      <w:r>
        <w:rPr>
          <w:sz w:val="24"/>
        </w:rPr>
        <w:fldChar w:fldCharType="begin"/>
      </w:r>
      <w:r>
        <w:rPr>
          <w:sz w:val="24"/>
        </w:rPr>
        <w:instrText xml:space="preserve"> PAGEREF _Toc147848079 \h </w:instrText>
      </w:r>
      <w:r>
        <w:rPr>
          <w:sz w:val="24"/>
        </w:rPr>
        <w:fldChar w:fldCharType="separate"/>
      </w:r>
      <w:r>
        <w:rPr>
          <w:sz w:val="24"/>
        </w:rPr>
        <w:t>249</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"_Toc147848080" </w:instrText>
      </w:r>
      <w:r>
        <w:fldChar w:fldCharType="separate"/>
      </w:r>
      <w:r>
        <w:rPr>
          <w:rStyle w:val="39"/>
          <w:sz w:val="24"/>
        </w:rPr>
        <w:t xml:space="preserve">7.4 </w:t>
      </w:r>
      <w:r>
        <w:rPr>
          <w:rStyle w:val="39"/>
          <w:rFonts w:hint="eastAsia"/>
          <w:sz w:val="24"/>
        </w:rPr>
        <w:t>风险识别</w:t>
      </w:r>
      <w:r>
        <w:rPr>
          <w:sz w:val="24"/>
        </w:rPr>
        <w:tab/>
      </w:r>
      <w:r>
        <w:rPr>
          <w:sz w:val="24"/>
        </w:rPr>
        <w:fldChar w:fldCharType="begin"/>
      </w:r>
      <w:r>
        <w:rPr>
          <w:sz w:val="24"/>
        </w:rPr>
        <w:instrText xml:space="preserve"> PAGEREF _Toc147848080 \h </w:instrText>
      </w:r>
      <w:r>
        <w:rPr>
          <w:sz w:val="24"/>
        </w:rPr>
        <w:fldChar w:fldCharType="separate"/>
      </w:r>
      <w:r>
        <w:rPr>
          <w:sz w:val="24"/>
        </w:rPr>
        <w:t>250</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"_Toc147848081" </w:instrText>
      </w:r>
      <w:r>
        <w:fldChar w:fldCharType="separate"/>
      </w:r>
      <w:r>
        <w:rPr>
          <w:rStyle w:val="39"/>
          <w:rFonts w:ascii="Times New Roman" w:hAnsi="Times New Roman"/>
          <w:sz w:val="24"/>
        </w:rPr>
        <w:t xml:space="preserve">7.4.1 </w:t>
      </w:r>
      <w:r>
        <w:rPr>
          <w:rStyle w:val="39"/>
          <w:rFonts w:hint="eastAsia" w:ascii="Times New Roman" w:hAnsi="Times New Roman"/>
          <w:sz w:val="24"/>
        </w:rPr>
        <w:t>识别范围</w:t>
      </w:r>
      <w:r>
        <w:rPr>
          <w:sz w:val="24"/>
        </w:rPr>
        <w:tab/>
      </w:r>
      <w:r>
        <w:rPr>
          <w:sz w:val="24"/>
        </w:rPr>
        <w:fldChar w:fldCharType="begin"/>
      </w:r>
      <w:r>
        <w:rPr>
          <w:sz w:val="24"/>
        </w:rPr>
        <w:instrText xml:space="preserve"> PAGEREF _Toc147848081 \h </w:instrText>
      </w:r>
      <w:r>
        <w:rPr>
          <w:sz w:val="24"/>
        </w:rPr>
        <w:fldChar w:fldCharType="separate"/>
      </w:r>
      <w:r>
        <w:rPr>
          <w:sz w:val="24"/>
        </w:rPr>
        <w:t>250</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"_Toc147848082" </w:instrText>
      </w:r>
      <w:r>
        <w:fldChar w:fldCharType="separate"/>
      </w:r>
      <w:r>
        <w:rPr>
          <w:rStyle w:val="39"/>
          <w:rFonts w:ascii="Times New Roman" w:hAnsi="Times New Roman"/>
          <w:sz w:val="24"/>
        </w:rPr>
        <w:t xml:space="preserve">7.4.2 </w:t>
      </w:r>
      <w:r>
        <w:rPr>
          <w:rStyle w:val="39"/>
          <w:rFonts w:hint="eastAsia" w:ascii="Times New Roman" w:hAnsi="Times New Roman"/>
          <w:sz w:val="24"/>
        </w:rPr>
        <w:t>物质风险识别</w:t>
      </w:r>
      <w:r>
        <w:rPr>
          <w:sz w:val="24"/>
        </w:rPr>
        <w:tab/>
      </w:r>
      <w:r>
        <w:rPr>
          <w:sz w:val="24"/>
        </w:rPr>
        <w:fldChar w:fldCharType="begin"/>
      </w:r>
      <w:r>
        <w:rPr>
          <w:sz w:val="24"/>
        </w:rPr>
        <w:instrText xml:space="preserve"> PAGEREF _Toc147848082 \h </w:instrText>
      </w:r>
      <w:r>
        <w:rPr>
          <w:sz w:val="24"/>
        </w:rPr>
        <w:fldChar w:fldCharType="separate"/>
      </w:r>
      <w:r>
        <w:rPr>
          <w:sz w:val="24"/>
        </w:rPr>
        <w:t>250</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"_Toc147848083" </w:instrText>
      </w:r>
      <w:r>
        <w:fldChar w:fldCharType="separate"/>
      </w:r>
      <w:r>
        <w:rPr>
          <w:rStyle w:val="39"/>
          <w:rFonts w:ascii="Times New Roman" w:hAnsi="Times New Roman"/>
          <w:sz w:val="24"/>
        </w:rPr>
        <w:t xml:space="preserve">7.4.3 </w:t>
      </w:r>
      <w:r>
        <w:rPr>
          <w:rStyle w:val="39"/>
          <w:rFonts w:hint="eastAsia" w:ascii="Times New Roman" w:hAnsi="Times New Roman"/>
          <w:sz w:val="24"/>
        </w:rPr>
        <w:t>生产系统危险性识别</w:t>
      </w:r>
      <w:r>
        <w:rPr>
          <w:sz w:val="24"/>
        </w:rPr>
        <w:tab/>
      </w:r>
      <w:r>
        <w:rPr>
          <w:sz w:val="24"/>
        </w:rPr>
        <w:fldChar w:fldCharType="begin"/>
      </w:r>
      <w:r>
        <w:rPr>
          <w:sz w:val="24"/>
        </w:rPr>
        <w:instrText xml:space="preserve"> PAGEREF _Toc147848083 \h </w:instrText>
      </w:r>
      <w:r>
        <w:rPr>
          <w:sz w:val="24"/>
        </w:rPr>
        <w:fldChar w:fldCharType="separate"/>
      </w:r>
      <w:r>
        <w:rPr>
          <w:sz w:val="24"/>
        </w:rPr>
        <w:t>253</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"_Toc147848084" </w:instrText>
      </w:r>
      <w:r>
        <w:fldChar w:fldCharType="separate"/>
      </w:r>
      <w:r>
        <w:rPr>
          <w:rStyle w:val="39"/>
          <w:rFonts w:ascii="Times New Roman" w:hAnsi="Times New Roman"/>
          <w:sz w:val="24"/>
        </w:rPr>
        <w:t xml:space="preserve">7.4.4 </w:t>
      </w:r>
      <w:r>
        <w:rPr>
          <w:rStyle w:val="39"/>
          <w:rFonts w:hint="eastAsia" w:ascii="Times New Roman" w:hAnsi="Times New Roman"/>
          <w:sz w:val="24"/>
        </w:rPr>
        <w:t>生产工艺过程风险识别</w:t>
      </w:r>
      <w:r>
        <w:rPr>
          <w:sz w:val="24"/>
        </w:rPr>
        <w:tab/>
      </w:r>
      <w:r>
        <w:rPr>
          <w:sz w:val="24"/>
        </w:rPr>
        <w:fldChar w:fldCharType="begin"/>
      </w:r>
      <w:r>
        <w:rPr>
          <w:sz w:val="24"/>
        </w:rPr>
        <w:instrText xml:space="preserve"> PAGEREF _Toc147848084 \h </w:instrText>
      </w:r>
      <w:r>
        <w:rPr>
          <w:sz w:val="24"/>
        </w:rPr>
        <w:fldChar w:fldCharType="separate"/>
      </w:r>
      <w:r>
        <w:rPr>
          <w:sz w:val="24"/>
        </w:rPr>
        <w:t>253</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"_Toc147848085" </w:instrText>
      </w:r>
      <w:r>
        <w:fldChar w:fldCharType="separate"/>
      </w:r>
      <w:r>
        <w:rPr>
          <w:rStyle w:val="39"/>
          <w:rFonts w:ascii="Times New Roman" w:hAnsi="Times New Roman"/>
          <w:sz w:val="24"/>
        </w:rPr>
        <w:t xml:space="preserve">7.4.5 </w:t>
      </w:r>
      <w:r>
        <w:rPr>
          <w:rStyle w:val="39"/>
          <w:rFonts w:hint="eastAsia" w:ascii="Times New Roman" w:hAnsi="Times New Roman"/>
          <w:sz w:val="24"/>
        </w:rPr>
        <w:t>储运过程环境风险识别</w:t>
      </w:r>
      <w:r>
        <w:rPr>
          <w:sz w:val="24"/>
        </w:rPr>
        <w:tab/>
      </w:r>
      <w:r>
        <w:rPr>
          <w:sz w:val="24"/>
        </w:rPr>
        <w:fldChar w:fldCharType="begin"/>
      </w:r>
      <w:r>
        <w:rPr>
          <w:sz w:val="24"/>
        </w:rPr>
        <w:instrText xml:space="preserve"> PAGEREF _Toc147848085 \h </w:instrText>
      </w:r>
      <w:r>
        <w:rPr>
          <w:sz w:val="24"/>
        </w:rPr>
        <w:fldChar w:fldCharType="separate"/>
      </w:r>
      <w:r>
        <w:rPr>
          <w:sz w:val="24"/>
        </w:rPr>
        <w:t>253</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"_Toc147848086" </w:instrText>
      </w:r>
      <w:r>
        <w:fldChar w:fldCharType="separate"/>
      </w:r>
      <w:r>
        <w:rPr>
          <w:rStyle w:val="39"/>
          <w:rFonts w:ascii="Times New Roman" w:hAnsi="Times New Roman"/>
          <w:sz w:val="24"/>
        </w:rPr>
        <w:t xml:space="preserve">7.4.6 </w:t>
      </w:r>
      <w:r>
        <w:rPr>
          <w:rStyle w:val="39"/>
          <w:rFonts w:hint="eastAsia" w:ascii="Times New Roman" w:hAnsi="Times New Roman"/>
          <w:sz w:val="24"/>
        </w:rPr>
        <w:t>环保工程环境风险识别</w:t>
      </w:r>
      <w:r>
        <w:rPr>
          <w:sz w:val="24"/>
        </w:rPr>
        <w:tab/>
      </w:r>
      <w:r>
        <w:rPr>
          <w:sz w:val="24"/>
        </w:rPr>
        <w:fldChar w:fldCharType="begin"/>
      </w:r>
      <w:r>
        <w:rPr>
          <w:sz w:val="24"/>
        </w:rPr>
        <w:instrText xml:space="preserve"> PAGEREF _Toc147848086 \h </w:instrText>
      </w:r>
      <w:r>
        <w:rPr>
          <w:sz w:val="24"/>
        </w:rPr>
        <w:fldChar w:fldCharType="separate"/>
      </w:r>
      <w:r>
        <w:rPr>
          <w:sz w:val="24"/>
        </w:rPr>
        <w:t>254</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"_Toc147848087" </w:instrText>
      </w:r>
      <w:r>
        <w:fldChar w:fldCharType="separate"/>
      </w:r>
      <w:r>
        <w:rPr>
          <w:rStyle w:val="39"/>
          <w:rFonts w:ascii="Times New Roman" w:hAnsi="Times New Roman"/>
          <w:sz w:val="24"/>
        </w:rPr>
        <w:t xml:space="preserve">7.4.7 </w:t>
      </w:r>
      <w:r>
        <w:rPr>
          <w:rStyle w:val="39"/>
          <w:rFonts w:hint="eastAsia" w:ascii="Times New Roman" w:hAnsi="Times New Roman"/>
          <w:sz w:val="24"/>
        </w:rPr>
        <w:t>风险识别结果</w:t>
      </w:r>
      <w:r>
        <w:rPr>
          <w:sz w:val="24"/>
        </w:rPr>
        <w:tab/>
      </w:r>
      <w:r>
        <w:rPr>
          <w:sz w:val="24"/>
        </w:rPr>
        <w:fldChar w:fldCharType="begin"/>
      </w:r>
      <w:r>
        <w:rPr>
          <w:sz w:val="24"/>
        </w:rPr>
        <w:instrText xml:space="preserve"> PAGEREF _Toc147848087 \h </w:instrText>
      </w:r>
      <w:r>
        <w:rPr>
          <w:sz w:val="24"/>
        </w:rPr>
        <w:fldChar w:fldCharType="separate"/>
      </w:r>
      <w:r>
        <w:rPr>
          <w:sz w:val="24"/>
        </w:rPr>
        <w:t>254</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"_Toc147848088" </w:instrText>
      </w:r>
      <w:r>
        <w:fldChar w:fldCharType="separate"/>
      </w:r>
      <w:r>
        <w:rPr>
          <w:rStyle w:val="39"/>
          <w:sz w:val="24"/>
        </w:rPr>
        <w:t xml:space="preserve">7.5 </w:t>
      </w:r>
      <w:r>
        <w:rPr>
          <w:rStyle w:val="39"/>
          <w:rFonts w:hint="eastAsia"/>
          <w:sz w:val="24"/>
        </w:rPr>
        <w:t>源项分析</w:t>
      </w:r>
      <w:r>
        <w:rPr>
          <w:sz w:val="24"/>
        </w:rPr>
        <w:tab/>
      </w:r>
      <w:r>
        <w:rPr>
          <w:sz w:val="24"/>
        </w:rPr>
        <w:fldChar w:fldCharType="begin"/>
      </w:r>
      <w:r>
        <w:rPr>
          <w:sz w:val="24"/>
        </w:rPr>
        <w:instrText xml:space="preserve"> PAGEREF _Toc147848088 \h </w:instrText>
      </w:r>
      <w:r>
        <w:rPr>
          <w:sz w:val="24"/>
        </w:rPr>
        <w:fldChar w:fldCharType="separate"/>
      </w:r>
      <w:r>
        <w:rPr>
          <w:sz w:val="24"/>
        </w:rPr>
        <w:t>255</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"_Toc147848089" </w:instrText>
      </w:r>
      <w:r>
        <w:fldChar w:fldCharType="separate"/>
      </w:r>
      <w:r>
        <w:rPr>
          <w:rStyle w:val="39"/>
          <w:rFonts w:ascii="Times New Roman" w:hAnsi="Times New Roman"/>
          <w:sz w:val="24"/>
        </w:rPr>
        <w:t xml:space="preserve">7.5.1 </w:t>
      </w:r>
      <w:r>
        <w:rPr>
          <w:rStyle w:val="39"/>
          <w:rFonts w:hint="eastAsia" w:ascii="Times New Roman" w:hAnsi="Times New Roman"/>
          <w:sz w:val="24"/>
        </w:rPr>
        <w:t>最大可信事故的确定</w:t>
      </w:r>
      <w:r>
        <w:rPr>
          <w:sz w:val="24"/>
        </w:rPr>
        <w:tab/>
      </w:r>
      <w:r>
        <w:rPr>
          <w:sz w:val="24"/>
        </w:rPr>
        <w:fldChar w:fldCharType="begin"/>
      </w:r>
      <w:r>
        <w:rPr>
          <w:sz w:val="24"/>
        </w:rPr>
        <w:instrText xml:space="preserve"> PAGEREF _Toc147848089 \h </w:instrText>
      </w:r>
      <w:r>
        <w:rPr>
          <w:sz w:val="24"/>
        </w:rPr>
        <w:fldChar w:fldCharType="separate"/>
      </w:r>
      <w:r>
        <w:rPr>
          <w:sz w:val="24"/>
        </w:rPr>
        <w:t>255</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"_Toc147848090" </w:instrText>
      </w:r>
      <w:r>
        <w:fldChar w:fldCharType="separate"/>
      </w:r>
      <w:r>
        <w:rPr>
          <w:rStyle w:val="39"/>
          <w:rFonts w:ascii="Times New Roman" w:hAnsi="Times New Roman"/>
          <w:sz w:val="24"/>
        </w:rPr>
        <w:t xml:space="preserve">7.5.2 </w:t>
      </w:r>
      <w:r>
        <w:rPr>
          <w:rStyle w:val="39"/>
          <w:rFonts w:hint="eastAsia" w:ascii="Times New Roman" w:hAnsi="Times New Roman"/>
          <w:sz w:val="24"/>
        </w:rPr>
        <w:t>大气环境风险事故情景及源项设置</w:t>
      </w:r>
      <w:r>
        <w:rPr>
          <w:sz w:val="24"/>
        </w:rPr>
        <w:tab/>
      </w:r>
      <w:r>
        <w:rPr>
          <w:sz w:val="24"/>
        </w:rPr>
        <w:fldChar w:fldCharType="begin"/>
      </w:r>
      <w:r>
        <w:rPr>
          <w:sz w:val="24"/>
        </w:rPr>
        <w:instrText xml:space="preserve"> PAGEREF _Toc147848090 \h </w:instrText>
      </w:r>
      <w:r>
        <w:rPr>
          <w:sz w:val="24"/>
        </w:rPr>
        <w:fldChar w:fldCharType="separate"/>
      </w:r>
      <w:r>
        <w:rPr>
          <w:sz w:val="24"/>
        </w:rPr>
        <w:t>256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"_Toc147848091" </w:instrText>
      </w:r>
      <w:r>
        <w:fldChar w:fldCharType="separate"/>
      </w:r>
      <w:r>
        <w:rPr>
          <w:rStyle w:val="39"/>
          <w:rFonts w:ascii="Times New Roman" w:hAnsi="Times New Roman"/>
          <w:sz w:val="24"/>
        </w:rPr>
        <w:t xml:space="preserve">7.5.3 </w:t>
      </w:r>
      <w:r>
        <w:rPr>
          <w:rStyle w:val="39"/>
          <w:rFonts w:hint="eastAsia" w:ascii="Times New Roman" w:hAnsi="Times New Roman"/>
          <w:sz w:val="24"/>
        </w:rPr>
        <w:t>地表水环境风险事故情景及源项设置</w:t>
      </w:r>
      <w:r>
        <w:rPr>
          <w:sz w:val="24"/>
        </w:rPr>
        <w:tab/>
      </w:r>
      <w:r>
        <w:rPr>
          <w:sz w:val="24"/>
        </w:rPr>
        <w:fldChar w:fldCharType="begin"/>
      </w:r>
      <w:r>
        <w:rPr>
          <w:sz w:val="24"/>
        </w:rPr>
        <w:instrText xml:space="preserve"> PAGEREF _Toc147848091 \h </w:instrText>
      </w:r>
      <w:r>
        <w:rPr>
          <w:sz w:val="24"/>
        </w:rPr>
        <w:fldChar w:fldCharType="separate"/>
      </w:r>
      <w:r>
        <w:rPr>
          <w:sz w:val="24"/>
        </w:rPr>
        <w:t>256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"_Toc147848092" </w:instrText>
      </w:r>
      <w:r>
        <w:fldChar w:fldCharType="separate"/>
      </w:r>
      <w:r>
        <w:rPr>
          <w:rStyle w:val="39"/>
          <w:rFonts w:ascii="Times New Roman" w:hAnsi="Times New Roman"/>
          <w:sz w:val="24"/>
        </w:rPr>
        <w:t xml:space="preserve">7.5.4 </w:t>
      </w:r>
      <w:r>
        <w:rPr>
          <w:rStyle w:val="39"/>
          <w:rFonts w:hint="eastAsia" w:ascii="Times New Roman" w:hAnsi="Times New Roman"/>
          <w:sz w:val="24"/>
        </w:rPr>
        <w:t>地下水环境风险事故情景及源项设置</w:t>
      </w:r>
      <w:r>
        <w:rPr>
          <w:sz w:val="24"/>
        </w:rPr>
        <w:tab/>
      </w:r>
      <w:r>
        <w:rPr>
          <w:sz w:val="24"/>
        </w:rPr>
        <w:fldChar w:fldCharType="begin"/>
      </w:r>
      <w:r>
        <w:rPr>
          <w:sz w:val="24"/>
        </w:rPr>
        <w:instrText xml:space="preserve"> PAGEREF _Toc147848092 \h </w:instrText>
      </w:r>
      <w:r>
        <w:rPr>
          <w:sz w:val="24"/>
        </w:rPr>
        <w:fldChar w:fldCharType="separate"/>
      </w:r>
      <w:r>
        <w:rPr>
          <w:sz w:val="24"/>
        </w:rPr>
        <w:t>257</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"_Toc147848093" </w:instrText>
      </w:r>
      <w:r>
        <w:fldChar w:fldCharType="separate"/>
      </w:r>
      <w:r>
        <w:rPr>
          <w:rStyle w:val="39"/>
          <w:sz w:val="24"/>
        </w:rPr>
        <w:t xml:space="preserve">7.6 </w:t>
      </w:r>
      <w:r>
        <w:rPr>
          <w:rStyle w:val="39"/>
          <w:rFonts w:hint="eastAsia"/>
          <w:sz w:val="24"/>
        </w:rPr>
        <w:t>风险预测与评价</w:t>
      </w:r>
      <w:r>
        <w:rPr>
          <w:sz w:val="24"/>
        </w:rPr>
        <w:tab/>
      </w:r>
      <w:r>
        <w:rPr>
          <w:sz w:val="24"/>
        </w:rPr>
        <w:fldChar w:fldCharType="begin"/>
      </w:r>
      <w:r>
        <w:rPr>
          <w:sz w:val="24"/>
        </w:rPr>
        <w:instrText xml:space="preserve"> PAGEREF _Toc147848093 \h </w:instrText>
      </w:r>
      <w:r>
        <w:rPr>
          <w:sz w:val="24"/>
        </w:rPr>
        <w:fldChar w:fldCharType="separate"/>
      </w:r>
      <w:r>
        <w:rPr>
          <w:sz w:val="24"/>
        </w:rPr>
        <w:t>257</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"_Toc147848094" </w:instrText>
      </w:r>
      <w:r>
        <w:fldChar w:fldCharType="separate"/>
      </w:r>
      <w:r>
        <w:rPr>
          <w:rStyle w:val="39"/>
          <w:rFonts w:ascii="Times New Roman" w:hAnsi="Times New Roman"/>
          <w:sz w:val="24"/>
        </w:rPr>
        <w:t xml:space="preserve">7.6.1 </w:t>
      </w:r>
      <w:r>
        <w:rPr>
          <w:rStyle w:val="39"/>
          <w:rFonts w:hint="eastAsia" w:ascii="Times New Roman" w:hAnsi="Times New Roman"/>
          <w:sz w:val="24"/>
        </w:rPr>
        <w:t>大气环境风险预测与评价</w:t>
      </w:r>
      <w:r>
        <w:rPr>
          <w:sz w:val="24"/>
        </w:rPr>
        <w:tab/>
      </w:r>
      <w:r>
        <w:rPr>
          <w:sz w:val="24"/>
        </w:rPr>
        <w:fldChar w:fldCharType="begin"/>
      </w:r>
      <w:r>
        <w:rPr>
          <w:sz w:val="24"/>
        </w:rPr>
        <w:instrText xml:space="preserve"> PAGEREF _Toc147848094 \h </w:instrText>
      </w:r>
      <w:r>
        <w:rPr>
          <w:sz w:val="24"/>
        </w:rPr>
        <w:fldChar w:fldCharType="separate"/>
      </w:r>
      <w:r>
        <w:rPr>
          <w:sz w:val="24"/>
        </w:rPr>
        <w:t>257</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"_Toc147848095" </w:instrText>
      </w:r>
      <w:r>
        <w:fldChar w:fldCharType="separate"/>
      </w:r>
      <w:r>
        <w:rPr>
          <w:rStyle w:val="39"/>
          <w:rFonts w:ascii="Times New Roman" w:hAnsi="Times New Roman"/>
          <w:sz w:val="24"/>
        </w:rPr>
        <w:t xml:space="preserve">7.6.2 </w:t>
      </w:r>
      <w:r>
        <w:rPr>
          <w:rStyle w:val="39"/>
          <w:rFonts w:hint="eastAsia" w:ascii="Times New Roman" w:hAnsi="Times New Roman"/>
          <w:sz w:val="24"/>
        </w:rPr>
        <w:t>地表水环境风险预测与评价</w:t>
      </w:r>
      <w:r>
        <w:rPr>
          <w:sz w:val="24"/>
        </w:rPr>
        <w:tab/>
      </w:r>
      <w:r>
        <w:rPr>
          <w:sz w:val="24"/>
        </w:rPr>
        <w:fldChar w:fldCharType="begin"/>
      </w:r>
      <w:r>
        <w:rPr>
          <w:sz w:val="24"/>
        </w:rPr>
        <w:instrText xml:space="preserve"> PAGEREF _Toc147848095 \h </w:instrText>
      </w:r>
      <w:r>
        <w:rPr>
          <w:sz w:val="24"/>
        </w:rPr>
        <w:fldChar w:fldCharType="separate"/>
      </w:r>
      <w:r>
        <w:rPr>
          <w:sz w:val="24"/>
        </w:rPr>
        <w:t>261</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"_Toc147848096" </w:instrText>
      </w:r>
      <w:r>
        <w:fldChar w:fldCharType="separate"/>
      </w:r>
      <w:r>
        <w:rPr>
          <w:rStyle w:val="39"/>
          <w:rFonts w:ascii="Times New Roman" w:hAnsi="Times New Roman"/>
          <w:sz w:val="24"/>
        </w:rPr>
        <w:t xml:space="preserve">7.6.3 </w:t>
      </w:r>
      <w:r>
        <w:rPr>
          <w:rStyle w:val="39"/>
          <w:rFonts w:hint="eastAsia" w:ascii="Times New Roman" w:hAnsi="Times New Roman"/>
          <w:sz w:val="24"/>
        </w:rPr>
        <w:t>地下水环境风险预测与评价</w:t>
      </w:r>
      <w:r>
        <w:rPr>
          <w:sz w:val="24"/>
        </w:rPr>
        <w:tab/>
      </w:r>
      <w:r>
        <w:rPr>
          <w:sz w:val="24"/>
        </w:rPr>
        <w:fldChar w:fldCharType="begin"/>
      </w:r>
      <w:r>
        <w:rPr>
          <w:sz w:val="24"/>
        </w:rPr>
        <w:instrText xml:space="preserve"> PAGEREF _Toc147848096 \h </w:instrText>
      </w:r>
      <w:r>
        <w:rPr>
          <w:sz w:val="24"/>
        </w:rPr>
        <w:fldChar w:fldCharType="separate"/>
      </w:r>
      <w:r>
        <w:rPr>
          <w:sz w:val="24"/>
        </w:rPr>
        <w:t>262</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"_Toc147848097" </w:instrText>
      </w:r>
      <w:r>
        <w:fldChar w:fldCharType="separate"/>
      </w:r>
      <w:r>
        <w:rPr>
          <w:rStyle w:val="39"/>
          <w:sz w:val="24"/>
        </w:rPr>
        <w:t xml:space="preserve">7.7 </w:t>
      </w:r>
      <w:r>
        <w:rPr>
          <w:rStyle w:val="39"/>
          <w:rFonts w:hint="eastAsia"/>
          <w:sz w:val="24"/>
        </w:rPr>
        <w:t>风险防范</w:t>
      </w:r>
      <w:r>
        <w:rPr>
          <w:sz w:val="24"/>
        </w:rPr>
        <w:tab/>
      </w:r>
      <w:r>
        <w:rPr>
          <w:sz w:val="24"/>
        </w:rPr>
        <w:fldChar w:fldCharType="begin"/>
      </w:r>
      <w:r>
        <w:rPr>
          <w:sz w:val="24"/>
        </w:rPr>
        <w:instrText xml:space="preserve"> PAGEREF _Toc147848097 \h </w:instrText>
      </w:r>
      <w:r>
        <w:rPr>
          <w:sz w:val="24"/>
        </w:rPr>
        <w:fldChar w:fldCharType="separate"/>
      </w:r>
      <w:r>
        <w:rPr>
          <w:sz w:val="24"/>
        </w:rPr>
        <w:t>262</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"_Toc147848098" </w:instrText>
      </w:r>
      <w:r>
        <w:fldChar w:fldCharType="separate"/>
      </w:r>
      <w:r>
        <w:rPr>
          <w:rStyle w:val="39"/>
          <w:rFonts w:ascii="Times New Roman" w:hAnsi="Times New Roman"/>
          <w:sz w:val="24"/>
        </w:rPr>
        <w:t xml:space="preserve">7.7.1 </w:t>
      </w:r>
      <w:r>
        <w:rPr>
          <w:rStyle w:val="39"/>
          <w:rFonts w:hint="eastAsia" w:ascii="Times New Roman" w:hAnsi="Times New Roman"/>
          <w:sz w:val="24"/>
        </w:rPr>
        <w:t>风险防范与管理</w:t>
      </w:r>
      <w:r>
        <w:rPr>
          <w:sz w:val="24"/>
        </w:rPr>
        <w:tab/>
      </w:r>
      <w:r>
        <w:rPr>
          <w:sz w:val="24"/>
        </w:rPr>
        <w:fldChar w:fldCharType="begin"/>
      </w:r>
      <w:r>
        <w:rPr>
          <w:sz w:val="24"/>
        </w:rPr>
        <w:instrText xml:space="preserve"> PAGEREF _Toc147848098 \h </w:instrText>
      </w:r>
      <w:r>
        <w:rPr>
          <w:sz w:val="24"/>
        </w:rPr>
        <w:fldChar w:fldCharType="separate"/>
      </w:r>
      <w:r>
        <w:rPr>
          <w:sz w:val="24"/>
        </w:rPr>
        <w:t>262</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"_Toc147848099" </w:instrText>
      </w:r>
      <w:r>
        <w:fldChar w:fldCharType="separate"/>
      </w:r>
      <w:r>
        <w:rPr>
          <w:rStyle w:val="39"/>
          <w:rFonts w:ascii="Times New Roman" w:hAnsi="Times New Roman"/>
          <w:sz w:val="24"/>
        </w:rPr>
        <w:t xml:space="preserve">7.7.2 </w:t>
      </w:r>
      <w:r>
        <w:rPr>
          <w:rStyle w:val="39"/>
          <w:rFonts w:hint="eastAsia" w:ascii="Times New Roman" w:hAnsi="Times New Roman"/>
          <w:sz w:val="24"/>
        </w:rPr>
        <w:t>风险防范措施</w:t>
      </w:r>
      <w:r>
        <w:rPr>
          <w:sz w:val="24"/>
        </w:rPr>
        <w:tab/>
      </w:r>
      <w:r>
        <w:rPr>
          <w:sz w:val="24"/>
        </w:rPr>
        <w:fldChar w:fldCharType="begin"/>
      </w:r>
      <w:r>
        <w:rPr>
          <w:sz w:val="24"/>
        </w:rPr>
        <w:instrText xml:space="preserve"> PAGEREF _Toc147848099 \h </w:instrText>
      </w:r>
      <w:r>
        <w:rPr>
          <w:sz w:val="24"/>
        </w:rPr>
        <w:fldChar w:fldCharType="separate"/>
      </w:r>
      <w:r>
        <w:rPr>
          <w:sz w:val="24"/>
        </w:rPr>
        <w:t>263</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"_Toc147848100" </w:instrText>
      </w:r>
      <w:r>
        <w:fldChar w:fldCharType="separate"/>
      </w:r>
      <w:r>
        <w:rPr>
          <w:rStyle w:val="39"/>
          <w:sz w:val="24"/>
        </w:rPr>
        <w:t xml:space="preserve">7.8 </w:t>
      </w:r>
      <w:r>
        <w:rPr>
          <w:rStyle w:val="39"/>
          <w:rFonts w:hint="eastAsia"/>
          <w:sz w:val="24"/>
        </w:rPr>
        <w:t>应急预案</w:t>
      </w:r>
      <w:r>
        <w:rPr>
          <w:sz w:val="24"/>
        </w:rPr>
        <w:tab/>
      </w:r>
      <w:r>
        <w:rPr>
          <w:sz w:val="24"/>
        </w:rPr>
        <w:fldChar w:fldCharType="begin"/>
      </w:r>
      <w:r>
        <w:rPr>
          <w:sz w:val="24"/>
        </w:rPr>
        <w:instrText xml:space="preserve"> PAGEREF _Toc147848100 \h </w:instrText>
      </w:r>
      <w:r>
        <w:rPr>
          <w:sz w:val="24"/>
        </w:rPr>
        <w:fldChar w:fldCharType="separate"/>
      </w:r>
      <w:r>
        <w:rPr>
          <w:sz w:val="24"/>
        </w:rPr>
        <w:t>273</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"_Toc147848101" </w:instrText>
      </w:r>
      <w:r>
        <w:fldChar w:fldCharType="separate"/>
      </w:r>
      <w:r>
        <w:rPr>
          <w:rStyle w:val="39"/>
          <w:sz w:val="24"/>
        </w:rPr>
        <w:t xml:space="preserve">7.9 </w:t>
      </w:r>
      <w:r>
        <w:rPr>
          <w:rStyle w:val="39"/>
          <w:rFonts w:hint="eastAsia"/>
          <w:sz w:val="24"/>
        </w:rPr>
        <w:t>梯次利用车间的风险分析</w:t>
      </w:r>
      <w:r>
        <w:rPr>
          <w:sz w:val="24"/>
        </w:rPr>
        <w:tab/>
      </w:r>
      <w:r>
        <w:rPr>
          <w:sz w:val="24"/>
        </w:rPr>
        <w:fldChar w:fldCharType="begin"/>
      </w:r>
      <w:r>
        <w:rPr>
          <w:sz w:val="24"/>
        </w:rPr>
        <w:instrText xml:space="preserve"> PAGEREF _Toc147848101 \h </w:instrText>
      </w:r>
      <w:r>
        <w:rPr>
          <w:sz w:val="24"/>
        </w:rPr>
        <w:fldChar w:fldCharType="separate"/>
      </w:r>
      <w:r>
        <w:rPr>
          <w:sz w:val="24"/>
        </w:rPr>
        <w:t>274</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"_Toc147848102" </w:instrText>
      </w:r>
      <w:r>
        <w:fldChar w:fldCharType="separate"/>
      </w:r>
      <w:r>
        <w:rPr>
          <w:rStyle w:val="39"/>
          <w:rFonts w:ascii="Times New Roman" w:hAnsi="Times New Roman"/>
          <w:sz w:val="24"/>
        </w:rPr>
        <w:t xml:space="preserve">7.9.1 </w:t>
      </w:r>
      <w:r>
        <w:rPr>
          <w:rStyle w:val="39"/>
          <w:rFonts w:hint="eastAsia" w:ascii="Times New Roman" w:hAnsi="Times New Roman"/>
          <w:sz w:val="24"/>
        </w:rPr>
        <w:t>环境风险分析</w:t>
      </w:r>
      <w:r>
        <w:rPr>
          <w:sz w:val="24"/>
        </w:rPr>
        <w:tab/>
      </w:r>
      <w:r>
        <w:rPr>
          <w:sz w:val="24"/>
        </w:rPr>
        <w:fldChar w:fldCharType="begin"/>
      </w:r>
      <w:r>
        <w:rPr>
          <w:sz w:val="24"/>
        </w:rPr>
        <w:instrText xml:space="preserve"> PAGEREF _Toc147848102 \h </w:instrText>
      </w:r>
      <w:r>
        <w:rPr>
          <w:sz w:val="24"/>
        </w:rPr>
        <w:fldChar w:fldCharType="separate"/>
      </w:r>
      <w:r>
        <w:rPr>
          <w:sz w:val="24"/>
        </w:rPr>
        <w:t>274</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"_Toc147848103" </w:instrText>
      </w:r>
      <w:r>
        <w:fldChar w:fldCharType="separate"/>
      </w:r>
      <w:r>
        <w:rPr>
          <w:rStyle w:val="39"/>
          <w:rFonts w:ascii="Times New Roman" w:hAnsi="Times New Roman"/>
          <w:sz w:val="24"/>
        </w:rPr>
        <w:t xml:space="preserve">7.9.2 </w:t>
      </w:r>
      <w:r>
        <w:rPr>
          <w:rStyle w:val="39"/>
          <w:rFonts w:hint="eastAsia" w:ascii="Times New Roman" w:hAnsi="Times New Roman"/>
          <w:sz w:val="24"/>
        </w:rPr>
        <w:t>风险防范措施</w:t>
      </w:r>
      <w:r>
        <w:rPr>
          <w:sz w:val="24"/>
        </w:rPr>
        <w:tab/>
      </w:r>
      <w:r>
        <w:rPr>
          <w:sz w:val="24"/>
        </w:rPr>
        <w:fldChar w:fldCharType="begin"/>
      </w:r>
      <w:r>
        <w:rPr>
          <w:sz w:val="24"/>
        </w:rPr>
        <w:instrText xml:space="preserve"> PAGEREF _Toc147848103 \h </w:instrText>
      </w:r>
      <w:r>
        <w:rPr>
          <w:sz w:val="24"/>
        </w:rPr>
        <w:fldChar w:fldCharType="separate"/>
      </w:r>
      <w:r>
        <w:rPr>
          <w:sz w:val="24"/>
        </w:rPr>
        <w:t>275</w:t>
      </w:r>
      <w:r>
        <w:rPr>
          <w:sz w:val="24"/>
        </w:rPr>
        <w:fldChar w:fldCharType="end"/>
      </w:r>
      <w:r>
        <w:rPr>
          <w:sz w:val="24"/>
        </w:rPr>
        <w:fldChar w:fldCharType="end"/>
      </w:r>
    </w:p>
    <w:p>
      <w:pPr>
        <w:pStyle w:val="24"/>
        <w:tabs>
          <w:tab w:val="right" w:leader="dot" w:pos="8296"/>
        </w:tabs>
        <w:spacing w:line="360" w:lineRule="auto"/>
        <w:rPr>
          <w:rFonts w:asciiTheme="minorHAnsi" w:hAnsiTheme="minorHAnsi" w:eastAsiaTheme="minorEastAsia" w:cstheme="minorBidi"/>
          <w:sz w:val="24"/>
        </w:rPr>
      </w:pPr>
      <w:r>
        <w:fldChar w:fldCharType="begin"/>
      </w:r>
      <w:r>
        <w:instrText xml:space="preserve"> HYPERLINK \l "_Toc147848104" </w:instrText>
      </w:r>
      <w:r>
        <w:fldChar w:fldCharType="separate"/>
      </w:r>
      <w:r>
        <w:rPr>
          <w:rStyle w:val="39"/>
          <w:rFonts w:hint="eastAsia" w:ascii="Times New Roman" w:hAnsi="Times New Roman"/>
          <w:sz w:val="24"/>
        </w:rPr>
        <w:t>第</w:t>
      </w:r>
      <w:r>
        <w:rPr>
          <w:rStyle w:val="39"/>
          <w:rFonts w:ascii="Times New Roman" w:hAnsi="Times New Roman"/>
          <w:sz w:val="24"/>
        </w:rPr>
        <w:t>8</w:t>
      </w:r>
      <w:r>
        <w:rPr>
          <w:rStyle w:val="39"/>
          <w:rFonts w:hint="eastAsia" w:ascii="Times New Roman" w:hAnsi="Times New Roman"/>
          <w:sz w:val="24"/>
        </w:rPr>
        <w:t>章</w:t>
      </w:r>
      <w:r>
        <w:rPr>
          <w:rStyle w:val="39"/>
          <w:rFonts w:ascii="Times New Roman" w:hAnsi="Times New Roman"/>
          <w:sz w:val="24"/>
        </w:rPr>
        <w:t xml:space="preserve"> </w:t>
      </w:r>
      <w:r>
        <w:rPr>
          <w:rStyle w:val="39"/>
          <w:rFonts w:hint="eastAsia" w:ascii="Times New Roman" w:hAnsi="Times New Roman"/>
          <w:sz w:val="24"/>
        </w:rPr>
        <w:t>污染防治措施可行性分析</w:t>
      </w:r>
      <w:r>
        <w:rPr>
          <w:sz w:val="24"/>
        </w:rPr>
        <w:tab/>
      </w:r>
      <w:r>
        <w:rPr>
          <w:sz w:val="24"/>
        </w:rPr>
        <w:fldChar w:fldCharType="begin"/>
      </w:r>
      <w:r>
        <w:rPr>
          <w:sz w:val="24"/>
        </w:rPr>
        <w:instrText xml:space="preserve"> PAGEREF _Toc147848104 \h </w:instrText>
      </w:r>
      <w:r>
        <w:rPr>
          <w:sz w:val="24"/>
        </w:rPr>
        <w:fldChar w:fldCharType="separate"/>
      </w:r>
      <w:r>
        <w:rPr>
          <w:sz w:val="24"/>
        </w:rPr>
        <w:t>277</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"_Toc147848105" </w:instrText>
      </w:r>
      <w:r>
        <w:fldChar w:fldCharType="separate"/>
      </w:r>
      <w:r>
        <w:rPr>
          <w:rStyle w:val="39"/>
          <w:sz w:val="24"/>
        </w:rPr>
        <w:t xml:space="preserve">8.1 </w:t>
      </w:r>
      <w:r>
        <w:rPr>
          <w:rStyle w:val="39"/>
          <w:rFonts w:hint="eastAsia"/>
          <w:sz w:val="24"/>
        </w:rPr>
        <w:t>施工期污染防治措施分析</w:t>
      </w:r>
      <w:r>
        <w:rPr>
          <w:sz w:val="24"/>
        </w:rPr>
        <w:tab/>
      </w:r>
      <w:r>
        <w:rPr>
          <w:sz w:val="24"/>
        </w:rPr>
        <w:fldChar w:fldCharType="begin"/>
      </w:r>
      <w:r>
        <w:rPr>
          <w:sz w:val="24"/>
        </w:rPr>
        <w:instrText xml:space="preserve"> PAGEREF _Toc147848105 \h </w:instrText>
      </w:r>
      <w:r>
        <w:rPr>
          <w:sz w:val="24"/>
        </w:rPr>
        <w:fldChar w:fldCharType="separate"/>
      </w:r>
      <w:r>
        <w:rPr>
          <w:sz w:val="24"/>
        </w:rPr>
        <w:t>277</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"_Toc147848106" </w:instrText>
      </w:r>
      <w:r>
        <w:fldChar w:fldCharType="separate"/>
      </w:r>
      <w:r>
        <w:rPr>
          <w:rStyle w:val="39"/>
          <w:rFonts w:ascii="Times New Roman" w:hAnsi="Times New Roman"/>
          <w:sz w:val="24"/>
        </w:rPr>
        <w:t xml:space="preserve">8.1.1 </w:t>
      </w:r>
      <w:r>
        <w:rPr>
          <w:rStyle w:val="39"/>
          <w:rFonts w:hint="eastAsia" w:ascii="Times New Roman" w:hAnsi="Times New Roman"/>
          <w:sz w:val="24"/>
        </w:rPr>
        <w:t>施工期大气污染防治措施分析</w:t>
      </w:r>
      <w:r>
        <w:rPr>
          <w:sz w:val="24"/>
        </w:rPr>
        <w:tab/>
      </w:r>
      <w:r>
        <w:rPr>
          <w:sz w:val="24"/>
        </w:rPr>
        <w:fldChar w:fldCharType="begin"/>
      </w:r>
      <w:r>
        <w:rPr>
          <w:sz w:val="24"/>
        </w:rPr>
        <w:instrText xml:space="preserve"> PAGEREF _Toc147848106 \h </w:instrText>
      </w:r>
      <w:r>
        <w:rPr>
          <w:sz w:val="24"/>
        </w:rPr>
        <w:fldChar w:fldCharType="separate"/>
      </w:r>
      <w:r>
        <w:rPr>
          <w:sz w:val="24"/>
        </w:rPr>
        <w:t>277</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"_Toc147848107" </w:instrText>
      </w:r>
      <w:r>
        <w:fldChar w:fldCharType="separate"/>
      </w:r>
      <w:r>
        <w:rPr>
          <w:rStyle w:val="39"/>
          <w:rFonts w:ascii="Times New Roman" w:hAnsi="Times New Roman"/>
          <w:sz w:val="24"/>
        </w:rPr>
        <w:t xml:space="preserve">8.1.2 </w:t>
      </w:r>
      <w:r>
        <w:rPr>
          <w:rStyle w:val="39"/>
          <w:rFonts w:hint="eastAsia" w:ascii="Times New Roman" w:hAnsi="Times New Roman"/>
          <w:sz w:val="24"/>
        </w:rPr>
        <w:t>施工期水污染防治措施分析</w:t>
      </w:r>
      <w:r>
        <w:rPr>
          <w:sz w:val="24"/>
        </w:rPr>
        <w:tab/>
      </w:r>
      <w:r>
        <w:rPr>
          <w:sz w:val="24"/>
        </w:rPr>
        <w:fldChar w:fldCharType="begin"/>
      </w:r>
      <w:r>
        <w:rPr>
          <w:sz w:val="24"/>
        </w:rPr>
        <w:instrText xml:space="preserve"> PAGEREF _Toc147848107 \h </w:instrText>
      </w:r>
      <w:r>
        <w:rPr>
          <w:sz w:val="24"/>
        </w:rPr>
        <w:fldChar w:fldCharType="separate"/>
      </w:r>
      <w:r>
        <w:rPr>
          <w:sz w:val="24"/>
        </w:rPr>
        <w:t>278</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"_Toc147848108" </w:instrText>
      </w:r>
      <w:r>
        <w:fldChar w:fldCharType="separate"/>
      </w:r>
      <w:r>
        <w:rPr>
          <w:rStyle w:val="39"/>
          <w:rFonts w:ascii="Times New Roman" w:hAnsi="Times New Roman"/>
          <w:sz w:val="24"/>
        </w:rPr>
        <w:t xml:space="preserve">8.1.3 </w:t>
      </w:r>
      <w:r>
        <w:rPr>
          <w:rStyle w:val="39"/>
          <w:rFonts w:hint="eastAsia" w:ascii="Times New Roman" w:hAnsi="Times New Roman"/>
          <w:sz w:val="24"/>
        </w:rPr>
        <w:t>施工期噪声污染防治措施分析</w:t>
      </w:r>
      <w:r>
        <w:rPr>
          <w:sz w:val="24"/>
        </w:rPr>
        <w:tab/>
      </w:r>
      <w:r>
        <w:rPr>
          <w:sz w:val="24"/>
        </w:rPr>
        <w:fldChar w:fldCharType="begin"/>
      </w:r>
      <w:r>
        <w:rPr>
          <w:sz w:val="24"/>
        </w:rPr>
        <w:instrText xml:space="preserve"> PAGEREF _Toc147848108 \h </w:instrText>
      </w:r>
      <w:r>
        <w:rPr>
          <w:sz w:val="24"/>
        </w:rPr>
        <w:fldChar w:fldCharType="separate"/>
      </w:r>
      <w:r>
        <w:rPr>
          <w:sz w:val="24"/>
        </w:rPr>
        <w:t>279</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"_Toc147848109" </w:instrText>
      </w:r>
      <w:r>
        <w:fldChar w:fldCharType="separate"/>
      </w:r>
      <w:r>
        <w:rPr>
          <w:rStyle w:val="39"/>
          <w:rFonts w:ascii="Times New Roman" w:hAnsi="Times New Roman"/>
          <w:sz w:val="24"/>
        </w:rPr>
        <w:t xml:space="preserve">8.1.4 </w:t>
      </w:r>
      <w:r>
        <w:rPr>
          <w:rStyle w:val="39"/>
          <w:rFonts w:hint="eastAsia" w:ascii="Times New Roman" w:hAnsi="Times New Roman"/>
          <w:sz w:val="24"/>
        </w:rPr>
        <w:t>施工期固体废物污染防治措施分析</w:t>
      </w:r>
      <w:r>
        <w:rPr>
          <w:sz w:val="24"/>
        </w:rPr>
        <w:tab/>
      </w:r>
      <w:r>
        <w:rPr>
          <w:sz w:val="24"/>
        </w:rPr>
        <w:fldChar w:fldCharType="begin"/>
      </w:r>
      <w:r>
        <w:rPr>
          <w:sz w:val="24"/>
        </w:rPr>
        <w:instrText xml:space="preserve"> PAGEREF _Toc147848109 \h </w:instrText>
      </w:r>
      <w:r>
        <w:rPr>
          <w:sz w:val="24"/>
        </w:rPr>
        <w:fldChar w:fldCharType="separate"/>
      </w:r>
      <w:r>
        <w:rPr>
          <w:sz w:val="24"/>
        </w:rPr>
        <w:t>280</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"_Toc147848110" </w:instrText>
      </w:r>
      <w:r>
        <w:fldChar w:fldCharType="separate"/>
      </w:r>
      <w:r>
        <w:rPr>
          <w:rStyle w:val="39"/>
          <w:sz w:val="24"/>
        </w:rPr>
        <w:t xml:space="preserve">8.2 </w:t>
      </w:r>
      <w:r>
        <w:rPr>
          <w:rStyle w:val="39"/>
          <w:rFonts w:hint="eastAsia"/>
          <w:sz w:val="24"/>
        </w:rPr>
        <w:t>运营期污染防治措施分析</w:t>
      </w:r>
      <w:r>
        <w:rPr>
          <w:sz w:val="24"/>
        </w:rPr>
        <w:tab/>
      </w:r>
      <w:r>
        <w:rPr>
          <w:sz w:val="24"/>
        </w:rPr>
        <w:fldChar w:fldCharType="begin"/>
      </w:r>
      <w:r>
        <w:rPr>
          <w:sz w:val="24"/>
        </w:rPr>
        <w:instrText xml:space="preserve"> PAGEREF _Toc147848110 \h </w:instrText>
      </w:r>
      <w:r>
        <w:rPr>
          <w:sz w:val="24"/>
        </w:rPr>
        <w:fldChar w:fldCharType="separate"/>
      </w:r>
      <w:r>
        <w:rPr>
          <w:sz w:val="24"/>
        </w:rPr>
        <w:t>281</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"_Toc147848111" </w:instrText>
      </w:r>
      <w:r>
        <w:fldChar w:fldCharType="separate"/>
      </w:r>
      <w:r>
        <w:rPr>
          <w:rStyle w:val="39"/>
          <w:rFonts w:ascii="Times New Roman" w:hAnsi="Times New Roman"/>
          <w:sz w:val="24"/>
        </w:rPr>
        <w:t xml:space="preserve">8.2.1 </w:t>
      </w:r>
      <w:r>
        <w:rPr>
          <w:rStyle w:val="39"/>
          <w:rFonts w:hint="eastAsia" w:ascii="Times New Roman" w:hAnsi="Times New Roman"/>
          <w:sz w:val="24"/>
        </w:rPr>
        <w:t>运营期大气污染防治措施分析</w:t>
      </w:r>
      <w:r>
        <w:rPr>
          <w:sz w:val="24"/>
        </w:rPr>
        <w:tab/>
      </w:r>
      <w:r>
        <w:rPr>
          <w:sz w:val="24"/>
        </w:rPr>
        <w:fldChar w:fldCharType="begin"/>
      </w:r>
      <w:r>
        <w:rPr>
          <w:sz w:val="24"/>
        </w:rPr>
        <w:instrText xml:space="preserve"> PAGEREF _Toc147848111 \h </w:instrText>
      </w:r>
      <w:r>
        <w:rPr>
          <w:sz w:val="24"/>
        </w:rPr>
        <w:fldChar w:fldCharType="separate"/>
      </w:r>
      <w:r>
        <w:rPr>
          <w:sz w:val="24"/>
        </w:rPr>
        <w:t>281</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"_Toc147848112" </w:instrText>
      </w:r>
      <w:r>
        <w:fldChar w:fldCharType="separate"/>
      </w:r>
      <w:r>
        <w:rPr>
          <w:rStyle w:val="39"/>
          <w:rFonts w:ascii="Times New Roman" w:hAnsi="Times New Roman"/>
          <w:sz w:val="24"/>
        </w:rPr>
        <w:t xml:space="preserve">8.2.2 </w:t>
      </w:r>
      <w:r>
        <w:rPr>
          <w:rStyle w:val="39"/>
          <w:rFonts w:hint="eastAsia" w:ascii="Times New Roman" w:hAnsi="Times New Roman"/>
          <w:sz w:val="24"/>
        </w:rPr>
        <w:t>运营期水污染防治措施分析</w:t>
      </w:r>
      <w:r>
        <w:rPr>
          <w:sz w:val="24"/>
        </w:rPr>
        <w:tab/>
      </w:r>
      <w:r>
        <w:rPr>
          <w:sz w:val="24"/>
        </w:rPr>
        <w:fldChar w:fldCharType="begin"/>
      </w:r>
      <w:r>
        <w:rPr>
          <w:sz w:val="24"/>
        </w:rPr>
        <w:instrText xml:space="preserve"> PAGEREF _Toc147848112 \h </w:instrText>
      </w:r>
      <w:r>
        <w:rPr>
          <w:sz w:val="24"/>
        </w:rPr>
        <w:fldChar w:fldCharType="separate"/>
      </w:r>
      <w:r>
        <w:rPr>
          <w:sz w:val="24"/>
        </w:rPr>
        <w:t>292</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"_Toc147848113" </w:instrText>
      </w:r>
      <w:r>
        <w:fldChar w:fldCharType="separate"/>
      </w:r>
      <w:r>
        <w:rPr>
          <w:rStyle w:val="39"/>
          <w:rFonts w:ascii="Times New Roman" w:hAnsi="Times New Roman"/>
          <w:sz w:val="24"/>
        </w:rPr>
        <w:t xml:space="preserve">8.2.3 </w:t>
      </w:r>
      <w:r>
        <w:rPr>
          <w:rStyle w:val="39"/>
          <w:rFonts w:hint="eastAsia" w:ascii="Times New Roman" w:hAnsi="Times New Roman"/>
          <w:sz w:val="24"/>
        </w:rPr>
        <w:t>运营期地下水污染防治措施分析</w:t>
      </w:r>
      <w:r>
        <w:rPr>
          <w:sz w:val="24"/>
        </w:rPr>
        <w:tab/>
      </w:r>
      <w:r>
        <w:rPr>
          <w:sz w:val="24"/>
        </w:rPr>
        <w:fldChar w:fldCharType="begin"/>
      </w:r>
      <w:r>
        <w:rPr>
          <w:sz w:val="24"/>
        </w:rPr>
        <w:instrText xml:space="preserve"> PAGEREF _Toc147848113 \h </w:instrText>
      </w:r>
      <w:r>
        <w:rPr>
          <w:sz w:val="24"/>
        </w:rPr>
        <w:fldChar w:fldCharType="separate"/>
      </w:r>
      <w:r>
        <w:rPr>
          <w:sz w:val="24"/>
        </w:rPr>
        <w:t>294</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"_Toc147848114" </w:instrText>
      </w:r>
      <w:r>
        <w:fldChar w:fldCharType="separate"/>
      </w:r>
      <w:r>
        <w:rPr>
          <w:rStyle w:val="39"/>
          <w:rFonts w:ascii="Times New Roman" w:hAnsi="Times New Roman"/>
          <w:sz w:val="24"/>
        </w:rPr>
        <w:t xml:space="preserve">8.2.4 </w:t>
      </w:r>
      <w:r>
        <w:rPr>
          <w:rStyle w:val="39"/>
          <w:rFonts w:hint="eastAsia" w:ascii="Times New Roman" w:hAnsi="Times New Roman"/>
          <w:sz w:val="24"/>
        </w:rPr>
        <w:t>运营期噪声污染防治措施分析</w:t>
      </w:r>
      <w:r>
        <w:rPr>
          <w:sz w:val="24"/>
        </w:rPr>
        <w:tab/>
      </w:r>
      <w:r>
        <w:rPr>
          <w:sz w:val="24"/>
        </w:rPr>
        <w:fldChar w:fldCharType="begin"/>
      </w:r>
      <w:r>
        <w:rPr>
          <w:sz w:val="24"/>
        </w:rPr>
        <w:instrText xml:space="preserve"> PAGEREF _Toc147848114 \h </w:instrText>
      </w:r>
      <w:r>
        <w:rPr>
          <w:sz w:val="24"/>
        </w:rPr>
        <w:fldChar w:fldCharType="separate"/>
      </w:r>
      <w:r>
        <w:rPr>
          <w:sz w:val="24"/>
        </w:rPr>
        <w:t>300</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"_Toc147848115" </w:instrText>
      </w:r>
      <w:r>
        <w:fldChar w:fldCharType="separate"/>
      </w:r>
      <w:r>
        <w:rPr>
          <w:rStyle w:val="39"/>
          <w:rFonts w:ascii="Times New Roman" w:hAnsi="Times New Roman"/>
          <w:sz w:val="24"/>
        </w:rPr>
        <w:t xml:space="preserve">8.2.5 </w:t>
      </w:r>
      <w:r>
        <w:rPr>
          <w:rStyle w:val="39"/>
          <w:rFonts w:hint="eastAsia" w:ascii="Times New Roman" w:hAnsi="Times New Roman"/>
          <w:sz w:val="24"/>
        </w:rPr>
        <w:t>运营期固体废物污染防治措施分析</w:t>
      </w:r>
      <w:r>
        <w:rPr>
          <w:sz w:val="24"/>
        </w:rPr>
        <w:tab/>
      </w:r>
      <w:r>
        <w:rPr>
          <w:sz w:val="24"/>
        </w:rPr>
        <w:fldChar w:fldCharType="begin"/>
      </w:r>
      <w:r>
        <w:rPr>
          <w:sz w:val="24"/>
        </w:rPr>
        <w:instrText xml:space="preserve"> PAGEREF _Toc147848115 \h </w:instrText>
      </w:r>
      <w:r>
        <w:rPr>
          <w:sz w:val="24"/>
        </w:rPr>
        <w:fldChar w:fldCharType="separate"/>
      </w:r>
      <w:r>
        <w:rPr>
          <w:sz w:val="24"/>
        </w:rPr>
        <w:t>301</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"_Toc147848116" </w:instrText>
      </w:r>
      <w:r>
        <w:fldChar w:fldCharType="separate"/>
      </w:r>
      <w:r>
        <w:rPr>
          <w:rStyle w:val="39"/>
          <w:rFonts w:ascii="Times New Roman" w:hAnsi="Times New Roman"/>
          <w:sz w:val="24"/>
        </w:rPr>
        <w:t xml:space="preserve">8.2.6 </w:t>
      </w:r>
      <w:r>
        <w:rPr>
          <w:rStyle w:val="39"/>
          <w:rFonts w:hint="eastAsia" w:ascii="Times New Roman" w:hAnsi="Times New Roman"/>
          <w:sz w:val="24"/>
        </w:rPr>
        <w:t>运营期土壤污染防治措施分析</w:t>
      </w:r>
      <w:r>
        <w:rPr>
          <w:sz w:val="24"/>
        </w:rPr>
        <w:tab/>
      </w:r>
      <w:r>
        <w:rPr>
          <w:sz w:val="24"/>
        </w:rPr>
        <w:fldChar w:fldCharType="begin"/>
      </w:r>
      <w:r>
        <w:rPr>
          <w:sz w:val="24"/>
        </w:rPr>
        <w:instrText xml:space="preserve"> PAGEREF _Toc147848116 \h </w:instrText>
      </w:r>
      <w:r>
        <w:rPr>
          <w:sz w:val="24"/>
        </w:rPr>
        <w:fldChar w:fldCharType="separate"/>
      </w:r>
      <w:r>
        <w:rPr>
          <w:sz w:val="24"/>
        </w:rPr>
        <w:t>305</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"_Toc147848117" </w:instrText>
      </w:r>
      <w:r>
        <w:fldChar w:fldCharType="separate"/>
      </w:r>
      <w:r>
        <w:rPr>
          <w:rStyle w:val="39"/>
          <w:sz w:val="24"/>
        </w:rPr>
        <w:t xml:space="preserve">8.3 </w:t>
      </w:r>
      <w:r>
        <w:rPr>
          <w:rStyle w:val="39"/>
          <w:rFonts w:hint="eastAsia"/>
          <w:sz w:val="24"/>
        </w:rPr>
        <w:t>梯次利用车间措施可行性分析</w:t>
      </w:r>
      <w:r>
        <w:rPr>
          <w:sz w:val="24"/>
        </w:rPr>
        <w:tab/>
      </w:r>
      <w:r>
        <w:rPr>
          <w:sz w:val="24"/>
        </w:rPr>
        <w:fldChar w:fldCharType="begin"/>
      </w:r>
      <w:r>
        <w:rPr>
          <w:sz w:val="24"/>
        </w:rPr>
        <w:instrText xml:space="preserve"> PAGEREF _Toc147848117 \h </w:instrText>
      </w:r>
      <w:r>
        <w:rPr>
          <w:sz w:val="24"/>
        </w:rPr>
        <w:fldChar w:fldCharType="separate"/>
      </w:r>
      <w:r>
        <w:rPr>
          <w:sz w:val="24"/>
        </w:rPr>
        <w:t>306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"_Toc147848118" </w:instrText>
      </w:r>
      <w:r>
        <w:fldChar w:fldCharType="separate"/>
      </w:r>
      <w:r>
        <w:rPr>
          <w:rStyle w:val="39"/>
          <w:rFonts w:ascii="Times New Roman" w:hAnsi="Times New Roman"/>
          <w:sz w:val="24"/>
        </w:rPr>
        <w:t xml:space="preserve">8.3.1 </w:t>
      </w:r>
      <w:r>
        <w:rPr>
          <w:rStyle w:val="39"/>
          <w:rFonts w:hint="eastAsia" w:ascii="Times New Roman" w:hAnsi="Times New Roman"/>
          <w:sz w:val="24"/>
        </w:rPr>
        <w:t>大气污染防治措施</w:t>
      </w:r>
      <w:r>
        <w:rPr>
          <w:sz w:val="24"/>
        </w:rPr>
        <w:tab/>
      </w:r>
      <w:r>
        <w:rPr>
          <w:sz w:val="24"/>
        </w:rPr>
        <w:fldChar w:fldCharType="begin"/>
      </w:r>
      <w:r>
        <w:rPr>
          <w:sz w:val="24"/>
        </w:rPr>
        <w:instrText xml:space="preserve"> PAGEREF _Toc147848118 \h </w:instrText>
      </w:r>
      <w:r>
        <w:rPr>
          <w:sz w:val="24"/>
        </w:rPr>
        <w:fldChar w:fldCharType="separate"/>
      </w:r>
      <w:r>
        <w:rPr>
          <w:sz w:val="24"/>
        </w:rPr>
        <w:t>306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"_Toc147848119" </w:instrText>
      </w:r>
      <w:r>
        <w:fldChar w:fldCharType="separate"/>
      </w:r>
      <w:r>
        <w:rPr>
          <w:rStyle w:val="39"/>
          <w:rFonts w:ascii="Times New Roman" w:hAnsi="Times New Roman"/>
          <w:sz w:val="24"/>
        </w:rPr>
        <w:t xml:space="preserve">8.3.2 </w:t>
      </w:r>
      <w:r>
        <w:rPr>
          <w:rStyle w:val="39"/>
          <w:rFonts w:hint="eastAsia" w:ascii="Times New Roman" w:hAnsi="Times New Roman"/>
          <w:sz w:val="24"/>
        </w:rPr>
        <w:t>水污染防治措施</w:t>
      </w:r>
      <w:r>
        <w:rPr>
          <w:sz w:val="24"/>
        </w:rPr>
        <w:tab/>
      </w:r>
      <w:r>
        <w:rPr>
          <w:sz w:val="24"/>
        </w:rPr>
        <w:fldChar w:fldCharType="begin"/>
      </w:r>
      <w:r>
        <w:rPr>
          <w:sz w:val="24"/>
        </w:rPr>
        <w:instrText xml:space="preserve"> PAGEREF _Toc147848119 \h </w:instrText>
      </w:r>
      <w:r>
        <w:rPr>
          <w:sz w:val="24"/>
        </w:rPr>
        <w:fldChar w:fldCharType="separate"/>
      </w:r>
      <w:r>
        <w:rPr>
          <w:sz w:val="24"/>
        </w:rPr>
        <w:t>306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"_Toc147848120" </w:instrText>
      </w:r>
      <w:r>
        <w:fldChar w:fldCharType="separate"/>
      </w:r>
      <w:r>
        <w:rPr>
          <w:rStyle w:val="39"/>
          <w:rFonts w:ascii="Times New Roman" w:hAnsi="Times New Roman"/>
          <w:sz w:val="24"/>
        </w:rPr>
        <w:t xml:space="preserve">8.3.3 </w:t>
      </w:r>
      <w:r>
        <w:rPr>
          <w:rStyle w:val="39"/>
          <w:rFonts w:hint="eastAsia" w:ascii="Times New Roman" w:hAnsi="Times New Roman"/>
          <w:sz w:val="24"/>
        </w:rPr>
        <w:t>噪声污染防治措施</w:t>
      </w:r>
      <w:r>
        <w:rPr>
          <w:sz w:val="24"/>
        </w:rPr>
        <w:tab/>
      </w:r>
      <w:r>
        <w:rPr>
          <w:sz w:val="24"/>
        </w:rPr>
        <w:fldChar w:fldCharType="begin"/>
      </w:r>
      <w:r>
        <w:rPr>
          <w:sz w:val="24"/>
        </w:rPr>
        <w:instrText xml:space="preserve"> PAGEREF _Toc147848120 \h </w:instrText>
      </w:r>
      <w:r>
        <w:rPr>
          <w:sz w:val="24"/>
        </w:rPr>
        <w:fldChar w:fldCharType="separate"/>
      </w:r>
      <w:r>
        <w:rPr>
          <w:sz w:val="24"/>
        </w:rPr>
        <w:t>306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"_Toc147848121" </w:instrText>
      </w:r>
      <w:r>
        <w:fldChar w:fldCharType="separate"/>
      </w:r>
      <w:r>
        <w:rPr>
          <w:rStyle w:val="39"/>
          <w:rFonts w:ascii="Times New Roman" w:hAnsi="Times New Roman"/>
          <w:sz w:val="24"/>
        </w:rPr>
        <w:t xml:space="preserve">8.3.3 </w:t>
      </w:r>
      <w:r>
        <w:rPr>
          <w:rStyle w:val="39"/>
          <w:rFonts w:hint="eastAsia" w:ascii="Times New Roman" w:hAnsi="Times New Roman"/>
          <w:sz w:val="24"/>
        </w:rPr>
        <w:t>固体废物污染防治措施</w:t>
      </w:r>
      <w:r>
        <w:rPr>
          <w:sz w:val="24"/>
        </w:rPr>
        <w:tab/>
      </w:r>
      <w:r>
        <w:rPr>
          <w:sz w:val="24"/>
        </w:rPr>
        <w:fldChar w:fldCharType="begin"/>
      </w:r>
      <w:r>
        <w:rPr>
          <w:sz w:val="24"/>
        </w:rPr>
        <w:instrText xml:space="preserve"> PAGEREF _Toc147848121 \h </w:instrText>
      </w:r>
      <w:r>
        <w:rPr>
          <w:sz w:val="24"/>
        </w:rPr>
        <w:fldChar w:fldCharType="separate"/>
      </w:r>
      <w:r>
        <w:rPr>
          <w:sz w:val="24"/>
        </w:rPr>
        <w:t>306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"_Toc147848122" </w:instrText>
      </w:r>
      <w:r>
        <w:fldChar w:fldCharType="separate"/>
      </w:r>
      <w:r>
        <w:rPr>
          <w:rStyle w:val="39"/>
          <w:rFonts w:ascii="Times New Roman" w:hAnsi="Times New Roman"/>
          <w:sz w:val="24"/>
        </w:rPr>
        <w:t xml:space="preserve">8.3.5 </w:t>
      </w:r>
      <w:r>
        <w:rPr>
          <w:rStyle w:val="39"/>
          <w:rFonts w:hint="eastAsia" w:ascii="Times New Roman" w:hAnsi="Times New Roman"/>
          <w:sz w:val="24"/>
        </w:rPr>
        <w:t>地下水污染防治措施</w:t>
      </w:r>
      <w:r>
        <w:rPr>
          <w:sz w:val="24"/>
        </w:rPr>
        <w:tab/>
      </w:r>
      <w:r>
        <w:rPr>
          <w:sz w:val="24"/>
        </w:rPr>
        <w:fldChar w:fldCharType="begin"/>
      </w:r>
      <w:r>
        <w:rPr>
          <w:sz w:val="24"/>
        </w:rPr>
        <w:instrText xml:space="preserve"> PAGEREF _Toc147848122 \h </w:instrText>
      </w:r>
      <w:r>
        <w:rPr>
          <w:sz w:val="24"/>
        </w:rPr>
        <w:fldChar w:fldCharType="separate"/>
      </w:r>
      <w:r>
        <w:rPr>
          <w:sz w:val="24"/>
        </w:rPr>
        <w:t>308</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"_Toc147848123" </w:instrText>
      </w:r>
      <w:r>
        <w:fldChar w:fldCharType="separate"/>
      </w:r>
      <w:r>
        <w:rPr>
          <w:rStyle w:val="39"/>
          <w:rFonts w:ascii="Times New Roman" w:hAnsi="Times New Roman"/>
          <w:sz w:val="24"/>
        </w:rPr>
        <w:t xml:space="preserve">8.3.6 </w:t>
      </w:r>
      <w:r>
        <w:rPr>
          <w:rStyle w:val="39"/>
          <w:rFonts w:hint="eastAsia" w:ascii="Times New Roman" w:hAnsi="Times New Roman"/>
          <w:sz w:val="24"/>
        </w:rPr>
        <w:t>土壤污染防治措施</w:t>
      </w:r>
      <w:r>
        <w:rPr>
          <w:sz w:val="24"/>
        </w:rPr>
        <w:tab/>
      </w:r>
      <w:r>
        <w:rPr>
          <w:sz w:val="24"/>
        </w:rPr>
        <w:fldChar w:fldCharType="begin"/>
      </w:r>
      <w:r>
        <w:rPr>
          <w:sz w:val="24"/>
        </w:rPr>
        <w:instrText xml:space="preserve"> PAGEREF _Toc147848123 \h </w:instrText>
      </w:r>
      <w:r>
        <w:rPr>
          <w:sz w:val="24"/>
        </w:rPr>
        <w:fldChar w:fldCharType="separate"/>
      </w:r>
      <w:r>
        <w:rPr>
          <w:sz w:val="24"/>
        </w:rPr>
        <w:t>309</w:t>
      </w:r>
      <w:r>
        <w:rPr>
          <w:sz w:val="24"/>
        </w:rPr>
        <w:fldChar w:fldCharType="end"/>
      </w:r>
      <w:r>
        <w:rPr>
          <w:sz w:val="24"/>
        </w:rPr>
        <w:fldChar w:fldCharType="end"/>
      </w:r>
    </w:p>
    <w:p>
      <w:pPr>
        <w:pStyle w:val="24"/>
        <w:tabs>
          <w:tab w:val="right" w:leader="dot" w:pos="8296"/>
        </w:tabs>
        <w:spacing w:line="360" w:lineRule="auto"/>
        <w:rPr>
          <w:rFonts w:asciiTheme="minorHAnsi" w:hAnsiTheme="minorHAnsi" w:eastAsiaTheme="minorEastAsia" w:cstheme="minorBidi"/>
          <w:sz w:val="24"/>
        </w:rPr>
      </w:pPr>
      <w:r>
        <w:fldChar w:fldCharType="begin"/>
      </w:r>
      <w:r>
        <w:instrText xml:space="preserve"> HYPERLINK \l "_Toc147848124" </w:instrText>
      </w:r>
      <w:r>
        <w:fldChar w:fldCharType="separate"/>
      </w:r>
      <w:r>
        <w:rPr>
          <w:rStyle w:val="39"/>
          <w:rFonts w:hint="eastAsia" w:ascii="Times New Roman" w:hAnsi="Times New Roman"/>
          <w:sz w:val="24"/>
        </w:rPr>
        <w:t>第</w:t>
      </w:r>
      <w:r>
        <w:rPr>
          <w:rStyle w:val="39"/>
          <w:rFonts w:ascii="Times New Roman" w:hAnsi="Times New Roman"/>
          <w:sz w:val="24"/>
        </w:rPr>
        <w:t>9</w:t>
      </w:r>
      <w:r>
        <w:rPr>
          <w:rStyle w:val="39"/>
          <w:rFonts w:hint="eastAsia" w:ascii="Times New Roman" w:hAnsi="Times New Roman"/>
          <w:sz w:val="24"/>
        </w:rPr>
        <w:t>章</w:t>
      </w:r>
      <w:r>
        <w:rPr>
          <w:rStyle w:val="39"/>
          <w:rFonts w:ascii="Times New Roman" w:hAnsi="Times New Roman"/>
          <w:sz w:val="24"/>
        </w:rPr>
        <w:t xml:space="preserve"> </w:t>
      </w:r>
      <w:r>
        <w:rPr>
          <w:rStyle w:val="39"/>
          <w:rFonts w:hint="eastAsia" w:ascii="Times New Roman" w:hAnsi="Times New Roman"/>
          <w:w w:val="95"/>
          <w:sz w:val="24"/>
        </w:rPr>
        <w:t>总量控制</w:t>
      </w:r>
      <w:r>
        <w:rPr>
          <w:sz w:val="24"/>
        </w:rPr>
        <w:tab/>
      </w:r>
      <w:r>
        <w:rPr>
          <w:sz w:val="24"/>
        </w:rPr>
        <w:fldChar w:fldCharType="begin"/>
      </w:r>
      <w:r>
        <w:rPr>
          <w:sz w:val="24"/>
        </w:rPr>
        <w:instrText xml:space="preserve"> PAGEREF _Toc147848124 \h </w:instrText>
      </w:r>
      <w:r>
        <w:rPr>
          <w:sz w:val="24"/>
        </w:rPr>
        <w:fldChar w:fldCharType="separate"/>
      </w:r>
      <w:r>
        <w:rPr>
          <w:sz w:val="24"/>
        </w:rPr>
        <w:t>310</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"_Toc147848125" </w:instrText>
      </w:r>
      <w:r>
        <w:fldChar w:fldCharType="separate"/>
      </w:r>
      <w:r>
        <w:rPr>
          <w:rStyle w:val="39"/>
          <w:sz w:val="24"/>
        </w:rPr>
        <w:t xml:space="preserve">9.1 </w:t>
      </w:r>
      <w:r>
        <w:rPr>
          <w:rStyle w:val="39"/>
          <w:rFonts w:hint="eastAsia"/>
          <w:sz w:val="24"/>
        </w:rPr>
        <w:t>本项目建成后全厂污染物排放量</w:t>
      </w:r>
      <w:r>
        <w:rPr>
          <w:sz w:val="24"/>
        </w:rPr>
        <w:tab/>
      </w:r>
      <w:r>
        <w:rPr>
          <w:sz w:val="24"/>
        </w:rPr>
        <w:fldChar w:fldCharType="begin"/>
      </w:r>
      <w:r>
        <w:rPr>
          <w:sz w:val="24"/>
        </w:rPr>
        <w:instrText xml:space="preserve"> PAGEREF _Toc147848125 \h </w:instrText>
      </w:r>
      <w:r>
        <w:rPr>
          <w:sz w:val="24"/>
        </w:rPr>
        <w:fldChar w:fldCharType="separate"/>
      </w:r>
      <w:r>
        <w:rPr>
          <w:sz w:val="24"/>
        </w:rPr>
        <w:t>310</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"_Toc147848126" </w:instrText>
      </w:r>
      <w:r>
        <w:fldChar w:fldCharType="separate"/>
      </w:r>
      <w:r>
        <w:rPr>
          <w:rStyle w:val="39"/>
          <w:sz w:val="24"/>
        </w:rPr>
        <w:t xml:space="preserve">9.2 </w:t>
      </w:r>
      <w:r>
        <w:rPr>
          <w:rStyle w:val="39"/>
          <w:rFonts w:hint="eastAsia"/>
          <w:sz w:val="24"/>
        </w:rPr>
        <w:t>总量指标确定</w:t>
      </w:r>
      <w:r>
        <w:rPr>
          <w:sz w:val="24"/>
        </w:rPr>
        <w:tab/>
      </w:r>
      <w:r>
        <w:rPr>
          <w:sz w:val="24"/>
        </w:rPr>
        <w:fldChar w:fldCharType="begin"/>
      </w:r>
      <w:r>
        <w:rPr>
          <w:sz w:val="24"/>
        </w:rPr>
        <w:instrText xml:space="preserve"> PAGEREF _Toc147848126 \h </w:instrText>
      </w:r>
      <w:r>
        <w:rPr>
          <w:sz w:val="24"/>
        </w:rPr>
        <w:fldChar w:fldCharType="separate"/>
      </w:r>
      <w:r>
        <w:rPr>
          <w:sz w:val="24"/>
        </w:rPr>
        <w:t>310</w:t>
      </w:r>
      <w:r>
        <w:rPr>
          <w:sz w:val="24"/>
        </w:rPr>
        <w:fldChar w:fldCharType="end"/>
      </w:r>
      <w:r>
        <w:rPr>
          <w:sz w:val="24"/>
        </w:rPr>
        <w:fldChar w:fldCharType="end"/>
      </w:r>
    </w:p>
    <w:p>
      <w:pPr>
        <w:pStyle w:val="24"/>
        <w:tabs>
          <w:tab w:val="right" w:leader="dot" w:pos="8296"/>
        </w:tabs>
        <w:spacing w:line="360" w:lineRule="auto"/>
        <w:rPr>
          <w:rFonts w:asciiTheme="minorHAnsi" w:hAnsiTheme="minorHAnsi" w:eastAsiaTheme="minorEastAsia" w:cstheme="minorBidi"/>
          <w:sz w:val="24"/>
        </w:rPr>
      </w:pPr>
      <w:r>
        <w:fldChar w:fldCharType="begin"/>
      </w:r>
      <w:r>
        <w:instrText xml:space="preserve"> HYPERLINK \l "_Toc147848127" </w:instrText>
      </w:r>
      <w:r>
        <w:fldChar w:fldCharType="separate"/>
      </w:r>
      <w:r>
        <w:rPr>
          <w:rStyle w:val="39"/>
          <w:rFonts w:hint="eastAsia" w:ascii="Times New Roman" w:hAnsi="Times New Roman"/>
          <w:sz w:val="24"/>
        </w:rPr>
        <w:t>第</w:t>
      </w:r>
      <w:r>
        <w:rPr>
          <w:rStyle w:val="39"/>
          <w:rFonts w:ascii="Times New Roman" w:hAnsi="Times New Roman"/>
          <w:sz w:val="24"/>
        </w:rPr>
        <w:t>10</w:t>
      </w:r>
      <w:r>
        <w:rPr>
          <w:rStyle w:val="39"/>
          <w:rFonts w:hint="eastAsia" w:ascii="Times New Roman" w:hAnsi="Times New Roman"/>
          <w:sz w:val="24"/>
        </w:rPr>
        <w:t>章</w:t>
      </w:r>
      <w:r>
        <w:rPr>
          <w:rStyle w:val="39"/>
          <w:rFonts w:ascii="Times New Roman" w:hAnsi="Times New Roman"/>
          <w:sz w:val="24"/>
        </w:rPr>
        <w:t xml:space="preserve"> </w:t>
      </w:r>
      <w:r>
        <w:rPr>
          <w:rStyle w:val="39"/>
          <w:rFonts w:hint="eastAsia" w:ascii="Times New Roman" w:hAnsi="Times New Roman"/>
          <w:sz w:val="24"/>
        </w:rPr>
        <w:t>环境影响经济损益分析</w:t>
      </w:r>
      <w:r>
        <w:rPr>
          <w:sz w:val="24"/>
        </w:rPr>
        <w:tab/>
      </w:r>
      <w:r>
        <w:rPr>
          <w:sz w:val="24"/>
        </w:rPr>
        <w:fldChar w:fldCharType="begin"/>
      </w:r>
      <w:r>
        <w:rPr>
          <w:sz w:val="24"/>
        </w:rPr>
        <w:instrText xml:space="preserve"> PAGEREF _Toc147848127 \h </w:instrText>
      </w:r>
      <w:r>
        <w:rPr>
          <w:sz w:val="24"/>
        </w:rPr>
        <w:fldChar w:fldCharType="separate"/>
      </w:r>
      <w:r>
        <w:rPr>
          <w:sz w:val="24"/>
        </w:rPr>
        <w:t>311</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"_Toc147848128" </w:instrText>
      </w:r>
      <w:r>
        <w:fldChar w:fldCharType="separate"/>
      </w:r>
      <w:r>
        <w:rPr>
          <w:rStyle w:val="39"/>
          <w:sz w:val="24"/>
        </w:rPr>
        <w:t xml:space="preserve">10.1 </w:t>
      </w:r>
      <w:r>
        <w:rPr>
          <w:rStyle w:val="39"/>
          <w:rFonts w:hint="eastAsia"/>
          <w:sz w:val="24"/>
        </w:rPr>
        <w:t>社会效益分析</w:t>
      </w:r>
      <w:r>
        <w:rPr>
          <w:sz w:val="24"/>
        </w:rPr>
        <w:tab/>
      </w:r>
      <w:r>
        <w:rPr>
          <w:sz w:val="24"/>
        </w:rPr>
        <w:fldChar w:fldCharType="begin"/>
      </w:r>
      <w:r>
        <w:rPr>
          <w:sz w:val="24"/>
        </w:rPr>
        <w:instrText xml:space="preserve"> PAGEREF _Toc147848128 \h </w:instrText>
      </w:r>
      <w:r>
        <w:rPr>
          <w:sz w:val="24"/>
        </w:rPr>
        <w:fldChar w:fldCharType="separate"/>
      </w:r>
      <w:r>
        <w:rPr>
          <w:sz w:val="24"/>
        </w:rPr>
        <w:t>311</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"_Toc147848129" </w:instrText>
      </w:r>
      <w:r>
        <w:fldChar w:fldCharType="separate"/>
      </w:r>
      <w:r>
        <w:rPr>
          <w:rStyle w:val="39"/>
          <w:sz w:val="24"/>
        </w:rPr>
        <w:t xml:space="preserve">10.2 </w:t>
      </w:r>
      <w:r>
        <w:rPr>
          <w:rStyle w:val="39"/>
          <w:rFonts w:hint="eastAsia"/>
          <w:sz w:val="24"/>
        </w:rPr>
        <w:t>经济效益分析</w:t>
      </w:r>
      <w:r>
        <w:rPr>
          <w:sz w:val="24"/>
        </w:rPr>
        <w:tab/>
      </w:r>
      <w:r>
        <w:rPr>
          <w:sz w:val="24"/>
        </w:rPr>
        <w:fldChar w:fldCharType="begin"/>
      </w:r>
      <w:r>
        <w:rPr>
          <w:sz w:val="24"/>
        </w:rPr>
        <w:instrText xml:space="preserve"> PAGEREF _Toc147848129 \h </w:instrText>
      </w:r>
      <w:r>
        <w:rPr>
          <w:sz w:val="24"/>
        </w:rPr>
        <w:fldChar w:fldCharType="separate"/>
      </w:r>
      <w:r>
        <w:rPr>
          <w:sz w:val="24"/>
        </w:rPr>
        <w:t>312</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"_Toc147848130" </w:instrText>
      </w:r>
      <w:r>
        <w:fldChar w:fldCharType="separate"/>
      </w:r>
      <w:r>
        <w:rPr>
          <w:rStyle w:val="39"/>
          <w:sz w:val="24"/>
        </w:rPr>
        <w:t xml:space="preserve">10.3 </w:t>
      </w:r>
      <w:r>
        <w:rPr>
          <w:rStyle w:val="39"/>
          <w:rFonts w:hint="eastAsia"/>
          <w:sz w:val="24"/>
        </w:rPr>
        <w:t>环境效益分析</w:t>
      </w:r>
      <w:r>
        <w:rPr>
          <w:sz w:val="24"/>
        </w:rPr>
        <w:tab/>
      </w:r>
      <w:r>
        <w:rPr>
          <w:sz w:val="24"/>
        </w:rPr>
        <w:fldChar w:fldCharType="begin"/>
      </w:r>
      <w:r>
        <w:rPr>
          <w:sz w:val="24"/>
        </w:rPr>
        <w:instrText xml:space="preserve"> PAGEREF _Toc147848130 \h </w:instrText>
      </w:r>
      <w:r>
        <w:rPr>
          <w:sz w:val="24"/>
        </w:rPr>
        <w:fldChar w:fldCharType="separate"/>
      </w:r>
      <w:r>
        <w:rPr>
          <w:sz w:val="24"/>
        </w:rPr>
        <w:t>312</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"_Toc147848131" </w:instrText>
      </w:r>
      <w:r>
        <w:fldChar w:fldCharType="separate"/>
      </w:r>
      <w:r>
        <w:rPr>
          <w:rStyle w:val="39"/>
          <w:rFonts w:ascii="Times New Roman" w:hAnsi="Times New Roman"/>
          <w:sz w:val="24"/>
        </w:rPr>
        <w:t xml:space="preserve">10.3.1 </w:t>
      </w:r>
      <w:r>
        <w:rPr>
          <w:rStyle w:val="39"/>
          <w:rFonts w:hint="eastAsia" w:ascii="Times New Roman" w:hAnsi="Times New Roman"/>
          <w:sz w:val="24"/>
        </w:rPr>
        <w:t>水环境影响损益分析</w:t>
      </w:r>
      <w:r>
        <w:rPr>
          <w:sz w:val="24"/>
        </w:rPr>
        <w:tab/>
      </w:r>
      <w:r>
        <w:rPr>
          <w:sz w:val="24"/>
        </w:rPr>
        <w:fldChar w:fldCharType="begin"/>
      </w:r>
      <w:r>
        <w:rPr>
          <w:sz w:val="24"/>
        </w:rPr>
        <w:instrText xml:space="preserve"> PAGEREF _Toc147848131 \h </w:instrText>
      </w:r>
      <w:r>
        <w:rPr>
          <w:sz w:val="24"/>
        </w:rPr>
        <w:fldChar w:fldCharType="separate"/>
      </w:r>
      <w:r>
        <w:rPr>
          <w:sz w:val="24"/>
        </w:rPr>
        <w:t>312</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"_Toc147848132" </w:instrText>
      </w:r>
      <w:r>
        <w:fldChar w:fldCharType="separate"/>
      </w:r>
      <w:r>
        <w:rPr>
          <w:rStyle w:val="39"/>
          <w:rFonts w:ascii="Times New Roman" w:hAnsi="Times New Roman"/>
          <w:sz w:val="24"/>
        </w:rPr>
        <w:t xml:space="preserve">10.3.2 </w:t>
      </w:r>
      <w:r>
        <w:rPr>
          <w:rStyle w:val="39"/>
          <w:rFonts w:hint="eastAsia" w:ascii="Times New Roman" w:hAnsi="Times New Roman"/>
          <w:sz w:val="24"/>
        </w:rPr>
        <w:t>大气环境影响损益分析</w:t>
      </w:r>
      <w:r>
        <w:rPr>
          <w:sz w:val="24"/>
        </w:rPr>
        <w:tab/>
      </w:r>
      <w:r>
        <w:rPr>
          <w:sz w:val="24"/>
        </w:rPr>
        <w:fldChar w:fldCharType="begin"/>
      </w:r>
      <w:r>
        <w:rPr>
          <w:sz w:val="24"/>
        </w:rPr>
        <w:instrText xml:space="preserve"> PAGEREF _Toc147848132 \h </w:instrText>
      </w:r>
      <w:r>
        <w:rPr>
          <w:sz w:val="24"/>
        </w:rPr>
        <w:fldChar w:fldCharType="separate"/>
      </w:r>
      <w:r>
        <w:rPr>
          <w:sz w:val="24"/>
        </w:rPr>
        <w:t>312</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"_Toc147848133" </w:instrText>
      </w:r>
      <w:r>
        <w:fldChar w:fldCharType="separate"/>
      </w:r>
      <w:r>
        <w:rPr>
          <w:rStyle w:val="39"/>
          <w:rFonts w:ascii="Times New Roman" w:hAnsi="Times New Roman"/>
          <w:sz w:val="24"/>
        </w:rPr>
        <w:t xml:space="preserve">10.3.3 </w:t>
      </w:r>
      <w:r>
        <w:rPr>
          <w:rStyle w:val="39"/>
          <w:rFonts w:hint="eastAsia" w:ascii="Times New Roman" w:hAnsi="Times New Roman"/>
          <w:sz w:val="24"/>
        </w:rPr>
        <w:t>声环境影响损益分析</w:t>
      </w:r>
      <w:r>
        <w:rPr>
          <w:sz w:val="24"/>
        </w:rPr>
        <w:tab/>
      </w:r>
      <w:r>
        <w:rPr>
          <w:sz w:val="24"/>
        </w:rPr>
        <w:fldChar w:fldCharType="begin"/>
      </w:r>
      <w:r>
        <w:rPr>
          <w:sz w:val="24"/>
        </w:rPr>
        <w:instrText xml:space="preserve"> PAGEREF _Toc147848133 \h </w:instrText>
      </w:r>
      <w:r>
        <w:rPr>
          <w:sz w:val="24"/>
        </w:rPr>
        <w:fldChar w:fldCharType="separate"/>
      </w:r>
      <w:r>
        <w:rPr>
          <w:sz w:val="24"/>
        </w:rPr>
        <w:t>312</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"_Toc147848134" </w:instrText>
      </w:r>
      <w:r>
        <w:fldChar w:fldCharType="separate"/>
      </w:r>
      <w:r>
        <w:rPr>
          <w:rStyle w:val="39"/>
          <w:rFonts w:ascii="Times New Roman" w:hAnsi="Times New Roman"/>
          <w:sz w:val="24"/>
        </w:rPr>
        <w:t xml:space="preserve">10.3.4 </w:t>
      </w:r>
      <w:r>
        <w:rPr>
          <w:rStyle w:val="39"/>
          <w:rFonts w:hint="eastAsia" w:ascii="Times New Roman" w:hAnsi="Times New Roman"/>
          <w:sz w:val="24"/>
        </w:rPr>
        <w:t>固体废物环境影响损益分析</w:t>
      </w:r>
      <w:r>
        <w:rPr>
          <w:sz w:val="24"/>
        </w:rPr>
        <w:tab/>
      </w:r>
      <w:r>
        <w:rPr>
          <w:sz w:val="24"/>
        </w:rPr>
        <w:fldChar w:fldCharType="begin"/>
      </w:r>
      <w:r>
        <w:rPr>
          <w:sz w:val="24"/>
        </w:rPr>
        <w:instrText xml:space="preserve"> PAGEREF _Toc147848134 \h </w:instrText>
      </w:r>
      <w:r>
        <w:rPr>
          <w:sz w:val="24"/>
        </w:rPr>
        <w:fldChar w:fldCharType="separate"/>
      </w:r>
      <w:r>
        <w:rPr>
          <w:sz w:val="24"/>
        </w:rPr>
        <w:t>313</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"_Toc147848135" </w:instrText>
      </w:r>
      <w:r>
        <w:fldChar w:fldCharType="separate"/>
      </w:r>
      <w:r>
        <w:rPr>
          <w:rStyle w:val="39"/>
          <w:sz w:val="24"/>
        </w:rPr>
        <w:t xml:space="preserve">10.4 </w:t>
      </w:r>
      <w:r>
        <w:rPr>
          <w:rStyle w:val="39"/>
          <w:rFonts w:hint="eastAsia"/>
          <w:sz w:val="24"/>
        </w:rPr>
        <w:t>环保投资</w:t>
      </w:r>
      <w:r>
        <w:rPr>
          <w:sz w:val="24"/>
        </w:rPr>
        <w:tab/>
      </w:r>
      <w:r>
        <w:rPr>
          <w:sz w:val="24"/>
        </w:rPr>
        <w:fldChar w:fldCharType="begin"/>
      </w:r>
      <w:r>
        <w:rPr>
          <w:sz w:val="24"/>
        </w:rPr>
        <w:instrText xml:space="preserve"> PAGEREF _Toc147848135 \h </w:instrText>
      </w:r>
      <w:r>
        <w:rPr>
          <w:sz w:val="24"/>
        </w:rPr>
        <w:fldChar w:fldCharType="separate"/>
      </w:r>
      <w:r>
        <w:rPr>
          <w:sz w:val="24"/>
        </w:rPr>
        <w:t>313</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"_Toc147848136" </w:instrText>
      </w:r>
      <w:r>
        <w:fldChar w:fldCharType="separate"/>
      </w:r>
      <w:r>
        <w:rPr>
          <w:rStyle w:val="39"/>
          <w:sz w:val="24"/>
        </w:rPr>
        <w:t xml:space="preserve">10.5 </w:t>
      </w:r>
      <w:r>
        <w:rPr>
          <w:rStyle w:val="39"/>
          <w:rFonts w:hint="eastAsia"/>
          <w:sz w:val="24"/>
        </w:rPr>
        <w:t>环境影响经济损益分析结论</w:t>
      </w:r>
      <w:r>
        <w:rPr>
          <w:sz w:val="24"/>
        </w:rPr>
        <w:tab/>
      </w:r>
      <w:r>
        <w:rPr>
          <w:sz w:val="24"/>
        </w:rPr>
        <w:fldChar w:fldCharType="begin"/>
      </w:r>
      <w:r>
        <w:rPr>
          <w:sz w:val="24"/>
        </w:rPr>
        <w:instrText xml:space="preserve"> PAGEREF _Toc147848136 \h </w:instrText>
      </w:r>
      <w:r>
        <w:rPr>
          <w:sz w:val="24"/>
        </w:rPr>
        <w:fldChar w:fldCharType="separate"/>
      </w:r>
      <w:r>
        <w:rPr>
          <w:sz w:val="24"/>
        </w:rPr>
        <w:t>313</w:t>
      </w:r>
      <w:r>
        <w:rPr>
          <w:sz w:val="24"/>
        </w:rPr>
        <w:fldChar w:fldCharType="end"/>
      </w:r>
      <w:r>
        <w:rPr>
          <w:sz w:val="24"/>
        </w:rPr>
        <w:fldChar w:fldCharType="end"/>
      </w:r>
    </w:p>
    <w:p>
      <w:pPr>
        <w:pStyle w:val="24"/>
        <w:tabs>
          <w:tab w:val="right" w:leader="dot" w:pos="8296"/>
        </w:tabs>
        <w:spacing w:line="360" w:lineRule="auto"/>
        <w:rPr>
          <w:rFonts w:asciiTheme="minorHAnsi" w:hAnsiTheme="minorHAnsi" w:eastAsiaTheme="minorEastAsia" w:cstheme="minorBidi"/>
          <w:sz w:val="24"/>
        </w:rPr>
      </w:pPr>
      <w:r>
        <w:fldChar w:fldCharType="begin"/>
      </w:r>
      <w:r>
        <w:instrText xml:space="preserve"> HYPERLINK \l "_Toc147848137" </w:instrText>
      </w:r>
      <w:r>
        <w:fldChar w:fldCharType="separate"/>
      </w:r>
      <w:r>
        <w:rPr>
          <w:rStyle w:val="39"/>
          <w:rFonts w:hint="eastAsia" w:ascii="Times New Roman" w:hAnsi="Times New Roman"/>
          <w:sz w:val="24"/>
        </w:rPr>
        <w:t>第</w:t>
      </w:r>
      <w:r>
        <w:rPr>
          <w:rStyle w:val="39"/>
          <w:rFonts w:ascii="Times New Roman" w:hAnsi="Times New Roman"/>
          <w:sz w:val="24"/>
        </w:rPr>
        <w:t>11</w:t>
      </w:r>
      <w:r>
        <w:rPr>
          <w:rStyle w:val="39"/>
          <w:rFonts w:hint="eastAsia" w:ascii="Times New Roman" w:hAnsi="Times New Roman"/>
          <w:sz w:val="24"/>
        </w:rPr>
        <w:t>章</w:t>
      </w:r>
      <w:r>
        <w:rPr>
          <w:rStyle w:val="39"/>
          <w:rFonts w:ascii="Times New Roman" w:hAnsi="Times New Roman"/>
          <w:sz w:val="24"/>
        </w:rPr>
        <w:t xml:space="preserve"> </w:t>
      </w:r>
      <w:r>
        <w:rPr>
          <w:rStyle w:val="39"/>
          <w:rFonts w:hint="eastAsia" w:ascii="Times New Roman" w:hAnsi="Times New Roman"/>
          <w:sz w:val="24"/>
        </w:rPr>
        <w:t>项目政策符合性分析</w:t>
      </w:r>
      <w:r>
        <w:rPr>
          <w:sz w:val="24"/>
        </w:rPr>
        <w:tab/>
      </w:r>
      <w:r>
        <w:rPr>
          <w:sz w:val="24"/>
        </w:rPr>
        <w:fldChar w:fldCharType="begin"/>
      </w:r>
      <w:r>
        <w:rPr>
          <w:sz w:val="24"/>
        </w:rPr>
        <w:instrText xml:space="preserve"> PAGEREF _Toc147848137 \h </w:instrText>
      </w:r>
      <w:r>
        <w:rPr>
          <w:sz w:val="24"/>
        </w:rPr>
        <w:fldChar w:fldCharType="separate"/>
      </w:r>
      <w:r>
        <w:rPr>
          <w:sz w:val="24"/>
        </w:rPr>
        <w:t>315</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"_Toc147848138" </w:instrText>
      </w:r>
      <w:r>
        <w:fldChar w:fldCharType="separate"/>
      </w:r>
      <w:r>
        <w:rPr>
          <w:rStyle w:val="39"/>
          <w:sz w:val="24"/>
        </w:rPr>
        <w:t xml:space="preserve">11.1 </w:t>
      </w:r>
      <w:r>
        <w:rPr>
          <w:rStyle w:val="39"/>
          <w:rFonts w:hint="eastAsia"/>
          <w:sz w:val="24"/>
        </w:rPr>
        <w:t>产业政策的相符性分析</w:t>
      </w:r>
      <w:r>
        <w:rPr>
          <w:sz w:val="24"/>
        </w:rPr>
        <w:tab/>
      </w:r>
      <w:r>
        <w:rPr>
          <w:sz w:val="24"/>
        </w:rPr>
        <w:fldChar w:fldCharType="begin"/>
      </w:r>
      <w:r>
        <w:rPr>
          <w:sz w:val="24"/>
        </w:rPr>
        <w:instrText xml:space="preserve"> PAGEREF _Toc147848138 \h </w:instrText>
      </w:r>
      <w:r>
        <w:rPr>
          <w:sz w:val="24"/>
        </w:rPr>
        <w:fldChar w:fldCharType="separate"/>
      </w:r>
      <w:r>
        <w:rPr>
          <w:sz w:val="24"/>
        </w:rPr>
        <w:t>315</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"_Toc147848139" </w:instrText>
      </w:r>
      <w:r>
        <w:fldChar w:fldCharType="separate"/>
      </w:r>
      <w:r>
        <w:rPr>
          <w:rStyle w:val="39"/>
          <w:sz w:val="24"/>
        </w:rPr>
        <w:t xml:space="preserve">11.2 </w:t>
      </w:r>
      <w:r>
        <w:rPr>
          <w:rStyle w:val="39"/>
          <w:rFonts w:hint="eastAsia"/>
          <w:sz w:val="24"/>
        </w:rPr>
        <w:t>与相关规划符合性分析</w:t>
      </w:r>
      <w:r>
        <w:rPr>
          <w:sz w:val="24"/>
        </w:rPr>
        <w:tab/>
      </w:r>
      <w:r>
        <w:rPr>
          <w:sz w:val="24"/>
        </w:rPr>
        <w:fldChar w:fldCharType="begin"/>
      </w:r>
      <w:r>
        <w:rPr>
          <w:sz w:val="24"/>
        </w:rPr>
        <w:instrText xml:space="preserve"> PAGEREF _Toc147848139 \h </w:instrText>
      </w:r>
      <w:r>
        <w:rPr>
          <w:sz w:val="24"/>
        </w:rPr>
        <w:fldChar w:fldCharType="separate"/>
      </w:r>
      <w:r>
        <w:rPr>
          <w:sz w:val="24"/>
        </w:rPr>
        <w:t>315</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"_Toc147848140" </w:instrText>
      </w:r>
      <w:r>
        <w:fldChar w:fldCharType="separate"/>
      </w:r>
      <w:r>
        <w:rPr>
          <w:rStyle w:val="39"/>
          <w:rFonts w:ascii="Times New Roman" w:hAnsi="Times New Roman"/>
          <w:sz w:val="24"/>
        </w:rPr>
        <w:t xml:space="preserve">11.2.1 </w:t>
      </w:r>
      <w:r>
        <w:rPr>
          <w:rStyle w:val="39"/>
          <w:rFonts w:hint="eastAsia" w:ascii="Times New Roman" w:hAnsi="Times New Roman"/>
          <w:sz w:val="24"/>
        </w:rPr>
        <w:t>与《衡东县国土空间总体规划（</w:t>
      </w:r>
      <w:r>
        <w:rPr>
          <w:rStyle w:val="39"/>
          <w:rFonts w:ascii="Times New Roman" w:hAnsi="Times New Roman"/>
          <w:sz w:val="24"/>
        </w:rPr>
        <w:t>2021—2035</w:t>
      </w:r>
      <w:r>
        <w:rPr>
          <w:rStyle w:val="39"/>
          <w:rFonts w:hint="eastAsia" w:ascii="Times New Roman" w:hAnsi="Times New Roman"/>
          <w:sz w:val="24"/>
        </w:rPr>
        <w:t>）》符合性分析</w:t>
      </w:r>
      <w:r>
        <w:rPr>
          <w:sz w:val="24"/>
        </w:rPr>
        <w:tab/>
      </w:r>
      <w:r>
        <w:rPr>
          <w:sz w:val="24"/>
        </w:rPr>
        <w:fldChar w:fldCharType="begin"/>
      </w:r>
      <w:r>
        <w:rPr>
          <w:sz w:val="24"/>
        </w:rPr>
        <w:instrText xml:space="preserve"> PAGEREF _Toc147848140 \h </w:instrText>
      </w:r>
      <w:r>
        <w:rPr>
          <w:sz w:val="24"/>
        </w:rPr>
        <w:fldChar w:fldCharType="separate"/>
      </w:r>
      <w:r>
        <w:rPr>
          <w:sz w:val="24"/>
        </w:rPr>
        <w:t>315</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"_Toc147848141" </w:instrText>
      </w:r>
      <w:r>
        <w:fldChar w:fldCharType="separate"/>
      </w:r>
      <w:r>
        <w:rPr>
          <w:rStyle w:val="39"/>
          <w:rFonts w:ascii="Times New Roman" w:hAnsi="Times New Roman"/>
          <w:sz w:val="24"/>
        </w:rPr>
        <w:t xml:space="preserve">11.2.2 </w:t>
      </w:r>
      <w:r>
        <w:rPr>
          <w:rStyle w:val="39"/>
          <w:rFonts w:hint="eastAsia" w:ascii="Times New Roman" w:hAnsi="Times New Roman"/>
          <w:sz w:val="24"/>
        </w:rPr>
        <w:t>与园区规划环评及审查意见符合性分析</w:t>
      </w:r>
      <w:r>
        <w:rPr>
          <w:sz w:val="24"/>
        </w:rPr>
        <w:tab/>
      </w:r>
      <w:r>
        <w:rPr>
          <w:sz w:val="24"/>
        </w:rPr>
        <w:fldChar w:fldCharType="begin"/>
      </w:r>
      <w:r>
        <w:rPr>
          <w:sz w:val="24"/>
        </w:rPr>
        <w:instrText xml:space="preserve"> PAGEREF _Toc147848141 \h </w:instrText>
      </w:r>
      <w:r>
        <w:rPr>
          <w:sz w:val="24"/>
        </w:rPr>
        <w:fldChar w:fldCharType="separate"/>
      </w:r>
      <w:r>
        <w:rPr>
          <w:sz w:val="24"/>
        </w:rPr>
        <w:t>316</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"_Toc147848142" </w:instrText>
      </w:r>
      <w:r>
        <w:fldChar w:fldCharType="separate"/>
      </w:r>
      <w:r>
        <w:rPr>
          <w:rStyle w:val="39"/>
          <w:sz w:val="24"/>
        </w:rPr>
        <w:t>11.3</w:t>
      </w:r>
      <w:r>
        <w:rPr>
          <w:rStyle w:val="39"/>
          <w:rFonts w:hint="eastAsia"/>
          <w:sz w:val="24"/>
        </w:rPr>
        <w:t>与行业技术规范相符性分析</w:t>
      </w:r>
      <w:r>
        <w:rPr>
          <w:sz w:val="24"/>
        </w:rPr>
        <w:tab/>
      </w:r>
      <w:r>
        <w:rPr>
          <w:sz w:val="24"/>
        </w:rPr>
        <w:fldChar w:fldCharType="begin"/>
      </w:r>
      <w:r>
        <w:rPr>
          <w:sz w:val="24"/>
        </w:rPr>
        <w:instrText xml:space="preserve"> PAGEREF _Toc147848142 \h </w:instrText>
      </w:r>
      <w:r>
        <w:rPr>
          <w:sz w:val="24"/>
        </w:rPr>
        <w:fldChar w:fldCharType="separate"/>
      </w:r>
      <w:r>
        <w:rPr>
          <w:sz w:val="24"/>
        </w:rPr>
        <w:t>317</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"_Toc147848143" </w:instrText>
      </w:r>
      <w:r>
        <w:fldChar w:fldCharType="separate"/>
      </w:r>
      <w:r>
        <w:rPr>
          <w:rStyle w:val="39"/>
          <w:rFonts w:ascii="Times New Roman" w:hAnsi="Times New Roman"/>
          <w:sz w:val="24"/>
        </w:rPr>
        <w:t>11.3.1</w:t>
      </w:r>
      <w:r>
        <w:rPr>
          <w:rStyle w:val="39"/>
          <w:rFonts w:hint="eastAsia" w:ascii="Times New Roman" w:hAnsi="Times New Roman"/>
          <w:sz w:val="24"/>
        </w:rPr>
        <w:t>与废电池污染防治技术政策的相符性分析</w:t>
      </w:r>
      <w:r>
        <w:rPr>
          <w:sz w:val="24"/>
        </w:rPr>
        <w:tab/>
      </w:r>
      <w:r>
        <w:rPr>
          <w:sz w:val="24"/>
        </w:rPr>
        <w:fldChar w:fldCharType="begin"/>
      </w:r>
      <w:r>
        <w:rPr>
          <w:sz w:val="24"/>
        </w:rPr>
        <w:instrText xml:space="preserve"> PAGEREF _Toc147848143 \h </w:instrText>
      </w:r>
      <w:r>
        <w:rPr>
          <w:sz w:val="24"/>
        </w:rPr>
        <w:fldChar w:fldCharType="separate"/>
      </w:r>
      <w:r>
        <w:rPr>
          <w:sz w:val="24"/>
        </w:rPr>
        <w:t>317</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"_Toc147848144" </w:instrText>
      </w:r>
      <w:r>
        <w:fldChar w:fldCharType="separate"/>
      </w:r>
      <w:r>
        <w:rPr>
          <w:rStyle w:val="39"/>
          <w:rFonts w:ascii="Times New Roman" w:hAnsi="Times New Roman"/>
          <w:sz w:val="24"/>
        </w:rPr>
        <w:t>11.3.2</w:t>
      </w:r>
      <w:r>
        <w:rPr>
          <w:rStyle w:val="39"/>
          <w:rFonts w:hint="eastAsia" w:ascii="Times New Roman" w:hAnsi="Times New Roman"/>
          <w:sz w:val="24"/>
        </w:rPr>
        <w:t>与废弃电器电子产品处理污染控制技术规范的符合性分析</w:t>
      </w:r>
      <w:r>
        <w:rPr>
          <w:sz w:val="24"/>
        </w:rPr>
        <w:tab/>
      </w:r>
      <w:r>
        <w:rPr>
          <w:sz w:val="24"/>
        </w:rPr>
        <w:fldChar w:fldCharType="begin"/>
      </w:r>
      <w:r>
        <w:rPr>
          <w:sz w:val="24"/>
        </w:rPr>
        <w:instrText xml:space="preserve"> PAGEREF _Toc147848144 \h </w:instrText>
      </w:r>
      <w:r>
        <w:rPr>
          <w:sz w:val="24"/>
        </w:rPr>
        <w:fldChar w:fldCharType="separate"/>
      </w:r>
      <w:r>
        <w:rPr>
          <w:sz w:val="24"/>
        </w:rPr>
        <w:t>318</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"_Toc147848145" </w:instrText>
      </w:r>
      <w:r>
        <w:fldChar w:fldCharType="separate"/>
      </w:r>
      <w:r>
        <w:rPr>
          <w:rStyle w:val="39"/>
          <w:rFonts w:ascii="Times New Roman" w:hAnsi="Times New Roman"/>
          <w:sz w:val="24"/>
        </w:rPr>
        <w:t>11.3.3</w:t>
      </w:r>
      <w:r>
        <w:rPr>
          <w:rStyle w:val="39"/>
          <w:rFonts w:hint="eastAsia" w:ascii="Times New Roman" w:hAnsi="Times New Roman"/>
          <w:sz w:val="24"/>
        </w:rPr>
        <w:t>与电子废物污染环境防治管理办法的相符性分析</w:t>
      </w:r>
      <w:r>
        <w:rPr>
          <w:sz w:val="24"/>
        </w:rPr>
        <w:tab/>
      </w:r>
      <w:r>
        <w:rPr>
          <w:sz w:val="24"/>
        </w:rPr>
        <w:fldChar w:fldCharType="begin"/>
      </w:r>
      <w:r>
        <w:rPr>
          <w:sz w:val="24"/>
        </w:rPr>
        <w:instrText xml:space="preserve"> PAGEREF _Toc147848145 \h </w:instrText>
      </w:r>
      <w:r>
        <w:rPr>
          <w:sz w:val="24"/>
        </w:rPr>
        <w:fldChar w:fldCharType="separate"/>
      </w:r>
      <w:r>
        <w:rPr>
          <w:sz w:val="24"/>
        </w:rPr>
        <w:t>320</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"_Toc147848146" </w:instrText>
      </w:r>
      <w:r>
        <w:fldChar w:fldCharType="separate"/>
      </w:r>
      <w:r>
        <w:rPr>
          <w:rStyle w:val="39"/>
          <w:rFonts w:ascii="Times New Roman" w:hAnsi="Times New Roman"/>
          <w:sz w:val="24"/>
        </w:rPr>
        <w:t>11.3.4</w:t>
      </w:r>
      <w:r>
        <w:rPr>
          <w:rStyle w:val="39"/>
          <w:rFonts w:hint="eastAsia" w:ascii="Times New Roman" w:hAnsi="Times New Roman"/>
          <w:sz w:val="24"/>
        </w:rPr>
        <w:t>与《废旧电池破碎分选回收技术规范》（</w:t>
      </w:r>
      <w:r>
        <w:rPr>
          <w:rStyle w:val="39"/>
          <w:rFonts w:ascii="Times New Roman" w:hAnsi="Times New Roman"/>
          <w:sz w:val="24"/>
        </w:rPr>
        <w:t>YS/T1174-2017</w:t>
      </w:r>
      <w:r>
        <w:rPr>
          <w:rStyle w:val="39"/>
          <w:rFonts w:hint="eastAsia" w:ascii="Times New Roman" w:hAnsi="Times New Roman"/>
          <w:sz w:val="24"/>
        </w:rPr>
        <w:t>）相符性分析</w:t>
      </w:r>
      <w:r>
        <w:rPr>
          <w:sz w:val="24"/>
        </w:rPr>
        <w:tab/>
      </w:r>
      <w:r>
        <w:rPr>
          <w:sz w:val="24"/>
        </w:rPr>
        <w:fldChar w:fldCharType="begin"/>
      </w:r>
      <w:r>
        <w:rPr>
          <w:sz w:val="24"/>
        </w:rPr>
        <w:instrText xml:space="preserve"> PAGEREF _Toc147848146 \h </w:instrText>
      </w:r>
      <w:r>
        <w:rPr>
          <w:sz w:val="24"/>
        </w:rPr>
        <w:fldChar w:fldCharType="separate"/>
      </w:r>
      <w:r>
        <w:rPr>
          <w:sz w:val="24"/>
        </w:rPr>
        <w:t>321</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"_Toc147848147" </w:instrText>
      </w:r>
      <w:r>
        <w:fldChar w:fldCharType="separate"/>
      </w:r>
      <w:r>
        <w:rPr>
          <w:rStyle w:val="39"/>
          <w:rFonts w:ascii="Times New Roman" w:hAnsi="Times New Roman"/>
          <w:sz w:val="24"/>
        </w:rPr>
        <w:t>11.3.5</w:t>
      </w:r>
      <w:r>
        <w:rPr>
          <w:rStyle w:val="39"/>
          <w:rFonts w:hint="eastAsia" w:ascii="Times New Roman" w:hAnsi="Times New Roman"/>
          <w:sz w:val="24"/>
        </w:rPr>
        <w:t>与《新能源汽车废旧动力蓄电池综合利用行业规范条件》（</w:t>
      </w:r>
      <w:r>
        <w:rPr>
          <w:rStyle w:val="39"/>
          <w:rFonts w:ascii="Times New Roman" w:hAnsi="Times New Roman"/>
          <w:sz w:val="24"/>
        </w:rPr>
        <w:t xml:space="preserve">2019 </w:t>
      </w:r>
      <w:r>
        <w:rPr>
          <w:rStyle w:val="39"/>
          <w:rFonts w:hint="eastAsia" w:ascii="Times New Roman" w:hAnsi="Times New Roman"/>
          <w:sz w:val="24"/>
        </w:rPr>
        <w:t>年本）相符性分析</w:t>
      </w:r>
      <w:r>
        <w:rPr>
          <w:sz w:val="24"/>
        </w:rPr>
        <w:tab/>
      </w:r>
      <w:r>
        <w:rPr>
          <w:sz w:val="24"/>
        </w:rPr>
        <w:fldChar w:fldCharType="begin"/>
      </w:r>
      <w:r>
        <w:rPr>
          <w:sz w:val="24"/>
        </w:rPr>
        <w:instrText xml:space="preserve"> PAGEREF _Toc147848147 \h </w:instrText>
      </w:r>
      <w:r>
        <w:rPr>
          <w:sz w:val="24"/>
        </w:rPr>
        <w:fldChar w:fldCharType="separate"/>
      </w:r>
      <w:r>
        <w:rPr>
          <w:sz w:val="24"/>
        </w:rPr>
        <w:t>321</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"_Toc147848148" </w:instrText>
      </w:r>
      <w:r>
        <w:fldChar w:fldCharType="separate"/>
      </w:r>
      <w:r>
        <w:rPr>
          <w:rStyle w:val="39"/>
          <w:rFonts w:ascii="Times New Roman" w:hAnsi="Times New Roman"/>
          <w:sz w:val="24"/>
        </w:rPr>
        <w:t>11.3.6</w:t>
      </w:r>
      <w:r>
        <w:rPr>
          <w:rStyle w:val="39"/>
          <w:rFonts w:hint="eastAsia" w:ascii="Times New Roman" w:hAnsi="Times New Roman"/>
          <w:sz w:val="24"/>
        </w:rPr>
        <w:t>与《电动汽车动力蓄电池回收利用技术政策》（</w:t>
      </w:r>
      <w:r>
        <w:rPr>
          <w:rStyle w:val="39"/>
          <w:rFonts w:ascii="Times New Roman" w:hAnsi="Times New Roman"/>
          <w:sz w:val="24"/>
        </w:rPr>
        <w:t xml:space="preserve">2015 </w:t>
      </w:r>
      <w:r>
        <w:rPr>
          <w:rStyle w:val="39"/>
          <w:rFonts w:hint="eastAsia" w:ascii="Times New Roman" w:hAnsi="Times New Roman"/>
          <w:sz w:val="24"/>
        </w:rPr>
        <w:t>年版）相符性分析</w:t>
      </w:r>
      <w:r>
        <w:rPr>
          <w:sz w:val="24"/>
        </w:rPr>
        <w:tab/>
      </w:r>
      <w:r>
        <w:rPr>
          <w:sz w:val="24"/>
        </w:rPr>
        <w:fldChar w:fldCharType="begin"/>
      </w:r>
      <w:r>
        <w:rPr>
          <w:sz w:val="24"/>
        </w:rPr>
        <w:instrText xml:space="preserve"> PAGEREF _Toc147848148 \h </w:instrText>
      </w:r>
      <w:r>
        <w:rPr>
          <w:sz w:val="24"/>
        </w:rPr>
        <w:fldChar w:fldCharType="separate"/>
      </w:r>
      <w:r>
        <w:rPr>
          <w:sz w:val="24"/>
        </w:rPr>
        <w:t>322</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"_Toc147848149" </w:instrText>
      </w:r>
      <w:r>
        <w:fldChar w:fldCharType="separate"/>
      </w:r>
      <w:r>
        <w:rPr>
          <w:rStyle w:val="39"/>
          <w:rFonts w:ascii="Times New Roman" w:hAnsi="Times New Roman"/>
          <w:sz w:val="24"/>
        </w:rPr>
        <w:t>11.3.7</w:t>
      </w:r>
      <w:r>
        <w:rPr>
          <w:rStyle w:val="39"/>
          <w:rFonts w:hint="eastAsia" w:ascii="Times New Roman" w:hAnsi="Times New Roman"/>
          <w:sz w:val="24"/>
        </w:rPr>
        <w:t>与《</w:t>
      </w:r>
      <w:r>
        <w:rPr>
          <w:rStyle w:val="39"/>
          <w:rFonts w:ascii="Times New Roman" w:hAnsi="Times New Roman"/>
          <w:sz w:val="24"/>
        </w:rPr>
        <w:t>“</w:t>
      </w:r>
      <w:r>
        <w:rPr>
          <w:rStyle w:val="39"/>
          <w:rFonts w:hint="eastAsia" w:ascii="Times New Roman" w:hAnsi="Times New Roman"/>
          <w:sz w:val="24"/>
        </w:rPr>
        <w:t>十三五</w:t>
      </w:r>
      <w:r>
        <w:rPr>
          <w:rStyle w:val="39"/>
          <w:rFonts w:ascii="Times New Roman" w:hAnsi="Times New Roman"/>
          <w:sz w:val="24"/>
        </w:rPr>
        <w:t>”</w:t>
      </w:r>
      <w:r>
        <w:rPr>
          <w:rStyle w:val="39"/>
          <w:rFonts w:hint="eastAsia" w:ascii="Times New Roman" w:hAnsi="Times New Roman"/>
          <w:sz w:val="24"/>
        </w:rPr>
        <w:t>挥发性有机物污染防治工作方案》环大气</w:t>
      </w:r>
      <w:r>
        <w:rPr>
          <w:rStyle w:val="39"/>
          <w:rFonts w:ascii="Times New Roman" w:hAnsi="Times New Roman"/>
          <w:sz w:val="24"/>
        </w:rPr>
        <w:t xml:space="preserve">[2017]121 </w:t>
      </w:r>
      <w:r>
        <w:rPr>
          <w:rStyle w:val="39"/>
          <w:rFonts w:hint="eastAsia" w:ascii="Times New Roman" w:hAnsi="Times New Roman"/>
          <w:sz w:val="24"/>
        </w:rPr>
        <w:t>号相符性分析</w:t>
      </w:r>
      <w:r>
        <w:rPr>
          <w:sz w:val="24"/>
        </w:rPr>
        <w:tab/>
      </w:r>
      <w:r>
        <w:rPr>
          <w:sz w:val="24"/>
        </w:rPr>
        <w:fldChar w:fldCharType="begin"/>
      </w:r>
      <w:r>
        <w:rPr>
          <w:sz w:val="24"/>
        </w:rPr>
        <w:instrText xml:space="preserve"> PAGEREF _Toc147848149 \h </w:instrText>
      </w:r>
      <w:r>
        <w:rPr>
          <w:sz w:val="24"/>
        </w:rPr>
        <w:fldChar w:fldCharType="separate"/>
      </w:r>
      <w:r>
        <w:rPr>
          <w:sz w:val="24"/>
        </w:rPr>
        <w:t>327</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"_Toc147848150" </w:instrText>
      </w:r>
      <w:r>
        <w:fldChar w:fldCharType="separate"/>
      </w:r>
      <w:r>
        <w:rPr>
          <w:rStyle w:val="39"/>
          <w:rFonts w:ascii="Times New Roman" w:hAnsi="Times New Roman"/>
          <w:sz w:val="24"/>
        </w:rPr>
        <w:t>11.3.8</w:t>
      </w:r>
      <w:r>
        <w:rPr>
          <w:rStyle w:val="39"/>
          <w:rFonts w:hint="eastAsia" w:ascii="Times New Roman" w:hAnsi="Times New Roman"/>
          <w:sz w:val="24"/>
        </w:rPr>
        <w:t>与《工业炉窑大气污染综合治理方案》环大气</w:t>
      </w:r>
      <w:r>
        <w:rPr>
          <w:rStyle w:val="39"/>
          <w:rFonts w:ascii="Times New Roman" w:hAnsi="Times New Roman"/>
          <w:sz w:val="24"/>
        </w:rPr>
        <w:t xml:space="preserve">[2019]56 </w:t>
      </w:r>
      <w:r>
        <w:rPr>
          <w:rStyle w:val="39"/>
          <w:rFonts w:hint="eastAsia" w:ascii="Times New Roman" w:hAnsi="Times New Roman"/>
          <w:sz w:val="24"/>
        </w:rPr>
        <w:t>号相符性分析</w:t>
      </w:r>
      <w:r>
        <w:rPr>
          <w:sz w:val="24"/>
        </w:rPr>
        <w:tab/>
      </w:r>
      <w:r>
        <w:rPr>
          <w:sz w:val="24"/>
        </w:rPr>
        <w:fldChar w:fldCharType="begin"/>
      </w:r>
      <w:r>
        <w:rPr>
          <w:sz w:val="24"/>
        </w:rPr>
        <w:instrText xml:space="preserve"> PAGEREF _Toc147848150 \h </w:instrText>
      </w:r>
      <w:r>
        <w:rPr>
          <w:sz w:val="24"/>
        </w:rPr>
        <w:fldChar w:fldCharType="separate"/>
      </w:r>
      <w:r>
        <w:rPr>
          <w:sz w:val="24"/>
        </w:rPr>
        <w:t>327</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"_Toc147848151" </w:instrText>
      </w:r>
      <w:r>
        <w:fldChar w:fldCharType="separate"/>
      </w:r>
      <w:r>
        <w:rPr>
          <w:rStyle w:val="39"/>
          <w:rFonts w:ascii="Times New Roman" w:hAnsi="Times New Roman"/>
          <w:sz w:val="24"/>
        </w:rPr>
        <w:t>11.3.9</w:t>
      </w:r>
      <w:r>
        <w:rPr>
          <w:rStyle w:val="39"/>
          <w:rFonts w:hint="eastAsia" w:ascii="Times New Roman" w:hAnsi="Times New Roman"/>
          <w:sz w:val="24"/>
        </w:rPr>
        <w:t>与</w:t>
      </w:r>
      <w:r>
        <w:rPr>
          <w:rStyle w:val="39"/>
          <w:rFonts w:hint="eastAsia" w:ascii="Times New Roman" w:hAnsi="Times New Roman"/>
          <w:sz w:val="24"/>
          <w:lang w:bidi="en-US"/>
        </w:rPr>
        <w:t>《车用动力电池回收利用拆解规范》</w:t>
      </w:r>
      <w:r>
        <w:rPr>
          <w:rStyle w:val="39"/>
          <w:rFonts w:hint="eastAsia" w:ascii="Times New Roman" w:hAnsi="Times New Roman"/>
          <w:sz w:val="24"/>
        </w:rPr>
        <w:t>相符性相符性分析</w:t>
      </w:r>
      <w:r>
        <w:rPr>
          <w:sz w:val="24"/>
        </w:rPr>
        <w:tab/>
      </w:r>
      <w:r>
        <w:rPr>
          <w:sz w:val="24"/>
        </w:rPr>
        <w:fldChar w:fldCharType="begin"/>
      </w:r>
      <w:r>
        <w:rPr>
          <w:sz w:val="24"/>
        </w:rPr>
        <w:instrText xml:space="preserve"> PAGEREF _Toc147848151 \h </w:instrText>
      </w:r>
      <w:r>
        <w:rPr>
          <w:sz w:val="24"/>
        </w:rPr>
        <w:fldChar w:fldCharType="separate"/>
      </w:r>
      <w:r>
        <w:rPr>
          <w:sz w:val="24"/>
        </w:rPr>
        <w:t>328</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"_Toc147848152" </w:instrText>
      </w:r>
      <w:r>
        <w:fldChar w:fldCharType="separate"/>
      </w:r>
      <w:r>
        <w:rPr>
          <w:rStyle w:val="39"/>
          <w:rFonts w:ascii="Times New Roman" w:hAnsi="Times New Roman"/>
          <w:sz w:val="24"/>
        </w:rPr>
        <w:t>11.3.10</w:t>
      </w:r>
      <w:r>
        <w:rPr>
          <w:rStyle w:val="39"/>
          <w:rFonts w:hint="eastAsia" w:ascii="Times New Roman" w:hAnsi="Times New Roman"/>
          <w:sz w:val="24"/>
        </w:rPr>
        <w:t>与《车用锂离子动力电池回收利用放电技术规范》相符性分析</w:t>
      </w:r>
      <w:r>
        <w:rPr>
          <w:sz w:val="24"/>
        </w:rPr>
        <w:tab/>
      </w:r>
      <w:r>
        <w:rPr>
          <w:sz w:val="24"/>
        </w:rPr>
        <w:fldChar w:fldCharType="begin"/>
      </w:r>
      <w:r>
        <w:rPr>
          <w:sz w:val="24"/>
        </w:rPr>
        <w:instrText xml:space="preserve"> PAGEREF _Toc147848152 \h </w:instrText>
      </w:r>
      <w:r>
        <w:rPr>
          <w:sz w:val="24"/>
        </w:rPr>
        <w:fldChar w:fldCharType="separate"/>
      </w:r>
      <w:r>
        <w:rPr>
          <w:sz w:val="24"/>
        </w:rPr>
        <w:t>329</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"_Toc147848153" </w:instrText>
      </w:r>
      <w:r>
        <w:fldChar w:fldCharType="separate"/>
      </w:r>
      <w:r>
        <w:rPr>
          <w:rStyle w:val="39"/>
          <w:rFonts w:ascii="Times New Roman" w:hAnsi="Times New Roman"/>
          <w:sz w:val="24"/>
        </w:rPr>
        <w:t>11.3.11</w:t>
      </w:r>
      <w:r>
        <w:rPr>
          <w:rStyle w:val="39"/>
          <w:rFonts w:hint="eastAsia" w:ascii="Times New Roman" w:hAnsi="Times New Roman"/>
          <w:sz w:val="24"/>
        </w:rPr>
        <w:t>与《废旧锂离子动力蓄电池单体拆解技术规范》相符性分析</w:t>
      </w:r>
      <w:r>
        <w:rPr>
          <w:sz w:val="24"/>
        </w:rPr>
        <w:tab/>
      </w:r>
      <w:r>
        <w:rPr>
          <w:sz w:val="24"/>
        </w:rPr>
        <w:fldChar w:fldCharType="begin"/>
      </w:r>
      <w:r>
        <w:rPr>
          <w:sz w:val="24"/>
        </w:rPr>
        <w:instrText xml:space="preserve"> PAGEREF _Toc147848153 \h </w:instrText>
      </w:r>
      <w:r>
        <w:rPr>
          <w:sz w:val="24"/>
        </w:rPr>
        <w:fldChar w:fldCharType="separate"/>
      </w:r>
      <w:r>
        <w:rPr>
          <w:sz w:val="24"/>
        </w:rPr>
        <w:t>329</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"_Toc147848154" </w:instrText>
      </w:r>
      <w:r>
        <w:fldChar w:fldCharType="separate"/>
      </w:r>
      <w:r>
        <w:rPr>
          <w:rStyle w:val="39"/>
          <w:rFonts w:ascii="Times New Roman" w:hAnsi="Times New Roman"/>
          <w:sz w:val="24"/>
        </w:rPr>
        <w:t>11.3.12</w:t>
      </w:r>
      <w:r>
        <w:rPr>
          <w:rStyle w:val="39"/>
          <w:rFonts w:hint="eastAsia" w:ascii="Times New Roman" w:hAnsi="Times New Roman"/>
          <w:sz w:val="24"/>
        </w:rPr>
        <w:t>与《废锂离子动力蓄电池处理污染控制技术规范（试行）》相符性分析</w:t>
      </w:r>
      <w:r>
        <w:rPr>
          <w:sz w:val="24"/>
        </w:rPr>
        <w:tab/>
      </w:r>
      <w:r>
        <w:rPr>
          <w:sz w:val="24"/>
        </w:rPr>
        <w:fldChar w:fldCharType="begin"/>
      </w:r>
      <w:r>
        <w:rPr>
          <w:sz w:val="24"/>
        </w:rPr>
        <w:instrText xml:space="preserve"> PAGEREF _Toc147848154 \h </w:instrText>
      </w:r>
      <w:r>
        <w:rPr>
          <w:sz w:val="24"/>
        </w:rPr>
        <w:fldChar w:fldCharType="separate"/>
      </w:r>
      <w:r>
        <w:rPr>
          <w:sz w:val="24"/>
        </w:rPr>
        <w:t>330</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"_Toc147848155" </w:instrText>
      </w:r>
      <w:r>
        <w:fldChar w:fldCharType="separate"/>
      </w:r>
      <w:r>
        <w:rPr>
          <w:rStyle w:val="39"/>
          <w:rFonts w:ascii="Times New Roman" w:hAnsi="Times New Roman"/>
          <w:sz w:val="24"/>
        </w:rPr>
        <w:t>11.3.13</w:t>
      </w:r>
      <w:r>
        <w:rPr>
          <w:rStyle w:val="39"/>
          <w:rFonts w:hint="eastAsia" w:ascii="Times New Roman" w:hAnsi="Times New Roman"/>
          <w:sz w:val="24"/>
        </w:rPr>
        <w:t>与蓄电池溯源管理规定、行业规范条件和梯次利用管理办法的相符性相符性分析</w:t>
      </w:r>
      <w:r>
        <w:rPr>
          <w:sz w:val="24"/>
        </w:rPr>
        <w:tab/>
      </w:r>
      <w:r>
        <w:rPr>
          <w:sz w:val="24"/>
        </w:rPr>
        <w:fldChar w:fldCharType="begin"/>
      </w:r>
      <w:r>
        <w:rPr>
          <w:sz w:val="24"/>
        </w:rPr>
        <w:instrText xml:space="preserve"> PAGEREF _Toc147848155 \h </w:instrText>
      </w:r>
      <w:r>
        <w:rPr>
          <w:sz w:val="24"/>
        </w:rPr>
        <w:fldChar w:fldCharType="separate"/>
      </w:r>
      <w:r>
        <w:rPr>
          <w:sz w:val="24"/>
        </w:rPr>
        <w:t>330</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"_Toc147848156" </w:instrText>
      </w:r>
      <w:r>
        <w:fldChar w:fldCharType="separate"/>
      </w:r>
      <w:r>
        <w:rPr>
          <w:rStyle w:val="39"/>
          <w:sz w:val="24"/>
        </w:rPr>
        <w:t>11.5</w:t>
      </w:r>
      <w:r>
        <w:rPr>
          <w:rStyle w:val="39"/>
          <w:rFonts w:hint="eastAsia"/>
          <w:sz w:val="24"/>
        </w:rPr>
        <w:t>与《湖南省湘江保护条例》的符合性分析</w:t>
      </w:r>
      <w:r>
        <w:rPr>
          <w:sz w:val="24"/>
        </w:rPr>
        <w:tab/>
      </w:r>
      <w:r>
        <w:rPr>
          <w:sz w:val="24"/>
        </w:rPr>
        <w:fldChar w:fldCharType="begin"/>
      </w:r>
      <w:r>
        <w:rPr>
          <w:sz w:val="24"/>
        </w:rPr>
        <w:instrText xml:space="preserve"> PAGEREF _Toc147848156 \h </w:instrText>
      </w:r>
      <w:r>
        <w:rPr>
          <w:sz w:val="24"/>
        </w:rPr>
        <w:fldChar w:fldCharType="separate"/>
      </w:r>
      <w:r>
        <w:rPr>
          <w:sz w:val="24"/>
        </w:rPr>
        <w:t>337</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"_Toc147848157" </w:instrText>
      </w:r>
      <w:r>
        <w:fldChar w:fldCharType="separate"/>
      </w:r>
      <w:r>
        <w:rPr>
          <w:rStyle w:val="39"/>
          <w:sz w:val="24"/>
        </w:rPr>
        <w:t>11.6</w:t>
      </w:r>
      <w:r>
        <w:rPr>
          <w:rStyle w:val="39"/>
          <w:rFonts w:hint="eastAsia"/>
          <w:sz w:val="24"/>
        </w:rPr>
        <w:t>与《中华人民共和国长江保护法》、《五部委关于加强长江经济带工业绿色发展的指导意见》（工信部联节</w:t>
      </w:r>
      <w:r>
        <w:rPr>
          <w:rStyle w:val="39"/>
          <w:sz w:val="24"/>
        </w:rPr>
        <w:t xml:space="preserve">[2017]178 </w:t>
      </w:r>
      <w:r>
        <w:rPr>
          <w:rStyle w:val="39"/>
          <w:rFonts w:hint="eastAsia"/>
          <w:sz w:val="24"/>
        </w:rPr>
        <w:t>号）、《关于印发</w:t>
      </w:r>
      <w:r>
        <w:rPr>
          <w:rStyle w:val="39"/>
          <w:sz w:val="24"/>
        </w:rPr>
        <w:t>&lt;</w:t>
      </w:r>
      <w:r>
        <w:rPr>
          <w:rStyle w:val="39"/>
          <w:rFonts w:hint="eastAsia"/>
          <w:sz w:val="24"/>
        </w:rPr>
        <w:t>长江经济带生态环境保护规划</w:t>
      </w:r>
      <w:r>
        <w:rPr>
          <w:rStyle w:val="39"/>
          <w:sz w:val="24"/>
        </w:rPr>
        <w:t>&gt;</w:t>
      </w:r>
      <w:r>
        <w:rPr>
          <w:rStyle w:val="39"/>
          <w:rFonts w:hint="eastAsia"/>
          <w:sz w:val="24"/>
        </w:rPr>
        <w:t>的通知》（环规财</w:t>
      </w:r>
      <w:r>
        <w:rPr>
          <w:rStyle w:val="39"/>
          <w:sz w:val="24"/>
        </w:rPr>
        <w:t xml:space="preserve">[2017]88 </w:t>
      </w:r>
      <w:r>
        <w:rPr>
          <w:rStyle w:val="39"/>
          <w:rFonts w:hint="eastAsia"/>
          <w:sz w:val="24"/>
        </w:rPr>
        <w:t>号）、《国家发展改革委、环境保护部印发关于加强长江黄金水道环境污染防控治理的指导意见的通知》（发改环资</w:t>
      </w:r>
      <w:r>
        <w:rPr>
          <w:rStyle w:val="39"/>
          <w:sz w:val="24"/>
        </w:rPr>
        <w:t xml:space="preserve">[2016]370 </w:t>
      </w:r>
      <w:r>
        <w:rPr>
          <w:rStyle w:val="39"/>
          <w:rFonts w:hint="eastAsia"/>
          <w:sz w:val="24"/>
        </w:rPr>
        <w:t>号）、关于印发《长江经济带发展负面清单指南（试行，</w:t>
      </w:r>
      <w:r>
        <w:rPr>
          <w:rStyle w:val="39"/>
          <w:sz w:val="24"/>
        </w:rPr>
        <w:t>2022</w:t>
      </w:r>
      <w:r>
        <w:rPr>
          <w:rStyle w:val="39"/>
          <w:rFonts w:hint="eastAsia"/>
          <w:sz w:val="24"/>
        </w:rPr>
        <w:t>年版）的通知》（长江办</w:t>
      </w:r>
      <w:r>
        <w:rPr>
          <w:rStyle w:val="39"/>
          <w:sz w:val="24"/>
        </w:rPr>
        <w:t>[2022]7</w:t>
      </w:r>
      <w:r>
        <w:rPr>
          <w:rStyle w:val="39"/>
          <w:rFonts w:hint="eastAsia"/>
          <w:sz w:val="24"/>
        </w:rPr>
        <w:t>号）的符合性分析</w:t>
      </w:r>
      <w:r>
        <w:rPr>
          <w:sz w:val="24"/>
        </w:rPr>
        <w:tab/>
      </w:r>
      <w:r>
        <w:rPr>
          <w:sz w:val="24"/>
        </w:rPr>
        <w:fldChar w:fldCharType="begin"/>
      </w:r>
      <w:r>
        <w:rPr>
          <w:sz w:val="24"/>
        </w:rPr>
        <w:instrText xml:space="preserve"> PAGEREF _Toc147848157 \h </w:instrText>
      </w:r>
      <w:r>
        <w:rPr>
          <w:sz w:val="24"/>
        </w:rPr>
        <w:fldChar w:fldCharType="separate"/>
      </w:r>
      <w:r>
        <w:rPr>
          <w:sz w:val="24"/>
        </w:rPr>
        <w:t>338</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"_Toc147848158" </w:instrText>
      </w:r>
      <w:r>
        <w:fldChar w:fldCharType="separate"/>
      </w:r>
      <w:r>
        <w:rPr>
          <w:rStyle w:val="39"/>
          <w:sz w:val="24"/>
        </w:rPr>
        <w:t>11.7</w:t>
      </w:r>
      <w:r>
        <w:rPr>
          <w:rStyle w:val="39"/>
          <w:rFonts w:hint="eastAsia"/>
          <w:sz w:val="24"/>
        </w:rPr>
        <w:t>与《湖南省</w:t>
      </w:r>
      <w:r>
        <w:rPr>
          <w:rStyle w:val="39"/>
          <w:sz w:val="24"/>
        </w:rPr>
        <w:t>“</w:t>
      </w:r>
      <w:r>
        <w:rPr>
          <w:rStyle w:val="39"/>
          <w:rFonts w:hint="eastAsia"/>
          <w:sz w:val="24"/>
        </w:rPr>
        <w:t>三线一单</w:t>
      </w:r>
      <w:r>
        <w:rPr>
          <w:rStyle w:val="39"/>
          <w:sz w:val="24"/>
        </w:rPr>
        <w:t>”</w:t>
      </w:r>
      <w:r>
        <w:rPr>
          <w:rStyle w:val="39"/>
          <w:rFonts w:hint="eastAsia"/>
          <w:sz w:val="24"/>
        </w:rPr>
        <w:t>生态环境总体管控要求暨省级以上产业园区生态环境准入清单》相符性分析</w:t>
      </w:r>
      <w:r>
        <w:rPr>
          <w:sz w:val="24"/>
        </w:rPr>
        <w:tab/>
      </w:r>
      <w:r>
        <w:rPr>
          <w:sz w:val="24"/>
        </w:rPr>
        <w:fldChar w:fldCharType="begin"/>
      </w:r>
      <w:r>
        <w:rPr>
          <w:sz w:val="24"/>
        </w:rPr>
        <w:instrText xml:space="preserve"> PAGEREF _Toc147848158 \h </w:instrText>
      </w:r>
      <w:r>
        <w:rPr>
          <w:sz w:val="24"/>
        </w:rPr>
        <w:fldChar w:fldCharType="separate"/>
      </w:r>
      <w:r>
        <w:rPr>
          <w:sz w:val="24"/>
        </w:rPr>
        <w:t>340</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"_Toc147848159" </w:instrText>
      </w:r>
      <w:r>
        <w:fldChar w:fldCharType="separate"/>
      </w:r>
      <w:r>
        <w:rPr>
          <w:rStyle w:val="39"/>
          <w:sz w:val="24"/>
        </w:rPr>
        <w:t xml:space="preserve">11.8 </w:t>
      </w:r>
      <w:r>
        <w:rPr>
          <w:rStyle w:val="39"/>
          <w:rFonts w:hint="eastAsia"/>
          <w:sz w:val="24"/>
        </w:rPr>
        <w:t>与三线一单符合性分析</w:t>
      </w:r>
      <w:r>
        <w:rPr>
          <w:sz w:val="24"/>
        </w:rPr>
        <w:tab/>
      </w:r>
      <w:r>
        <w:rPr>
          <w:sz w:val="24"/>
        </w:rPr>
        <w:fldChar w:fldCharType="begin"/>
      </w:r>
      <w:r>
        <w:rPr>
          <w:sz w:val="24"/>
        </w:rPr>
        <w:instrText xml:space="preserve"> PAGEREF _Toc147848159 \h </w:instrText>
      </w:r>
      <w:r>
        <w:rPr>
          <w:sz w:val="24"/>
        </w:rPr>
        <w:fldChar w:fldCharType="separate"/>
      </w:r>
      <w:r>
        <w:rPr>
          <w:sz w:val="24"/>
        </w:rPr>
        <w:t>343</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"_Toc147848160" </w:instrText>
      </w:r>
      <w:r>
        <w:fldChar w:fldCharType="separate"/>
      </w:r>
      <w:r>
        <w:rPr>
          <w:rStyle w:val="39"/>
          <w:sz w:val="24"/>
        </w:rPr>
        <w:t xml:space="preserve">11.9 </w:t>
      </w:r>
      <w:r>
        <w:rPr>
          <w:rStyle w:val="39"/>
          <w:rFonts w:hint="eastAsia"/>
          <w:sz w:val="24"/>
        </w:rPr>
        <w:t>选址合理性分析</w:t>
      </w:r>
      <w:r>
        <w:rPr>
          <w:sz w:val="24"/>
        </w:rPr>
        <w:tab/>
      </w:r>
      <w:r>
        <w:rPr>
          <w:sz w:val="24"/>
        </w:rPr>
        <w:fldChar w:fldCharType="begin"/>
      </w:r>
      <w:r>
        <w:rPr>
          <w:sz w:val="24"/>
        </w:rPr>
        <w:instrText xml:space="preserve"> PAGEREF _Toc147848160 \h </w:instrText>
      </w:r>
      <w:r>
        <w:rPr>
          <w:sz w:val="24"/>
        </w:rPr>
        <w:fldChar w:fldCharType="separate"/>
      </w:r>
      <w:r>
        <w:rPr>
          <w:sz w:val="24"/>
        </w:rPr>
        <w:t>343</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"_Toc147848161" </w:instrText>
      </w:r>
      <w:r>
        <w:fldChar w:fldCharType="separate"/>
      </w:r>
      <w:r>
        <w:rPr>
          <w:rStyle w:val="39"/>
          <w:sz w:val="24"/>
        </w:rPr>
        <w:t xml:space="preserve">11.10 </w:t>
      </w:r>
      <w:r>
        <w:rPr>
          <w:rStyle w:val="39"/>
          <w:rFonts w:hint="eastAsia"/>
          <w:sz w:val="24"/>
        </w:rPr>
        <w:t>总平面布置合理性分析</w:t>
      </w:r>
      <w:r>
        <w:rPr>
          <w:sz w:val="24"/>
        </w:rPr>
        <w:tab/>
      </w:r>
      <w:r>
        <w:rPr>
          <w:sz w:val="24"/>
        </w:rPr>
        <w:fldChar w:fldCharType="begin"/>
      </w:r>
      <w:r>
        <w:rPr>
          <w:sz w:val="24"/>
        </w:rPr>
        <w:instrText xml:space="preserve"> PAGEREF _Toc147848161 \h </w:instrText>
      </w:r>
      <w:r>
        <w:rPr>
          <w:sz w:val="24"/>
        </w:rPr>
        <w:fldChar w:fldCharType="separate"/>
      </w:r>
      <w:r>
        <w:rPr>
          <w:sz w:val="24"/>
        </w:rPr>
        <w:t>344</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"_Toc147848162" </w:instrText>
      </w:r>
      <w:r>
        <w:fldChar w:fldCharType="separate"/>
      </w:r>
      <w:r>
        <w:rPr>
          <w:rStyle w:val="39"/>
          <w:sz w:val="24"/>
        </w:rPr>
        <w:t xml:space="preserve">11.11 </w:t>
      </w:r>
      <w:r>
        <w:rPr>
          <w:rStyle w:val="39"/>
          <w:rFonts w:hint="eastAsia"/>
          <w:sz w:val="24"/>
        </w:rPr>
        <w:t>项目环境制约因素</w:t>
      </w:r>
      <w:r>
        <w:rPr>
          <w:sz w:val="24"/>
        </w:rPr>
        <w:tab/>
      </w:r>
      <w:r>
        <w:rPr>
          <w:sz w:val="24"/>
        </w:rPr>
        <w:fldChar w:fldCharType="begin"/>
      </w:r>
      <w:r>
        <w:rPr>
          <w:sz w:val="24"/>
        </w:rPr>
        <w:instrText xml:space="preserve"> PAGEREF _Toc147848162 \h </w:instrText>
      </w:r>
      <w:r>
        <w:rPr>
          <w:sz w:val="24"/>
        </w:rPr>
        <w:fldChar w:fldCharType="separate"/>
      </w:r>
      <w:r>
        <w:rPr>
          <w:sz w:val="24"/>
        </w:rPr>
        <w:t>344</w:t>
      </w:r>
      <w:r>
        <w:rPr>
          <w:sz w:val="24"/>
        </w:rPr>
        <w:fldChar w:fldCharType="end"/>
      </w:r>
      <w:r>
        <w:rPr>
          <w:sz w:val="24"/>
        </w:rPr>
        <w:fldChar w:fldCharType="end"/>
      </w:r>
    </w:p>
    <w:p>
      <w:pPr>
        <w:pStyle w:val="24"/>
        <w:tabs>
          <w:tab w:val="right" w:leader="dot" w:pos="8296"/>
        </w:tabs>
        <w:spacing w:line="360" w:lineRule="auto"/>
        <w:rPr>
          <w:rFonts w:asciiTheme="minorHAnsi" w:hAnsiTheme="minorHAnsi" w:eastAsiaTheme="minorEastAsia" w:cstheme="minorBidi"/>
          <w:sz w:val="24"/>
        </w:rPr>
      </w:pPr>
      <w:r>
        <w:fldChar w:fldCharType="begin"/>
      </w:r>
      <w:r>
        <w:instrText xml:space="preserve"> HYPERLINK \l "_Toc147848163" </w:instrText>
      </w:r>
      <w:r>
        <w:fldChar w:fldCharType="separate"/>
      </w:r>
      <w:r>
        <w:rPr>
          <w:rStyle w:val="39"/>
          <w:rFonts w:hint="eastAsia" w:ascii="Times New Roman" w:hAnsi="Times New Roman"/>
          <w:sz w:val="24"/>
        </w:rPr>
        <w:t>第</w:t>
      </w:r>
      <w:r>
        <w:rPr>
          <w:rStyle w:val="39"/>
          <w:rFonts w:ascii="Times New Roman" w:hAnsi="Times New Roman"/>
          <w:sz w:val="24"/>
        </w:rPr>
        <w:t>12</w:t>
      </w:r>
      <w:r>
        <w:rPr>
          <w:rStyle w:val="39"/>
          <w:rFonts w:hint="eastAsia" w:ascii="Times New Roman" w:hAnsi="Times New Roman"/>
          <w:sz w:val="24"/>
        </w:rPr>
        <w:t>章</w:t>
      </w:r>
      <w:r>
        <w:rPr>
          <w:rStyle w:val="39"/>
          <w:rFonts w:ascii="Times New Roman" w:hAnsi="Times New Roman"/>
          <w:sz w:val="24"/>
        </w:rPr>
        <w:t xml:space="preserve"> </w:t>
      </w:r>
      <w:r>
        <w:rPr>
          <w:rStyle w:val="39"/>
          <w:rFonts w:hint="eastAsia" w:ascii="Times New Roman" w:hAnsi="Times New Roman"/>
          <w:sz w:val="24"/>
        </w:rPr>
        <w:t>环境管理与监测制度</w:t>
      </w:r>
      <w:r>
        <w:rPr>
          <w:sz w:val="24"/>
        </w:rPr>
        <w:tab/>
      </w:r>
      <w:r>
        <w:rPr>
          <w:sz w:val="24"/>
        </w:rPr>
        <w:fldChar w:fldCharType="begin"/>
      </w:r>
      <w:r>
        <w:rPr>
          <w:sz w:val="24"/>
        </w:rPr>
        <w:instrText xml:space="preserve"> PAGEREF _Toc147848163 \h </w:instrText>
      </w:r>
      <w:r>
        <w:rPr>
          <w:sz w:val="24"/>
        </w:rPr>
        <w:fldChar w:fldCharType="separate"/>
      </w:r>
      <w:r>
        <w:rPr>
          <w:sz w:val="24"/>
        </w:rPr>
        <w:t>345</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"_Toc147848164" </w:instrText>
      </w:r>
      <w:r>
        <w:fldChar w:fldCharType="separate"/>
      </w:r>
      <w:r>
        <w:rPr>
          <w:rStyle w:val="39"/>
          <w:sz w:val="24"/>
        </w:rPr>
        <w:t xml:space="preserve">12.1 </w:t>
      </w:r>
      <w:r>
        <w:rPr>
          <w:rStyle w:val="39"/>
          <w:rFonts w:hint="eastAsia"/>
          <w:sz w:val="24"/>
        </w:rPr>
        <w:t>环境管理</w:t>
      </w:r>
      <w:r>
        <w:rPr>
          <w:sz w:val="24"/>
        </w:rPr>
        <w:tab/>
      </w:r>
      <w:r>
        <w:rPr>
          <w:sz w:val="24"/>
        </w:rPr>
        <w:fldChar w:fldCharType="begin"/>
      </w:r>
      <w:r>
        <w:rPr>
          <w:sz w:val="24"/>
        </w:rPr>
        <w:instrText xml:space="preserve"> PAGEREF _Toc147848164 \h </w:instrText>
      </w:r>
      <w:r>
        <w:rPr>
          <w:sz w:val="24"/>
        </w:rPr>
        <w:fldChar w:fldCharType="separate"/>
      </w:r>
      <w:r>
        <w:rPr>
          <w:sz w:val="24"/>
        </w:rPr>
        <w:t>345</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"_Toc147848165" </w:instrText>
      </w:r>
      <w:r>
        <w:fldChar w:fldCharType="separate"/>
      </w:r>
      <w:r>
        <w:rPr>
          <w:rStyle w:val="39"/>
          <w:rFonts w:ascii="Times New Roman" w:hAnsi="Times New Roman"/>
          <w:sz w:val="24"/>
        </w:rPr>
        <w:t xml:space="preserve">12.1.1 </w:t>
      </w:r>
      <w:r>
        <w:rPr>
          <w:rStyle w:val="39"/>
          <w:rFonts w:hint="eastAsia" w:ascii="Times New Roman" w:hAnsi="Times New Roman"/>
          <w:sz w:val="24"/>
        </w:rPr>
        <w:t>环境管理目的</w:t>
      </w:r>
      <w:r>
        <w:rPr>
          <w:sz w:val="24"/>
        </w:rPr>
        <w:tab/>
      </w:r>
      <w:r>
        <w:rPr>
          <w:sz w:val="24"/>
        </w:rPr>
        <w:fldChar w:fldCharType="begin"/>
      </w:r>
      <w:r>
        <w:rPr>
          <w:sz w:val="24"/>
        </w:rPr>
        <w:instrText xml:space="preserve"> PAGEREF _Toc147848165 \h </w:instrText>
      </w:r>
      <w:r>
        <w:rPr>
          <w:sz w:val="24"/>
        </w:rPr>
        <w:fldChar w:fldCharType="separate"/>
      </w:r>
      <w:r>
        <w:rPr>
          <w:sz w:val="24"/>
        </w:rPr>
        <w:t>345</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"_Toc147848166" </w:instrText>
      </w:r>
      <w:r>
        <w:fldChar w:fldCharType="separate"/>
      </w:r>
      <w:r>
        <w:rPr>
          <w:rStyle w:val="39"/>
          <w:rFonts w:ascii="Times New Roman" w:hAnsi="Times New Roman"/>
          <w:sz w:val="24"/>
        </w:rPr>
        <w:t xml:space="preserve">12.1.2 </w:t>
      </w:r>
      <w:r>
        <w:rPr>
          <w:rStyle w:val="39"/>
          <w:rFonts w:hint="eastAsia" w:ascii="Times New Roman" w:hAnsi="Times New Roman"/>
          <w:sz w:val="24"/>
        </w:rPr>
        <w:t>建立环境管理机构</w:t>
      </w:r>
      <w:r>
        <w:rPr>
          <w:sz w:val="24"/>
        </w:rPr>
        <w:tab/>
      </w:r>
      <w:r>
        <w:rPr>
          <w:sz w:val="24"/>
        </w:rPr>
        <w:fldChar w:fldCharType="begin"/>
      </w:r>
      <w:r>
        <w:rPr>
          <w:sz w:val="24"/>
        </w:rPr>
        <w:instrText xml:space="preserve"> PAGEREF _Toc147848166 \h </w:instrText>
      </w:r>
      <w:r>
        <w:rPr>
          <w:sz w:val="24"/>
        </w:rPr>
        <w:fldChar w:fldCharType="separate"/>
      </w:r>
      <w:r>
        <w:rPr>
          <w:sz w:val="24"/>
        </w:rPr>
        <w:t>345</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"_Toc147848167" </w:instrText>
      </w:r>
      <w:r>
        <w:fldChar w:fldCharType="separate"/>
      </w:r>
      <w:r>
        <w:rPr>
          <w:rStyle w:val="39"/>
          <w:rFonts w:ascii="Times New Roman" w:hAnsi="Times New Roman"/>
          <w:sz w:val="24"/>
        </w:rPr>
        <w:t xml:space="preserve">12.1.3 </w:t>
      </w:r>
      <w:r>
        <w:rPr>
          <w:rStyle w:val="39"/>
          <w:rFonts w:hint="eastAsia" w:ascii="Times New Roman" w:hAnsi="Times New Roman"/>
          <w:sz w:val="24"/>
        </w:rPr>
        <w:t>环境管理要求</w:t>
      </w:r>
      <w:r>
        <w:rPr>
          <w:sz w:val="24"/>
        </w:rPr>
        <w:tab/>
      </w:r>
      <w:r>
        <w:rPr>
          <w:sz w:val="24"/>
        </w:rPr>
        <w:fldChar w:fldCharType="begin"/>
      </w:r>
      <w:r>
        <w:rPr>
          <w:sz w:val="24"/>
        </w:rPr>
        <w:instrText xml:space="preserve"> PAGEREF _Toc147848167 \h </w:instrText>
      </w:r>
      <w:r>
        <w:rPr>
          <w:sz w:val="24"/>
        </w:rPr>
        <w:fldChar w:fldCharType="separate"/>
      </w:r>
      <w:r>
        <w:rPr>
          <w:sz w:val="24"/>
        </w:rPr>
        <w:t>345</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"_Toc147848168" </w:instrText>
      </w:r>
      <w:r>
        <w:fldChar w:fldCharType="separate"/>
      </w:r>
      <w:r>
        <w:rPr>
          <w:rStyle w:val="39"/>
          <w:rFonts w:ascii="Times New Roman" w:hAnsi="Times New Roman"/>
          <w:sz w:val="24"/>
        </w:rPr>
        <w:t xml:space="preserve">12.1.4 </w:t>
      </w:r>
      <w:r>
        <w:rPr>
          <w:rStyle w:val="39"/>
          <w:rFonts w:hint="eastAsia" w:ascii="Times New Roman" w:hAnsi="Times New Roman"/>
          <w:sz w:val="24"/>
        </w:rPr>
        <w:t>信息公开</w:t>
      </w:r>
      <w:r>
        <w:rPr>
          <w:sz w:val="24"/>
        </w:rPr>
        <w:tab/>
      </w:r>
      <w:r>
        <w:rPr>
          <w:sz w:val="24"/>
        </w:rPr>
        <w:fldChar w:fldCharType="begin"/>
      </w:r>
      <w:r>
        <w:rPr>
          <w:sz w:val="24"/>
        </w:rPr>
        <w:instrText xml:space="preserve"> PAGEREF _Toc147848168 \h </w:instrText>
      </w:r>
      <w:r>
        <w:rPr>
          <w:sz w:val="24"/>
        </w:rPr>
        <w:fldChar w:fldCharType="separate"/>
      </w:r>
      <w:r>
        <w:rPr>
          <w:sz w:val="24"/>
        </w:rPr>
        <w:t>346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"_Toc147848169" </w:instrText>
      </w:r>
      <w:r>
        <w:fldChar w:fldCharType="separate"/>
      </w:r>
      <w:r>
        <w:rPr>
          <w:rStyle w:val="39"/>
          <w:rFonts w:ascii="Times New Roman" w:hAnsi="Times New Roman"/>
          <w:sz w:val="24"/>
        </w:rPr>
        <w:t xml:space="preserve">12.1.5 </w:t>
      </w:r>
      <w:r>
        <w:rPr>
          <w:rStyle w:val="39"/>
          <w:rFonts w:hint="eastAsia" w:ascii="Times New Roman" w:hAnsi="Times New Roman"/>
          <w:sz w:val="24"/>
        </w:rPr>
        <w:t>排污口规范化</w:t>
      </w:r>
      <w:r>
        <w:rPr>
          <w:sz w:val="24"/>
        </w:rPr>
        <w:tab/>
      </w:r>
      <w:r>
        <w:rPr>
          <w:sz w:val="24"/>
        </w:rPr>
        <w:fldChar w:fldCharType="begin"/>
      </w:r>
      <w:r>
        <w:rPr>
          <w:sz w:val="24"/>
        </w:rPr>
        <w:instrText xml:space="preserve"> PAGEREF _Toc147848169 \h </w:instrText>
      </w:r>
      <w:r>
        <w:rPr>
          <w:sz w:val="24"/>
        </w:rPr>
        <w:fldChar w:fldCharType="separate"/>
      </w:r>
      <w:r>
        <w:rPr>
          <w:sz w:val="24"/>
        </w:rPr>
        <w:t>346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"_Toc147848170" </w:instrText>
      </w:r>
      <w:r>
        <w:fldChar w:fldCharType="separate"/>
      </w:r>
      <w:r>
        <w:rPr>
          <w:rStyle w:val="39"/>
          <w:rFonts w:ascii="Times New Roman" w:hAnsi="Times New Roman"/>
          <w:sz w:val="24"/>
        </w:rPr>
        <w:t xml:space="preserve">12.1.6 </w:t>
      </w:r>
      <w:r>
        <w:rPr>
          <w:rStyle w:val="39"/>
          <w:rFonts w:hint="eastAsia" w:ascii="Times New Roman" w:hAnsi="Times New Roman"/>
          <w:sz w:val="24"/>
        </w:rPr>
        <w:t>日常环境管理</w:t>
      </w:r>
      <w:r>
        <w:rPr>
          <w:sz w:val="24"/>
        </w:rPr>
        <w:tab/>
      </w:r>
      <w:r>
        <w:rPr>
          <w:sz w:val="24"/>
        </w:rPr>
        <w:fldChar w:fldCharType="begin"/>
      </w:r>
      <w:r>
        <w:rPr>
          <w:sz w:val="24"/>
        </w:rPr>
        <w:instrText xml:space="preserve"> PAGEREF _Toc147848170 \h </w:instrText>
      </w:r>
      <w:r>
        <w:rPr>
          <w:sz w:val="24"/>
        </w:rPr>
        <w:fldChar w:fldCharType="separate"/>
      </w:r>
      <w:r>
        <w:rPr>
          <w:sz w:val="24"/>
        </w:rPr>
        <w:t>348</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"_Toc147848171" </w:instrText>
      </w:r>
      <w:r>
        <w:fldChar w:fldCharType="separate"/>
      </w:r>
      <w:r>
        <w:rPr>
          <w:rStyle w:val="39"/>
          <w:sz w:val="24"/>
        </w:rPr>
        <w:t xml:space="preserve">12.2 </w:t>
      </w:r>
      <w:r>
        <w:rPr>
          <w:rStyle w:val="39"/>
          <w:rFonts w:hint="eastAsia"/>
          <w:sz w:val="24"/>
        </w:rPr>
        <w:t>环境监测</w:t>
      </w:r>
      <w:r>
        <w:rPr>
          <w:sz w:val="24"/>
        </w:rPr>
        <w:tab/>
      </w:r>
      <w:r>
        <w:rPr>
          <w:sz w:val="24"/>
        </w:rPr>
        <w:fldChar w:fldCharType="begin"/>
      </w:r>
      <w:r>
        <w:rPr>
          <w:sz w:val="24"/>
        </w:rPr>
        <w:instrText xml:space="preserve"> PAGEREF _Toc147848171 \h </w:instrText>
      </w:r>
      <w:r>
        <w:rPr>
          <w:sz w:val="24"/>
        </w:rPr>
        <w:fldChar w:fldCharType="separate"/>
      </w:r>
      <w:r>
        <w:rPr>
          <w:sz w:val="24"/>
        </w:rPr>
        <w:t>349</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"_Toc147848172" </w:instrText>
      </w:r>
      <w:r>
        <w:fldChar w:fldCharType="separate"/>
      </w:r>
      <w:r>
        <w:rPr>
          <w:rStyle w:val="39"/>
          <w:sz w:val="24"/>
        </w:rPr>
        <w:t xml:space="preserve">12.3 </w:t>
      </w:r>
      <w:r>
        <w:rPr>
          <w:rStyle w:val="39"/>
          <w:rFonts w:hint="eastAsia"/>
          <w:sz w:val="24"/>
        </w:rPr>
        <w:t>工程竣工环境保护验收内容</w:t>
      </w:r>
      <w:r>
        <w:rPr>
          <w:sz w:val="24"/>
        </w:rPr>
        <w:tab/>
      </w:r>
      <w:r>
        <w:rPr>
          <w:sz w:val="24"/>
        </w:rPr>
        <w:fldChar w:fldCharType="begin"/>
      </w:r>
      <w:r>
        <w:rPr>
          <w:sz w:val="24"/>
        </w:rPr>
        <w:instrText xml:space="preserve"> PAGEREF _Toc147848172 \h </w:instrText>
      </w:r>
      <w:r>
        <w:rPr>
          <w:sz w:val="24"/>
        </w:rPr>
        <w:fldChar w:fldCharType="separate"/>
      </w:r>
      <w:r>
        <w:rPr>
          <w:sz w:val="24"/>
        </w:rPr>
        <w:t>352</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"_Toc147848173" </w:instrText>
      </w:r>
      <w:r>
        <w:fldChar w:fldCharType="separate"/>
      </w:r>
      <w:r>
        <w:rPr>
          <w:rStyle w:val="39"/>
          <w:rFonts w:ascii="Times New Roman" w:hAnsi="Times New Roman"/>
          <w:sz w:val="24"/>
        </w:rPr>
        <w:t xml:space="preserve">12.3.1 </w:t>
      </w:r>
      <w:r>
        <w:rPr>
          <w:rStyle w:val="39"/>
          <w:rFonts w:hint="eastAsia" w:ascii="Times New Roman" w:hAnsi="Times New Roman"/>
          <w:sz w:val="24"/>
        </w:rPr>
        <w:t>竣工环保验收范围</w:t>
      </w:r>
      <w:r>
        <w:rPr>
          <w:sz w:val="24"/>
        </w:rPr>
        <w:tab/>
      </w:r>
      <w:r>
        <w:rPr>
          <w:sz w:val="24"/>
        </w:rPr>
        <w:fldChar w:fldCharType="begin"/>
      </w:r>
      <w:r>
        <w:rPr>
          <w:sz w:val="24"/>
        </w:rPr>
        <w:instrText xml:space="preserve"> PAGEREF _Toc147848173 \h </w:instrText>
      </w:r>
      <w:r>
        <w:rPr>
          <w:sz w:val="24"/>
        </w:rPr>
        <w:fldChar w:fldCharType="separate"/>
      </w:r>
      <w:r>
        <w:rPr>
          <w:sz w:val="24"/>
        </w:rPr>
        <w:t>352</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"_Toc147848174" </w:instrText>
      </w:r>
      <w:r>
        <w:fldChar w:fldCharType="separate"/>
      </w:r>
      <w:r>
        <w:rPr>
          <w:rStyle w:val="39"/>
          <w:rFonts w:ascii="Times New Roman" w:hAnsi="Times New Roman"/>
          <w:sz w:val="24"/>
        </w:rPr>
        <w:t xml:space="preserve">12.3.2 </w:t>
      </w:r>
      <w:r>
        <w:rPr>
          <w:rStyle w:val="39"/>
          <w:rFonts w:hint="eastAsia" w:ascii="Times New Roman" w:hAnsi="Times New Roman"/>
          <w:sz w:val="24"/>
        </w:rPr>
        <w:t>竣工环境保护验收清单</w:t>
      </w:r>
      <w:r>
        <w:rPr>
          <w:sz w:val="24"/>
        </w:rPr>
        <w:tab/>
      </w:r>
      <w:r>
        <w:rPr>
          <w:sz w:val="24"/>
        </w:rPr>
        <w:fldChar w:fldCharType="begin"/>
      </w:r>
      <w:r>
        <w:rPr>
          <w:sz w:val="24"/>
        </w:rPr>
        <w:instrText xml:space="preserve"> PAGEREF _Toc147848174 \h </w:instrText>
      </w:r>
      <w:r>
        <w:rPr>
          <w:sz w:val="24"/>
        </w:rPr>
        <w:fldChar w:fldCharType="separate"/>
      </w:r>
      <w:r>
        <w:rPr>
          <w:sz w:val="24"/>
        </w:rPr>
        <w:t>352</w:t>
      </w:r>
      <w:r>
        <w:rPr>
          <w:sz w:val="24"/>
        </w:rPr>
        <w:fldChar w:fldCharType="end"/>
      </w:r>
      <w:r>
        <w:rPr>
          <w:sz w:val="24"/>
        </w:rPr>
        <w:fldChar w:fldCharType="end"/>
      </w:r>
    </w:p>
    <w:p>
      <w:pPr>
        <w:pStyle w:val="24"/>
        <w:tabs>
          <w:tab w:val="right" w:leader="dot" w:pos="8296"/>
        </w:tabs>
        <w:spacing w:line="360" w:lineRule="auto"/>
        <w:rPr>
          <w:rFonts w:asciiTheme="minorHAnsi" w:hAnsiTheme="minorHAnsi" w:eastAsiaTheme="minorEastAsia" w:cstheme="minorBidi"/>
          <w:sz w:val="24"/>
        </w:rPr>
      </w:pPr>
      <w:r>
        <w:fldChar w:fldCharType="begin"/>
      </w:r>
      <w:r>
        <w:instrText xml:space="preserve"> HYPERLINK \l "_Toc147848175" </w:instrText>
      </w:r>
      <w:r>
        <w:fldChar w:fldCharType="separate"/>
      </w:r>
      <w:r>
        <w:rPr>
          <w:rStyle w:val="39"/>
          <w:rFonts w:hint="eastAsia" w:ascii="Times New Roman" w:hAnsi="Times New Roman"/>
          <w:sz w:val="24"/>
        </w:rPr>
        <w:t>第</w:t>
      </w:r>
      <w:r>
        <w:rPr>
          <w:rStyle w:val="39"/>
          <w:rFonts w:ascii="Times New Roman" w:hAnsi="Times New Roman"/>
          <w:sz w:val="24"/>
        </w:rPr>
        <w:t>13</w:t>
      </w:r>
      <w:r>
        <w:rPr>
          <w:rStyle w:val="39"/>
          <w:rFonts w:hint="eastAsia" w:ascii="Times New Roman" w:hAnsi="Times New Roman"/>
          <w:sz w:val="24"/>
        </w:rPr>
        <w:t>章</w:t>
      </w:r>
      <w:r>
        <w:rPr>
          <w:rStyle w:val="39"/>
          <w:rFonts w:ascii="Times New Roman" w:hAnsi="Times New Roman"/>
          <w:sz w:val="24"/>
        </w:rPr>
        <w:t xml:space="preserve"> </w:t>
      </w:r>
      <w:r>
        <w:rPr>
          <w:rStyle w:val="39"/>
          <w:rFonts w:hint="eastAsia" w:ascii="Times New Roman" w:hAnsi="Times New Roman"/>
          <w:sz w:val="24"/>
        </w:rPr>
        <w:t>结论与建议</w:t>
      </w:r>
      <w:r>
        <w:rPr>
          <w:sz w:val="24"/>
        </w:rPr>
        <w:tab/>
      </w:r>
      <w:r>
        <w:rPr>
          <w:sz w:val="24"/>
        </w:rPr>
        <w:fldChar w:fldCharType="begin"/>
      </w:r>
      <w:r>
        <w:rPr>
          <w:sz w:val="24"/>
        </w:rPr>
        <w:instrText xml:space="preserve"> PAGEREF _Toc147848175 \h </w:instrText>
      </w:r>
      <w:r>
        <w:rPr>
          <w:sz w:val="24"/>
        </w:rPr>
        <w:fldChar w:fldCharType="separate"/>
      </w:r>
      <w:r>
        <w:rPr>
          <w:sz w:val="24"/>
        </w:rPr>
        <w:t>356</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"_Toc147848176" </w:instrText>
      </w:r>
      <w:r>
        <w:fldChar w:fldCharType="separate"/>
      </w:r>
      <w:r>
        <w:rPr>
          <w:rStyle w:val="39"/>
          <w:sz w:val="24"/>
        </w:rPr>
        <w:t xml:space="preserve">13.1 </w:t>
      </w:r>
      <w:r>
        <w:rPr>
          <w:rStyle w:val="39"/>
          <w:rFonts w:hint="eastAsia"/>
          <w:sz w:val="24"/>
        </w:rPr>
        <w:t>结论</w:t>
      </w:r>
      <w:r>
        <w:rPr>
          <w:sz w:val="24"/>
        </w:rPr>
        <w:tab/>
      </w:r>
      <w:r>
        <w:rPr>
          <w:sz w:val="24"/>
        </w:rPr>
        <w:fldChar w:fldCharType="begin"/>
      </w:r>
      <w:r>
        <w:rPr>
          <w:sz w:val="24"/>
        </w:rPr>
        <w:instrText xml:space="preserve"> PAGEREF _Toc147848176 \h </w:instrText>
      </w:r>
      <w:r>
        <w:rPr>
          <w:sz w:val="24"/>
        </w:rPr>
        <w:fldChar w:fldCharType="separate"/>
      </w:r>
      <w:r>
        <w:rPr>
          <w:sz w:val="24"/>
        </w:rPr>
        <w:t>356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"_Toc147848177" </w:instrText>
      </w:r>
      <w:r>
        <w:fldChar w:fldCharType="separate"/>
      </w:r>
      <w:r>
        <w:rPr>
          <w:rStyle w:val="39"/>
          <w:sz w:val="24"/>
        </w:rPr>
        <w:t xml:space="preserve">13.1.1 </w:t>
      </w:r>
      <w:r>
        <w:rPr>
          <w:rStyle w:val="39"/>
          <w:rFonts w:hint="eastAsia"/>
          <w:sz w:val="24"/>
        </w:rPr>
        <w:t>项目概况</w:t>
      </w:r>
      <w:r>
        <w:rPr>
          <w:sz w:val="24"/>
        </w:rPr>
        <w:tab/>
      </w:r>
      <w:r>
        <w:rPr>
          <w:sz w:val="24"/>
        </w:rPr>
        <w:fldChar w:fldCharType="begin"/>
      </w:r>
      <w:r>
        <w:rPr>
          <w:sz w:val="24"/>
        </w:rPr>
        <w:instrText xml:space="preserve"> PAGEREF _Toc147848177 \h </w:instrText>
      </w:r>
      <w:r>
        <w:rPr>
          <w:sz w:val="24"/>
        </w:rPr>
        <w:fldChar w:fldCharType="separate"/>
      </w:r>
      <w:r>
        <w:rPr>
          <w:sz w:val="24"/>
        </w:rPr>
        <w:t>356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"_Toc147848178" </w:instrText>
      </w:r>
      <w:r>
        <w:fldChar w:fldCharType="separate"/>
      </w:r>
      <w:r>
        <w:rPr>
          <w:rStyle w:val="39"/>
          <w:sz w:val="24"/>
        </w:rPr>
        <w:t xml:space="preserve">13.1.2 </w:t>
      </w:r>
      <w:r>
        <w:rPr>
          <w:rStyle w:val="39"/>
          <w:rFonts w:hint="eastAsia"/>
          <w:sz w:val="24"/>
        </w:rPr>
        <w:t>产业政策符合性分析</w:t>
      </w:r>
      <w:r>
        <w:rPr>
          <w:sz w:val="24"/>
        </w:rPr>
        <w:tab/>
      </w:r>
      <w:r>
        <w:rPr>
          <w:sz w:val="24"/>
        </w:rPr>
        <w:fldChar w:fldCharType="begin"/>
      </w:r>
      <w:r>
        <w:rPr>
          <w:sz w:val="24"/>
        </w:rPr>
        <w:instrText xml:space="preserve"> PAGEREF _Toc147848178 \h </w:instrText>
      </w:r>
      <w:r>
        <w:rPr>
          <w:sz w:val="24"/>
        </w:rPr>
        <w:fldChar w:fldCharType="separate"/>
      </w:r>
      <w:r>
        <w:rPr>
          <w:sz w:val="24"/>
        </w:rPr>
        <w:t>356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"_Toc147848179" </w:instrText>
      </w:r>
      <w:r>
        <w:fldChar w:fldCharType="separate"/>
      </w:r>
      <w:r>
        <w:rPr>
          <w:rStyle w:val="39"/>
          <w:sz w:val="24"/>
        </w:rPr>
        <w:t xml:space="preserve">13.1.3 </w:t>
      </w:r>
      <w:r>
        <w:rPr>
          <w:rStyle w:val="39"/>
          <w:rFonts w:hint="eastAsia"/>
          <w:sz w:val="24"/>
        </w:rPr>
        <w:t>区域环境质量现状</w:t>
      </w:r>
      <w:r>
        <w:rPr>
          <w:sz w:val="24"/>
        </w:rPr>
        <w:tab/>
      </w:r>
      <w:r>
        <w:rPr>
          <w:sz w:val="24"/>
        </w:rPr>
        <w:fldChar w:fldCharType="begin"/>
      </w:r>
      <w:r>
        <w:rPr>
          <w:sz w:val="24"/>
        </w:rPr>
        <w:instrText xml:space="preserve"> PAGEREF _Toc147848179 \h </w:instrText>
      </w:r>
      <w:r>
        <w:rPr>
          <w:sz w:val="24"/>
        </w:rPr>
        <w:fldChar w:fldCharType="separate"/>
      </w:r>
      <w:r>
        <w:rPr>
          <w:sz w:val="24"/>
        </w:rPr>
        <w:t>356</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"_Toc147848180" </w:instrText>
      </w:r>
      <w:r>
        <w:fldChar w:fldCharType="separate"/>
      </w:r>
      <w:r>
        <w:rPr>
          <w:rStyle w:val="39"/>
          <w:sz w:val="24"/>
        </w:rPr>
        <w:t xml:space="preserve">13.1.4 </w:t>
      </w:r>
      <w:r>
        <w:rPr>
          <w:rStyle w:val="39"/>
          <w:rFonts w:hint="eastAsia"/>
          <w:sz w:val="24"/>
        </w:rPr>
        <w:t>环境影响评价结论</w:t>
      </w:r>
      <w:r>
        <w:rPr>
          <w:sz w:val="24"/>
        </w:rPr>
        <w:tab/>
      </w:r>
      <w:r>
        <w:rPr>
          <w:sz w:val="24"/>
        </w:rPr>
        <w:fldChar w:fldCharType="begin"/>
      </w:r>
      <w:r>
        <w:rPr>
          <w:sz w:val="24"/>
        </w:rPr>
        <w:instrText xml:space="preserve"> PAGEREF _Toc147848180 \h </w:instrText>
      </w:r>
      <w:r>
        <w:rPr>
          <w:sz w:val="24"/>
        </w:rPr>
        <w:fldChar w:fldCharType="separate"/>
      </w:r>
      <w:r>
        <w:rPr>
          <w:sz w:val="24"/>
        </w:rPr>
        <w:t>357</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"_Toc147848181" </w:instrText>
      </w:r>
      <w:r>
        <w:fldChar w:fldCharType="separate"/>
      </w:r>
      <w:r>
        <w:rPr>
          <w:rStyle w:val="39"/>
          <w:sz w:val="24"/>
        </w:rPr>
        <w:t xml:space="preserve">13.1.6 </w:t>
      </w:r>
      <w:r>
        <w:rPr>
          <w:rStyle w:val="39"/>
          <w:rFonts w:hint="eastAsia"/>
          <w:sz w:val="24"/>
        </w:rPr>
        <w:t>风险分析结论</w:t>
      </w:r>
      <w:r>
        <w:rPr>
          <w:sz w:val="24"/>
        </w:rPr>
        <w:tab/>
      </w:r>
      <w:r>
        <w:rPr>
          <w:sz w:val="24"/>
        </w:rPr>
        <w:fldChar w:fldCharType="begin"/>
      </w:r>
      <w:r>
        <w:rPr>
          <w:sz w:val="24"/>
        </w:rPr>
        <w:instrText xml:space="preserve"> PAGEREF _Toc147848181 \h </w:instrText>
      </w:r>
      <w:r>
        <w:rPr>
          <w:sz w:val="24"/>
        </w:rPr>
        <w:fldChar w:fldCharType="separate"/>
      </w:r>
      <w:r>
        <w:rPr>
          <w:sz w:val="24"/>
        </w:rPr>
        <w:t>359</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"_Toc147848182" </w:instrText>
      </w:r>
      <w:r>
        <w:fldChar w:fldCharType="separate"/>
      </w:r>
      <w:r>
        <w:rPr>
          <w:rStyle w:val="39"/>
          <w:sz w:val="24"/>
        </w:rPr>
        <w:t xml:space="preserve">13.1.7 </w:t>
      </w:r>
      <w:r>
        <w:rPr>
          <w:rStyle w:val="39"/>
          <w:rFonts w:hint="eastAsia"/>
          <w:sz w:val="24"/>
        </w:rPr>
        <w:t>总量控制</w:t>
      </w:r>
      <w:r>
        <w:rPr>
          <w:sz w:val="24"/>
        </w:rPr>
        <w:tab/>
      </w:r>
      <w:r>
        <w:rPr>
          <w:sz w:val="24"/>
        </w:rPr>
        <w:fldChar w:fldCharType="begin"/>
      </w:r>
      <w:r>
        <w:rPr>
          <w:sz w:val="24"/>
        </w:rPr>
        <w:instrText xml:space="preserve"> PAGEREF _Toc147848182 \h </w:instrText>
      </w:r>
      <w:r>
        <w:rPr>
          <w:sz w:val="24"/>
        </w:rPr>
        <w:fldChar w:fldCharType="separate"/>
      </w:r>
      <w:r>
        <w:rPr>
          <w:sz w:val="24"/>
        </w:rPr>
        <w:t>359</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"_Toc147848183" </w:instrText>
      </w:r>
      <w:r>
        <w:fldChar w:fldCharType="separate"/>
      </w:r>
      <w:r>
        <w:rPr>
          <w:rStyle w:val="39"/>
          <w:sz w:val="24"/>
        </w:rPr>
        <w:t xml:space="preserve">13.1.8 </w:t>
      </w:r>
      <w:r>
        <w:rPr>
          <w:rStyle w:val="39"/>
          <w:rFonts w:hint="eastAsia"/>
          <w:sz w:val="24"/>
        </w:rPr>
        <w:t>公众参与情况</w:t>
      </w:r>
      <w:r>
        <w:rPr>
          <w:sz w:val="24"/>
        </w:rPr>
        <w:tab/>
      </w:r>
      <w:r>
        <w:rPr>
          <w:sz w:val="24"/>
        </w:rPr>
        <w:fldChar w:fldCharType="begin"/>
      </w:r>
      <w:r>
        <w:rPr>
          <w:sz w:val="24"/>
        </w:rPr>
        <w:instrText xml:space="preserve"> PAGEREF _Toc147848183 \h </w:instrText>
      </w:r>
      <w:r>
        <w:rPr>
          <w:sz w:val="24"/>
        </w:rPr>
        <w:fldChar w:fldCharType="separate"/>
      </w:r>
      <w:r>
        <w:rPr>
          <w:sz w:val="24"/>
        </w:rPr>
        <w:t>360</w:t>
      </w:r>
      <w:r>
        <w:rPr>
          <w:sz w:val="24"/>
        </w:rPr>
        <w:fldChar w:fldCharType="end"/>
      </w:r>
      <w:r>
        <w:rPr>
          <w:sz w:val="24"/>
        </w:rPr>
        <w:fldChar w:fldCharType="end"/>
      </w:r>
    </w:p>
    <w:p>
      <w:pPr>
        <w:pStyle w:val="16"/>
        <w:tabs>
          <w:tab w:val="right" w:leader="dot" w:pos="8296"/>
        </w:tabs>
        <w:spacing w:line="360" w:lineRule="auto"/>
        <w:ind w:left="960"/>
        <w:rPr>
          <w:rFonts w:asciiTheme="minorHAnsi" w:hAnsiTheme="minorHAnsi" w:eastAsiaTheme="minorEastAsia" w:cstheme="minorBidi"/>
          <w:sz w:val="24"/>
        </w:rPr>
      </w:pPr>
      <w:r>
        <w:fldChar w:fldCharType="begin"/>
      </w:r>
      <w:r>
        <w:instrText xml:space="preserve"> HYPERLINK \l "_Toc147848184" </w:instrText>
      </w:r>
      <w:r>
        <w:fldChar w:fldCharType="separate"/>
      </w:r>
      <w:r>
        <w:rPr>
          <w:rStyle w:val="39"/>
          <w:sz w:val="24"/>
        </w:rPr>
        <w:t xml:space="preserve">13.1.9 </w:t>
      </w:r>
      <w:r>
        <w:rPr>
          <w:rStyle w:val="39"/>
          <w:rFonts w:hint="eastAsia"/>
          <w:sz w:val="24"/>
        </w:rPr>
        <w:t>总结论</w:t>
      </w:r>
      <w:r>
        <w:rPr>
          <w:sz w:val="24"/>
        </w:rPr>
        <w:tab/>
      </w:r>
      <w:r>
        <w:rPr>
          <w:sz w:val="24"/>
        </w:rPr>
        <w:fldChar w:fldCharType="begin"/>
      </w:r>
      <w:r>
        <w:rPr>
          <w:sz w:val="24"/>
        </w:rPr>
        <w:instrText xml:space="preserve"> PAGEREF _Toc147848184 \h </w:instrText>
      </w:r>
      <w:r>
        <w:rPr>
          <w:sz w:val="24"/>
        </w:rPr>
        <w:fldChar w:fldCharType="separate"/>
      </w:r>
      <w:r>
        <w:rPr>
          <w:sz w:val="24"/>
        </w:rPr>
        <w:t>360</w:t>
      </w:r>
      <w:r>
        <w:rPr>
          <w:sz w:val="24"/>
        </w:rPr>
        <w:fldChar w:fldCharType="end"/>
      </w:r>
      <w:r>
        <w:rPr>
          <w:sz w:val="24"/>
        </w:rPr>
        <w:fldChar w:fldCharType="end"/>
      </w:r>
    </w:p>
    <w:p>
      <w:pPr>
        <w:pStyle w:val="27"/>
        <w:tabs>
          <w:tab w:val="right" w:leader="dot" w:pos="8296"/>
        </w:tabs>
        <w:spacing w:line="360" w:lineRule="auto"/>
        <w:ind w:firstLine="420"/>
        <w:rPr>
          <w:rFonts w:asciiTheme="minorHAnsi" w:hAnsiTheme="minorHAnsi" w:eastAsiaTheme="minorEastAsia" w:cstheme="minorBidi"/>
          <w:sz w:val="24"/>
        </w:rPr>
      </w:pPr>
      <w:r>
        <w:fldChar w:fldCharType="begin"/>
      </w:r>
      <w:r>
        <w:instrText xml:space="preserve"> HYPERLINK \l "_Toc147848185" </w:instrText>
      </w:r>
      <w:r>
        <w:fldChar w:fldCharType="separate"/>
      </w:r>
      <w:r>
        <w:rPr>
          <w:rStyle w:val="39"/>
          <w:sz w:val="24"/>
        </w:rPr>
        <w:t xml:space="preserve">13.2 </w:t>
      </w:r>
      <w:r>
        <w:rPr>
          <w:rStyle w:val="39"/>
          <w:rFonts w:hint="eastAsia"/>
          <w:sz w:val="24"/>
        </w:rPr>
        <w:t>建议</w:t>
      </w:r>
      <w:r>
        <w:rPr>
          <w:sz w:val="24"/>
        </w:rPr>
        <w:tab/>
      </w:r>
      <w:r>
        <w:rPr>
          <w:sz w:val="24"/>
        </w:rPr>
        <w:fldChar w:fldCharType="begin"/>
      </w:r>
      <w:r>
        <w:rPr>
          <w:sz w:val="24"/>
        </w:rPr>
        <w:instrText xml:space="preserve"> PAGEREF _Toc147848185 \h </w:instrText>
      </w:r>
      <w:r>
        <w:rPr>
          <w:sz w:val="24"/>
        </w:rPr>
        <w:fldChar w:fldCharType="separate"/>
      </w:r>
      <w:r>
        <w:rPr>
          <w:sz w:val="24"/>
        </w:rPr>
        <w:t>360</w:t>
      </w:r>
      <w:r>
        <w:rPr>
          <w:sz w:val="24"/>
        </w:rPr>
        <w:fldChar w:fldCharType="end"/>
      </w:r>
      <w:r>
        <w:rPr>
          <w:sz w:val="24"/>
        </w:rPr>
        <w:fldChar w:fldCharType="end"/>
      </w:r>
    </w:p>
    <w:p>
      <w:pPr>
        <w:spacing w:line="360" w:lineRule="auto"/>
        <w:rPr>
          <w:rFonts w:ascii="Times New Roman" w:hAnsi="Times New Roman" w:cs="Times New Roman"/>
        </w:rPr>
        <w:sectPr>
          <w:pgSz w:w="11906" w:h="16838"/>
          <w:pgMar w:top="1440" w:right="1800" w:bottom="1440" w:left="1800" w:header="851" w:footer="992" w:gutter="0"/>
          <w:cols w:space="425" w:num="1"/>
          <w:docGrid w:type="lines" w:linePitch="312" w:charSpace="0"/>
        </w:sectPr>
      </w:pPr>
      <w:r>
        <w:rPr>
          <w:rFonts w:ascii="Times New Roman" w:hAnsi="Times New Roman" w:eastAsia="宋体" w:cs="Times New Roman"/>
          <w:szCs w:val="24"/>
        </w:rPr>
        <w:fldChar w:fldCharType="end"/>
      </w:r>
    </w:p>
    <w:p>
      <w:pPr>
        <w:pStyle w:val="2"/>
        <w:spacing w:before="120" w:after="120"/>
        <w:rPr>
          <w:rFonts w:ascii="Times New Roman" w:hAnsi="Times New Roman" w:cs="Times New Roman"/>
        </w:rPr>
      </w:pPr>
      <w:bookmarkStart w:id="1" w:name="_Toc144236722"/>
      <w:bookmarkStart w:id="2" w:name="_Toc147847972"/>
      <w:bookmarkStart w:id="3" w:name="_Toc144276852"/>
      <w:r>
        <w:rPr>
          <w:rFonts w:ascii="Times New Roman" w:hAnsi="Times New Roman" w:cs="Times New Roman"/>
        </w:rPr>
        <w:t>第1章 概论</w:t>
      </w:r>
      <w:bookmarkEnd w:id="1"/>
      <w:bookmarkEnd w:id="2"/>
      <w:bookmarkEnd w:id="3"/>
    </w:p>
    <w:p>
      <w:pPr>
        <w:pStyle w:val="3"/>
        <w:rPr>
          <w:rFonts w:ascii="Times New Roman" w:hAnsi="Times New Roman" w:cs="Times New Roman" w:eastAsiaTheme="minorEastAsia"/>
        </w:rPr>
      </w:pPr>
      <w:bookmarkStart w:id="4" w:name="_Toc147847973"/>
      <w:bookmarkStart w:id="5" w:name="_Toc144236723"/>
      <w:bookmarkStart w:id="6" w:name="_Toc144276853"/>
      <w:r>
        <w:rPr>
          <w:rFonts w:ascii="Times New Roman" w:hAnsi="Times New Roman" w:cs="Times New Roman" w:eastAsiaTheme="minorEastAsia"/>
        </w:rPr>
        <w:t>1.1 项目由来</w:t>
      </w:r>
      <w:bookmarkEnd w:id="4"/>
      <w:bookmarkEnd w:id="5"/>
      <w:bookmarkEnd w:id="6"/>
    </w:p>
    <w:p>
      <w:pPr>
        <w:spacing w:line="360" w:lineRule="auto"/>
        <w:ind w:firstLine="480" w:firstLineChars="200"/>
        <w:rPr>
          <w:rFonts w:ascii="Times New Roman" w:hAnsi="Times New Roman" w:cs="Times New Roman"/>
        </w:rPr>
      </w:pPr>
      <w:r>
        <w:rPr>
          <w:rFonts w:ascii="Times New Roman" w:hAnsi="Times New Roman" w:cs="Times New Roman"/>
        </w:rPr>
        <w:t>锂离子电池一般是使用锂合金金属氧化物为正极材料、石墨为负极材料、使用非水电解质的电池。锂离子电池以其特有的性能优势已在便携式电器如手提电脑、摄像机、移动通讯中得到普遍应用。开发的大容量锂离子电池已在电动汽车中开始试用，预计将成为21世纪电动汽车的主要动力电源之一，并将在人造卫星、航空航天和储能方面得到应用。</w:t>
      </w:r>
    </w:p>
    <w:p>
      <w:pPr>
        <w:spacing w:line="360" w:lineRule="auto"/>
        <w:ind w:firstLine="480" w:firstLineChars="200"/>
        <w:rPr>
          <w:rFonts w:ascii="Times New Roman" w:hAnsi="Times New Roman" w:cs="Times New Roman"/>
        </w:rPr>
      </w:pPr>
      <w:r>
        <w:rPr>
          <w:rFonts w:ascii="Times New Roman" w:hAnsi="Times New Roman" w:cs="Times New Roman"/>
        </w:rPr>
        <w:t>20世纪90年代以来，随着锂电池的广泛应用，我国成为最大的锂电池生产国、消费国。特别是近几年，我国出台了一系列重大政策措施，新能源汽车市场日益蓬勃发展，2017年我国新能源汽车销量77.7万辆，占全球的50%，2020年累计销售达到500万辆，作为新能源汽车的心脏，锂电池产业也迅猛发展。根据相应的报废标准，锂电池回收市场已经形成。据锂电大数据网专家分析，2018年累计废旧锂电池达到12GWH、报废量超过17万吨，回收市场规模达到53亿元，2023年将达到200亿元。</w:t>
      </w:r>
    </w:p>
    <w:p>
      <w:pPr>
        <w:spacing w:line="360" w:lineRule="auto"/>
        <w:ind w:firstLine="480" w:firstLineChars="200"/>
        <w:rPr>
          <w:rFonts w:ascii="Times New Roman" w:hAnsi="Times New Roman" w:cs="Times New Roman"/>
        </w:rPr>
      </w:pPr>
      <w:r>
        <w:rPr>
          <w:rFonts w:ascii="Times New Roman" w:hAnsi="Times New Roman" w:cs="Times New Roman"/>
        </w:rPr>
        <w:t>目前我国锂电池研究主要集中在提高其安全性能及使用寿命等方面，而回收利用环节却严重脱节。相关资料显示，因环境及使用习惯影响锂电的使用寿命在应用中无法达到理论值，当在其容量衰减至初始容量的80%以下时，电动汽车的续航里程会明显减少，锂电池使用寿命约20年，但用于汽车动力却只有3-5年。这些报废的锂电池与传统铅蓄电池相比，虽然不含汞、镉、铅等毒害大的重金属元素，但其正负极材料、电解质溶液等物质含锂、镍、钴等储能有价金属元素，不仅含有我国低储量高消耗的战略性稀缺金属资源，而且对环境有很大影响。一方面，尽管我国锂盐的生产量较大，但是在锂矿、卤水等资源领域却主要依赖于进口，随着新能源汽车动力电池对锂电的需求和智能电器储能领域对锂电的需求，全球锂需求一直呈现整体上升趋势。不仅如此，在锂电池中，还有多种其它金属，如镍、钴、锰等，其中镍、钴对我国而言都是战略稀缺资源，资源进口率均超过50%，构建闭合的锂电池上下游，提高综合回收利用的效率，可以大大缓解我国战略金属的进口压力；另一方面，锂电池的正极材料中含有锂、镍（含镍金属化合 物已被列为危险固废）、钴、锰等重金属元素，如果随意报废，电解液会渗入周围土壤，对于土壤、地表水及周围居民的安全产生影响。除了重金属镍、钴污染以外，还可能造成氟、酸碱及其它有机物污染。</w:t>
      </w:r>
    </w:p>
    <w:p>
      <w:pPr>
        <w:spacing w:line="360" w:lineRule="auto"/>
        <w:ind w:firstLine="480" w:firstLineChars="200"/>
        <w:rPr>
          <w:rFonts w:ascii="Times New Roman" w:hAnsi="Times New Roman" w:cs="Times New Roman"/>
        </w:rPr>
      </w:pPr>
      <w:r>
        <w:rPr>
          <w:rFonts w:ascii="Times New Roman" w:hAnsi="Times New Roman" w:cs="Times New Roman"/>
        </w:rPr>
        <w:t>面对日益紧迫的环保压力，各国都将积极推广使用环保节能的锂离子电池。日益增长的电源市场需求给锂离子电池产业带来了广阔的发展空间，同时也造成钴、镍、锂、铜等资源的枯竭。因此如何利用废锂电池回收其中的有价金属元素，使得金属资源得到可持续发展，同时减少废锂电池日益堆积对环境造成的污染，具有十分重要的社会经济意义和战略意义。</w:t>
      </w:r>
    </w:p>
    <w:p>
      <w:pPr>
        <w:spacing w:line="360" w:lineRule="auto"/>
        <w:ind w:firstLine="480" w:firstLineChars="200"/>
        <w:rPr>
          <w:rFonts w:ascii="Times New Roman" w:hAnsi="Times New Roman" w:cs="Times New Roman"/>
        </w:rPr>
      </w:pPr>
      <w:r>
        <w:rPr>
          <w:rFonts w:ascii="Times New Roman" w:hAnsi="Times New Roman" w:cs="Times New Roman"/>
        </w:rPr>
        <w:t>为贯彻国家“循环利用资源、发展循环经济”的战略思想，湖南中经锂电新材料科技有限公司拟投资58362.23万元，在湖南衡东经济开发区建设“年处理8万吨废旧锂电池及锂电池废料的综合回收利用项目（一期）”，主要内容为：处理废旧动力锂电池包40000t/a，其中磷酸铁锂电池包30000t/a，三元锂电池包10000t/a</w:t>
      </w:r>
      <w:r>
        <w:rPr>
          <w:rFonts w:hint="eastAsia" w:ascii="Times New Roman" w:hAnsi="Times New Roman" w:cs="Times New Roman"/>
        </w:rPr>
        <w:t>，同时进行</w:t>
      </w:r>
      <w:r>
        <w:rPr>
          <w:rFonts w:ascii="Times New Roman" w:hAnsi="Times New Roman" w:cs="Times New Roman"/>
        </w:rPr>
        <w:t>废旧动力电池梯次利用25000吨/年</w:t>
      </w:r>
      <w:r>
        <w:rPr>
          <w:rFonts w:hint="eastAsia" w:ascii="Times New Roman" w:hAnsi="Times New Roman" w:cs="Times New Roman"/>
        </w:rPr>
        <w:t>。</w:t>
      </w:r>
    </w:p>
    <w:p>
      <w:pPr>
        <w:spacing w:line="360" w:lineRule="auto"/>
        <w:ind w:firstLine="480" w:firstLineChars="200"/>
        <w:rPr>
          <w:rFonts w:ascii="Times New Roman" w:hAnsi="Times New Roman" w:cs="Times New Roman"/>
        </w:rPr>
      </w:pPr>
      <w:r>
        <w:rPr>
          <w:rFonts w:ascii="Times New Roman" w:hAnsi="Times New Roman" w:cs="Times New Roman"/>
        </w:rPr>
        <w:t>根据《中华人民共和国环境保护法》、《中华人民共和国环境影响评价法》、《建设项目环境保护管理条例》（国务院第682号令）。本项目为废旧锂电池综合回收项目，《2017年国民经济行业分类注释》指出“4210金属废料和碎屑加工处理—废电池：废原电池、废蓄电池、废电池废碎料、蓄电池废碎料；其中金属废料和碎屑提炼金属的活动，列入31（黑色金属冶炼和压延加工）和32有色金属冶炼和压延加工相关分类中”；但根据《建设项目环境影响评价分类管理名录》（2021年版），本项目属于其中的“三十九、废弃资源综合利用业42——85金属废料和碎屑加工处理421；非金属废料和碎屑加工处理422——废电池、废油加工处理”；根据《排污许可证申请与</w:t>
      </w:r>
      <w:r>
        <w:rPr>
          <w:rFonts w:hint="eastAsia"/>
        </w:rPr>
        <w:t>核发</w:t>
      </w:r>
      <w:r>
        <w:rPr>
          <w:rFonts w:ascii="Times New Roman" w:hAnsi="Times New Roman" w:cs="Times New Roman"/>
        </w:rPr>
        <w:t>技术规范 废弃资源加工工业》（HJ1034-2019）“表4 废电池加工工业排污单位主要生产单元、主要工艺、产污设施及设施参数表”中所描述的主要生产单元包括“预处理（含拆解、热解、粉碎分选）、酸浸处理（含酸浸除杂）、萃取处理（除杂）以及其他的公用工程”，本项目对回收的废旧锂电池采用“预处理→浸出→萃取”工序回收有价金属，其处理工艺与《排污许可证申请与</w:t>
      </w:r>
      <w:r>
        <w:rPr>
          <w:rFonts w:hint="eastAsia"/>
        </w:rPr>
        <w:t>核发</w:t>
      </w:r>
      <w:r>
        <w:rPr>
          <w:rFonts w:ascii="Times New Roman" w:hAnsi="Times New Roman" w:cs="Times New Roman"/>
        </w:rPr>
        <w:t>技术规范  废</w:t>
      </w:r>
      <w:r>
        <w:rPr>
          <w:rFonts w:hint="eastAsia"/>
        </w:rPr>
        <w:t>弃</w:t>
      </w:r>
      <w:r>
        <w:rPr>
          <w:rFonts w:ascii="Times New Roman" w:hAnsi="Times New Roman" w:cs="Times New Roman"/>
        </w:rPr>
        <w:t>资源加工工业》（HJ1034-2019）中废电池加工中描述的工艺一致。且《建设项目环境影响评价分类管理名录》（2021年版）和《排污许可证申请与</w:t>
      </w:r>
      <w:r>
        <w:rPr>
          <w:rFonts w:hint="eastAsia"/>
        </w:rPr>
        <w:t>核发</w:t>
      </w:r>
      <w:r>
        <w:rPr>
          <w:rFonts w:ascii="Times New Roman" w:hAnsi="Times New Roman" w:cs="Times New Roman"/>
        </w:rPr>
        <w:t>技术规范  废</w:t>
      </w:r>
      <w:r>
        <w:rPr>
          <w:rFonts w:hint="eastAsia" w:ascii="Times New Roman" w:hAnsi="Times New Roman" w:cs="Times New Roman"/>
        </w:rPr>
        <w:t>弃</w:t>
      </w:r>
      <w:r>
        <w:rPr>
          <w:rFonts w:ascii="Times New Roman" w:hAnsi="Times New Roman" w:cs="Times New Roman"/>
        </w:rPr>
        <w:t>资源加工工业》（HJ1034-2019）的发布时间均晚于《2017年国民经济行业分类注释》。</w:t>
      </w:r>
    </w:p>
    <w:p>
      <w:pPr>
        <w:spacing w:line="360" w:lineRule="auto"/>
        <w:ind w:firstLine="480" w:firstLineChars="200"/>
        <w:rPr>
          <w:rFonts w:ascii="Times New Roman" w:hAnsi="Times New Roman" w:cs="Times New Roman"/>
        </w:rPr>
      </w:pPr>
      <w:r>
        <w:rPr>
          <w:rFonts w:ascii="Times New Roman" w:hAnsi="Times New Roman" w:cs="Times New Roman"/>
        </w:rPr>
        <w:t>因此，根据《建设项目环境影响评价分类管理名录》（2021年版），本项目需编制环境影响报告书。根据《建设项目环境影响评价分类管理名录》（2021年版）和《排污许可证申请与</w:t>
      </w:r>
      <w:r>
        <w:rPr>
          <w:rFonts w:hint="eastAsia" w:ascii="Times New Roman" w:hAnsi="Times New Roman" w:cs="Times New Roman"/>
        </w:rPr>
        <w:t>核发</w:t>
      </w:r>
      <w:r>
        <w:rPr>
          <w:rFonts w:ascii="Times New Roman" w:hAnsi="Times New Roman" w:cs="Times New Roman"/>
        </w:rPr>
        <w:t>技术规范  废</w:t>
      </w:r>
      <w:r>
        <w:rPr>
          <w:rFonts w:hint="eastAsia" w:ascii="Times New Roman" w:hAnsi="Times New Roman" w:cs="Times New Roman"/>
        </w:rPr>
        <w:t>弃</w:t>
      </w:r>
      <w:r>
        <w:rPr>
          <w:rFonts w:ascii="Times New Roman" w:hAnsi="Times New Roman" w:cs="Times New Roman"/>
        </w:rPr>
        <w:t>资源加工工业》（HJ1034-2019）可知，本项目类别为“三十九、废弃资源综合利用业”。</w:t>
      </w:r>
    </w:p>
    <w:p>
      <w:pPr>
        <w:spacing w:line="360" w:lineRule="auto"/>
        <w:ind w:firstLine="480" w:firstLineChars="200"/>
        <w:rPr>
          <w:rFonts w:ascii="Times New Roman" w:hAnsi="Times New Roman" w:cs="Times New Roman"/>
        </w:rPr>
      </w:pPr>
      <w:r>
        <w:rPr>
          <w:rFonts w:ascii="Times New Roman" w:hAnsi="Times New Roman" w:cs="Times New Roman"/>
        </w:rPr>
        <w:t>为此，建设单位委托湖南道和环保科技有限公司（以下简称“我司”）承担本项目的环境影响评价工作，我司接受委托后，立即成立了项目组，在现场踏勘和收集研读有关资料、文件的基础上，按照有关法律法规、环境影响评价导则及相关技术规范编制了《湖南中经锂电新材料科技有限公司年处理8万吨废旧锂电池及锂电池废料的综合回收利用项目（一期）环境影响报告书》。</w:t>
      </w:r>
    </w:p>
    <w:p>
      <w:pPr>
        <w:pStyle w:val="3"/>
        <w:rPr>
          <w:rFonts w:ascii="Times New Roman" w:hAnsi="Times New Roman" w:cs="Times New Roman" w:eastAsiaTheme="minorEastAsia"/>
        </w:rPr>
      </w:pPr>
      <w:bookmarkStart w:id="7" w:name="_Toc147847974"/>
      <w:bookmarkStart w:id="8" w:name="_Toc144236724"/>
      <w:bookmarkStart w:id="9" w:name="_Toc144276854"/>
      <w:r>
        <w:rPr>
          <w:rFonts w:ascii="Times New Roman" w:hAnsi="Times New Roman" w:cs="Times New Roman" w:eastAsiaTheme="minorEastAsia"/>
        </w:rPr>
        <w:t>1.2 建设项目特点</w:t>
      </w:r>
      <w:bookmarkEnd w:id="7"/>
      <w:bookmarkEnd w:id="8"/>
      <w:bookmarkEnd w:id="9"/>
    </w:p>
    <w:p>
      <w:pPr>
        <w:spacing w:line="360" w:lineRule="auto"/>
        <w:ind w:firstLine="480" w:firstLineChars="200"/>
        <w:rPr>
          <w:rFonts w:ascii="Times New Roman" w:hAnsi="Times New Roman" w:cs="Times New Roman"/>
        </w:rPr>
      </w:pPr>
      <w:r>
        <w:rPr>
          <w:rFonts w:ascii="Times New Roman" w:hAnsi="Times New Roman" w:cs="Times New Roman"/>
        </w:rPr>
        <w:t>本项目属于新建项目，选址于湖南衡东经济开发区内。项目为废旧电池回收、资源综合利用项目，其实施有利于解决废旧电池环境污染问题。根据《产业结构调整指导目录（</w:t>
      </w:r>
      <w:r>
        <w:rPr>
          <w:rFonts w:hint="eastAsia" w:ascii="Times New Roman" w:hAnsi="Times New Roman" w:cs="Times New Roman"/>
        </w:rPr>
        <w:t>2024年本</w:t>
      </w:r>
      <w:r>
        <w:rPr>
          <w:rFonts w:ascii="Times New Roman" w:hAnsi="Times New Roman" w:cs="Times New Roman"/>
        </w:rPr>
        <w:t>）》可知，本项目属于其中的“鼓励类”，项目符合产业政策；对照《湖南省“两高”项目管理目录》，本项目不属于“两高”项目；对照《关于加强重点行业建设项目区域削减措施监督管理的通知》（环办环评[2020]36号），本项目也不属于其中的重点行业。项目各类废气经处理后能够达标排放；企业纯水制备站高盐浓水、生活污水处理后排入湖南衡东经济开发区污水处理厂，其余废水全部回用，不外排；各类危险废渣均委托有资质单位处理，一般固废均得到妥善处理，不外排。</w:t>
      </w:r>
    </w:p>
    <w:p>
      <w:pPr>
        <w:pStyle w:val="3"/>
        <w:rPr>
          <w:rFonts w:ascii="Times New Roman" w:hAnsi="Times New Roman" w:cs="Times New Roman" w:eastAsiaTheme="minorEastAsia"/>
        </w:rPr>
      </w:pPr>
      <w:bookmarkStart w:id="10" w:name="_Toc144276855"/>
      <w:bookmarkStart w:id="11" w:name="_Toc144236725"/>
      <w:bookmarkStart w:id="12" w:name="_Toc147847975"/>
      <w:r>
        <w:rPr>
          <w:rFonts w:ascii="Times New Roman" w:hAnsi="Times New Roman" w:cs="Times New Roman" w:eastAsiaTheme="minorEastAsia"/>
        </w:rPr>
        <w:t>1.3 环境影响评价过程</w:t>
      </w:r>
      <w:bookmarkEnd w:id="10"/>
      <w:bookmarkEnd w:id="11"/>
      <w:bookmarkEnd w:id="12"/>
    </w:p>
    <w:p>
      <w:pPr>
        <w:spacing w:line="360" w:lineRule="auto"/>
        <w:ind w:firstLine="480" w:firstLineChars="200"/>
        <w:rPr>
          <w:rFonts w:ascii="Times New Roman" w:hAnsi="Times New Roman" w:cs="Times New Roman"/>
        </w:rPr>
      </w:pPr>
      <w:r>
        <w:rPr>
          <w:rFonts w:ascii="Times New Roman" w:hAnsi="Times New Roman" w:cs="Times New Roman"/>
        </w:rPr>
        <w:t>本次环境影响评价工作分为三个阶段，第一阶段为前期准备、调研和工作方案阶段，第二阶段为分析论证和预测评价阶段，第三阶段为环境影响评价文件编制阶段，具体流程见下图：</w:t>
      </w:r>
    </w:p>
    <w:p>
      <w:pPr>
        <w:pStyle w:val="6"/>
        <w:rPr>
          <w:rFonts w:ascii="Times New Roman" w:hAnsi="Times New Roman" w:cs="Times New Roman"/>
        </w:rPr>
      </w:pPr>
      <w:r>
        <w:rPr>
          <w:rFonts w:ascii="Times New Roman" w:hAnsi="Times New Roman" w:cs="Times New Roman"/>
        </w:rPr>
        <w:object>
          <v:shape id="_x0000_i1025" o:spt="75" type="#_x0000_t75" style="height:501.65pt;width:427.3pt;" o:ole="t" filled="f" o:preferrelative="t" stroked="f" coordsize="21600,21600">
            <v:path/>
            <v:fill on="f" focussize="0,0"/>
            <v:stroke on="f" joinstyle="miter"/>
            <v:imagedata r:id="rId18" o:title=""/>
            <o:lock v:ext="edit" aspectratio="t"/>
            <w10:wrap type="none"/>
            <w10:anchorlock/>
          </v:shape>
          <o:OLEObject Type="Embed" ProgID="Visio.Drawing.11" ShapeID="_x0000_i1025" DrawAspect="Content" ObjectID="_1468075725" r:id="rId17">
            <o:LockedField>false</o:LockedField>
          </o:OLEObject>
        </w:object>
      </w:r>
      <w:r>
        <w:rPr>
          <w:rFonts w:ascii="Times New Roman" w:hAnsi="Times New Roman" w:cs="Times New Roman"/>
        </w:rPr>
        <w:t>图1.3-1  环境影响评价工作程序</w:t>
      </w:r>
    </w:p>
    <w:p>
      <w:pPr>
        <w:pStyle w:val="3"/>
        <w:rPr>
          <w:rFonts w:ascii="Times New Roman" w:hAnsi="Times New Roman" w:cs="Times New Roman" w:eastAsiaTheme="minorEastAsia"/>
        </w:rPr>
      </w:pPr>
      <w:bookmarkStart w:id="13" w:name="_Toc144236726"/>
      <w:bookmarkStart w:id="14" w:name="_Toc147847976"/>
      <w:bookmarkStart w:id="15" w:name="_Toc144276856"/>
      <w:r>
        <w:rPr>
          <w:rFonts w:ascii="Times New Roman" w:hAnsi="Times New Roman" w:cs="Times New Roman" w:eastAsiaTheme="minorEastAsia"/>
        </w:rPr>
        <w:t>1.4 关注的主要环境问题</w:t>
      </w:r>
      <w:bookmarkEnd w:id="13"/>
      <w:bookmarkEnd w:id="14"/>
      <w:bookmarkEnd w:id="15"/>
    </w:p>
    <w:p>
      <w:pPr>
        <w:spacing w:line="360" w:lineRule="auto"/>
        <w:ind w:firstLine="480" w:firstLineChars="200"/>
        <w:rPr>
          <w:rFonts w:ascii="Times New Roman" w:hAnsi="Times New Roman" w:cs="Times New Roman"/>
        </w:rPr>
      </w:pPr>
      <w:r>
        <w:rPr>
          <w:rFonts w:ascii="Times New Roman" w:hAnsi="Times New Roman" w:cs="Times New Roman"/>
        </w:rPr>
        <w:t>根据本项目的排污特点及周围地区环境特征，确定评价关注的主要环境问题如下。</w:t>
      </w:r>
    </w:p>
    <w:p>
      <w:pPr>
        <w:spacing w:line="360" w:lineRule="auto"/>
        <w:ind w:firstLine="480" w:firstLineChars="200"/>
        <w:rPr>
          <w:rFonts w:ascii="Times New Roman" w:hAnsi="Times New Roman" w:cs="Times New Roman"/>
        </w:rPr>
      </w:pPr>
      <w:r>
        <w:rPr>
          <w:rFonts w:ascii="Times New Roman" w:hAnsi="Times New Roman" w:cs="Times New Roman"/>
        </w:rPr>
        <w:t xml:space="preserve">（1）拟建项目与国家及地方产业政策的相符性，项目选址合理性分析； </w:t>
      </w:r>
    </w:p>
    <w:p>
      <w:pPr>
        <w:spacing w:line="360" w:lineRule="auto"/>
        <w:ind w:firstLine="480" w:firstLineChars="200"/>
        <w:rPr>
          <w:rFonts w:ascii="Times New Roman" w:hAnsi="Times New Roman" w:cs="Times New Roman"/>
        </w:rPr>
      </w:pPr>
      <w:r>
        <w:rPr>
          <w:rFonts w:ascii="Times New Roman" w:hAnsi="Times New Roman" w:cs="Times New Roman"/>
        </w:rPr>
        <w:t>（2）拟建项目生产工艺及产污节点、产污源强分析，需关注其对区域环境及周围敏感目标的影响；</w:t>
      </w:r>
    </w:p>
    <w:p>
      <w:pPr>
        <w:spacing w:line="360" w:lineRule="auto"/>
        <w:ind w:firstLine="480" w:firstLineChars="200"/>
        <w:rPr>
          <w:rFonts w:ascii="Times New Roman" w:hAnsi="Times New Roman" w:cs="Times New Roman"/>
        </w:rPr>
      </w:pPr>
      <w:r>
        <w:rPr>
          <w:rFonts w:ascii="Times New Roman" w:hAnsi="Times New Roman" w:cs="Times New Roman"/>
        </w:rPr>
        <w:t xml:space="preserve">（3）工程采取的污染防治对策及污染物排放达标可靠性分析； </w:t>
      </w:r>
    </w:p>
    <w:p>
      <w:pPr>
        <w:spacing w:line="360" w:lineRule="auto"/>
        <w:ind w:firstLine="480" w:firstLineChars="200"/>
        <w:rPr>
          <w:rFonts w:ascii="Times New Roman" w:hAnsi="Times New Roman" w:cs="Times New Roman"/>
        </w:rPr>
      </w:pPr>
      <w:r>
        <w:rPr>
          <w:rFonts w:ascii="Times New Roman" w:hAnsi="Times New Roman" w:cs="Times New Roman"/>
        </w:rPr>
        <w:t>（4）工程实施后污染物排放对环境的影响预测；</w:t>
      </w:r>
    </w:p>
    <w:p>
      <w:pPr>
        <w:spacing w:line="360" w:lineRule="auto"/>
        <w:ind w:firstLine="480" w:firstLineChars="200"/>
        <w:rPr>
          <w:rFonts w:ascii="Times New Roman" w:hAnsi="Times New Roman" w:cs="Times New Roman"/>
        </w:rPr>
      </w:pPr>
      <w:r>
        <w:rPr>
          <w:rFonts w:ascii="Times New Roman" w:hAnsi="Times New Roman" w:cs="Times New Roman"/>
        </w:rPr>
        <w:t>（5）拟建项目环境风险分析。</w:t>
      </w:r>
    </w:p>
    <w:p>
      <w:pPr>
        <w:pStyle w:val="3"/>
        <w:rPr>
          <w:rFonts w:ascii="Times New Roman" w:hAnsi="Times New Roman" w:cs="Times New Roman" w:eastAsiaTheme="minorEastAsia"/>
        </w:rPr>
      </w:pPr>
      <w:bookmarkStart w:id="16" w:name="_Toc144236727"/>
      <w:bookmarkStart w:id="17" w:name="_Toc144276857"/>
      <w:bookmarkStart w:id="18" w:name="_Toc147847977"/>
      <w:r>
        <w:rPr>
          <w:rFonts w:ascii="Times New Roman" w:hAnsi="Times New Roman" w:cs="Times New Roman" w:eastAsiaTheme="minorEastAsia"/>
        </w:rPr>
        <w:t>1.5 环境影响评价结论</w:t>
      </w:r>
      <w:bookmarkEnd w:id="16"/>
      <w:bookmarkEnd w:id="17"/>
      <w:bookmarkEnd w:id="18"/>
    </w:p>
    <w:p>
      <w:pPr>
        <w:spacing w:line="360" w:lineRule="auto"/>
        <w:ind w:firstLine="480" w:firstLineChars="200"/>
        <w:rPr>
          <w:rFonts w:ascii="Times New Roman" w:hAnsi="Times New Roman" w:cs="Times New Roman"/>
        </w:rPr>
      </w:pPr>
      <w:r>
        <w:rPr>
          <w:rFonts w:ascii="Times New Roman" w:hAnsi="Times New Roman" w:cs="Times New Roman"/>
        </w:rPr>
        <w:t>湖南中经锂电新材料科技有限公司年处理8万吨废旧锂电池及锂电池废料的综合回收利用项目（一期）符合国家产业政策，选址符合衡阳市三线一单的管控要求</w:t>
      </w:r>
      <w:r>
        <w:rPr>
          <w:rFonts w:hint="eastAsia" w:ascii="Times New Roman" w:hAnsi="Times New Roman" w:cs="Times New Roman"/>
        </w:rPr>
        <w:t>，符合《衡东县国土空间总体规划（2021—2035）》相关要求，符合《湖南衡东经济开发区调区扩区规划环境影响报告书》（湘环评函[2022]19号）的审查意见</w:t>
      </w:r>
      <w:r>
        <w:rPr>
          <w:rFonts w:ascii="Times New Roman" w:hAnsi="Times New Roman" w:cs="Times New Roman"/>
        </w:rPr>
        <w:t>。项目建成后，具有显著的社会和经济效益。在采取并落实各项污染防治及风险防范措施后，废水、废气、噪声可做到达标排放，固体废物得到安全处置，项目建设及营运对周边环境的影响可满足环境功能区划的要求。</w:t>
      </w:r>
      <w:bookmarkStart w:id="19" w:name="_Toc102658190"/>
    </w:p>
    <w:p>
      <w:pPr>
        <w:spacing w:line="360" w:lineRule="auto"/>
        <w:ind w:firstLine="480" w:firstLineChars="200"/>
        <w:rPr>
          <w:rFonts w:ascii="Times New Roman" w:hAnsi="Times New Roman" w:cs="Times New Roman"/>
        </w:rPr>
      </w:pPr>
    </w:p>
    <w:p>
      <w:pPr>
        <w:spacing w:line="360" w:lineRule="auto"/>
        <w:ind w:firstLine="480" w:firstLineChars="200"/>
        <w:rPr>
          <w:rFonts w:ascii="Times New Roman" w:hAnsi="Times New Roman" w:cs="Times New Roman"/>
        </w:rPr>
        <w:sectPr>
          <w:footerReference r:id="rId3" w:type="default"/>
          <w:pgSz w:w="11907" w:h="16840"/>
          <w:pgMar w:top="1440" w:right="1797" w:bottom="1440" w:left="1797" w:header="964" w:footer="851" w:gutter="0"/>
          <w:pgNumType w:start="1"/>
          <w:cols w:space="720" w:num="1"/>
          <w:docGrid w:linePitch="297" w:charSpace="200"/>
        </w:sectPr>
      </w:pPr>
    </w:p>
    <w:p>
      <w:pPr>
        <w:pStyle w:val="2"/>
        <w:spacing w:before="156" w:after="156"/>
        <w:rPr>
          <w:rFonts w:ascii="Times New Roman" w:hAnsi="Times New Roman" w:cs="Times New Roman"/>
        </w:rPr>
      </w:pPr>
      <w:bookmarkStart w:id="20" w:name="_Toc147847978"/>
      <w:bookmarkStart w:id="21" w:name="_Toc144276858"/>
      <w:bookmarkStart w:id="22" w:name="_Toc144236728"/>
      <w:r>
        <w:rPr>
          <w:rFonts w:ascii="Times New Roman" w:hAnsi="Times New Roman" w:cs="Times New Roman"/>
        </w:rPr>
        <w:t>第2章 总则</w:t>
      </w:r>
      <w:bookmarkEnd w:id="19"/>
      <w:bookmarkEnd w:id="20"/>
      <w:bookmarkEnd w:id="21"/>
      <w:bookmarkEnd w:id="22"/>
    </w:p>
    <w:p>
      <w:pPr>
        <w:pStyle w:val="3"/>
        <w:rPr>
          <w:rFonts w:ascii="Times New Roman" w:hAnsi="Times New Roman" w:cs="Times New Roman" w:eastAsiaTheme="minorEastAsia"/>
        </w:rPr>
      </w:pPr>
      <w:bookmarkStart w:id="23" w:name="_Toc102658191"/>
      <w:bookmarkStart w:id="24" w:name="_Toc144276859"/>
      <w:bookmarkStart w:id="25" w:name="_Toc147847979"/>
      <w:bookmarkStart w:id="26" w:name="_Toc144236729"/>
      <w:r>
        <w:rPr>
          <w:rFonts w:ascii="Times New Roman" w:hAnsi="Times New Roman" w:cs="Times New Roman" w:eastAsiaTheme="minorEastAsia"/>
        </w:rPr>
        <w:t>2.1 编制依据</w:t>
      </w:r>
      <w:bookmarkEnd w:id="23"/>
      <w:bookmarkEnd w:id="24"/>
      <w:bookmarkEnd w:id="25"/>
      <w:bookmarkEnd w:id="26"/>
    </w:p>
    <w:p>
      <w:pPr>
        <w:pStyle w:val="4"/>
        <w:rPr>
          <w:rFonts w:ascii="Times New Roman" w:hAnsi="Times New Roman" w:cs="Times New Roman"/>
        </w:rPr>
      </w:pPr>
      <w:bookmarkStart w:id="27" w:name="_Toc144236730"/>
      <w:bookmarkStart w:id="28" w:name="_Toc147847980"/>
      <w:bookmarkStart w:id="29" w:name="_Toc144276860"/>
      <w:r>
        <w:rPr>
          <w:rFonts w:ascii="Times New Roman" w:hAnsi="Times New Roman" w:cs="Times New Roman"/>
        </w:rPr>
        <w:t>2.1.1 环境保护法律、行政法规</w:t>
      </w:r>
      <w:bookmarkEnd w:id="27"/>
      <w:bookmarkEnd w:id="28"/>
      <w:bookmarkEnd w:id="29"/>
    </w:p>
    <w:p>
      <w:pPr>
        <w:spacing w:line="360" w:lineRule="auto"/>
        <w:ind w:firstLine="480" w:firstLineChars="200"/>
        <w:rPr>
          <w:rFonts w:ascii="Times New Roman" w:hAnsi="Times New Roman" w:cs="Times New Roman"/>
        </w:rPr>
      </w:pPr>
      <w:r>
        <w:rPr>
          <w:rFonts w:ascii="Times New Roman" w:hAnsi="Times New Roman" w:cs="Times New Roman"/>
        </w:rPr>
        <w:t>（1）《中华人民共和国环境保护法》（2014修订，自2015年1月1日起施行）；</w:t>
      </w:r>
    </w:p>
    <w:p>
      <w:pPr>
        <w:spacing w:line="360" w:lineRule="auto"/>
        <w:ind w:firstLine="480" w:firstLineChars="200"/>
        <w:rPr>
          <w:rFonts w:ascii="Times New Roman" w:hAnsi="Times New Roman" w:cs="Times New Roman"/>
        </w:rPr>
      </w:pPr>
      <w:r>
        <w:rPr>
          <w:rFonts w:ascii="Times New Roman" w:hAnsi="Times New Roman" w:cs="Times New Roman"/>
        </w:rPr>
        <w:t>（2）《中华人民共和国环境影响评价法》2018年12月29日修订；</w:t>
      </w:r>
    </w:p>
    <w:p>
      <w:pPr>
        <w:spacing w:line="360" w:lineRule="auto"/>
        <w:ind w:firstLine="480" w:firstLineChars="200"/>
        <w:rPr>
          <w:rFonts w:ascii="Times New Roman" w:hAnsi="Times New Roman" w:cs="Times New Roman"/>
        </w:rPr>
      </w:pPr>
      <w:r>
        <w:rPr>
          <w:rFonts w:ascii="Times New Roman" w:hAnsi="Times New Roman" w:cs="Times New Roman"/>
        </w:rPr>
        <w:t>（3）《中华人民共和国大气污染防治法》2018年10月26日修订；</w:t>
      </w:r>
    </w:p>
    <w:p>
      <w:pPr>
        <w:spacing w:line="360" w:lineRule="auto"/>
        <w:ind w:firstLine="480" w:firstLineChars="200"/>
        <w:rPr>
          <w:rFonts w:ascii="Times New Roman" w:hAnsi="Times New Roman" w:cs="Times New Roman"/>
        </w:rPr>
      </w:pPr>
      <w:r>
        <w:rPr>
          <w:rFonts w:ascii="Times New Roman" w:hAnsi="Times New Roman" w:cs="Times New Roman"/>
        </w:rPr>
        <w:t>（4）《中华人民共和国水污染防治法》2018年1月1日起施行；</w:t>
      </w:r>
    </w:p>
    <w:p>
      <w:pPr>
        <w:spacing w:line="360" w:lineRule="auto"/>
        <w:ind w:firstLine="480" w:firstLineChars="200"/>
        <w:rPr>
          <w:rFonts w:ascii="Times New Roman" w:hAnsi="Times New Roman" w:cs="Times New Roman"/>
        </w:rPr>
      </w:pPr>
      <w:r>
        <w:rPr>
          <w:rFonts w:ascii="Times New Roman" w:hAnsi="Times New Roman" w:cs="Times New Roman"/>
        </w:rPr>
        <w:t>（5）《中华人民共和国固体废物污染环境防治法》，2020年4月29日第二次修订；</w:t>
      </w:r>
    </w:p>
    <w:p>
      <w:pPr>
        <w:spacing w:line="360" w:lineRule="auto"/>
        <w:ind w:firstLine="480" w:firstLineChars="200"/>
        <w:rPr>
          <w:rFonts w:ascii="Times New Roman" w:hAnsi="Times New Roman" w:cs="Times New Roman"/>
        </w:rPr>
      </w:pPr>
      <w:r>
        <w:rPr>
          <w:rFonts w:ascii="Times New Roman" w:hAnsi="Times New Roman" w:cs="Times New Roman"/>
        </w:rPr>
        <w:t>（6）《中华人民共和国环境噪声污染防治法》（2022年6月5日实施）；</w:t>
      </w:r>
    </w:p>
    <w:p>
      <w:pPr>
        <w:spacing w:line="360" w:lineRule="auto"/>
        <w:ind w:firstLine="480" w:firstLineChars="200"/>
        <w:rPr>
          <w:rFonts w:ascii="Times New Roman" w:hAnsi="Times New Roman" w:cs="Times New Roman"/>
        </w:rPr>
      </w:pPr>
      <w:r>
        <w:rPr>
          <w:rFonts w:ascii="Times New Roman" w:hAnsi="Times New Roman" w:cs="Times New Roman"/>
        </w:rPr>
        <w:t>（7）《中华人民共和国节约能源法》2018年10月26日修订；</w:t>
      </w:r>
    </w:p>
    <w:p>
      <w:pPr>
        <w:spacing w:line="360" w:lineRule="auto"/>
        <w:ind w:firstLine="480" w:firstLineChars="200"/>
        <w:rPr>
          <w:rFonts w:ascii="Times New Roman" w:hAnsi="Times New Roman" w:cs="Times New Roman"/>
        </w:rPr>
      </w:pPr>
      <w:r>
        <w:rPr>
          <w:rFonts w:ascii="Times New Roman" w:hAnsi="Times New Roman" w:cs="Times New Roman"/>
        </w:rPr>
        <w:t>（8）《中华人民共和国水法》（2016修正，2016.07.02施行）；</w:t>
      </w:r>
    </w:p>
    <w:p>
      <w:pPr>
        <w:spacing w:line="360" w:lineRule="auto"/>
        <w:ind w:firstLine="480" w:firstLineChars="200"/>
        <w:rPr>
          <w:rFonts w:ascii="Times New Roman" w:hAnsi="Times New Roman" w:cs="Times New Roman"/>
        </w:rPr>
      </w:pPr>
      <w:r>
        <w:rPr>
          <w:rFonts w:ascii="Times New Roman" w:hAnsi="Times New Roman" w:cs="Times New Roman"/>
        </w:rPr>
        <w:t>（9）《中华人民共和国土地管理法》（2019修正，2020.01.01施行）；</w:t>
      </w:r>
    </w:p>
    <w:p>
      <w:pPr>
        <w:spacing w:line="360" w:lineRule="auto"/>
        <w:ind w:firstLine="480" w:firstLineChars="200"/>
        <w:rPr>
          <w:rFonts w:ascii="Times New Roman" w:hAnsi="Times New Roman" w:cs="Times New Roman"/>
        </w:rPr>
      </w:pPr>
      <w:r>
        <w:rPr>
          <w:rFonts w:ascii="Times New Roman" w:hAnsi="Times New Roman" w:cs="Times New Roman"/>
        </w:rPr>
        <w:t>（10）《中华人民共和国土壤污染防治法》，2019年1月1日；</w:t>
      </w:r>
    </w:p>
    <w:p>
      <w:pPr>
        <w:spacing w:line="360" w:lineRule="auto"/>
        <w:ind w:firstLine="480" w:firstLineChars="200"/>
        <w:rPr>
          <w:rFonts w:ascii="Times New Roman" w:hAnsi="Times New Roman" w:cs="Times New Roman"/>
        </w:rPr>
      </w:pPr>
      <w:r>
        <w:rPr>
          <w:rFonts w:ascii="Times New Roman" w:hAnsi="Times New Roman" w:cs="Times New Roman"/>
        </w:rPr>
        <w:t>（11）《中华人民共和国循环经济促进法》，2018年10月26日。</w:t>
      </w:r>
    </w:p>
    <w:p>
      <w:pPr>
        <w:pStyle w:val="4"/>
        <w:rPr>
          <w:rFonts w:ascii="Times New Roman" w:hAnsi="Times New Roman" w:cs="Times New Roman"/>
        </w:rPr>
      </w:pPr>
      <w:bookmarkStart w:id="30" w:name="_Toc147847981"/>
      <w:bookmarkStart w:id="31" w:name="_Toc144236731"/>
      <w:bookmarkStart w:id="32" w:name="_Toc144276861"/>
      <w:r>
        <w:rPr>
          <w:rFonts w:ascii="Times New Roman" w:hAnsi="Times New Roman" w:cs="Times New Roman"/>
        </w:rPr>
        <w:t>2.1.2 规章及规范性文件</w:t>
      </w:r>
      <w:bookmarkEnd w:id="30"/>
      <w:bookmarkEnd w:id="31"/>
      <w:bookmarkEnd w:id="32"/>
    </w:p>
    <w:p>
      <w:pPr>
        <w:spacing w:line="360" w:lineRule="auto"/>
        <w:ind w:firstLine="480" w:firstLineChars="200"/>
        <w:rPr>
          <w:rFonts w:ascii="Times New Roman" w:hAnsi="Times New Roman" w:cs="Times New Roman"/>
        </w:rPr>
      </w:pPr>
      <w:r>
        <w:rPr>
          <w:rFonts w:ascii="Times New Roman" w:hAnsi="Times New Roman" w:cs="Times New Roman"/>
        </w:rPr>
        <w:t>（1）《国务院关于修改〈建设项目环境保护管理条例〉的决定》（国务院令第682号令，2017年10月1日施行）；</w:t>
      </w:r>
    </w:p>
    <w:p>
      <w:pPr>
        <w:spacing w:line="360" w:lineRule="auto"/>
        <w:ind w:firstLine="480" w:firstLineChars="200"/>
        <w:rPr>
          <w:rFonts w:ascii="Times New Roman" w:hAnsi="Times New Roman" w:cs="Times New Roman"/>
        </w:rPr>
      </w:pPr>
      <w:r>
        <w:rPr>
          <w:rFonts w:ascii="Times New Roman" w:hAnsi="Times New Roman" w:cs="Times New Roman"/>
        </w:rPr>
        <w:t>（2）《建设项目环境影响评价分类管理名录》（2021年版）；</w:t>
      </w:r>
    </w:p>
    <w:p>
      <w:pPr>
        <w:spacing w:line="360" w:lineRule="auto"/>
        <w:ind w:firstLine="480" w:firstLineChars="200"/>
        <w:rPr>
          <w:rFonts w:ascii="Times New Roman" w:hAnsi="Times New Roman" w:cs="Times New Roman"/>
        </w:rPr>
      </w:pPr>
      <w:r>
        <w:rPr>
          <w:rFonts w:ascii="Times New Roman" w:hAnsi="Times New Roman" w:cs="Times New Roman"/>
        </w:rPr>
        <w:t>（3）《产业结构调整指导目录（</w:t>
      </w:r>
      <w:r>
        <w:rPr>
          <w:rFonts w:hint="eastAsia" w:ascii="Times New Roman" w:hAnsi="Times New Roman" w:cs="Times New Roman"/>
        </w:rPr>
        <w:t>2024年本</w:t>
      </w:r>
      <w:r>
        <w:rPr>
          <w:rFonts w:ascii="Times New Roman" w:hAnsi="Times New Roman" w:cs="Times New Roman"/>
        </w:rPr>
        <w:t>）》；</w:t>
      </w:r>
    </w:p>
    <w:p>
      <w:pPr>
        <w:spacing w:line="360" w:lineRule="auto"/>
        <w:ind w:firstLine="480" w:firstLineChars="200"/>
        <w:rPr>
          <w:rFonts w:ascii="Times New Roman" w:hAnsi="Times New Roman" w:cs="Times New Roman"/>
        </w:rPr>
      </w:pPr>
      <w:r>
        <w:rPr>
          <w:rFonts w:ascii="Times New Roman" w:hAnsi="Times New Roman" w:cs="Times New Roman"/>
        </w:rPr>
        <w:t>（4）《国家危险废物名录》（部令第1号，2021年版）；</w:t>
      </w:r>
    </w:p>
    <w:p>
      <w:pPr>
        <w:spacing w:line="360" w:lineRule="auto"/>
        <w:ind w:firstLine="480" w:firstLineChars="200"/>
        <w:rPr>
          <w:rFonts w:ascii="Times New Roman" w:hAnsi="Times New Roman" w:cs="Times New Roman"/>
        </w:rPr>
      </w:pPr>
      <w:r>
        <w:rPr>
          <w:rFonts w:ascii="Times New Roman" w:hAnsi="Times New Roman" w:cs="Times New Roman"/>
        </w:rPr>
        <w:t>（5）《环境影响评价公众参与办法》（部令第4号，2019年1月1日起施行）；</w:t>
      </w:r>
    </w:p>
    <w:p>
      <w:pPr>
        <w:spacing w:line="360" w:lineRule="auto"/>
        <w:ind w:firstLine="480" w:firstLineChars="200"/>
        <w:rPr>
          <w:rFonts w:ascii="Times New Roman" w:hAnsi="Times New Roman" w:cs="Times New Roman"/>
        </w:rPr>
      </w:pPr>
      <w:r>
        <w:rPr>
          <w:rFonts w:ascii="Times New Roman" w:hAnsi="Times New Roman" w:cs="Times New Roman"/>
        </w:rPr>
        <w:t>（6）《建设项目竣工环境保护验收暂行办法》（国环规环评[2017]4号，2017年11月22日）；</w:t>
      </w:r>
    </w:p>
    <w:p>
      <w:pPr>
        <w:spacing w:line="360" w:lineRule="auto"/>
        <w:ind w:firstLine="480" w:firstLineChars="200"/>
        <w:rPr>
          <w:rFonts w:ascii="Times New Roman" w:hAnsi="Times New Roman" w:cs="Times New Roman"/>
        </w:rPr>
      </w:pPr>
      <w:r>
        <w:rPr>
          <w:rFonts w:ascii="Times New Roman" w:hAnsi="Times New Roman" w:cs="Times New Roman"/>
        </w:rPr>
        <w:t>（7）关于印发《建设项目环境影响评价信息公开机制方案》的通知（环发[2015]162号）；</w:t>
      </w:r>
    </w:p>
    <w:p>
      <w:pPr>
        <w:spacing w:line="360" w:lineRule="auto"/>
        <w:ind w:firstLine="480" w:firstLineChars="200"/>
        <w:rPr>
          <w:rFonts w:ascii="Times New Roman" w:hAnsi="Times New Roman" w:cs="Times New Roman"/>
        </w:rPr>
      </w:pPr>
      <w:r>
        <w:rPr>
          <w:rFonts w:ascii="Times New Roman" w:hAnsi="Times New Roman" w:cs="Times New Roman"/>
        </w:rPr>
        <w:t>（8）《危险化学品安全管理条例》（2013年修正）；</w:t>
      </w:r>
    </w:p>
    <w:p>
      <w:pPr>
        <w:spacing w:line="360" w:lineRule="auto"/>
        <w:ind w:firstLine="480" w:firstLineChars="200"/>
        <w:rPr>
          <w:rFonts w:ascii="Times New Roman" w:hAnsi="Times New Roman" w:cs="Times New Roman"/>
        </w:rPr>
      </w:pPr>
      <w:r>
        <w:rPr>
          <w:rFonts w:ascii="Times New Roman" w:hAnsi="Times New Roman" w:cs="Times New Roman"/>
        </w:rPr>
        <w:t>（9）《关于加强环境保护重点工作的意见》（国发[2011]35号）；</w:t>
      </w:r>
    </w:p>
    <w:p>
      <w:pPr>
        <w:spacing w:line="360" w:lineRule="auto"/>
        <w:ind w:firstLine="480" w:firstLineChars="200"/>
        <w:rPr>
          <w:rFonts w:ascii="Times New Roman" w:hAnsi="Times New Roman" w:cs="Times New Roman"/>
        </w:rPr>
      </w:pPr>
      <w:r>
        <w:rPr>
          <w:rFonts w:ascii="Times New Roman" w:hAnsi="Times New Roman" w:cs="Times New Roman"/>
        </w:rPr>
        <w:t>（10）《关于进一步加强环境影响评价管理防范环境风险的通知》，环发[2012]77号；</w:t>
      </w:r>
    </w:p>
    <w:p>
      <w:pPr>
        <w:spacing w:line="360" w:lineRule="auto"/>
        <w:ind w:firstLine="480" w:firstLineChars="200"/>
        <w:rPr>
          <w:rFonts w:ascii="Times New Roman" w:hAnsi="Times New Roman" w:cs="Times New Roman"/>
        </w:rPr>
      </w:pPr>
      <w:r>
        <w:rPr>
          <w:rFonts w:ascii="Times New Roman" w:hAnsi="Times New Roman" w:cs="Times New Roman"/>
        </w:rPr>
        <w:t>（11）《关于以改善环境质量为核心加强环境影响评价管理的通知》（环评〔2016〕150号）；</w:t>
      </w:r>
    </w:p>
    <w:p>
      <w:pPr>
        <w:spacing w:line="360" w:lineRule="auto"/>
        <w:ind w:firstLine="480" w:firstLineChars="200"/>
        <w:rPr>
          <w:rFonts w:ascii="Times New Roman" w:hAnsi="Times New Roman" w:cs="Times New Roman"/>
        </w:rPr>
      </w:pPr>
      <w:r>
        <w:rPr>
          <w:rFonts w:ascii="Times New Roman" w:hAnsi="Times New Roman" w:cs="Times New Roman"/>
        </w:rPr>
        <w:t>（12）《危险废物转移联单管理办法》（1999年5月31日实施）；</w:t>
      </w:r>
    </w:p>
    <w:p>
      <w:pPr>
        <w:spacing w:line="360" w:lineRule="auto"/>
        <w:ind w:firstLine="480" w:firstLineChars="200"/>
        <w:rPr>
          <w:rFonts w:ascii="Times New Roman" w:hAnsi="Times New Roman" w:cs="Times New Roman"/>
        </w:rPr>
      </w:pPr>
      <w:r>
        <w:rPr>
          <w:rFonts w:ascii="Times New Roman" w:hAnsi="Times New Roman" w:cs="Times New Roman"/>
        </w:rPr>
        <w:t>（13）《关于切实加强风险防范严格环境影响评价管理的通知》，环发[2012]98号；</w:t>
      </w:r>
    </w:p>
    <w:p>
      <w:pPr>
        <w:spacing w:line="360" w:lineRule="auto"/>
        <w:ind w:firstLine="480" w:firstLineChars="200"/>
        <w:rPr>
          <w:rFonts w:ascii="Times New Roman" w:hAnsi="Times New Roman" w:cs="Times New Roman"/>
        </w:rPr>
      </w:pPr>
      <w:r>
        <w:rPr>
          <w:rFonts w:ascii="Times New Roman" w:hAnsi="Times New Roman" w:cs="Times New Roman"/>
        </w:rPr>
        <w:t>（14）《建设项目主要污染物排放总量指标审核及管理暂行办法》，环发[2014]197号；</w:t>
      </w:r>
    </w:p>
    <w:p>
      <w:pPr>
        <w:spacing w:line="360" w:lineRule="auto"/>
        <w:ind w:firstLine="480" w:firstLineChars="200"/>
        <w:rPr>
          <w:rFonts w:ascii="Times New Roman" w:hAnsi="Times New Roman" w:cs="Times New Roman"/>
        </w:rPr>
      </w:pPr>
      <w:r>
        <w:rPr>
          <w:rFonts w:ascii="Times New Roman" w:hAnsi="Times New Roman" w:cs="Times New Roman"/>
        </w:rPr>
        <w:t>（15）《关于加强重金属污染环境监测工作的意见》，环办[2011]52号；</w:t>
      </w:r>
    </w:p>
    <w:p>
      <w:pPr>
        <w:spacing w:line="360" w:lineRule="auto"/>
        <w:ind w:firstLine="480" w:firstLineChars="200"/>
        <w:rPr>
          <w:rFonts w:ascii="Times New Roman" w:hAnsi="Times New Roman" w:cs="Times New Roman"/>
        </w:rPr>
      </w:pPr>
      <w:r>
        <w:rPr>
          <w:rFonts w:ascii="Times New Roman" w:hAnsi="Times New Roman" w:cs="Times New Roman"/>
        </w:rPr>
        <w:t>（16）《关于落实大气污染防治行动计划严格环境影响评价准入的通知》环办〔2014〕30号；</w:t>
      </w:r>
    </w:p>
    <w:p>
      <w:pPr>
        <w:spacing w:line="360" w:lineRule="auto"/>
        <w:ind w:firstLine="480" w:firstLineChars="200"/>
        <w:rPr>
          <w:rFonts w:ascii="Times New Roman" w:hAnsi="Times New Roman" w:cs="Times New Roman"/>
        </w:rPr>
      </w:pPr>
      <w:r>
        <w:rPr>
          <w:rFonts w:ascii="Times New Roman" w:hAnsi="Times New Roman" w:cs="Times New Roman"/>
        </w:rPr>
        <w:t>（17）《国务院关于印发水污染防治行动计划的通知》国发〔2015〕17号；</w:t>
      </w:r>
    </w:p>
    <w:p>
      <w:pPr>
        <w:spacing w:line="360" w:lineRule="auto"/>
        <w:ind w:firstLine="480" w:firstLineChars="200"/>
        <w:rPr>
          <w:rFonts w:ascii="Times New Roman" w:hAnsi="Times New Roman" w:cs="Times New Roman"/>
        </w:rPr>
      </w:pPr>
      <w:r>
        <w:rPr>
          <w:rFonts w:ascii="Times New Roman" w:hAnsi="Times New Roman" w:cs="Times New Roman"/>
        </w:rPr>
        <w:t>（18）《国务院关于印发大气污染防治行动计划的通知》国发〔2013〕37号；</w:t>
      </w:r>
    </w:p>
    <w:p>
      <w:pPr>
        <w:spacing w:line="360" w:lineRule="auto"/>
        <w:ind w:firstLine="480" w:firstLineChars="200"/>
        <w:rPr>
          <w:rFonts w:ascii="Times New Roman" w:hAnsi="Times New Roman" w:cs="Times New Roman"/>
        </w:rPr>
      </w:pPr>
      <w:r>
        <w:rPr>
          <w:rFonts w:ascii="Times New Roman" w:hAnsi="Times New Roman" w:cs="Times New Roman"/>
        </w:rPr>
        <w:t>（19）《国务院关于印发土壤污染防治行动计划的通知》国发〔2016〕31号；</w:t>
      </w:r>
    </w:p>
    <w:p>
      <w:pPr>
        <w:spacing w:line="360" w:lineRule="auto"/>
        <w:ind w:firstLine="480" w:firstLineChars="200"/>
        <w:rPr>
          <w:rFonts w:ascii="Times New Roman" w:hAnsi="Times New Roman" w:cs="Times New Roman"/>
        </w:rPr>
      </w:pPr>
      <w:r>
        <w:rPr>
          <w:rFonts w:ascii="Times New Roman" w:hAnsi="Times New Roman" w:cs="Times New Roman"/>
        </w:rPr>
        <w:t>（20）《关于印发地下水污染防治实施方案的通知》（环土壤[2019]25号，2019年3月28日）；</w:t>
      </w:r>
    </w:p>
    <w:p>
      <w:pPr>
        <w:spacing w:line="360" w:lineRule="auto"/>
        <w:ind w:firstLine="480" w:firstLineChars="200"/>
        <w:rPr>
          <w:rFonts w:ascii="Times New Roman" w:hAnsi="Times New Roman" w:cs="Times New Roman"/>
        </w:rPr>
      </w:pPr>
      <w:r>
        <w:rPr>
          <w:rFonts w:ascii="Times New Roman" w:hAnsi="Times New Roman" w:cs="Times New Roman"/>
        </w:rPr>
        <w:t>（21）《关于发布&lt;建设项目危险废物环境影响评价指南&gt;的公告》（环境保护部公告2017年第43号）；</w:t>
      </w:r>
    </w:p>
    <w:p>
      <w:pPr>
        <w:spacing w:line="360" w:lineRule="auto"/>
        <w:ind w:firstLine="480" w:firstLineChars="200"/>
        <w:rPr>
          <w:rFonts w:ascii="Times New Roman" w:hAnsi="Times New Roman" w:cs="Times New Roman"/>
        </w:rPr>
      </w:pPr>
      <w:r>
        <w:rPr>
          <w:rFonts w:ascii="Times New Roman" w:hAnsi="Times New Roman" w:cs="Times New Roman"/>
        </w:rPr>
        <w:t>（22）《关于做好环境影响评价制度与排污许可制衔接相关工作的通知》环办环评〔2017〕84号；</w:t>
      </w:r>
    </w:p>
    <w:p>
      <w:pPr>
        <w:spacing w:line="360" w:lineRule="auto"/>
        <w:ind w:firstLine="480" w:firstLineChars="200"/>
        <w:rPr>
          <w:rFonts w:ascii="Times New Roman" w:hAnsi="Times New Roman" w:cs="Times New Roman"/>
        </w:rPr>
      </w:pPr>
      <w:r>
        <w:rPr>
          <w:rFonts w:ascii="Times New Roman" w:hAnsi="Times New Roman" w:cs="Times New Roman"/>
        </w:rPr>
        <w:t>（23）《关于加强规划环境影响评价与建设项目环境影响评价联动工作的意见》（环发[2015]178号）；</w:t>
      </w:r>
    </w:p>
    <w:p>
      <w:pPr>
        <w:spacing w:line="360" w:lineRule="auto"/>
        <w:ind w:firstLine="480" w:firstLineChars="200"/>
        <w:rPr>
          <w:rFonts w:ascii="Times New Roman" w:hAnsi="Times New Roman" w:cs="Times New Roman"/>
        </w:rPr>
      </w:pPr>
      <w:r>
        <w:rPr>
          <w:rFonts w:ascii="Times New Roman" w:hAnsi="Times New Roman" w:cs="Times New Roman"/>
        </w:rPr>
        <w:t>（24）《固定污染源排污许可分类管理名录（2019年版）》（部令第11号）；</w:t>
      </w:r>
    </w:p>
    <w:p>
      <w:pPr>
        <w:spacing w:line="360" w:lineRule="auto"/>
        <w:ind w:firstLine="480" w:firstLineChars="200"/>
        <w:rPr>
          <w:rFonts w:ascii="Times New Roman" w:hAnsi="Times New Roman" w:cs="Times New Roman"/>
        </w:rPr>
      </w:pPr>
      <w:r>
        <w:rPr>
          <w:rFonts w:ascii="Times New Roman" w:hAnsi="Times New Roman" w:cs="Times New Roman"/>
        </w:rPr>
        <w:t>（25）《排污许可管理办法（试行）》（部令第48号）；</w:t>
      </w:r>
    </w:p>
    <w:p>
      <w:pPr>
        <w:spacing w:line="360" w:lineRule="auto"/>
        <w:ind w:firstLine="480" w:firstLineChars="200"/>
        <w:rPr>
          <w:rFonts w:ascii="Times New Roman" w:hAnsi="Times New Roman" w:cs="Times New Roman"/>
        </w:rPr>
      </w:pPr>
      <w:r>
        <w:rPr>
          <w:rFonts w:ascii="Times New Roman" w:hAnsi="Times New Roman" w:cs="Times New Roman"/>
        </w:rPr>
        <w:t>（26）《国务院办公厅关于印发控制污染物排放许可制实施方案的通知》（国办发[2016]81号）；</w:t>
      </w:r>
    </w:p>
    <w:p>
      <w:pPr>
        <w:spacing w:line="360" w:lineRule="auto"/>
        <w:ind w:firstLine="480" w:firstLineChars="200"/>
        <w:rPr>
          <w:rFonts w:ascii="Times New Roman" w:hAnsi="Times New Roman" w:cs="Times New Roman"/>
        </w:rPr>
      </w:pPr>
      <w:r>
        <w:rPr>
          <w:rFonts w:ascii="Times New Roman" w:hAnsi="Times New Roman" w:cs="Times New Roman"/>
        </w:rPr>
        <w:t>（27）《长江经济带生态环境保护规划》（环规财〔2017〕88号）；</w:t>
      </w:r>
    </w:p>
    <w:p>
      <w:pPr>
        <w:spacing w:line="360" w:lineRule="auto"/>
        <w:ind w:firstLine="480" w:firstLineChars="200"/>
        <w:rPr>
          <w:rFonts w:ascii="Times New Roman" w:hAnsi="Times New Roman" w:cs="Times New Roman"/>
        </w:rPr>
      </w:pPr>
      <w:r>
        <w:rPr>
          <w:rFonts w:ascii="Times New Roman" w:hAnsi="Times New Roman" w:cs="Times New Roman"/>
        </w:rPr>
        <w:t>（28）《关于加强重点行业建设项目区域削减措施监督管理的通知》（环办环评[2020]36号）；</w:t>
      </w:r>
    </w:p>
    <w:p>
      <w:pPr>
        <w:spacing w:line="360" w:lineRule="auto"/>
        <w:ind w:firstLine="480" w:firstLineChars="200"/>
        <w:rPr>
          <w:rFonts w:ascii="Times New Roman" w:hAnsi="Times New Roman" w:cs="Times New Roman"/>
        </w:rPr>
      </w:pPr>
      <w:r>
        <w:rPr>
          <w:rFonts w:ascii="Times New Roman" w:hAnsi="Times New Roman" w:cs="Times New Roman"/>
        </w:rPr>
        <w:t>（29）《加强高耗能、高排放建设项目生态环境源头防控的指导意见》（环环评[2021]45号）。</w:t>
      </w:r>
    </w:p>
    <w:p>
      <w:pPr>
        <w:spacing w:line="360" w:lineRule="auto"/>
        <w:ind w:firstLine="480" w:firstLineChars="200"/>
        <w:rPr>
          <w:rFonts w:ascii="Times New Roman" w:hAnsi="Times New Roman" w:cs="Times New Roman"/>
        </w:rPr>
      </w:pPr>
      <w:r>
        <w:rPr>
          <w:rFonts w:ascii="Times New Roman" w:hAnsi="Times New Roman" w:cs="Times New Roman"/>
        </w:rPr>
        <w:t>（30）《再生资源回收管理办法》，2007年5月1日实施；</w:t>
      </w:r>
    </w:p>
    <w:p>
      <w:pPr>
        <w:spacing w:line="360" w:lineRule="auto"/>
        <w:ind w:firstLine="480" w:firstLineChars="200"/>
        <w:rPr>
          <w:rFonts w:ascii="Times New Roman" w:hAnsi="Times New Roman" w:cs="Times New Roman"/>
        </w:rPr>
      </w:pPr>
      <w:r>
        <w:rPr>
          <w:rFonts w:ascii="Times New Roman" w:hAnsi="Times New Roman" w:cs="Times New Roman"/>
        </w:rPr>
        <w:t>（31）《关于废旧锂电池收集处置有关问题的复函》（环办函[2014]1621号）；</w:t>
      </w:r>
    </w:p>
    <w:p>
      <w:pPr>
        <w:spacing w:line="360" w:lineRule="auto"/>
        <w:ind w:firstLine="480" w:firstLineChars="200"/>
        <w:rPr>
          <w:rFonts w:ascii="Times New Roman" w:hAnsi="Times New Roman" w:cs="Times New Roman"/>
        </w:rPr>
      </w:pPr>
      <w:r>
        <w:rPr>
          <w:rFonts w:ascii="Times New Roman" w:hAnsi="Times New Roman" w:cs="Times New Roman"/>
        </w:rPr>
        <w:t>（32）《电子废物污染环境防治管理办法》（国家环保总局40 号令，2008.2.1）；</w:t>
      </w:r>
    </w:p>
    <w:p>
      <w:pPr>
        <w:spacing w:line="360" w:lineRule="auto"/>
        <w:ind w:firstLine="480" w:firstLineChars="200"/>
        <w:rPr>
          <w:rFonts w:ascii="Times New Roman" w:hAnsi="Times New Roman" w:cs="Times New Roman"/>
        </w:rPr>
      </w:pPr>
      <w:r>
        <w:rPr>
          <w:rFonts w:ascii="Times New Roman" w:hAnsi="Times New Roman" w:cs="Times New Roman"/>
        </w:rPr>
        <w:t>（33）《废弃电器电子产品处理资格许可管理办法》（环境保护部2010 年第13令）；</w:t>
      </w:r>
    </w:p>
    <w:p>
      <w:pPr>
        <w:spacing w:line="360" w:lineRule="auto"/>
        <w:ind w:firstLine="480" w:firstLineChars="200"/>
        <w:rPr>
          <w:rFonts w:ascii="Times New Roman" w:hAnsi="Times New Roman" w:cs="Times New Roman"/>
        </w:rPr>
      </w:pPr>
      <w:r>
        <w:rPr>
          <w:rFonts w:ascii="Times New Roman" w:hAnsi="Times New Roman" w:cs="Times New Roman"/>
        </w:rPr>
        <w:t>（34）《废弃电器电子产品回收处理管理条例》（国务院2011 年第551 号令）；</w:t>
      </w:r>
    </w:p>
    <w:p>
      <w:pPr>
        <w:spacing w:line="360" w:lineRule="auto"/>
        <w:ind w:firstLine="480" w:firstLineChars="200"/>
        <w:rPr>
          <w:rFonts w:ascii="Times New Roman" w:hAnsi="Times New Roman" w:cs="Times New Roman"/>
        </w:rPr>
      </w:pPr>
      <w:r>
        <w:rPr>
          <w:rFonts w:ascii="Times New Roman" w:hAnsi="Times New Roman" w:cs="Times New Roman"/>
        </w:rPr>
        <w:t>（35）《中华人民共和国长江保护法》，2021年3月1日施行；</w:t>
      </w:r>
    </w:p>
    <w:p>
      <w:pPr>
        <w:spacing w:line="360" w:lineRule="auto"/>
        <w:ind w:firstLine="480" w:firstLineChars="200"/>
        <w:rPr>
          <w:rFonts w:ascii="Times New Roman" w:hAnsi="Times New Roman" w:cs="Times New Roman"/>
        </w:rPr>
      </w:pPr>
      <w:r>
        <w:rPr>
          <w:rFonts w:ascii="Times New Roman" w:hAnsi="Times New Roman" w:cs="Times New Roman"/>
        </w:rPr>
        <w:t>（36）《长江经济带发展负面清单指南》（试行，2022年版），2022年1月19日施行。</w:t>
      </w:r>
    </w:p>
    <w:p>
      <w:pPr>
        <w:pStyle w:val="4"/>
        <w:rPr>
          <w:rFonts w:ascii="Times New Roman" w:hAnsi="Times New Roman" w:cs="Times New Roman"/>
        </w:rPr>
      </w:pPr>
      <w:bookmarkStart w:id="33" w:name="_Toc144236732"/>
      <w:bookmarkStart w:id="34" w:name="_Toc144276862"/>
      <w:bookmarkStart w:id="35" w:name="_Toc147847982"/>
      <w:r>
        <w:rPr>
          <w:rFonts w:ascii="Times New Roman" w:hAnsi="Times New Roman" w:cs="Times New Roman"/>
        </w:rPr>
        <w:t>2.1.3 地方法规及文件</w:t>
      </w:r>
      <w:bookmarkEnd w:id="33"/>
      <w:bookmarkEnd w:id="34"/>
      <w:bookmarkEnd w:id="35"/>
    </w:p>
    <w:p>
      <w:pPr>
        <w:spacing w:line="360" w:lineRule="auto"/>
        <w:ind w:firstLine="480" w:firstLineChars="200"/>
        <w:rPr>
          <w:rFonts w:ascii="Times New Roman" w:hAnsi="Times New Roman" w:cs="Times New Roman"/>
        </w:rPr>
      </w:pPr>
      <w:r>
        <w:rPr>
          <w:rFonts w:ascii="Times New Roman" w:hAnsi="Times New Roman" w:cs="Times New Roman"/>
        </w:rPr>
        <w:t>（1）湖南省人民政府《湖南省环境保护条例》2019年修订，2020年1月1日实施；</w:t>
      </w:r>
    </w:p>
    <w:p>
      <w:pPr>
        <w:spacing w:line="360" w:lineRule="auto"/>
        <w:ind w:firstLine="480" w:firstLineChars="200"/>
        <w:rPr>
          <w:rFonts w:ascii="Times New Roman" w:hAnsi="Times New Roman" w:cs="Times New Roman"/>
        </w:rPr>
      </w:pPr>
      <w:r>
        <w:rPr>
          <w:rFonts w:ascii="Times New Roman" w:hAnsi="Times New Roman" w:cs="Times New Roman"/>
        </w:rPr>
        <w:t>（2）《湖南省主体功能区划》（湘政发[2012]39号）；</w:t>
      </w:r>
    </w:p>
    <w:p>
      <w:pPr>
        <w:spacing w:line="360" w:lineRule="auto"/>
        <w:ind w:firstLine="480" w:firstLineChars="200"/>
        <w:rPr>
          <w:rFonts w:ascii="Times New Roman" w:hAnsi="Times New Roman" w:cs="Times New Roman"/>
        </w:rPr>
      </w:pPr>
      <w:r>
        <w:rPr>
          <w:rFonts w:ascii="Times New Roman" w:hAnsi="Times New Roman" w:cs="Times New Roman"/>
        </w:rPr>
        <w:t>（3）《湖南省湘江保护条例》，2013年4月1日；</w:t>
      </w:r>
    </w:p>
    <w:p>
      <w:pPr>
        <w:spacing w:line="360" w:lineRule="auto"/>
        <w:ind w:firstLine="480" w:firstLineChars="200"/>
        <w:rPr>
          <w:rFonts w:ascii="Times New Roman" w:hAnsi="Times New Roman" w:cs="Times New Roman"/>
        </w:rPr>
      </w:pPr>
      <w:r>
        <w:rPr>
          <w:rFonts w:ascii="Times New Roman" w:hAnsi="Times New Roman" w:cs="Times New Roman"/>
        </w:rPr>
        <w:t>（4）《关于加强危险废物收集、利用、处置建设项目环保审批管理的通知》（湘环发[2016]12号）湖南省环境保护厅2016.5.10；</w:t>
      </w:r>
    </w:p>
    <w:p>
      <w:pPr>
        <w:spacing w:line="360" w:lineRule="auto"/>
        <w:ind w:firstLine="480" w:firstLineChars="200"/>
        <w:rPr>
          <w:rFonts w:ascii="Times New Roman" w:hAnsi="Times New Roman" w:cs="Times New Roman"/>
        </w:rPr>
      </w:pPr>
      <w:r>
        <w:rPr>
          <w:rFonts w:ascii="Times New Roman" w:hAnsi="Times New Roman" w:cs="Times New Roman"/>
        </w:rPr>
        <w:t>（5）《关于加强涉危险废物单位规范化管理工作的通知》（湘环函[2014]533号）湖南省环境保护厅2014.10.28；</w:t>
      </w:r>
    </w:p>
    <w:p>
      <w:pPr>
        <w:spacing w:line="360" w:lineRule="auto"/>
        <w:ind w:firstLine="480" w:firstLineChars="200"/>
        <w:rPr>
          <w:rFonts w:ascii="Times New Roman" w:hAnsi="Times New Roman" w:cs="Times New Roman"/>
        </w:rPr>
      </w:pPr>
      <w:r>
        <w:rPr>
          <w:rFonts w:ascii="Times New Roman" w:hAnsi="Times New Roman" w:cs="Times New Roman"/>
        </w:rPr>
        <w:t>（6）《湖南省大气污染防治条例》（湖南省第十二届人民代表大会常务委员会第二十九次会议通过），2017年4月；</w:t>
      </w:r>
    </w:p>
    <w:p>
      <w:pPr>
        <w:spacing w:line="360" w:lineRule="auto"/>
        <w:ind w:firstLine="480" w:firstLineChars="200"/>
        <w:rPr>
          <w:rFonts w:ascii="Times New Roman" w:hAnsi="Times New Roman" w:cs="Times New Roman"/>
        </w:rPr>
      </w:pPr>
      <w:r>
        <w:rPr>
          <w:rFonts w:ascii="Times New Roman" w:hAnsi="Times New Roman" w:cs="Times New Roman"/>
        </w:rPr>
        <w:t>（7）湖南省人民政府关于印发《湖南省贯彻落实〈水污染防治行动计划〉实施方案（2016-2020年）》的通知，湘政发〔2015〕53号；</w:t>
      </w:r>
    </w:p>
    <w:p>
      <w:pPr>
        <w:spacing w:line="360" w:lineRule="auto"/>
        <w:ind w:firstLine="480" w:firstLineChars="200"/>
        <w:rPr>
          <w:rFonts w:ascii="Times New Roman" w:hAnsi="Times New Roman" w:cs="Times New Roman"/>
        </w:rPr>
      </w:pPr>
      <w:r>
        <w:rPr>
          <w:rFonts w:ascii="Times New Roman" w:hAnsi="Times New Roman" w:cs="Times New Roman"/>
        </w:rPr>
        <w:t>（8）湖南省人民政府办公厅关于印发《贯彻落实&lt;大气污染防治行动计划&gt;实施细则》的通知，湘政发〔2013〕77号；</w:t>
      </w:r>
    </w:p>
    <w:p>
      <w:pPr>
        <w:spacing w:line="360" w:lineRule="auto"/>
        <w:ind w:firstLine="480" w:firstLineChars="200"/>
        <w:rPr>
          <w:rFonts w:ascii="Times New Roman" w:hAnsi="Times New Roman" w:cs="Times New Roman"/>
        </w:rPr>
      </w:pPr>
      <w:r>
        <w:rPr>
          <w:rFonts w:ascii="Times New Roman" w:hAnsi="Times New Roman" w:cs="Times New Roman"/>
        </w:rPr>
        <w:t>（9）《湖南省人民政府关于印发&lt;湖南省土壤污染防治工作方案&gt;的通知》（湘政发[2017]4号，2017年1月23日）；</w:t>
      </w:r>
    </w:p>
    <w:p>
      <w:pPr>
        <w:spacing w:line="360" w:lineRule="auto"/>
        <w:ind w:firstLine="480" w:firstLineChars="200"/>
        <w:rPr>
          <w:rFonts w:ascii="Times New Roman" w:hAnsi="Times New Roman" w:cs="Times New Roman"/>
        </w:rPr>
      </w:pPr>
      <w:r>
        <w:rPr>
          <w:rFonts w:ascii="Times New Roman" w:hAnsi="Times New Roman" w:cs="Times New Roman"/>
        </w:rPr>
        <w:t>（10）《湖南省实施&lt;中华人民共和国固体废物污染环境防治法&gt;办法》（湖南省第十二届人民代表大会常务委员会第三十五次会议通过，2018年5月1日起实施）；</w:t>
      </w:r>
    </w:p>
    <w:p>
      <w:pPr>
        <w:spacing w:line="360" w:lineRule="auto"/>
        <w:ind w:firstLine="480" w:firstLineChars="200"/>
        <w:rPr>
          <w:rFonts w:ascii="Times New Roman" w:hAnsi="Times New Roman" w:cs="Times New Roman"/>
        </w:rPr>
      </w:pPr>
      <w:r>
        <w:rPr>
          <w:rFonts w:ascii="Times New Roman" w:hAnsi="Times New Roman" w:cs="Times New Roman"/>
        </w:rPr>
        <w:t>（11）《湖南省主要水系地表水环境功能区划》（DB43/023-2005，2005.7.1）；</w:t>
      </w:r>
    </w:p>
    <w:p>
      <w:pPr>
        <w:spacing w:line="360" w:lineRule="auto"/>
        <w:ind w:firstLine="480" w:firstLineChars="200"/>
        <w:rPr>
          <w:rFonts w:ascii="Times New Roman" w:hAnsi="Times New Roman" w:cs="Times New Roman"/>
        </w:rPr>
      </w:pPr>
      <w:r>
        <w:rPr>
          <w:rFonts w:ascii="Times New Roman" w:hAnsi="Times New Roman" w:cs="Times New Roman"/>
        </w:rPr>
        <w:t>（12）湖南省人民政府《关于公布湖南省县级以上地表水集中式饮用水水源保护区划定方案的通知》（湘政函[2016]176号）；</w:t>
      </w:r>
    </w:p>
    <w:p>
      <w:pPr>
        <w:spacing w:line="360" w:lineRule="auto"/>
        <w:ind w:firstLine="480" w:firstLineChars="200"/>
        <w:rPr>
          <w:rFonts w:ascii="Times New Roman" w:hAnsi="Times New Roman" w:cs="Times New Roman"/>
        </w:rPr>
      </w:pPr>
      <w:r>
        <w:rPr>
          <w:rFonts w:ascii="Times New Roman" w:hAnsi="Times New Roman" w:cs="Times New Roman"/>
        </w:rPr>
        <w:t>（13）《湖南省人民政府关于进一步加强湘江流域水污染防治工作的通知》湘政发[2004]第19号；</w:t>
      </w:r>
    </w:p>
    <w:p>
      <w:pPr>
        <w:spacing w:line="360" w:lineRule="auto"/>
        <w:ind w:firstLine="480" w:firstLineChars="200"/>
        <w:rPr>
          <w:rFonts w:ascii="Times New Roman" w:hAnsi="Times New Roman" w:cs="Times New Roman"/>
        </w:rPr>
      </w:pPr>
      <w:r>
        <w:rPr>
          <w:rFonts w:ascii="Times New Roman" w:hAnsi="Times New Roman" w:cs="Times New Roman"/>
        </w:rPr>
        <w:t>（14）《湖南省湘江流域水污染防治条例》湖南省第九届人民代表大会常务委员会公告（第6号）；</w:t>
      </w:r>
    </w:p>
    <w:p>
      <w:pPr>
        <w:spacing w:line="360" w:lineRule="auto"/>
        <w:ind w:firstLine="480" w:firstLineChars="200"/>
        <w:rPr>
          <w:rFonts w:ascii="Times New Roman" w:hAnsi="Times New Roman" w:cs="Times New Roman"/>
        </w:rPr>
      </w:pPr>
      <w:r>
        <w:rPr>
          <w:rFonts w:ascii="Times New Roman" w:hAnsi="Times New Roman" w:cs="Times New Roman"/>
        </w:rPr>
        <w:t>（15）《湖南省环境保护厅关于加强涉危险废物单位规范化管理工作的通知》湖南省环保厅（2014年10月28日）；</w:t>
      </w:r>
    </w:p>
    <w:p>
      <w:pPr>
        <w:spacing w:line="360" w:lineRule="auto"/>
        <w:ind w:firstLine="480" w:firstLineChars="200"/>
        <w:rPr>
          <w:rFonts w:ascii="Times New Roman" w:hAnsi="Times New Roman" w:cs="Times New Roman"/>
        </w:rPr>
      </w:pPr>
      <w:r>
        <w:rPr>
          <w:rFonts w:ascii="Times New Roman" w:hAnsi="Times New Roman" w:cs="Times New Roman"/>
        </w:rPr>
        <w:t>（16）《湘江流域重金属污染防治实施方案》国务院2011年3月；</w:t>
      </w:r>
    </w:p>
    <w:p>
      <w:pPr>
        <w:spacing w:line="360" w:lineRule="auto"/>
        <w:ind w:firstLine="480" w:firstLineChars="200"/>
        <w:rPr>
          <w:rFonts w:ascii="Times New Roman" w:hAnsi="Times New Roman" w:cs="Times New Roman"/>
        </w:rPr>
      </w:pPr>
      <w:r>
        <w:rPr>
          <w:rFonts w:ascii="Times New Roman" w:hAnsi="Times New Roman" w:cs="Times New Roman"/>
        </w:rPr>
        <w:t>（17）湖南省环境保护厅《关于明确危险废物经营许可有关事项的通知》（湘环函〔2017〕645号）；</w:t>
      </w:r>
    </w:p>
    <w:p>
      <w:pPr>
        <w:spacing w:line="360" w:lineRule="auto"/>
        <w:ind w:firstLine="480" w:firstLineChars="200"/>
        <w:rPr>
          <w:rFonts w:ascii="Times New Roman" w:hAnsi="Times New Roman" w:cs="Times New Roman"/>
        </w:rPr>
      </w:pPr>
      <w:r>
        <w:rPr>
          <w:rFonts w:ascii="Times New Roman" w:hAnsi="Times New Roman" w:cs="Times New Roman"/>
        </w:rPr>
        <w:t>（18）《湖南省长江经济带发展负面清单实施细则（试行）》（2019年10月31日）；</w:t>
      </w:r>
    </w:p>
    <w:p>
      <w:pPr>
        <w:spacing w:line="360" w:lineRule="auto"/>
        <w:ind w:firstLine="480" w:firstLineChars="200"/>
        <w:rPr>
          <w:rFonts w:ascii="Times New Roman" w:hAnsi="Times New Roman" w:cs="Times New Roman"/>
        </w:rPr>
      </w:pPr>
      <w:r>
        <w:rPr>
          <w:rFonts w:ascii="Times New Roman" w:hAnsi="Times New Roman" w:cs="Times New Roman"/>
        </w:rPr>
        <w:t>（19）《湖南省大气污染防治条例》，2017年3月31日；</w:t>
      </w:r>
    </w:p>
    <w:p>
      <w:pPr>
        <w:spacing w:line="360" w:lineRule="auto"/>
        <w:ind w:firstLine="480" w:firstLineChars="200"/>
        <w:rPr>
          <w:rFonts w:ascii="Times New Roman" w:hAnsi="Times New Roman" w:cs="Times New Roman"/>
        </w:rPr>
      </w:pPr>
      <w:r>
        <w:rPr>
          <w:rFonts w:ascii="Times New Roman" w:hAnsi="Times New Roman" w:cs="Times New Roman"/>
        </w:rPr>
        <w:t>（20）《湖南省建设项目环境保护管理办法》（湖南省人民政府令第215号2007.10.1）；</w:t>
      </w:r>
    </w:p>
    <w:p>
      <w:pPr>
        <w:spacing w:line="360" w:lineRule="auto"/>
        <w:ind w:firstLine="480" w:firstLineChars="200"/>
        <w:rPr>
          <w:rFonts w:ascii="Times New Roman" w:hAnsi="Times New Roman" w:cs="Times New Roman"/>
        </w:rPr>
      </w:pPr>
      <w:r>
        <w:rPr>
          <w:rFonts w:ascii="Times New Roman" w:hAnsi="Times New Roman" w:cs="Times New Roman"/>
        </w:rPr>
        <w:t>（21）《关于进一步加强建设项目环境保护管理工作的通知》（湘环发[2006]88号）；</w:t>
      </w:r>
    </w:p>
    <w:p>
      <w:pPr>
        <w:spacing w:line="360" w:lineRule="auto"/>
        <w:ind w:firstLine="480" w:firstLineChars="200"/>
        <w:rPr>
          <w:rFonts w:ascii="Times New Roman" w:hAnsi="Times New Roman" w:cs="Times New Roman"/>
        </w:rPr>
      </w:pPr>
      <w:r>
        <w:rPr>
          <w:rFonts w:ascii="Times New Roman" w:hAnsi="Times New Roman" w:cs="Times New Roman"/>
        </w:rPr>
        <w:t>（22）《湖南省土壤污染防治工作方案》（湘政发[2017]4号）；</w:t>
      </w:r>
    </w:p>
    <w:p>
      <w:pPr>
        <w:spacing w:line="360" w:lineRule="auto"/>
        <w:ind w:firstLine="480" w:firstLineChars="200"/>
        <w:rPr>
          <w:rFonts w:ascii="Times New Roman" w:hAnsi="Times New Roman" w:cs="Times New Roman"/>
        </w:rPr>
      </w:pPr>
      <w:r>
        <w:rPr>
          <w:rFonts w:ascii="Times New Roman" w:hAnsi="Times New Roman" w:cs="Times New Roman"/>
        </w:rPr>
        <w:t>（23）《湖南省“蓝天保卫战”实施方案（2018-2020）》；</w:t>
      </w:r>
    </w:p>
    <w:p>
      <w:pPr>
        <w:spacing w:line="360" w:lineRule="auto"/>
        <w:ind w:firstLine="480" w:firstLineChars="200"/>
        <w:rPr>
          <w:rFonts w:ascii="Times New Roman" w:hAnsi="Times New Roman" w:cs="Times New Roman"/>
        </w:rPr>
      </w:pPr>
      <w:r>
        <w:rPr>
          <w:rFonts w:ascii="Times New Roman" w:hAnsi="Times New Roman" w:cs="Times New Roman"/>
        </w:rPr>
        <w:t>（24）《湖南省污染防治攻坚战三年行动计划（2018-2020）》；</w:t>
      </w:r>
    </w:p>
    <w:p>
      <w:pPr>
        <w:spacing w:line="360" w:lineRule="auto"/>
        <w:ind w:firstLine="480" w:firstLineChars="200"/>
        <w:rPr>
          <w:rFonts w:ascii="Times New Roman" w:hAnsi="Times New Roman" w:cs="Times New Roman"/>
        </w:rPr>
      </w:pPr>
      <w:r>
        <w:rPr>
          <w:rFonts w:ascii="Times New Roman" w:hAnsi="Times New Roman" w:cs="Times New Roman"/>
        </w:rPr>
        <w:t>（25）《湖南省人民政府关于印发《湖南省生态保护红线》的通知湘政发〔2018〕20号》；</w:t>
      </w:r>
    </w:p>
    <w:p>
      <w:pPr>
        <w:spacing w:line="360" w:lineRule="auto"/>
        <w:ind w:firstLine="480" w:firstLineChars="200"/>
        <w:rPr>
          <w:rFonts w:ascii="Times New Roman" w:hAnsi="Times New Roman" w:cs="Times New Roman"/>
        </w:rPr>
      </w:pPr>
      <w:r>
        <w:rPr>
          <w:rFonts w:ascii="Times New Roman" w:hAnsi="Times New Roman" w:cs="Times New Roman"/>
        </w:rPr>
        <w:t>（26）《湖南省人民政府关于实施“三线一单”生态环境分区管控的意见》（湘政发〔2020〕12号）；</w:t>
      </w:r>
    </w:p>
    <w:p>
      <w:pPr>
        <w:spacing w:line="360" w:lineRule="auto"/>
        <w:ind w:firstLine="480" w:firstLineChars="200"/>
        <w:rPr>
          <w:rFonts w:ascii="Times New Roman" w:hAnsi="Times New Roman" w:cs="Times New Roman"/>
        </w:rPr>
      </w:pPr>
      <w:r>
        <w:rPr>
          <w:rFonts w:ascii="Times New Roman" w:hAnsi="Times New Roman" w:cs="Times New Roman"/>
        </w:rPr>
        <w:t>（27）《湖南省涉重金属污染重点行业环境管理、环境风险管控制度规范（试行）》（湘环发〔2015〕4号）文；</w:t>
      </w:r>
    </w:p>
    <w:p>
      <w:pPr>
        <w:spacing w:line="360" w:lineRule="auto"/>
        <w:ind w:firstLine="480" w:firstLineChars="200"/>
        <w:rPr>
          <w:rFonts w:ascii="Times New Roman" w:hAnsi="Times New Roman" w:cs="Times New Roman"/>
        </w:rPr>
      </w:pPr>
      <w:r>
        <w:rPr>
          <w:rFonts w:ascii="Times New Roman" w:hAnsi="Times New Roman" w:cs="Times New Roman"/>
        </w:rPr>
        <w:t>（28）《衡阳市人民政府关于印发&lt;衡阳市大气污染防治行动计划实施方案&gt;的通知》（衡政发〔2014〕17号）；</w:t>
      </w:r>
    </w:p>
    <w:p>
      <w:pPr>
        <w:spacing w:line="360" w:lineRule="auto"/>
        <w:ind w:firstLine="480" w:firstLineChars="200"/>
        <w:rPr>
          <w:rFonts w:ascii="Times New Roman" w:hAnsi="Times New Roman" w:cs="Times New Roman"/>
        </w:rPr>
      </w:pPr>
      <w:r>
        <w:rPr>
          <w:rFonts w:ascii="Times New Roman" w:hAnsi="Times New Roman" w:cs="Times New Roman"/>
        </w:rPr>
        <w:t>（29）《衡阳市“蓝天保卫战”行动计划实施方案》（2018-2020年）；</w:t>
      </w:r>
    </w:p>
    <w:p>
      <w:pPr>
        <w:spacing w:line="360" w:lineRule="auto"/>
        <w:ind w:firstLine="480" w:firstLineChars="200"/>
        <w:rPr>
          <w:rFonts w:ascii="Times New Roman" w:hAnsi="Times New Roman" w:cs="Times New Roman"/>
        </w:rPr>
      </w:pPr>
      <w:r>
        <w:rPr>
          <w:rFonts w:ascii="Times New Roman" w:hAnsi="Times New Roman" w:cs="Times New Roman"/>
        </w:rPr>
        <w:t>（30）《衡阳市环评与排污许可总量控制工作衔接试点工作方案》；</w:t>
      </w:r>
    </w:p>
    <w:p>
      <w:pPr>
        <w:spacing w:line="360" w:lineRule="auto"/>
        <w:ind w:firstLine="480" w:firstLineChars="200"/>
        <w:rPr>
          <w:rFonts w:ascii="Times New Roman" w:hAnsi="Times New Roman" w:cs="Times New Roman"/>
        </w:rPr>
      </w:pPr>
      <w:r>
        <w:rPr>
          <w:rFonts w:ascii="Times New Roman" w:hAnsi="Times New Roman" w:cs="Times New Roman"/>
        </w:rPr>
        <w:t>（31）《湖南省“三线一单”生态环境总体管控要求暨省级以上产业园区生态环境准入清单》；</w:t>
      </w:r>
    </w:p>
    <w:p>
      <w:pPr>
        <w:spacing w:line="360" w:lineRule="auto"/>
        <w:ind w:firstLine="480" w:firstLineChars="200"/>
        <w:rPr>
          <w:rFonts w:ascii="Times New Roman" w:hAnsi="Times New Roman" w:cs="Times New Roman"/>
        </w:rPr>
      </w:pPr>
      <w:r>
        <w:rPr>
          <w:rFonts w:ascii="Times New Roman" w:hAnsi="Times New Roman" w:cs="Times New Roman"/>
        </w:rPr>
        <w:t>（32）衡阳市人民政府关于实施“三线一单”生态环境分区管控的意见（衡政发[2020]9号）</w:t>
      </w:r>
      <w:r>
        <w:rPr>
          <w:rFonts w:hint="eastAsia" w:ascii="Times New Roman" w:hAnsi="Times New Roman" w:cs="Times New Roman"/>
        </w:rPr>
        <w:t>。</w:t>
      </w:r>
    </w:p>
    <w:p>
      <w:pPr>
        <w:pStyle w:val="4"/>
        <w:rPr>
          <w:rFonts w:ascii="Times New Roman" w:hAnsi="Times New Roman" w:cs="Times New Roman"/>
        </w:rPr>
      </w:pPr>
      <w:bookmarkStart w:id="36" w:name="_Toc147847983"/>
      <w:bookmarkStart w:id="37" w:name="_Toc144236733"/>
      <w:bookmarkStart w:id="38" w:name="_Toc144276863"/>
      <w:r>
        <w:rPr>
          <w:rFonts w:ascii="Times New Roman" w:hAnsi="Times New Roman" w:cs="Times New Roman"/>
        </w:rPr>
        <w:t>2.1.4 技术导则和规范</w:t>
      </w:r>
      <w:bookmarkEnd w:id="36"/>
      <w:bookmarkEnd w:id="37"/>
      <w:bookmarkEnd w:id="38"/>
    </w:p>
    <w:p>
      <w:pPr>
        <w:spacing w:line="360" w:lineRule="auto"/>
        <w:ind w:firstLine="480" w:firstLineChars="200"/>
        <w:rPr>
          <w:rFonts w:ascii="Times New Roman" w:hAnsi="Times New Roman" w:cs="Times New Roman"/>
        </w:rPr>
      </w:pPr>
      <w:r>
        <w:rPr>
          <w:rFonts w:ascii="Times New Roman" w:hAnsi="Times New Roman" w:cs="Times New Roman"/>
        </w:rPr>
        <w:t>（1）《建设项目环境影响评价技术导则-总纲》（HJ2.1-2016）；</w:t>
      </w:r>
    </w:p>
    <w:p>
      <w:pPr>
        <w:spacing w:line="360" w:lineRule="auto"/>
        <w:ind w:firstLine="480" w:firstLineChars="200"/>
        <w:rPr>
          <w:rFonts w:ascii="Times New Roman" w:hAnsi="Times New Roman" w:cs="Times New Roman"/>
        </w:rPr>
      </w:pPr>
      <w:r>
        <w:rPr>
          <w:rFonts w:ascii="Times New Roman" w:hAnsi="Times New Roman" w:cs="Times New Roman"/>
        </w:rPr>
        <w:t>（2）《环境影响评价技术导则-大气环境》（HJ2.2-2018）；</w:t>
      </w:r>
    </w:p>
    <w:p>
      <w:pPr>
        <w:spacing w:line="360" w:lineRule="auto"/>
        <w:ind w:firstLine="480" w:firstLineChars="200"/>
        <w:rPr>
          <w:rFonts w:ascii="Times New Roman" w:hAnsi="Times New Roman" w:cs="Times New Roman"/>
        </w:rPr>
      </w:pPr>
      <w:r>
        <w:rPr>
          <w:rFonts w:ascii="Times New Roman" w:hAnsi="Times New Roman" w:cs="Times New Roman"/>
        </w:rPr>
        <w:t>（3）《环境影响评价技术导则-声环境》（HJ2.4-2021）；</w:t>
      </w:r>
    </w:p>
    <w:p>
      <w:pPr>
        <w:spacing w:line="360" w:lineRule="auto"/>
        <w:ind w:firstLine="480" w:firstLineChars="200"/>
        <w:rPr>
          <w:rFonts w:ascii="Times New Roman" w:hAnsi="Times New Roman" w:cs="Times New Roman"/>
        </w:rPr>
      </w:pPr>
      <w:r>
        <w:rPr>
          <w:rFonts w:ascii="Times New Roman" w:hAnsi="Times New Roman" w:cs="Times New Roman"/>
        </w:rPr>
        <w:t>（4）《环境影响评价技术导则-地表水环境》（HJ2.3—2018）；</w:t>
      </w:r>
    </w:p>
    <w:p>
      <w:pPr>
        <w:spacing w:line="360" w:lineRule="auto"/>
        <w:ind w:firstLine="480" w:firstLineChars="200"/>
        <w:rPr>
          <w:rFonts w:ascii="Times New Roman" w:hAnsi="Times New Roman" w:cs="Times New Roman"/>
        </w:rPr>
      </w:pPr>
      <w:r>
        <w:rPr>
          <w:rFonts w:ascii="Times New Roman" w:hAnsi="Times New Roman" w:cs="Times New Roman"/>
        </w:rPr>
        <w:t>（5）《环境影响评价技术导则-地下水环境》（HJ610－2016）；</w:t>
      </w:r>
    </w:p>
    <w:p>
      <w:pPr>
        <w:spacing w:line="360" w:lineRule="auto"/>
        <w:ind w:firstLine="480" w:firstLineChars="200"/>
        <w:rPr>
          <w:rFonts w:ascii="Times New Roman" w:hAnsi="Times New Roman" w:cs="Times New Roman"/>
        </w:rPr>
      </w:pPr>
      <w:r>
        <w:rPr>
          <w:rFonts w:ascii="Times New Roman" w:hAnsi="Times New Roman" w:cs="Times New Roman"/>
        </w:rPr>
        <w:t>（6）《环境影响评价技术导则-土壤环境》（HJ964-2018）；</w:t>
      </w:r>
    </w:p>
    <w:p>
      <w:pPr>
        <w:spacing w:line="360" w:lineRule="auto"/>
        <w:ind w:firstLine="480" w:firstLineChars="200"/>
        <w:rPr>
          <w:rFonts w:ascii="Times New Roman" w:hAnsi="Times New Roman" w:cs="Times New Roman"/>
        </w:rPr>
      </w:pPr>
      <w:r>
        <w:rPr>
          <w:rFonts w:ascii="Times New Roman" w:hAnsi="Times New Roman" w:cs="Times New Roman"/>
        </w:rPr>
        <w:t>（7）《环境影响评价技术导则 生态环境》（HJ19-2022）；</w:t>
      </w:r>
    </w:p>
    <w:p>
      <w:pPr>
        <w:spacing w:line="360" w:lineRule="auto"/>
        <w:ind w:firstLine="480" w:firstLineChars="200"/>
        <w:rPr>
          <w:rFonts w:ascii="Times New Roman" w:hAnsi="Times New Roman" w:cs="Times New Roman"/>
        </w:rPr>
      </w:pPr>
      <w:r>
        <w:rPr>
          <w:rFonts w:ascii="Times New Roman" w:hAnsi="Times New Roman" w:cs="Times New Roman"/>
        </w:rPr>
        <w:t>（8）《建设项目环境风险评价技术导则》（HJ169-2018）；</w:t>
      </w:r>
    </w:p>
    <w:p>
      <w:pPr>
        <w:spacing w:line="360" w:lineRule="auto"/>
        <w:ind w:firstLine="480" w:firstLineChars="200"/>
        <w:rPr>
          <w:rFonts w:ascii="Times New Roman" w:hAnsi="Times New Roman" w:cs="Times New Roman"/>
        </w:rPr>
      </w:pPr>
      <w:r>
        <w:rPr>
          <w:rFonts w:ascii="Times New Roman" w:hAnsi="Times New Roman" w:cs="Times New Roman"/>
        </w:rPr>
        <w:t>（9）《固体废物处理工程技术导则》（HJ2035-2013）；</w:t>
      </w:r>
    </w:p>
    <w:p>
      <w:pPr>
        <w:spacing w:line="360" w:lineRule="auto"/>
        <w:ind w:firstLine="480" w:firstLineChars="200"/>
        <w:rPr>
          <w:rFonts w:ascii="Times New Roman" w:hAnsi="Times New Roman" w:cs="Times New Roman"/>
        </w:rPr>
      </w:pPr>
      <w:r>
        <w:rPr>
          <w:rFonts w:ascii="Times New Roman" w:hAnsi="Times New Roman" w:cs="Times New Roman"/>
        </w:rPr>
        <w:t>（10）《一般工业固体废物贮存和填埋污染控制标准》（GB18599-2020）；</w:t>
      </w:r>
    </w:p>
    <w:p>
      <w:pPr>
        <w:spacing w:line="360" w:lineRule="auto"/>
        <w:ind w:firstLine="480" w:firstLineChars="200"/>
        <w:rPr>
          <w:rFonts w:ascii="Times New Roman" w:hAnsi="Times New Roman" w:cs="Times New Roman"/>
        </w:rPr>
      </w:pPr>
      <w:r>
        <w:rPr>
          <w:rFonts w:ascii="Times New Roman" w:hAnsi="Times New Roman" w:cs="Times New Roman"/>
        </w:rPr>
        <w:t>（11）《危险废物贮存污染控制标准》（GB18597-2023）；</w:t>
      </w:r>
    </w:p>
    <w:p>
      <w:pPr>
        <w:spacing w:line="360" w:lineRule="auto"/>
        <w:ind w:firstLine="480" w:firstLineChars="200"/>
        <w:rPr>
          <w:rFonts w:ascii="Times New Roman" w:hAnsi="Times New Roman" w:cs="Times New Roman"/>
        </w:rPr>
      </w:pPr>
      <w:r>
        <w:rPr>
          <w:rFonts w:ascii="Times New Roman" w:hAnsi="Times New Roman" w:cs="Times New Roman"/>
        </w:rPr>
        <w:t>（12）《危险废物收集贮存运输技术规范》（HJ2025-2012）；</w:t>
      </w:r>
    </w:p>
    <w:p>
      <w:pPr>
        <w:spacing w:line="360" w:lineRule="auto"/>
        <w:ind w:firstLine="480" w:firstLineChars="200"/>
        <w:rPr>
          <w:rFonts w:ascii="Times New Roman" w:hAnsi="Times New Roman" w:cs="Times New Roman"/>
        </w:rPr>
      </w:pPr>
      <w:r>
        <w:rPr>
          <w:rFonts w:ascii="Times New Roman" w:hAnsi="Times New Roman" w:cs="Times New Roman"/>
        </w:rPr>
        <w:t>（13）《建设项目危险废物环境影响评价指南》（环境保护部公告2017年第43号）；</w:t>
      </w:r>
    </w:p>
    <w:p>
      <w:pPr>
        <w:spacing w:line="360" w:lineRule="auto"/>
        <w:ind w:firstLine="480" w:firstLineChars="200"/>
        <w:rPr>
          <w:rFonts w:ascii="Times New Roman" w:hAnsi="Times New Roman" w:cs="Times New Roman"/>
        </w:rPr>
      </w:pPr>
      <w:r>
        <w:rPr>
          <w:rFonts w:ascii="Times New Roman" w:hAnsi="Times New Roman" w:cs="Times New Roman"/>
        </w:rPr>
        <w:t>（14）《排污许可证申请与核发技术规范水处理通用工序》（HJ1120-2020）。</w:t>
      </w:r>
    </w:p>
    <w:p>
      <w:pPr>
        <w:spacing w:line="360" w:lineRule="auto"/>
        <w:ind w:firstLine="480" w:firstLineChars="200"/>
        <w:rPr>
          <w:rFonts w:ascii="Times New Roman" w:hAnsi="Times New Roman" w:cs="Times New Roman"/>
        </w:rPr>
      </w:pPr>
      <w:r>
        <w:rPr>
          <w:rFonts w:ascii="Times New Roman" w:hAnsi="Times New Roman" w:cs="Times New Roman"/>
        </w:rPr>
        <w:t>（15）《危险废物污染防治技术政策》（环发〔2001〕199号）；</w:t>
      </w:r>
    </w:p>
    <w:p>
      <w:pPr>
        <w:spacing w:line="360" w:lineRule="auto"/>
        <w:ind w:firstLine="480" w:firstLineChars="200"/>
        <w:rPr>
          <w:rFonts w:ascii="Times New Roman" w:hAnsi="Times New Roman" w:cs="Times New Roman"/>
        </w:rPr>
      </w:pPr>
      <w:r>
        <w:rPr>
          <w:rFonts w:ascii="Times New Roman" w:hAnsi="Times New Roman" w:cs="Times New Roman"/>
        </w:rPr>
        <w:t>（16）《危险废物鉴别标准通则》（GB5085.7—2019）及《危险废物鉴别技术规范》（HJ/T298－2019）；</w:t>
      </w:r>
    </w:p>
    <w:p>
      <w:pPr>
        <w:spacing w:line="360" w:lineRule="auto"/>
        <w:ind w:firstLine="480" w:firstLineChars="200"/>
        <w:rPr>
          <w:rFonts w:ascii="Times New Roman" w:hAnsi="Times New Roman" w:cs="Times New Roman"/>
        </w:rPr>
      </w:pPr>
      <w:r>
        <w:rPr>
          <w:rFonts w:ascii="Times New Roman" w:hAnsi="Times New Roman" w:cs="Times New Roman"/>
        </w:rPr>
        <w:t>（17）《排污许可证申请与核发技术规范工业固体废物和危险废物治理》HJ1033-2019；</w:t>
      </w:r>
    </w:p>
    <w:p>
      <w:pPr>
        <w:spacing w:line="360" w:lineRule="auto"/>
        <w:ind w:firstLine="480" w:firstLineChars="200"/>
        <w:rPr>
          <w:rFonts w:ascii="Times New Roman" w:hAnsi="Times New Roman" w:cs="Times New Roman"/>
        </w:rPr>
      </w:pPr>
      <w:r>
        <w:rPr>
          <w:rFonts w:ascii="Times New Roman" w:hAnsi="Times New Roman" w:cs="Times New Roman"/>
        </w:rPr>
        <w:t>（1</w:t>
      </w:r>
      <w:r>
        <w:rPr>
          <w:rFonts w:hint="eastAsia" w:ascii="Times New Roman" w:hAnsi="Times New Roman" w:cs="Times New Roman"/>
        </w:rPr>
        <w:t>8</w:t>
      </w:r>
      <w:r>
        <w:rPr>
          <w:rFonts w:ascii="Times New Roman" w:hAnsi="Times New Roman" w:cs="Times New Roman"/>
        </w:rPr>
        <w:t>）《排污许可证申请与核发技术规范-废弃资源加工工业》（HJ 1034-2019）；</w:t>
      </w:r>
    </w:p>
    <w:p>
      <w:pPr>
        <w:spacing w:line="360" w:lineRule="auto"/>
        <w:ind w:firstLine="480" w:firstLineChars="200"/>
        <w:rPr>
          <w:rFonts w:ascii="Times New Roman" w:hAnsi="Times New Roman" w:cs="Times New Roman"/>
        </w:rPr>
      </w:pPr>
      <w:r>
        <w:rPr>
          <w:rFonts w:ascii="Times New Roman" w:hAnsi="Times New Roman" w:cs="Times New Roman"/>
        </w:rPr>
        <w:t>（</w:t>
      </w:r>
      <w:r>
        <w:rPr>
          <w:rFonts w:hint="eastAsia" w:ascii="Times New Roman" w:hAnsi="Times New Roman" w:cs="Times New Roman"/>
        </w:rPr>
        <w:t>19</w:t>
      </w:r>
      <w:r>
        <w:rPr>
          <w:rFonts w:ascii="Times New Roman" w:hAnsi="Times New Roman" w:cs="Times New Roman"/>
        </w:rPr>
        <w:t>）《电动汽车动力蓄电池回收利用技术政策（2015 年版）》（国发改、工信、环保部等2016 年第2 号公告，2016.1.5）；</w:t>
      </w:r>
    </w:p>
    <w:p>
      <w:pPr>
        <w:spacing w:line="360" w:lineRule="auto"/>
        <w:ind w:firstLine="480" w:firstLineChars="200"/>
        <w:rPr>
          <w:rFonts w:ascii="Times New Roman" w:hAnsi="Times New Roman" w:cs="Times New Roman"/>
        </w:rPr>
      </w:pPr>
      <w:r>
        <w:rPr>
          <w:rFonts w:ascii="Times New Roman" w:hAnsi="Times New Roman" w:cs="Times New Roman"/>
        </w:rPr>
        <w:t>（2</w:t>
      </w:r>
      <w:r>
        <w:rPr>
          <w:rFonts w:hint="eastAsia" w:ascii="Times New Roman" w:hAnsi="Times New Roman" w:cs="Times New Roman"/>
        </w:rPr>
        <w:t>0</w:t>
      </w:r>
      <w:r>
        <w:rPr>
          <w:rFonts w:ascii="Times New Roman" w:hAnsi="Times New Roman" w:cs="Times New Roman"/>
        </w:rPr>
        <w:t>）《关于做好新能源汽车动力蓄电池回收利用试点工作的通知》（工信部联节[2018]134号；</w:t>
      </w:r>
    </w:p>
    <w:p>
      <w:pPr>
        <w:spacing w:line="360" w:lineRule="auto"/>
        <w:ind w:firstLine="480" w:firstLineChars="200"/>
        <w:rPr>
          <w:rFonts w:ascii="Times New Roman" w:hAnsi="Times New Roman" w:cs="Times New Roman"/>
        </w:rPr>
      </w:pPr>
      <w:r>
        <w:rPr>
          <w:rFonts w:ascii="Times New Roman" w:hAnsi="Times New Roman" w:cs="Times New Roman"/>
        </w:rPr>
        <w:t>（2</w:t>
      </w:r>
      <w:r>
        <w:rPr>
          <w:rFonts w:hint="eastAsia" w:ascii="Times New Roman" w:hAnsi="Times New Roman" w:cs="Times New Roman"/>
        </w:rPr>
        <w:t>1</w:t>
      </w:r>
      <w:r>
        <w:rPr>
          <w:rFonts w:ascii="Times New Roman" w:hAnsi="Times New Roman" w:cs="Times New Roman"/>
        </w:rPr>
        <w:t>）《关于印发&lt;新能源汽车动力蓄电池回收利用管理暂行办法&gt;的通知》（工信部联节〔2018〕43 号）；</w:t>
      </w:r>
    </w:p>
    <w:p>
      <w:pPr>
        <w:spacing w:line="360" w:lineRule="auto"/>
        <w:ind w:firstLine="480" w:firstLineChars="200"/>
        <w:rPr>
          <w:rFonts w:ascii="Times New Roman" w:hAnsi="Times New Roman" w:cs="Times New Roman"/>
        </w:rPr>
      </w:pPr>
      <w:r>
        <w:rPr>
          <w:rFonts w:ascii="Times New Roman" w:hAnsi="Times New Roman" w:cs="Times New Roman"/>
        </w:rPr>
        <w:t>（2</w:t>
      </w:r>
      <w:r>
        <w:rPr>
          <w:rFonts w:hint="eastAsia" w:ascii="Times New Roman" w:hAnsi="Times New Roman" w:cs="Times New Roman"/>
        </w:rPr>
        <w:t>2</w:t>
      </w:r>
      <w:r>
        <w:rPr>
          <w:rFonts w:ascii="Times New Roman" w:hAnsi="Times New Roman" w:cs="Times New Roman"/>
        </w:rPr>
        <w:t>）《新能源汽车废旧动力蓄电池综合利用行业规范条件》（2019 年本）；</w:t>
      </w:r>
    </w:p>
    <w:p>
      <w:pPr>
        <w:spacing w:line="360" w:lineRule="auto"/>
        <w:ind w:firstLine="480" w:firstLineChars="200"/>
        <w:rPr>
          <w:rFonts w:ascii="Times New Roman" w:hAnsi="Times New Roman" w:cs="Times New Roman"/>
        </w:rPr>
      </w:pPr>
      <w:r>
        <w:rPr>
          <w:rFonts w:ascii="Times New Roman" w:hAnsi="Times New Roman" w:cs="Times New Roman"/>
        </w:rPr>
        <w:t>（2</w:t>
      </w:r>
      <w:r>
        <w:rPr>
          <w:rFonts w:hint="eastAsia" w:ascii="Times New Roman" w:hAnsi="Times New Roman" w:cs="Times New Roman"/>
        </w:rPr>
        <w:t>3</w:t>
      </w:r>
      <w:r>
        <w:rPr>
          <w:rFonts w:ascii="Times New Roman" w:hAnsi="Times New Roman" w:cs="Times New Roman"/>
        </w:rPr>
        <w:t>）《废旧锂离子动力蓄电池单体拆解技术规范》（DB34/T 3590-2020）；</w:t>
      </w:r>
    </w:p>
    <w:p>
      <w:pPr>
        <w:spacing w:line="360" w:lineRule="auto"/>
        <w:ind w:firstLine="480" w:firstLineChars="200"/>
        <w:rPr>
          <w:rFonts w:ascii="Times New Roman" w:hAnsi="Times New Roman" w:cs="Times New Roman"/>
        </w:rPr>
      </w:pPr>
      <w:r>
        <w:rPr>
          <w:rFonts w:ascii="Times New Roman" w:hAnsi="Times New Roman" w:cs="Times New Roman"/>
        </w:rPr>
        <w:t>（2</w:t>
      </w:r>
      <w:r>
        <w:rPr>
          <w:rFonts w:hint="eastAsia" w:ascii="Times New Roman" w:hAnsi="Times New Roman" w:cs="Times New Roman"/>
        </w:rPr>
        <w:t>4</w:t>
      </w:r>
      <w:r>
        <w:rPr>
          <w:rFonts w:ascii="Times New Roman" w:hAnsi="Times New Roman" w:cs="Times New Roman"/>
        </w:rPr>
        <w:t>）《废锂离子动力蓄电池处理污染控制技术规范》（征求意见稿）；</w:t>
      </w:r>
    </w:p>
    <w:p>
      <w:pPr>
        <w:spacing w:line="360" w:lineRule="auto"/>
        <w:ind w:firstLine="480" w:firstLineChars="200"/>
        <w:rPr>
          <w:rFonts w:ascii="Times New Roman" w:hAnsi="Times New Roman" w:cs="Times New Roman"/>
        </w:rPr>
      </w:pPr>
      <w:r>
        <w:rPr>
          <w:rFonts w:ascii="Times New Roman" w:hAnsi="Times New Roman" w:cs="Times New Roman"/>
        </w:rPr>
        <w:t>（2</w:t>
      </w:r>
      <w:r>
        <w:rPr>
          <w:rFonts w:hint="eastAsia" w:ascii="Times New Roman" w:hAnsi="Times New Roman" w:cs="Times New Roman"/>
        </w:rPr>
        <w:t>5</w:t>
      </w:r>
      <w:r>
        <w:rPr>
          <w:rFonts w:ascii="Times New Roman" w:hAnsi="Times New Roman" w:cs="Times New Roman"/>
        </w:rPr>
        <w:t>）《车用锂离子动力电池回收利用放电技术规范》（DB34/T 3077-2018）；</w:t>
      </w:r>
    </w:p>
    <w:p>
      <w:pPr>
        <w:pStyle w:val="4"/>
        <w:rPr>
          <w:rFonts w:ascii="Times New Roman" w:hAnsi="Times New Roman" w:cs="Times New Roman"/>
        </w:rPr>
      </w:pPr>
      <w:bookmarkStart w:id="39" w:name="_Toc144276864"/>
      <w:bookmarkStart w:id="40" w:name="_Toc144236734"/>
      <w:bookmarkStart w:id="41" w:name="_Toc147847984"/>
      <w:r>
        <w:rPr>
          <w:rFonts w:ascii="Times New Roman" w:hAnsi="Times New Roman" w:cs="Times New Roman"/>
        </w:rPr>
        <w:t>2.1.5 其他文件</w:t>
      </w:r>
      <w:bookmarkEnd w:id="39"/>
      <w:bookmarkEnd w:id="40"/>
      <w:bookmarkEnd w:id="41"/>
    </w:p>
    <w:p>
      <w:pPr>
        <w:spacing w:line="360" w:lineRule="auto"/>
        <w:ind w:firstLine="480" w:firstLineChars="200"/>
        <w:rPr>
          <w:rFonts w:ascii="Times New Roman" w:hAnsi="Times New Roman" w:cs="Times New Roman"/>
        </w:rPr>
      </w:pPr>
      <w:r>
        <w:rPr>
          <w:rFonts w:ascii="Times New Roman" w:hAnsi="Times New Roman" w:cs="Times New Roman"/>
        </w:rPr>
        <w:t>（1）项目委托书；</w:t>
      </w:r>
    </w:p>
    <w:p>
      <w:pPr>
        <w:spacing w:line="360" w:lineRule="auto"/>
        <w:ind w:firstLine="480" w:firstLineChars="200"/>
        <w:rPr>
          <w:rFonts w:ascii="Times New Roman" w:hAnsi="Times New Roman" w:cs="Times New Roman"/>
        </w:rPr>
      </w:pPr>
      <w:r>
        <w:rPr>
          <w:rFonts w:ascii="Times New Roman" w:hAnsi="Times New Roman" w:cs="Times New Roman"/>
        </w:rPr>
        <w:t>（2）项目备案文件；</w:t>
      </w:r>
    </w:p>
    <w:p>
      <w:pPr>
        <w:spacing w:line="360" w:lineRule="auto"/>
        <w:ind w:firstLine="480" w:firstLineChars="200"/>
        <w:rPr>
          <w:rFonts w:ascii="Times New Roman" w:hAnsi="Times New Roman" w:cs="Times New Roman"/>
        </w:rPr>
      </w:pPr>
      <w:r>
        <w:rPr>
          <w:rFonts w:ascii="Times New Roman" w:hAnsi="Times New Roman" w:cs="Times New Roman"/>
        </w:rPr>
        <w:t>（3）《湖南中经锂电新材料科技有限公司年处理8万吨废旧锂电池及锂电池废料的综合回收利用项目可行性研究报告》；</w:t>
      </w:r>
    </w:p>
    <w:p>
      <w:pPr>
        <w:spacing w:line="360" w:lineRule="auto"/>
        <w:ind w:firstLine="480" w:firstLineChars="200"/>
        <w:rPr>
          <w:rFonts w:ascii="Times New Roman" w:hAnsi="Times New Roman" w:cs="Times New Roman"/>
        </w:rPr>
      </w:pPr>
      <w:r>
        <w:rPr>
          <w:rFonts w:ascii="Times New Roman" w:hAnsi="Times New Roman" w:cs="Times New Roman"/>
        </w:rPr>
        <w:t>（4）工程建设方提供的其它资料。</w:t>
      </w:r>
    </w:p>
    <w:p>
      <w:pPr>
        <w:pStyle w:val="3"/>
        <w:rPr>
          <w:rFonts w:ascii="Times New Roman" w:hAnsi="Times New Roman" w:cs="Times New Roman" w:eastAsiaTheme="minorEastAsia"/>
        </w:rPr>
      </w:pPr>
      <w:bookmarkStart w:id="42" w:name="_Toc144276865"/>
      <w:bookmarkStart w:id="43" w:name="_Toc144236735"/>
      <w:bookmarkStart w:id="44" w:name="_Toc147847985"/>
      <w:bookmarkStart w:id="45" w:name="_Toc102658192"/>
      <w:r>
        <w:rPr>
          <w:rFonts w:ascii="Times New Roman" w:hAnsi="Times New Roman" w:cs="Times New Roman" w:eastAsiaTheme="minorEastAsia"/>
        </w:rPr>
        <w:t>2.2 评价目的</w:t>
      </w:r>
      <w:bookmarkEnd w:id="42"/>
      <w:bookmarkEnd w:id="43"/>
      <w:bookmarkEnd w:id="44"/>
      <w:bookmarkEnd w:id="45"/>
    </w:p>
    <w:p>
      <w:pPr>
        <w:spacing w:line="360" w:lineRule="auto"/>
        <w:ind w:firstLine="480" w:firstLineChars="200"/>
        <w:rPr>
          <w:rFonts w:ascii="Times New Roman" w:hAnsi="Times New Roman" w:cs="Times New Roman"/>
        </w:rPr>
      </w:pPr>
      <w:r>
        <w:rPr>
          <w:rFonts w:ascii="Times New Roman" w:hAnsi="Times New Roman" w:cs="Times New Roman"/>
        </w:rPr>
        <w:t>（1）从国家产业政策的角度出发，结合当地相关规划要求，确定项目的建设是否符合产业政策及规划要求；</w:t>
      </w:r>
    </w:p>
    <w:p>
      <w:pPr>
        <w:spacing w:line="360" w:lineRule="auto"/>
        <w:ind w:firstLine="480" w:firstLineChars="200"/>
        <w:rPr>
          <w:rFonts w:ascii="Times New Roman" w:hAnsi="Times New Roman" w:cs="Times New Roman"/>
        </w:rPr>
      </w:pPr>
      <w:r>
        <w:rPr>
          <w:rFonts w:ascii="Times New Roman" w:hAnsi="Times New Roman" w:cs="Times New Roman"/>
        </w:rPr>
        <w:t>（2）在对项目厂址周边自然环境状况进行调查分析的基础上，掌握评价区域内主要环境敏感目标；充分利用现有资料，并进行现场踏勘和必要的现状监测，查清评价区域环境现状，并做出现状评价；调查并明确区域内的主要污染源及环境特征；</w:t>
      </w:r>
    </w:p>
    <w:p>
      <w:pPr>
        <w:spacing w:line="360" w:lineRule="auto"/>
        <w:ind w:firstLine="480" w:firstLineChars="200"/>
        <w:rPr>
          <w:rFonts w:ascii="Times New Roman" w:hAnsi="Times New Roman" w:cs="Times New Roman"/>
        </w:rPr>
      </w:pPr>
      <w:r>
        <w:rPr>
          <w:rFonts w:ascii="Times New Roman" w:hAnsi="Times New Roman" w:cs="Times New Roman"/>
        </w:rPr>
        <w:t>（3）全面分析工程建设内容，掌握生产设备及设施主要污染物的产生特征，通过物料衡算、类比分析等方法计算污染物产生量和排放量，根据区域环境特征和工程污染物排放特点，预测对周围环境影响的程度和范围，采用模式计算和定性分析的方式预测、分析项目投产后排放污染物的影响范围以及引起的周围环境质量变化情况，从环境保护角度分析论证建设工程的可行性；</w:t>
      </w:r>
    </w:p>
    <w:p>
      <w:pPr>
        <w:spacing w:line="360" w:lineRule="auto"/>
        <w:ind w:firstLine="480" w:firstLineChars="200"/>
        <w:rPr>
          <w:rFonts w:ascii="Times New Roman" w:hAnsi="Times New Roman" w:cs="Times New Roman"/>
        </w:rPr>
      </w:pPr>
      <w:r>
        <w:rPr>
          <w:rFonts w:ascii="Times New Roman" w:hAnsi="Times New Roman" w:cs="Times New Roman"/>
        </w:rPr>
        <w:t>（4）对项目建设所引起的环境污染和生态破坏，提出切实可行的减缓或补偿措施建议，最大限度降低或减缓项目建设对环境带来的负面影响；</w:t>
      </w:r>
    </w:p>
    <w:p>
      <w:pPr>
        <w:spacing w:line="360" w:lineRule="auto"/>
        <w:ind w:firstLine="480" w:firstLineChars="200"/>
        <w:rPr>
          <w:rFonts w:ascii="Times New Roman" w:hAnsi="Times New Roman" w:cs="Times New Roman"/>
        </w:rPr>
      </w:pPr>
      <w:r>
        <w:rPr>
          <w:rFonts w:ascii="Times New Roman" w:hAnsi="Times New Roman" w:cs="Times New Roman"/>
        </w:rPr>
        <w:t>（5）根据国家对企业在“达标排放、总量控制”等方面的要求，多方面论述建设项目生产工艺、技术装备、环保设施的先进性。通过对工程环保设施的技术经济合理性、达标水平的可靠性分析，进一步提出减缓污染的对策建议，为优化环境工程设计、合理施工和工程投产后的环境管理提供科学依据和措施建议，更好地达到社会经济与环境保护协调发展的目的。</w:t>
      </w:r>
    </w:p>
    <w:p>
      <w:pPr>
        <w:spacing w:line="360" w:lineRule="auto"/>
        <w:ind w:firstLine="480" w:firstLineChars="200"/>
        <w:rPr>
          <w:rFonts w:ascii="Times New Roman" w:hAnsi="Times New Roman" w:cs="Times New Roman"/>
        </w:rPr>
      </w:pPr>
      <w:r>
        <w:rPr>
          <w:rFonts w:ascii="Times New Roman" w:hAnsi="Times New Roman" w:cs="Times New Roman"/>
        </w:rPr>
        <w:t>（6）从环境影响、产业政策、法规和规划相符性、环保工程可行性等方面进行综合评价，对项目是否可行作出明确的结论，为环境保护主管部门的决策提供科学依据。</w:t>
      </w:r>
    </w:p>
    <w:p>
      <w:pPr>
        <w:pStyle w:val="3"/>
        <w:rPr>
          <w:rFonts w:ascii="Times New Roman" w:hAnsi="Times New Roman" w:cs="Times New Roman" w:eastAsiaTheme="minorEastAsia"/>
        </w:rPr>
      </w:pPr>
      <w:bookmarkStart w:id="46" w:name="_Toc144276866"/>
      <w:bookmarkStart w:id="47" w:name="_Toc147847986"/>
      <w:bookmarkStart w:id="48" w:name="_Toc102658193"/>
      <w:bookmarkStart w:id="49" w:name="_Toc144236736"/>
      <w:r>
        <w:rPr>
          <w:rFonts w:ascii="Times New Roman" w:hAnsi="Times New Roman" w:cs="Times New Roman" w:eastAsiaTheme="minorEastAsia"/>
        </w:rPr>
        <w:t>2.3 评价内容和重点</w:t>
      </w:r>
      <w:bookmarkEnd w:id="46"/>
      <w:bookmarkEnd w:id="47"/>
      <w:bookmarkEnd w:id="48"/>
      <w:bookmarkEnd w:id="49"/>
    </w:p>
    <w:p>
      <w:pPr>
        <w:pStyle w:val="4"/>
        <w:rPr>
          <w:rFonts w:ascii="Times New Roman" w:hAnsi="Times New Roman" w:cs="Times New Roman"/>
        </w:rPr>
      </w:pPr>
      <w:bookmarkStart w:id="50" w:name="_Toc144236737"/>
      <w:bookmarkStart w:id="51" w:name="_Toc144276867"/>
      <w:bookmarkStart w:id="52" w:name="_Toc147847987"/>
      <w:r>
        <w:rPr>
          <w:rFonts w:ascii="Times New Roman" w:hAnsi="Times New Roman" w:cs="Times New Roman"/>
        </w:rPr>
        <w:t>2.3.1 评价内容</w:t>
      </w:r>
      <w:bookmarkEnd w:id="50"/>
      <w:bookmarkEnd w:id="51"/>
      <w:bookmarkEnd w:id="52"/>
    </w:p>
    <w:p>
      <w:pPr>
        <w:spacing w:line="360" w:lineRule="auto"/>
        <w:ind w:firstLine="480" w:firstLineChars="200"/>
        <w:rPr>
          <w:rFonts w:ascii="Times New Roman" w:hAnsi="Times New Roman" w:cs="Times New Roman"/>
        </w:rPr>
      </w:pPr>
      <w:r>
        <w:rPr>
          <w:rFonts w:ascii="Times New Roman" w:hAnsi="Times New Roman" w:cs="Times New Roman"/>
        </w:rPr>
        <w:t>本评价的主要内容是：</w:t>
      </w:r>
    </w:p>
    <w:p>
      <w:pPr>
        <w:spacing w:line="360" w:lineRule="auto"/>
        <w:ind w:firstLine="480" w:firstLineChars="200"/>
        <w:rPr>
          <w:rFonts w:ascii="Times New Roman" w:hAnsi="Times New Roman" w:cs="Times New Roman"/>
        </w:rPr>
      </w:pPr>
      <w:r>
        <w:rPr>
          <w:rFonts w:ascii="Times New Roman" w:hAnsi="Times New Roman" w:cs="Times New Roman"/>
        </w:rPr>
        <w:t>（1）本次评价以理论计算和类比的方法进行工程分析，弄清工程污染源项，掌握污染物的产生情况；对工程配套的环保措施的可行性和有效性进行分析论证；</w:t>
      </w:r>
    </w:p>
    <w:p>
      <w:pPr>
        <w:spacing w:line="360" w:lineRule="auto"/>
        <w:ind w:firstLine="480" w:firstLineChars="200"/>
        <w:rPr>
          <w:rFonts w:ascii="Times New Roman" w:hAnsi="Times New Roman" w:cs="Times New Roman"/>
        </w:rPr>
      </w:pPr>
      <w:r>
        <w:rPr>
          <w:rFonts w:ascii="Times New Roman" w:hAnsi="Times New Roman" w:cs="Times New Roman"/>
        </w:rPr>
        <w:t>（2）通过收集资料和现场监测，评价工程影响区域的环境质量状况；</w:t>
      </w:r>
    </w:p>
    <w:p>
      <w:pPr>
        <w:spacing w:line="360" w:lineRule="auto"/>
        <w:ind w:firstLine="480" w:firstLineChars="200"/>
        <w:rPr>
          <w:rFonts w:ascii="Times New Roman" w:hAnsi="Times New Roman" w:cs="Times New Roman"/>
        </w:rPr>
      </w:pPr>
      <w:r>
        <w:rPr>
          <w:rFonts w:ascii="Times New Roman" w:hAnsi="Times New Roman" w:cs="Times New Roman"/>
        </w:rPr>
        <w:t>（3）分析项目技术资料，对本项目进行分析和评价，预测项目污染物排放情况，明确污染源及各污染物排放总量。</w:t>
      </w:r>
    </w:p>
    <w:p>
      <w:pPr>
        <w:spacing w:line="360" w:lineRule="auto"/>
        <w:ind w:firstLine="480" w:firstLineChars="200"/>
        <w:rPr>
          <w:rFonts w:ascii="Times New Roman" w:hAnsi="Times New Roman" w:cs="Times New Roman"/>
        </w:rPr>
      </w:pPr>
      <w:r>
        <w:rPr>
          <w:rFonts w:ascii="Times New Roman" w:hAnsi="Times New Roman" w:cs="Times New Roman"/>
        </w:rPr>
        <w:t>（4）结合项目所在区域的环境特点，预测与分析项目建设期、营运期对地表水、地下水、环境空气、声环境、土壤、生态等方面的影响；</w:t>
      </w:r>
    </w:p>
    <w:p>
      <w:pPr>
        <w:spacing w:line="360" w:lineRule="auto"/>
        <w:ind w:firstLine="480" w:firstLineChars="200"/>
        <w:rPr>
          <w:rFonts w:ascii="Times New Roman" w:hAnsi="Times New Roman" w:cs="Times New Roman"/>
        </w:rPr>
      </w:pPr>
      <w:r>
        <w:rPr>
          <w:rFonts w:ascii="Times New Roman" w:hAnsi="Times New Roman" w:cs="Times New Roman"/>
        </w:rPr>
        <w:t>（5）根据项目影响区域环境质量控制目标、环境管理要求及识别的潜在污染因素，提出减缓不利影响的污染防治措施和投资估算；</w:t>
      </w:r>
    </w:p>
    <w:p>
      <w:pPr>
        <w:spacing w:line="360" w:lineRule="auto"/>
        <w:ind w:firstLine="480" w:firstLineChars="200"/>
        <w:rPr>
          <w:rFonts w:ascii="Times New Roman" w:hAnsi="Times New Roman" w:cs="Times New Roman"/>
        </w:rPr>
      </w:pPr>
      <w:r>
        <w:rPr>
          <w:rFonts w:ascii="Times New Roman" w:hAnsi="Times New Roman" w:cs="Times New Roman"/>
        </w:rPr>
        <w:t>（6）分析项目建设及运行过程中存在的环境风险，提出有关对策措施；</w:t>
      </w:r>
    </w:p>
    <w:p>
      <w:pPr>
        <w:spacing w:line="360" w:lineRule="auto"/>
        <w:ind w:firstLine="480" w:firstLineChars="200"/>
        <w:rPr>
          <w:rFonts w:ascii="Times New Roman" w:hAnsi="Times New Roman" w:cs="Times New Roman"/>
        </w:rPr>
      </w:pPr>
      <w:r>
        <w:rPr>
          <w:rFonts w:ascii="Times New Roman" w:hAnsi="Times New Roman" w:cs="Times New Roman"/>
        </w:rPr>
        <w:t>（7）拟定环境管理、监测计划；</w:t>
      </w:r>
    </w:p>
    <w:p>
      <w:pPr>
        <w:spacing w:line="360" w:lineRule="auto"/>
        <w:ind w:firstLine="480" w:firstLineChars="200"/>
        <w:rPr>
          <w:rFonts w:ascii="Times New Roman" w:hAnsi="Times New Roman" w:cs="Times New Roman"/>
        </w:rPr>
      </w:pPr>
      <w:r>
        <w:rPr>
          <w:rFonts w:ascii="Times New Roman" w:hAnsi="Times New Roman" w:cs="Times New Roman"/>
        </w:rPr>
        <w:t>（8）从环保角度分析项目建设的环境可行性，并作出总体结论。</w:t>
      </w:r>
    </w:p>
    <w:p>
      <w:pPr>
        <w:pStyle w:val="4"/>
        <w:rPr>
          <w:rFonts w:ascii="Times New Roman" w:hAnsi="Times New Roman" w:cs="Times New Roman"/>
        </w:rPr>
      </w:pPr>
      <w:bookmarkStart w:id="53" w:name="_Toc144236738"/>
      <w:bookmarkStart w:id="54" w:name="_Toc147847988"/>
      <w:bookmarkStart w:id="55" w:name="_Toc144276868"/>
      <w:r>
        <w:rPr>
          <w:rFonts w:ascii="Times New Roman" w:hAnsi="Times New Roman" w:cs="Times New Roman"/>
        </w:rPr>
        <w:t>2.3.2 评价重点</w:t>
      </w:r>
      <w:bookmarkEnd w:id="53"/>
      <w:bookmarkEnd w:id="54"/>
      <w:bookmarkEnd w:id="55"/>
    </w:p>
    <w:p>
      <w:pPr>
        <w:spacing w:line="360" w:lineRule="auto"/>
        <w:ind w:firstLine="480" w:firstLineChars="200"/>
        <w:rPr>
          <w:rFonts w:ascii="Times New Roman" w:hAnsi="Times New Roman" w:cs="Times New Roman"/>
        </w:rPr>
      </w:pPr>
      <w:r>
        <w:rPr>
          <w:rFonts w:ascii="Times New Roman" w:hAnsi="Times New Roman" w:cs="Times New Roman"/>
        </w:rPr>
        <w:t>（1）分析本项目建设的合理性和可行性，并提出相关的环保要求和建议；</w:t>
      </w:r>
    </w:p>
    <w:p>
      <w:pPr>
        <w:spacing w:line="360" w:lineRule="auto"/>
        <w:ind w:firstLine="480" w:firstLineChars="200"/>
        <w:rPr>
          <w:rFonts w:ascii="Times New Roman" w:hAnsi="Times New Roman" w:cs="Times New Roman"/>
        </w:rPr>
      </w:pPr>
      <w:r>
        <w:rPr>
          <w:rFonts w:ascii="Times New Roman" w:hAnsi="Times New Roman" w:cs="Times New Roman"/>
        </w:rPr>
        <w:t>（2）计算项目污染物排放量，分析本项目建成后的经济效益和环境效益；</w:t>
      </w:r>
    </w:p>
    <w:p>
      <w:pPr>
        <w:spacing w:line="360" w:lineRule="auto"/>
        <w:ind w:firstLine="480" w:firstLineChars="200"/>
        <w:rPr>
          <w:rFonts w:ascii="Times New Roman" w:hAnsi="Times New Roman" w:cs="Times New Roman"/>
        </w:rPr>
      </w:pPr>
      <w:r>
        <w:rPr>
          <w:rFonts w:ascii="Times New Roman" w:hAnsi="Times New Roman" w:cs="Times New Roman"/>
        </w:rPr>
        <w:t>（3）分析工程建设和运行过程潜在的不利环境影响，突出项目建设对大气、地表水、地下水及生态影响分析，并提出减缓影响、降低环境风险的对策措施；</w:t>
      </w:r>
    </w:p>
    <w:p>
      <w:pPr>
        <w:spacing w:line="360" w:lineRule="auto"/>
        <w:ind w:firstLine="480" w:firstLineChars="200"/>
        <w:rPr>
          <w:rFonts w:ascii="Times New Roman" w:hAnsi="Times New Roman" w:cs="Times New Roman"/>
        </w:rPr>
      </w:pPr>
      <w:r>
        <w:rPr>
          <w:rFonts w:ascii="Times New Roman" w:hAnsi="Times New Roman" w:cs="Times New Roman"/>
        </w:rPr>
        <w:t>（4）分析环保措施的稳定达标排放可行性和可靠性。</w:t>
      </w:r>
    </w:p>
    <w:p>
      <w:pPr>
        <w:pStyle w:val="3"/>
        <w:rPr>
          <w:rFonts w:ascii="Times New Roman" w:hAnsi="Times New Roman" w:cs="Times New Roman" w:eastAsiaTheme="minorEastAsia"/>
        </w:rPr>
      </w:pPr>
      <w:bookmarkStart w:id="56" w:name="_Toc102658194"/>
      <w:bookmarkStart w:id="57" w:name="_Toc144236739"/>
      <w:bookmarkStart w:id="58" w:name="_Toc144276869"/>
      <w:bookmarkStart w:id="59" w:name="_Toc147847989"/>
      <w:r>
        <w:rPr>
          <w:rFonts w:ascii="Times New Roman" w:hAnsi="Times New Roman" w:cs="Times New Roman" w:eastAsiaTheme="minorEastAsia"/>
        </w:rPr>
        <w:t>2.4 环境影响识别和评价因子筛选</w:t>
      </w:r>
      <w:bookmarkEnd w:id="56"/>
      <w:bookmarkEnd w:id="57"/>
      <w:bookmarkEnd w:id="58"/>
      <w:bookmarkEnd w:id="59"/>
    </w:p>
    <w:p>
      <w:pPr>
        <w:pStyle w:val="4"/>
        <w:rPr>
          <w:rFonts w:ascii="Times New Roman" w:hAnsi="Times New Roman" w:cs="Times New Roman"/>
        </w:rPr>
      </w:pPr>
      <w:bookmarkStart w:id="60" w:name="_Toc144276870"/>
      <w:bookmarkStart w:id="61" w:name="_Toc147847990"/>
      <w:bookmarkStart w:id="62" w:name="_Toc144236740"/>
      <w:r>
        <w:rPr>
          <w:rFonts w:ascii="Times New Roman" w:hAnsi="Times New Roman" w:cs="Times New Roman"/>
        </w:rPr>
        <w:t>2.4.1 环境影响识别</w:t>
      </w:r>
      <w:bookmarkEnd w:id="60"/>
      <w:bookmarkEnd w:id="61"/>
      <w:bookmarkEnd w:id="62"/>
    </w:p>
    <w:p>
      <w:pPr>
        <w:spacing w:line="360" w:lineRule="auto"/>
        <w:ind w:firstLine="480" w:firstLineChars="200"/>
        <w:rPr>
          <w:rFonts w:ascii="Times New Roman" w:hAnsi="Times New Roman" w:cs="Times New Roman"/>
        </w:rPr>
      </w:pPr>
      <w:r>
        <w:rPr>
          <w:rFonts w:ascii="Times New Roman" w:hAnsi="Times New Roman" w:cs="Times New Roman"/>
        </w:rPr>
        <w:t>本项目对环境的主要影响为施工期和运营期。施工期对环境的影响主要为场地平整、厂房建设产生的扬尘及地貌改变、施工设备的噪声及施工过程中产生的固体废弃物。项目建成后，对环境影响较大的施工期噪声已消失。运行期对环境的影响表现在废气、噪声、生活污水、固体废物对环境的影响。工程各阶段的环境影响因素识别见下表。</w:t>
      </w:r>
    </w:p>
    <w:p>
      <w:pPr>
        <w:pStyle w:val="6"/>
        <w:rPr>
          <w:rFonts w:ascii="Times New Roman" w:hAnsi="Times New Roman" w:cs="Times New Roman"/>
        </w:rPr>
      </w:pPr>
      <w:r>
        <w:rPr>
          <w:rFonts w:ascii="Times New Roman" w:hAnsi="Times New Roman" w:cs="Times New Roman"/>
        </w:rPr>
        <w:t>表2.4-1  环境影响因素识别表</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11"/>
        <w:gridCol w:w="1094"/>
        <w:gridCol w:w="560"/>
        <w:gridCol w:w="785"/>
        <w:gridCol w:w="562"/>
        <w:gridCol w:w="677"/>
        <w:gridCol w:w="677"/>
        <w:gridCol w:w="677"/>
        <w:gridCol w:w="622"/>
        <w:gridCol w:w="764"/>
        <w:gridCol w:w="590"/>
        <w:gridCol w:w="71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23" w:type="pct"/>
            <w:gridSpan w:val="2"/>
            <w:vMerge w:val="restart"/>
            <w:shd w:val="clear" w:color="auto" w:fill="auto"/>
            <w:vAlign w:val="center"/>
          </w:tcPr>
          <w:p>
            <w:pPr>
              <w:pStyle w:val="63"/>
            </w:pPr>
            <w:r>
              <w:t>阶段</w:t>
            </w:r>
          </w:p>
          <w:p>
            <w:pPr>
              <w:pStyle w:val="63"/>
            </w:pPr>
            <w:r>
              <w:t>环境资源</w:t>
            </w:r>
          </w:p>
        </w:tc>
        <w:tc>
          <w:tcPr>
            <w:tcW w:w="1144" w:type="pct"/>
            <w:gridSpan w:val="3"/>
            <w:shd w:val="clear" w:color="auto" w:fill="auto"/>
            <w:vAlign w:val="center"/>
          </w:tcPr>
          <w:p>
            <w:pPr>
              <w:pStyle w:val="63"/>
            </w:pPr>
            <w:r>
              <w:t>施工期</w:t>
            </w:r>
          </w:p>
        </w:tc>
        <w:tc>
          <w:tcPr>
            <w:tcW w:w="2833" w:type="pct"/>
            <w:gridSpan w:val="7"/>
            <w:shd w:val="clear" w:color="auto" w:fill="auto"/>
            <w:vAlign w:val="center"/>
          </w:tcPr>
          <w:p>
            <w:pPr>
              <w:pStyle w:val="63"/>
            </w:pPr>
            <w:r>
              <w:t>营运期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23" w:type="pct"/>
            <w:gridSpan w:val="2"/>
            <w:vMerge w:val="continue"/>
            <w:shd w:val="clear" w:color="auto" w:fill="auto"/>
            <w:vAlign w:val="center"/>
          </w:tcPr>
          <w:p>
            <w:pPr>
              <w:pStyle w:val="63"/>
            </w:pPr>
          </w:p>
        </w:tc>
        <w:tc>
          <w:tcPr>
            <w:tcW w:w="336" w:type="pct"/>
            <w:shd w:val="clear" w:color="auto" w:fill="auto"/>
            <w:vAlign w:val="center"/>
          </w:tcPr>
          <w:p>
            <w:pPr>
              <w:pStyle w:val="63"/>
            </w:pPr>
            <w:r>
              <w:t>占地</w:t>
            </w:r>
          </w:p>
        </w:tc>
        <w:tc>
          <w:tcPr>
            <w:tcW w:w="471" w:type="pct"/>
            <w:shd w:val="clear" w:color="auto" w:fill="auto"/>
            <w:vAlign w:val="center"/>
          </w:tcPr>
          <w:p>
            <w:pPr>
              <w:pStyle w:val="63"/>
            </w:pPr>
            <w:r>
              <w:t>基础工程</w:t>
            </w:r>
          </w:p>
        </w:tc>
        <w:tc>
          <w:tcPr>
            <w:tcW w:w="337" w:type="pct"/>
            <w:shd w:val="clear" w:color="auto" w:fill="auto"/>
            <w:vAlign w:val="center"/>
          </w:tcPr>
          <w:p>
            <w:pPr>
              <w:pStyle w:val="63"/>
            </w:pPr>
            <w:r>
              <w:t>运输</w:t>
            </w:r>
          </w:p>
        </w:tc>
        <w:tc>
          <w:tcPr>
            <w:tcW w:w="406" w:type="pct"/>
            <w:shd w:val="clear" w:color="auto" w:fill="auto"/>
            <w:vAlign w:val="center"/>
          </w:tcPr>
          <w:p>
            <w:pPr>
              <w:pStyle w:val="63"/>
            </w:pPr>
            <w:r>
              <w:t>原料运输</w:t>
            </w:r>
          </w:p>
        </w:tc>
        <w:tc>
          <w:tcPr>
            <w:tcW w:w="406" w:type="pct"/>
            <w:shd w:val="clear" w:color="auto" w:fill="auto"/>
            <w:vAlign w:val="center"/>
          </w:tcPr>
          <w:p>
            <w:pPr>
              <w:pStyle w:val="63"/>
            </w:pPr>
            <w:r>
              <w:t>产品生产</w:t>
            </w:r>
          </w:p>
        </w:tc>
        <w:tc>
          <w:tcPr>
            <w:tcW w:w="406" w:type="pct"/>
            <w:shd w:val="clear" w:color="auto" w:fill="auto"/>
            <w:vAlign w:val="center"/>
          </w:tcPr>
          <w:p>
            <w:pPr>
              <w:pStyle w:val="63"/>
            </w:pPr>
            <w:r>
              <w:t>废水排放</w:t>
            </w:r>
          </w:p>
        </w:tc>
        <w:tc>
          <w:tcPr>
            <w:tcW w:w="373" w:type="pct"/>
            <w:shd w:val="clear" w:color="auto" w:fill="auto"/>
            <w:vAlign w:val="center"/>
          </w:tcPr>
          <w:p>
            <w:pPr>
              <w:pStyle w:val="63"/>
            </w:pPr>
            <w:r>
              <w:t>废气排放</w:t>
            </w:r>
          </w:p>
        </w:tc>
        <w:tc>
          <w:tcPr>
            <w:tcW w:w="458" w:type="pct"/>
            <w:shd w:val="clear" w:color="auto" w:fill="auto"/>
            <w:vAlign w:val="center"/>
          </w:tcPr>
          <w:p>
            <w:pPr>
              <w:pStyle w:val="63"/>
            </w:pPr>
            <w:r>
              <w:t>废渣堆存</w:t>
            </w:r>
          </w:p>
        </w:tc>
        <w:tc>
          <w:tcPr>
            <w:tcW w:w="354" w:type="pct"/>
            <w:shd w:val="clear" w:color="auto" w:fill="auto"/>
            <w:vAlign w:val="center"/>
          </w:tcPr>
          <w:p>
            <w:pPr>
              <w:pStyle w:val="63"/>
            </w:pPr>
            <w:r>
              <w:t>事故风险</w:t>
            </w:r>
          </w:p>
        </w:tc>
        <w:tc>
          <w:tcPr>
            <w:tcW w:w="431" w:type="pct"/>
            <w:shd w:val="clear" w:color="auto" w:fill="auto"/>
            <w:vAlign w:val="center"/>
          </w:tcPr>
          <w:p>
            <w:pPr>
              <w:pStyle w:val="63"/>
            </w:pPr>
            <w:r>
              <w:t>产品运输</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restart"/>
            <w:shd w:val="clear" w:color="auto" w:fill="auto"/>
            <w:vAlign w:val="center"/>
          </w:tcPr>
          <w:p>
            <w:pPr>
              <w:pStyle w:val="63"/>
            </w:pPr>
            <w:r>
              <w:t>社会发展</w:t>
            </w:r>
          </w:p>
        </w:tc>
        <w:tc>
          <w:tcPr>
            <w:tcW w:w="656" w:type="pct"/>
            <w:shd w:val="clear" w:color="auto" w:fill="auto"/>
            <w:vAlign w:val="center"/>
          </w:tcPr>
          <w:p>
            <w:pPr>
              <w:pStyle w:val="63"/>
            </w:pPr>
            <w:r>
              <w:t>劳动就业</w:t>
            </w:r>
          </w:p>
        </w:tc>
        <w:tc>
          <w:tcPr>
            <w:tcW w:w="336" w:type="pct"/>
            <w:shd w:val="clear" w:color="auto" w:fill="auto"/>
            <w:vAlign w:val="center"/>
          </w:tcPr>
          <w:p>
            <w:pPr>
              <w:pStyle w:val="63"/>
            </w:pPr>
          </w:p>
        </w:tc>
        <w:tc>
          <w:tcPr>
            <w:tcW w:w="471" w:type="pct"/>
            <w:shd w:val="clear" w:color="auto" w:fill="auto"/>
            <w:vAlign w:val="center"/>
          </w:tcPr>
          <w:p>
            <w:pPr>
              <w:pStyle w:val="63"/>
            </w:pPr>
            <w:r>
              <w:rPr>
                <w:rFonts w:ascii="Cambria Math" w:hAnsi="Cambria Math" w:cs="Cambria Math"/>
              </w:rPr>
              <w:t>△</w:t>
            </w:r>
          </w:p>
        </w:tc>
        <w:tc>
          <w:tcPr>
            <w:tcW w:w="337" w:type="pct"/>
            <w:shd w:val="clear" w:color="auto" w:fill="auto"/>
            <w:vAlign w:val="center"/>
          </w:tcPr>
          <w:p>
            <w:pPr>
              <w:pStyle w:val="63"/>
            </w:pPr>
            <w:r>
              <w:rPr>
                <w:rFonts w:ascii="Cambria Math" w:hAnsi="Cambria Math" w:cs="Cambria Math"/>
              </w:rPr>
              <w:t>△</w:t>
            </w:r>
          </w:p>
        </w:tc>
        <w:tc>
          <w:tcPr>
            <w:tcW w:w="406" w:type="pct"/>
            <w:shd w:val="clear" w:color="auto" w:fill="auto"/>
            <w:vAlign w:val="center"/>
          </w:tcPr>
          <w:p>
            <w:pPr>
              <w:pStyle w:val="63"/>
            </w:pPr>
            <w:r>
              <w:rPr>
                <w:rFonts w:hint="eastAsia" w:ascii="宋体" w:hAnsi="宋体" w:eastAsia="宋体" w:cs="宋体"/>
              </w:rPr>
              <w:t>☆</w:t>
            </w:r>
          </w:p>
        </w:tc>
        <w:tc>
          <w:tcPr>
            <w:tcW w:w="406" w:type="pct"/>
            <w:shd w:val="clear" w:color="auto" w:fill="auto"/>
            <w:vAlign w:val="center"/>
          </w:tcPr>
          <w:p>
            <w:pPr>
              <w:pStyle w:val="63"/>
            </w:pPr>
            <w:r>
              <w:rPr>
                <w:rFonts w:hint="eastAsia" w:ascii="宋体" w:hAnsi="宋体" w:eastAsia="宋体" w:cs="宋体"/>
              </w:rPr>
              <w:t>☆</w:t>
            </w:r>
          </w:p>
        </w:tc>
        <w:tc>
          <w:tcPr>
            <w:tcW w:w="406" w:type="pct"/>
            <w:shd w:val="clear" w:color="auto" w:fill="auto"/>
            <w:vAlign w:val="center"/>
          </w:tcPr>
          <w:p>
            <w:pPr>
              <w:pStyle w:val="63"/>
            </w:pPr>
          </w:p>
        </w:tc>
        <w:tc>
          <w:tcPr>
            <w:tcW w:w="373" w:type="pct"/>
            <w:shd w:val="clear" w:color="auto" w:fill="auto"/>
            <w:vAlign w:val="center"/>
          </w:tcPr>
          <w:p>
            <w:pPr>
              <w:pStyle w:val="63"/>
            </w:pPr>
          </w:p>
        </w:tc>
        <w:tc>
          <w:tcPr>
            <w:tcW w:w="458" w:type="pct"/>
            <w:shd w:val="clear" w:color="auto" w:fill="auto"/>
            <w:vAlign w:val="center"/>
          </w:tcPr>
          <w:p>
            <w:pPr>
              <w:pStyle w:val="63"/>
            </w:pPr>
          </w:p>
        </w:tc>
        <w:tc>
          <w:tcPr>
            <w:tcW w:w="354" w:type="pct"/>
            <w:shd w:val="clear" w:color="auto" w:fill="auto"/>
            <w:vAlign w:val="center"/>
          </w:tcPr>
          <w:p>
            <w:pPr>
              <w:pStyle w:val="63"/>
            </w:pPr>
          </w:p>
        </w:tc>
        <w:tc>
          <w:tcPr>
            <w:tcW w:w="431" w:type="pct"/>
            <w:shd w:val="clear" w:color="auto" w:fill="auto"/>
            <w:vAlign w:val="center"/>
          </w:tcPr>
          <w:p>
            <w:pPr>
              <w:pStyle w:val="63"/>
            </w:pPr>
            <w:r>
              <w:rPr>
                <w:rFonts w:hint="eastAsia" w:ascii="宋体" w:hAnsi="宋体" w:eastAsia="宋体" w:cs="宋体"/>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continue"/>
            <w:shd w:val="clear" w:color="auto" w:fill="auto"/>
            <w:vAlign w:val="center"/>
          </w:tcPr>
          <w:p>
            <w:pPr>
              <w:pStyle w:val="63"/>
            </w:pPr>
          </w:p>
        </w:tc>
        <w:tc>
          <w:tcPr>
            <w:tcW w:w="656" w:type="pct"/>
            <w:shd w:val="clear" w:color="auto" w:fill="auto"/>
            <w:vAlign w:val="center"/>
          </w:tcPr>
          <w:p>
            <w:pPr>
              <w:pStyle w:val="63"/>
            </w:pPr>
            <w:r>
              <w:t>社会安定</w:t>
            </w:r>
          </w:p>
        </w:tc>
        <w:tc>
          <w:tcPr>
            <w:tcW w:w="336" w:type="pct"/>
            <w:shd w:val="clear" w:color="auto" w:fill="auto"/>
            <w:vAlign w:val="center"/>
          </w:tcPr>
          <w:p>
            <w:pPr>
              <w:pStyle w:val="63"/>
            </w:pPr>
          </w:p>
        </w:tc>
        <w:tc>
          <w:tcPr>
            <w:tcW w:w="471" w:type="pct"/>
            <w:shd w:val="clear" w:color="auto" w:fill="auto"/>
            <w:vAlign w:val="center"/>
          </w:tcPr>
          <w:p>
            <w:pPr>
              <w:pStyle w:val="63"/>
            </w:pPr>
          </w:p>
        </w:tc>
        <w:tc>
          <w:tcPr>
            <w:tcW w:w="337" w:type="pct"/>
            <w:shd w:val="clear" w:color="auto" w:fill="auto"/>
            <w:vAlign w:val="center"/>
          </w:tcPr>
          <w:p>
            <w:pPr>
              <w:pStyle w:val="63"/>
            </w:pPr>
          </w:p>
        </w:tc>
        <w:tc>
          <w:tcPr>
            <w:tcW w:w="406" w:type="pct"/>
            <w:shd w:val="clear" w:color="auto" w:fill="auto"/>
            <w:vAlign w:val="center"/>
          </w:tcPr>
          <w:p>
            <w:pPr>
              <w:pStyle w:val="63"/>
            </w:pPr>
          </w:p>
        </w:tc>
        <w:tc>
          <w:tcPr>
            <w:tcW w:w="406" w:type="pct"/>
            <w:shd w:val="clear" w:color="auto" w:fill="auto"/>
            <w:vAlign w:val="center"/>
          </w:tcPr>
          <w:p>
            <w:pPr>
              <w:pStyle w:val="63"/>
            </w:pPr>
            <w:r>
              <w:rPr>
                <w:rFonts w:hint="eastAsia" w:ascii="宋体" w:hAnsi="宋体" w:eastAsia="宋体" w:cs="宋体"/>
              </w:rPr>
              <w:t>☆</w:t>
            </w:r>
          </w:p>
        </w:tc>
        <w:tc>
          <w:tcPr>
            <w:tcW w:w="406" w:type="pct"/>
            <w:shd w:val="clear" w:color="auto" w:fill="auto"/>
            <w:vAlign w:val="center"/>
          </w:tcPr>
          <w:p>
            <w:pPr>
              <w:pStyle w:val="63"/>
            </w:pPr>
          </w:p>
        </w:tc>
        <w:tc>
          <w:tcPr>
            <w:tcW w:w="373" w:type="pct"/>
            <w:shd w:val="clear" w:color="auto" w:fill="auto"/>
            <w:vAlign w:val="center"/>
          </w:tcPr>
          <w:p>
            <w:pPr>
              <w:pStyle w:val="63"/>
            </w:pPr>
          </w:p>
        </w:tc>
        <w:tc>
          <w:tcPr>
            <w:tcW w:w="458" w:type="pct"/>
            <w:shd w:val="clear" w:color="auto" w:fill="auto"/>
            <w:vAlign w:val="center"/>
          </w:tcPr>
          <w:p>
            <w:pPr>
              <w:pStyle w:val="63"/>
            </w:pPr>
          </w:p>
        </w:tc>
        <w:tc>
          <w:tcPr>
            <w:tcW w:w="354" w:type="pct"/>
            <w:shd w:val="clear" w:color="auto" w:fill="auto"/>
            <w:vAlign w:val="center"/>
          </w:tcPr>
          <w:p>
            <w:pPr>
              <w:pStyle w:val="63"/>
            </w:pPr>
            <w:r>
              <w:t>▲</w:t>
            </w:r>
          </w:p>
        </w:tc>
        <w:tc>
          <w:tcPr>
            <w:tcW w:w="431" w:type="pct"/>
            <w:shd w:val="clear" w:color="auto" w:fill="auto"/>
            <w:vAlign w:val="center"/>
          </w:tcPr>
          <w:p>
            <w:pPr>
              <w:pStyle w:val="63"/>
            </w:pPr>
            <w:r>
              <w:rPr>
                <w:rFonts w:hint="eastAsia" w:ascii="宋体" w:hAnsi="宋体" w:eastAsia="宋体" w:cs="宋体"/>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continue"/>
            <w:shd w:val="clear" w:color="auto" w:fill="auto"/>
            <w:vAlign w:val="center"/>
          </w:tcPr>
          <w:p>
            <w:pPr>
              <w:pStyle w:val="63"/>
            </w:pPr>
          </w:p>
        </w:tc>
        <w:tc>
          <w:tcPr>
            <w:tcW w:w="656" w:type="pct"/>
            <w:shd w:val="clear" w:color="auto" w:fill="auto"/>
            <w:vAlign w:val="center"/>
          </w:tcPr>
          <w:p>
            <w:pPr>
              <w:pStyle w:val="63"/>
            </w:pPr>
            <w:r>
              <w:t>土地作用</w:t>
            </w:r>
          </w:p>
        </w:tc>
        <w:tc>
          <w:tcPr>
            <w:tcW w:w="336" w:type="pct"/>
            <w:shd w:val="clear" w:color="auto" w:fill="auto"/>
            <w:vAlign w:val="center"/>
          </w:tcPr>
          <w:p>
            <w:pPr>
              <w:pStyle w:val="63"/>
            </w:pPr>
          </w:p>
        </w:tc>
        <w:tc>
          <w:tcPr>
            <w:tcW w:w="471" w:type="pct"/>
            <w:shd w:val="clear" w:color="auto" w:fill="auto"/>
            <w:vAlign w:val="center"/>
          </w:tcPr>
          <w:p>
            <w:pPr>
              <w:pStyle w:val="63"/>
            </w:pPr>
          </w:p>
        </w:tc>
        <w:tc>
          <w:tcPr>
            <w:tcW w:w="337" w:type="pct"/>
            <w:shd w:val="clear" w:color="auto" w:fill="auto"/>
            <w:vAlign w:val="center"/>
          </w:tcPr>
          <w:p>
            <w:pPr>
              <w:pStyle w:val="63"/>
            </w:pPr>
          </w:p>
        </w:tc>
        <w:tc>
          <w:tcPr>
            <w:tcW w:w="406" w:type="pct"/>
            <w:shd w:val="clear" w:color="auto" w:fill="auto"/>
            <w:vAlign w:val="center"/>
          </w:tcPr>
          <w:p>
            <w:pPr>
              <w:pStyle w:val="63"/>
            </w:pPr>
          </w:p>
        </w:tc>
        <w:tc>
          <w:tcPr>
            <w:tcW w:w="406" w:type="pct"/>
            <w:shd w:val="clear" w:color="auto" w:fill="auto"/>
            <w:vAlign w:val="center"/>
          </w:tcPr>
          <w:p>
            <w:pPr>
              <w:pStyle w:val="63"/>
            </w:pPr>
          </w:p>
        </w:tc>
        <w:tc>
          <w:tcPr>
            <w:tcW w:w="406" w:type="pct"/>
            <w:shd w:val="clear" w:color="auto" w:fill="auto"/>
            <w:vAlign w:val="center"/>
          </w:tcPr>
          <w:p>
            <w:pPr>
              <w:pStyle w:val="63"/>
            </w:pPr>
          </w:p>
        </w:tc>
        <w:tc>
          <w:tcPr>
            <w:tcW w:w="373" w:type="pct"/>
            <w:shd w:val="clear" w:color="auto" w:fill="auto"/>
            <w:vAlign w:val="center"/>
          </w:tcPr>
          <w:p>
            <w:pPr>
              <w:pStyle w:val="63"/>
            </w:pPr>
          </w:p>
        </w:tc>
        <w:tc>
          <w:tcPr>
            <w:tcW w:w="458" w:type="pct"/>
            <w:shd w:val="clear" w:color="auto" w:fill="auto"/>
            <w:vAlign w:val="center"/>
          </w:tcPr>
          <w:p>
            <w:pPr>
              <w:pStyle w:val="63"/>
            </w:pPr>
            <w:r>
              <w:rPr>
                <w:rFonts w:hint="eastAsia" w:ascii="宋体" w:hAnsi="宋体" w:eastAsia="宋体" w:cs="宋体"/>
              </w:rPr>
              <w:t>★</w:t>
            </w:r>
          </w:p>
        </w:tc>
        <w:tc>
          <w:tcPr>
            <w:tcW w:w="354" w:type="pct"/>
            <w:shd w:val="clear" w:color="auto" w:fill="auto"/>
            <w:vAlign w:val="center"/>
          </w:tcPr>
          <w:p>
            <w:pPr>
              <w:pStyle w:val="63"/>
            </w:pPr>
            <w:r>
              <w:rPr>
                <w:rFonts w:hint="eastAsia" w:ascii="宋体" w:hAnsi="宋体" w:eastAsia="宋体" w:cs="宋体"/>
              </w:rPr>
              <w:t>★</w:t>
            </w:r>
          </w:p>
        </w:tc>
        <w:tc>
          <w:tcPr>
            <w:tcW w:w="431" w:type="pct"/>
            <w:shd w:val="clear" w:color="auto" w:fill="auto"/>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restart"/>
            <w:shd w:val="clear" w:color="auto" w:fill="auto"/>
            <w:vAlign w:val="center"/>
          </w:tcPr>
          <w:p>
            <w:pPr>
              <w:pStyle w:val="63"/>
            </w:pPr>
            <w:r>
              <w:t>自然资源</w:t>
            </w:r>
          </w:p>
        </w:tc>
        <w:tc>
          <w:tcPr>
            <w:tcW w:w="656" w:type="pct"/>
            <w:shd w:val="clear" w:color="auto" w:fill="auto"/>
            <w:vAlign w:val="center"/>
          </w:tcPr>
          <w:p>
            <w:pPr>
              <w:pStyle w:val="63"/>
            </w:pPr>
            <w:r>
              <w:t>植被生态</w:t>
            </w:r>
          </w:p>
        </w:tc>
        <w:tc>
          <w:tcPr>
            <w:tcW w:w="336" w:type="pct"/>
            <w:shd w:val="clear" w:color="auto" w:fill="auto"/>
            <w:vAlign w:val="center"/>
          </w:tcPr>
          <w:p>
            <w:pPr>
              <w:pStyle w:val="63"/>
            </w:pPr>
            <w:r>
              <w:rPr>
                <w:rFonts w:hint="eastAsia" w:ascii="宋体" w:hAnsi="宋体" w:eastAsia="宋体" w:cs="宋体"/>
              </w:rPr>
              <w:t>★</w:t>
            </w:r>
          </w:p>
        </w:tc>
        <w:tc>
          <w:tcPr>
            <w:tcW w:w="471" w:type="pct"/>
            <w:shd w:val="clear" w:color="auto" w:fill="auto"/>
            <w:vAlign w:val="center"/>
          </w:tcPr>
          <w:p>
            <w:pPr>
              <w:pStyle w:val="63"/>
            </w:pPr>
            <w:r>
              <w:t>▲</w:t>
            </w:r>
          </w:p>
        </w:tc>
        <w:tc>
          <w:tcPr>
            <w:tcW w:w="337" w:type="pct"/>
            <w:shd w:val="clear" w:color="auto" w:fill="auto"/>
            <w:vAlign w:val="center"/>
          </w:tcPr>
          <w:p>
            <w:pPr>
              <w:pStyle w:val="63"/>
            </w:pPr>
          </w:p>
        </w:tc>
        <w:tc>
          <w:tcPr>
            <w:tcW w:w="406" w:type="pct"/>
            <w:shd w:val="clear" w:color="auto" w:fill="auto"/>
            <w:vAlign w:val="center"/>
          </w:tcPr>
          <w:p>
            <w:pPr>
              <w:pStyle w:val="63"/>
            </w:pPr>
          </w:p>
        </w:tc>
        <w:tc>
          <w:tcPr>
            <w:tcW w:w="406" w:type="pct"/>
            <w:shd w:val="clear" w:color="auto" w:fill="auto"/>
            <w:vAlign w:val="center"/>
          </w:tcPr>
          <w:p>
            <w:pPr>
              <w:pStyle w:val="63"/>
            </w:pPr>
            <w:r>
              <w:rPr>
                <w:rFonts w:hint="eastAsia" w:ascii="宋体" w:hAnsi="宋体" w:eastAsia="宋体" w:cs="宋体"/>
              </w:rPr>
              <w:t>★</w:t>
            </w:r>
          </w:p>
        </w:tc>
        <w:tc>
          <w:tcPr>
            <w:tcW w:w="406" w:type="pct"/>
            <w:shd w:val="clear" w:color="auto" w:fill="auto"/>
            <w:vAlign w:val="center"/>
          </w:tcPr>
          <w:p>
            <w:pPr>
              <w:pStyle w:val="63"/>
            </w:pPr>
            <w:r>
              <w:rPr>
                <w:rFonts w:hint="eastAsia" w:ascii="宋体" w:hAnsi="宋体" w:eastAsia="宋体" w:cs="宋体"/>
              </w:rPr>
              <w:t>★</w:t>
            </w:r>
          </w:p>
        </w:tc>
        <w:tc>
          <w:tcPr>
            <w:tcW w:w="373" w:type="pct"/>
            <w:shd w:val="clear" w:color="auto" w:fill="auto"/>
            <w:vAlign w:val="center"/>
          </w:tcPr>
          <w:p>
            <w:pPr>
              <w:pStyle w:val="63"/>
            </w:pPr>
          </w:p>
        </w:tc>
        <w:tc>
          <w:tcPr>
            <w:tcW w:w="458" w:type="pct"/>
            <w:shd w:val="clear" w:color="auto" w:fill="auto"/>
            <w:vAlign w:val="center"/>
          </w:tcPr>
          <w:p>
            <w:pPr>
              <w:pStyle w:val="63"/>
            </w:pPr>
            <w:r>
              <w:rPr>
                <w:rFonts w:hint="eastAsia" w:ascii="宋体" w:hAnsi="宋体" w:eastAsia="宋体" w:cs="宋体"/>
              </w:rPr>
              <w:t>★</w:t>
            </w:r>
          </w:p>
        </w:tc>
        <w:tc>
          <w:tcPr>
            <w:tcW w:w="354" w:type="pct"/>
            <w:shd w:val="clear" w:color="auto" w:fill="auto"/>
            <w:vAlign w:val="center"/>
          </w:tcPr>
          <w:p>
            <w:pPr>
              <w:pStyle w:val="63"/>
            </w:pPr>
            <w:r>
              <w:rPr>
                <w:rFonts w:hint="eastAsia" w:ascii="宋体" w:hAnsi="宋体" w:eastAsia="宋体" w:cs="宋体"/>
              </w:rPr>
              <w:t>★</w:t>
            </w:r>
          </w:p>
        </w:tc>
        <w:tc>
          <w:tcPr>
            <w:tcW w:w="431" w:type="pct"/>
            <w:shd w:val="clear" w:color="auto" w:fill="auto"/>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continue"/>
            <w:shd w:val="clear" w:color="auto" w:fill="auto"/>
            <w:vAlign w:val="center"/>
          </w:tcPr>
          <w:p>
            <w:pPr>
              <w:pStyle w:val="63"/>
            </w:pPr>
          </w:p>
        </w:tc>
        <w:tc>
          <w:tcPr>
            <w:tcW w:w="656" w:type="pct"/>
            <w:shd w:val="clear" w:color="auto" w:fill="auto"/>
            <w:vAlign w:val="center"/>
          </w:tcPr>
          <w:p>
            <w:pPr>
              <w:pStyle w:val="63"/>
            </w:pPr>
            <w:r>
              <w:t>自然景观</w:t>
            </w:r>
          </w:p>
        </w:tc>
        <w:tc>
          <w:tcPr>
            <w:tcW w:w="336" w:type="pct"/>
            <w:shd w:val="clear" w:color="auto" w:fill="auto"/>
            <w:vAlign w:val="center"/>
          </w:tcPr>
          <w:p>
            <w:pPr>
              <w:pStyle w:val="63"/>
            </w:pPr>
            <w:r>
              <w:rPr>
                <w:rFonts w:hint="eastAsia" w:ascii="宋体" w:hAnsi="宋体" w:eastAsia="宋体" w:cs="宋体"/>
              </w:rPr>
              <w:t>★</w:t>
            </w:r>
          </w:p>
        </w:tc>
        <w:tc>
          <w:tcPr>
            <w:tcW w:w="471" w:type="pct"/>
            <w:shd w:val="clear" w:color="auto" w:fill="auto"/>
            <w:vAlign w:val="center"/>
          </w:tcPr>
          <w:p>
            <w:pPr>
              <w:pStyle w:val="63"/>
            </w:pPr>
          </w:p>
        </w:tc>
        <w:tc>
          <w:tcPr>
            <w:tcW w:w="337" w:type="pct"/>
            <w:shd w:val="clear" w:color="auto" w:fill="auto"/>
            <w:vAlign w:val="center"/>
          </w:tcPr>
          <w:p>
            <w:pPr>
              <w:pStyle w:val="63"/>
            </w:pPr>
          </w:p>
        </w:tc>
        <w:tc>
          <w:tcPr>
            <w:tcW w:w="406" w:type="pct"/>
            <w:shd w:val="clear" w:color="auto" w:fill="auto"/>
            <w:vAlign w:val="center"/>
          </w:tcPr>
          <w:p>
            <w:pPr>
              <w:pStyle w:val="63"/>
            </w:pPr>
          </w:p>
        </w:tc>
        <w:tc>
          <w:tcPr>
            <w:tcW w:w="406" w:type="pct"/>
            <w:shd w:val="clear" w:color="auto" w:fill="auto"/>
            <w:vAlign w:val="center"/>
          </w:tcPr>
          <w:p>
            <w:pPr>
              <w:pStyle w:val="63"/>
            </w:pPr>
            <w:r>
              <w:rPr>
                <w:rFonts w:hint="eastAsia" w:ascii="宋体" w:hAnsi="宋体" w:eastAsia="宋体" w:cs="宋体"/>
              </w:rPr>
              <w:t>★</w:t>
            </w:r>
          </w:p>
        </w:tc>
        <w:tc>
          <w:tcPr>
            <w:tcW w:w="406" w:type="pct"/>
            <w:shd w:val="clear" w:color="auto" w:fill="auto"/>
            <w:vAlign w:val="center"/>
          </w:tcPr>
          <w:p>
            <w:pPr>
              <w:pStyle w:val="63"/>
            </w:pPr>
          </w:p>
        </w:tc>
        <w:tc>
          <w:tcPr>
            <w:tcW w:w="373" w:type="pct"/>
            <w:shd w:val="clear" w:color="auto" w:fill="auto"/>
            <w:vAlign w:val="center"/>
          </w:tcPr>
          <w:p>
            <w:pPr>
              <w:pStyle w:val="63"/>
            </w:pPr>
          </w:p>
        </w:tc>
        <w:tc>
          <w:tcPr>
            <w:tcW w:w="458" w:type="pct"/>
            <w:shd w:val="clear" w:color="auto" w:fill="auto"/>
            <w:vAlign w:val="center"/>
          </w:tcPr>
          <w:p>
            <w:pPr>
              <w:pStyle w:val="63"/>
            </w:pPr>
            <w:r>
              <w:rPr>
                <w:rFonts w:hint="eastAsia" w:ascii="宋体" w:hAnsi="宋体" w:eastAsia="宋体" w:cs="宋体"/>
              </w:rPr>
              <w:t>★</w:t>
            </w:r>
          </w:p>
        </w:tc>
        <w:tc>
          <w:tcPr>
            <w:tcW w:w="354" w:type="pct"/>
            <w:shd w:val="clear" w:color="auto" w:fill="auto"/>
            <w:vAlign w:val="center"/>
          </w:tcPr>
          <w:p>
            <w:pPr>
              <w:pStyle w:val="63"/>
            </w:pPr>
            <w:r>
              <w:rPr>
                <w:rFonts w:hint="eastAsia" w:ascii="宋体" w:hAnsi="宋体" w:eastAsia="宋体" w:cs="宋体"/>
              </w:rPr>
              <w:t>★</w:t>
            </w:r>
          </w:p>
        </w:tc>
        <w:tc>
          <w:tcPr>
            <w:tcW w:w="431" w:type="pct"/>
            <w:shd w:val="clear" w:color="auto" w:fill="auto"/>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continue"/>
            <w:shd w:val="clear" w:color="auto" w:fill="auto"/>
            <w:vAlign w:val="center"/>
          </w:tcPr>
          <w:p>
            <w:pPr>
              <w:pStyle w:val="63"/>
            </w:pPr>
          </w:p>
        </w:tc>
        <w:tc>
          <w:tcPr>
            <w:tcW w:w="656" w:type="pct"/>
            <w:shd w:val="clear" w:color="auto" w:fill="auto"/>
            <w:vAlign w:val="center"/>
          </w:tcPr>
          <w:p>
            <w:pPr>
              <w:pStyle w:val="63"/>
            </w:pPr>
            <w:r>
              <w:t>地表水体</w:t>
            </w:r>
          </w:p>
        </w:tc>
        <w:tc>
          <w:tcPr>
            <w:tcW w:w="336" w:type="pct"/>
            <w:shd w:val="clear" w:color="auto" w:fill="auto"/>
            <w:vAlign w:val="center"/>
          </w:tcPr>
          <w:p>
            <w:pPr>
              <w:pStyle w:val="63"/>
            </w:pPr>
          </w:p>
        </w:tc>
        <w:tc>
          <w:tcPr>
            <w:tcW w:w="471" w:type="pct"/>
            <w:shd w:val="clear" w:color="auto" w:fill="auto"/>
            <w:vAlign w:val="center"/>
          </w:tcPr>
          <w:p>
            <w:pPr>
              <w:pStyle w:val="63"/>
            </w:pPr>
          </w:p>
        </w:tc>
        <w:tc>
          <w:tcPr>
            <w:tcW w:w="337" w:type="pct"/>
            <w:shd w:val="clear" w:color="auto" w:fill="auto"/>
            <w:vAlign w:val="center"/>
          </w:tcPr>
          <w:p>
            <w:pPr>
              <w:pStyle w:val="63"/>
            </w:pPr>
          </w:p>
        </w:tc>
        <w:tc>
          <w:tcPr>
            <w:tcW w:w="406" w:type="pct"/>
            <w:shd w:val="clear" w:color="auto" w:fill="auto"/>
            <w:vAlign w:val="center"/>
          </w:tcPr>
          <w:p>
            <w:pPr>
              <w:pStyle w:val="63"/>
            </w:pPr>
          </w:p>
        </w:tc>
        <w:tc>
          <w:tcPr>
            <w:tcW w:w="406" w:type="pct"/>
            <w:shd w:val="clear" w:color="auto" w:fill="auto"/>
            <w:vAlign w:val="center"/>
          </w:tcPr>
          <w:p>
            <w:pPr>
              <w:pStyle w:val="63"/>
            </w:pPr>
          </w:p>
        </w:tc>
        <w:tc>
          <w:tcPr>
            <w:tcW w:w="406" w:type="pct"/>
            <w:shd w:val="clear" w:color="auto" w:fill="auto"/>
            <w:vAlign w:val="center"/>
          </w:tcPr>
          <w:p>
            <w:pPr>
              <w:pStyle w:val="63"/>
            </w:pPr>
            <w:r>
              <w:rPr>
                <w:rFonts w:hint="eastAsia" w:ascii="宋体" w:hAnsi="宋体" w:eastAsia="宋体" w:cs="宋体"/>
              </w:rPr>
              <w:t>★</w:t>
            </w:r>
          </w:p>
        </w:tc>
        <w:tc>
          <w:tcPr>
            <w:tcW w:w="373" w:type="pct"/>
            <w:shd w:val="clear" w:color="auto" w:fill="auto"/>
            <w:vAlign w:val="center"/>
          </w:tcPr>
          <w:p>
            <w:pPr>
              <w:pStyle w:val="63"/>
            </w:pPr>
          </w:p>
        </w:tc>
        <w:tc>
          <w:tcPr>
            <w:tcW w:w="458" w:type="pct"/>
            <w:shd w:val="clear" w:color="auto" w:fill="auto"/>
            <w:vAlign w:val="center"/>
          </w:tcPr>
          <w:p>
            <w:pPr>
              <w:pStyle w:val="63"/>
            </w:pPr>
            <w:r>
              <w:rPr>
                <w:rFonts w:hint="eastAsia" w:ascii="宋体" w:hAnsi="宋体" w:eastAsia="宋体" w:cs="宋体"/>
              </w:rPr>
              <w:t>★</w:t>
            </w:r>
          </w:p>
        </w:tc>
        <w:tc>
          <w:tcPr>
            <w:tcW w:w="354" w:type="pct"/>
            <w:shd w:val="clear" w:color="auto" w:fill="auto"/>
            <w:vAlign w:val="center"/>
          </w:tcPr>
          <w:p>
            <w:pPr>
              <w:pStyle w:val="63"/>
            </w:pPr>
          </w:p>
        </w:tc>
        <w:tc>
          <w:tcPr>
            <w:tcW w:w="431" w:type="pct"/>
            <w:shd w:val="clear" w:color="auto" w:fill="auto"/>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restart"/>
            <w:shd w:val="clear" w:color="auto" w:fill="auto"/>
            <w:vAlign w:val="center"/>
          </w:tcPr>
          <w:p>
            <w:pPr>
              <w:pStyle w:val="63"/>
            </w:pPr>
            <w:r>
              <w:t>居民生活质量</w:t>
            </w:r>
          </w:p>
        </w:tc>
        <w:tc>
          <w:tcPr>
            <w:tcW w:w="656" w:type="pct"/>
            <w:shd w:val="clear" w:color="auto" w:fill="auto"/>
            <w:vAlign w:val="center"/>
          </w:tcPr>
          <w:p>
            <w:pPr>
              <w:pStyle w:val="63"/>
            </w:pPr>
            <w:r>
              <w:t>空气质量</w:t>
            </w:r>
          </w:p>
        </w:tc>
        <w:tc>
          <w:tcPr>
            <w:tcW w:w="336" w:type="pct"/>
            <w:shd w:val="clear" w:color="auto" w:fill="auto"/>
            <w:vAlign w:val="center"/>
          </w:tcPr>
          <w:p>
            <w:pPr>
              <w:pStyle w:val="63"/>
            </w:pPr>
          </w:p>
        </w:tc>
        <w:tc>
          <w:tcPr>
            <w:tcW w:w="471" w:type="pct"/>
            <w:shd w:val="clear" w:color="auto" w:fill="auto"/>
            <w:vAlign w:val="center"/>
          </w:tcPr>
          <w:p>
            <w:pPr>
              <w:pStyle w:val="63"/>
            </w:pPr>
            <w:r>
              <w:t>▲</w:t>
            </w:r>
          </w:p>
        </w:tc>
        <w:tc>
          <w:tcPr>
            <w:tcW w:w="337" w:type="pct"/>
            <w:shd w:val="clear" w:color="auto" w:fill="auto"/>
            <w:vAlign w:val="center"/>
          </w:tcPr>
          <w:p>
            <w:pPr>
              <w:pStyle w:val="63"/>
            </w:pPr>
            <w:r>
              <w:t>▲</w:t>
            </w:r>
          </w:p>
        </w:tc>
        <w:tc>
          <w:tcPr>
            <w:tcW w:w="406" w:type="pct"/>
            <w:shd w:val="clear" w:color="auto" w:fill="auto"/>
            <w:vAlign w:val="center"/>
          </w:tcPr>
          <w:p>
            <w:pPr>
              <w:pStyle w:val="63"/>
            </w:pPr>
          </w:p>
        </w:tc>
        <w:tc>
          <w:tcPr>
            <w:tcW w:w="406" w:type="pct"/>
            <w:shd w:val="clear" w:color="auto" w:fill="auto"/>
            <w:vAlign w:val="center"/>
          </w:tcPr>
          <w:p>
            <w:pPr>
              <w:pStyle w:val="63"/>
            </w:pPr>
          </w:p>
        </w:tc>
        <w:tc>
          <w:tcPr>
            <w:tcW w:w="406" w:type="pct"/>
            <w:shd w:val="clear" w:color="auto" w:fill="auto"/>
            <w:vAlign w:val="center"/>
          </w:tcPr>
          <w:p>
            <w:pPr>
              <w:pStyle w:val="63"/>
            </w:pPr>
          </w:p>
        </w:tc>
        <w:tc>
          <w:tcPr>
            <w:tcW w:w="373" w:type="pct"/>
            <w:shd w:val="clear" w:color="auto" w:fill="auto"/>
            <w:vAlign w:val="center"/>
          </w:tcPr>
          <w:p>
            <w:pPr>
              <w:pStyle w:val="63"/>
            </w:pPr>
            <w:r>
              <w:rPr>
                <w:rFonts w:hint="eastAsia" w:ascii="宋体" w:hAnsi="宋体" w:eastAsia="宋体" w:cs="宋体"/>
              </w:rPr>
              <w:t>★</w:t>
            </w:r>
          </w:p>
        </w:tc>
        <w:tc>
          <w:tcPr>
            <w:tcW w:w="458" w:type="pct"/>
            <w:shd w:val="clear" w:color="auto" w:fill="auto"/>
            <w:vAlign w:val="center"/>
          </w:tcPr>
          <w:p>
            <w:pPr>
              <w:pStyle w:val="63"/>
            </w:pPr>
          </w:p>
        </w:tc>
        <w:tc>
          <w:tcPr>
            <w:tcW w:w="354" w:type="pct"/>
            <w:shd w:val="clear" w:color="auto" w:fill="auto"/>
            <w:vAlign w:val="center"/>
          </w:tcPr>
          <w:p>
            <w:pPr>
              <w:pStyle w:val="63"/>
            </w:pPr>
          </w:p>
        </w:tc>
        <w:tc>
          <w:tcPr>
            <w:tcW w:w="431" w:type="pct"/>
            <w:shd w:val="clear" w:color="auto" w:fill="auto"/>
            <w:vAlign w:val="center"/>
          </w:tcPr>
          <w:p>
            <w:pPr>
              <w:pStyle w:val="63"/>
            </w:pPr>
            <w: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continue"/>
            <w:shd w:val="clear" w:color="auto" w:fill="auto"/>
            <w:vAlign w:val="center"/>
          </w:tcPr>
          <w:p>
            <w:pPr>
              <w:pStyle w:val="63"/>
            </w:pPr>
          </w:p>
        </w:tc>
        <w:tc>
          <w:tcPr>
            <w:tcW w:w="656" w:type="pct"/>
            <w:shd w:val="clear" w:color="auto" w:fill="auto"/>
            <w:vAlign w:val="center"/>
          </w:tcPr>
          <w:p>
            <w:pPr>
              <w:pStyle w:val="63"/>
            </w:pPr>
            <w:r>
              <w:t>地表水</w:t>
            </w:r>
          </w:p>
        </w:tc>
        <w:tc>
          <w:tcPr>
            <w:tcW w:w="336" w:type="pct"/>
            <w:shd w:val="clear" w:color="auto" w:fill="auto"/>
            <w:vAlign w:val="center"/>
          </w:tcPr>
          <w:p>
            <w:pPr>
              <w:pStyle w:val="63"/>
            </w:pPr>
          </w:p>
        </w:tc>
        <w:tc>
          <w:tcPr>
            <w:tcW w:w="471" w:type="pct"/>
            <w:shd w:val="clear" w:color="auto" w:fill="auto"/>
            <w:vAlign w:val="center"/>
          </w:tcPr>
          <w:p>
            <w:pPr>
              <w:pStyle w:val="63"/>
            </w:pPr>
            <w:r>
              <w:t>▲</w:t>
            </w:r>
          </w:p>
        </w:tc>
        <w:tc>
          <w:tcPr>
            <w:tcW w:w="337" w:type="pct"/>
            <w:shd w:val="clear" w:color="auto" w:fill="auto"/>
            <w:vAlign w:val="center"/>
          </w:tcPr>
          <w:p>
            <w:pPr>
              <w:pStyle w:val="63"/>
            </w:pPr>
            <w:r>
              <w:t>▲</w:t>
            </w:r>
          </w:p>
        </w:tc>
        <w:tc>
          <w:tcPr>
            <w:tcW w:w="406" w:type="pct"/>
            <w:shd w:val="clear" w:color="auto" w:fill="auto"/>
            <w:vAlign w:val="center"/>
          </w:tcPr>
          <w:p>
            <w:pPr>
              <w:pStyle w:val="63"/>
            </w:pPr>
          </w:p>
        </w:tc>
        <w:tc>
          <w:tcPr>
            <w:tcW w:w="406" w:type="pct"/>
            <w:shd w:val="clear" w:color="auto" w:fill="auto"/>
            <w:vAlign w:val="center"/>
          </w:tcPr>
          <w:p>
            <w:pPr>
              <w:pStyle w:val="63"/>
            </w:pPr>
          </w:p>
        </w:tc>
        <w:tc>
          <w:tcPr>
            <w:tcW w:w="406" w:type="pct"/>
            <w:shd w:val="clear" w:color="auto" w:fill="auto"/>
            <w:vAlign w:val="center"/>
          </w:tcPr>
          <w:p>
            <w:pPr>
              <w:pStyle w:val="63"/>
            </w:pPr>
            <w:r>
              <w:rPr>
                <w:rFonts w:hint="eastAsia" w:ascii="宋体" w:hAnsi="宋体" w:eastAsia="宋体" w:cs="宋体"/>
              </w:rPr>
              <w:t>★</w:t>
            </w:r>
          </w:p>
        </w:tc>
        <w:tc>
          <w:tcPr>
            <w:tcW w:w="373" w:type="pct"/>
            <w:shd w:val="clear" w:color="auto" w:fill="auto"/>
            <w:vAlign w:val="center"/>
          </w:tcPr>
          <w:p>
            <w:pPr>
              <w:pStyle w:val="63"/>
            </w:pPr>
          </w:p>
        </w:tc>
        <w:tc>
          <w:tcPr>
            <w:tcW w:w="458" w:type="pct"/>
            <w:shd w:val="clear" w:color="auto" w:fill="auto"/>
            <w:vAlign w:val="center"/>
          </w:tcPr>
          <w:p>
            <w:pPr>
              <w:pStyle w:val="63"/>
            </w:pPr>
          </w:p>
        </w:tc>
        <w:tc>
          <w:tcPr>
            <w:tcW w:w="354" w:type="pct"/>
            <w:shd w:val="clear" w:color="auto" w:fill="auto"/>
            <w:vAlign w:val="center"/>
          </w:tcPr>
          <w:p>
            <w:pPr>
              <w:pStyle w:val="63"/>
            </w:pPr>
            <w:r>
              <w:t>▲</w:t>
            </w:r>
          </w:p>
        </w:tc>
        <w:tc>
          <w:tcPr>
            <w:tcW w:w="431" w:type="pct"/>
            <w:shd w:val="clear" w:color="auto" w:fill="auto"/>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continue"/>
            <w:shd w:val="clear" w:color="auto" w:fill="auto"/>
            <w:vAlign w:val="center"/>
          </w:tcPr>
          <w:p>
            <w:pPr>
              <w:pStyle w:val="63"/>
            </w:pPr>
          </w:p>
        </w:tc>
        <w:tc>
          <w:tcPr>
            <w:tcW w:w="656" w:type="pct"/>
            <w:shd w:val="clear" w:color="auto" w:fill="auto"/>
            <w:vAlign w:val="center"/>
          </w:tcPr>
          <w:p>
            <w:pPr>
              <w:pStyle w:val="63"/>
            </w:pPr>
            <w:r>
              <w:t>地下水</w:t>
            </w:r>
          </w:p>
        </w:tc>
        <w:tc>
          <w:tcPr>
            <w:tcW w:w="336" w:type="pct"/>
            <w:shd w:val="clear" w:color="auto" w:fill="auto"/>
            <w:vAlign w:val="center"/>
          </w:tcPr>
          <w:p>
            <w:pPr>
              <w:pStyle w:val="63"/>
            </w:pPr>
          </w:p>
        </w:tc>
        <w:tc>
          <w:tcPr>
            <w:tcW w:w="471" w:type="pct"/>
            <w:shd w:val="clear" w:color="auto" w:fill="auto"/>
            <w:vAlign w:val="center"/>
          </w:tcPr>
          <w:p>
            <w:pPr>
              <w:pStyle w:val="63"/>
            </w:pPr>
          </w:p>
        </w:tc>
        <w:tc>
          <w:tcPr>
            <w:tcW w:w="337" w:type="pct"/>
            <w:shd w:val="clear" w:color="auto" w:fill="auto"/>
            <w:vAlign w:val="center"/>
          </w:tcPr>
          <w:p>
            <w:pPr>
              <w:pStyle w:val="63"/>
            </w:pPr>
          </w:p>
        </w:tc>
        <w:tc>
          <w:tcPr>
            <w:tcW w:w="406" w:type="pct"/>
            <w:shd w:val="clear" w:color="auto" w:fill="auto"/>
            <w:vAlign w:val="center"/>
          </w:tcPr>
          <w:p>
            <w:pPr>
              <w:pStyle w:val="63"/>
            </w:pPr>
          </w:p>
        </w:tc>
        <w:tc>
          <w:tcPr>
            <w:tcW w:w="406" w:type="pct"/>
            <w:shd w:val="clear" w:color="auto" w:fill="auto"/>
            <w:vAlign w:val="center"/>
          </w:tcPr>
          <w:p>
            <w:pPr>
              <w:pStyle w:val="63"/>
            </w:pPr>
          </w:p>
        </w:tc>
        <w:tc>
          <w:tcPr>
            <w:tcW w:w="406" w:type="pct"/>
            <w:shd w:val="clear" w:color="auto" w:fill="auto"/>
            <w:vAlign w:val="center"/>
          </w:tcPr>
          <w:p>
            <w:pPr>
              <w:pStyle w:val="63"/>
            </w:pPr>
          </w:p>
        </w:tc>
        <w:tc>
          <w:tcPr>
            <w:tcW w:w="373" w:type="pct"/>
            <w:shd w:val="clear" w:color="auto" w:fill="auto"/>
            <w:vAlign w:val="center"/>
          </w:tcPr>
          <w:p>
            <w:pPr>
              <w:pStyle w:val="63"/>
            </w:pPr>
          </w:p>
        </w:tc>
        <w:tc>
          <w:tcPr>
            <w:tcW w:w="458" w:type="pct"/>
            <w:shd w:val="clear" w:color="auto" w:fill="auto"/>
            <w:vAlign w:val="center"/>
          </w:tcPr>
          <w:p>
            <w:pPr>
              <w:pStyle w:val="63"/>
            </w:pPr>
            <w:r>
              <w:rPr>
                <w:rFonts w:hint="eastAsia" w:ascii="宋体" w:hAnsi="宋体" w:eastAsia="宋体" w:cs="宋体"/>
              </w:rPr>
              <w:t>★</w:t>
            </w:r>
          </w:p>
        </w:tc>
        <w:tc>
          <w:tcPr>
            <w:tcW w:w="354" w:type="pct"/>
            <w:shd w:val="clear" w:color="auto" w:fill="auto"/>
            <w:vAlign w:val="center"/>
          </w:tcPr>
          <w:p>
            <w:pPr>
              <w:pStyle w:val="63"/>
            </w:pPr>
            <w:r>
              <w:rPr>
                <w:rFonts w:hint="eastAsia" w:ascii="宋体" w:hAnsi="宋体" w:eastAsia="宋体" w:cs="宋体"/>
              </w:rPr>
              <w:t>★</w:t>
            </w:r>
          </w:p>
        </w:tc>
        <w:tc>
          <w:tcPr>
            <w:tcW w:w="431" w:type="pct"/>
            <w:shd w:val="clear" w:color="auto" w:fill="auto"/>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continue"/>
            <w:shd w:val="clear" w:color="auto" w:fill="auto"/>
            <w:vAlign w:val="center"/>
          </w:tcPr>
          <w:p>
            <w:pPr>
              <w:pStyle w:val="63"/>
            </w:pPr>
          </w:p>
        </w:tc>
        <w:tc>
          <w:tcPr>
            <w:tcW w:w="656" w:type="pct"/>
            <w:shd w:val="clear" w:color="auto" w:fill="auto"/>
            <w:vAlign w:val="center"/>
          </w:tcPr>
          <w:p>
            <w:pPr>
              <w:pStyle w:val="63"/>
            </w:pPr>
            <w:r>
              <w:t>声学环境</w:t>
            </w:r>
          </w:p>
        </w:tc>
        <w:tc>
          <w:tcPr>
            <w:tcW w:w="336" w:type="pct"/>
            <w:shd w:val="clear" w:color="auto" w:fill="auto"/>
            <w:vAlign w:val="center"/>
          </w:tcPr>
          <w:p>
            <w:pPr>
              <w:pStyle w:val="63"/>
            </w:pPr>
          </w:p>
        </w:tc>
        <w:tc>
          <w:tcPr>
            <w:tcW w:w="471" w:type="pct"/>
            <w:shd w:val="clear" w:color="auto" w:fill="auto"/>
            <w:vAlign w:val="center"/>
          </w:tcPr>
          <w:p>
            <w:pPr>
              <w:pStyle w:val="63"/>
            </w:pPr>
            <w:r>
              <w:t>▲</w:t>
            </w:r>
          </w:p>
        </w:tc>
        <w:tc>
          <w:tcPr>
            <w:tcW w:w="337" w:type="pct"/>
            <w:shd w:val="clear" w:color="auto" w:fill="auto"/>
            <w:vAlign w:val="center"/>
          </w:tcPr>
          <w:p>
            <w:pPr>
              <w:pStyle w:val="63"/>
            </w:pPr>
            <w:r>
              <w:t>▲</w:t>
            </w:r>
          </w:p>
        </w:tc>
        <w:tc>
          <w:tcPr>
            <w:tcW w:w="406" w:type="pct"/>
            <w:shd w:val="clear" w:color="auto" w:fill="auto"/>
            <w:vAlign w:val="center"/>
          </w:tcPr>
          <w:p>
            <w:pPr>
              <w:pStyle w:val="63"/>
            </w:pPr>
            <w:r>
              <w:t>▲</w:t>
            </w:r>
          </w:p>
        </w:tc>
        <w:tc>
          <w:tcPr>
            <w:tcW w:w="406" w:type="pct"/>
            <w:shd w:val="clear" w:color="auto" w:fill="auto"/>
            <w:vAlign w:val="center"/>
          </w:tcPr>
          <w:p>
            <w:pPr>
              <w:pStyle w:val="63"/>
            </w:pPr>
          </w:p>
        </w:tc>
        <w:tc>
          <w:tcPr>
            <w:tcW w:w="406" w:type="pct"/>
            <w:shd w:val="clear" w:color="auto" w:fill="auto"/>
            <w:vAlign w:val="center"/>
          </w:tcPr>
          <w:p>
            <w:pPr>
              <w:pStyle w:val="63"/>
            </w:pPr>
          </w:p>
        </w:tc>
        <w:tc>
          <w:tcPr>
            <w:tcW w:w="373" w:type="pct"/>
            <w:shd w:val="clear" w:color="auto" w:fill="auto"/>
            <w:vAlign w:val="center"/>
          </w:tcPr>
          <w:p>
            <w:pPr>
              <w:pStyle w:val="63"/>
            </w:pPr>
          </w:p>
        </w:tc>
        <w:tc>
          <w:tcPr>
            <w:tcW w:w="458" w:type="pct"/>
            <w:shd w:val="clear" w:color="auto" w:fill="auto"/>
            <w:vAlign w:val="center"/>
          </w:tcPr>
          <w:p>
            <w:pPr>
              <w:pStyle w:val="63"/>
            </w:pPr>
          </w:p>
        </w:tc>
        <w:tc>
          <w:tcPr>
            <w:tcW w:w="354" w:type="pct"/>
            <w:shd w:val="clear" w:color="auto" w:fill="auto"/>
            <w:vAlign w:val="center"/>
          </w:tcPr>
          <w:p>
            <w:pPr>
              <w:pStyle w:val="63"/>
            </w:pPr>
          </w:p>
        </w:tc>
        <w:tc>
          <w:tcPr>
            <w:tcW w:w="431" w:type="pct"/>
            <w:shd w:val="clear" w:color="auto" w:fill="auto"/>
            <w:vAlign w:val="center"/>
          </w:tcPr>
          <w:p>
            <w:pPr>
              <w:pStyle w:val="63"/>
            </w:pPr>
            <w:r>
              <w:rPr>
                <w:rFonts w:hint="eastAsia" w:ascii="宋体" w:hAnsi="宋体" w:eastAsia="宋体" w:cs="宋体"/>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continue"/>
            <w:shd w:val="clear" w:color="auto" w:fill="auto"/>
            <w:vAlign w:val="center"/>
          </w:tcPr>
          <w:p>
            <w:pPr>
              <w:pStyle w:val="63"/>
            </w:pPr>
          </w:p>
        </w:tc>
        <w:tc>
          <w:tcPr>
            <w:tcW w:w="656" w:type="pct"/>
            <w:shd w:val="clear" w:color="auto" w:fill="auto"/>
            <w:vAlign w:val="center"/>
          </w:tcPr>
          <w:p>
            <w:pPr>
              <w:pStyle w:val="63"/>
            </w:pPr>
            <w:r>
              <w:t>土壤环境</w:t>
            </w:r>
          </w:p>
        </w:tc>
        <w:tc>
          <w:tcPr>
            <w:tcW w:w="336" w:type="pct"/>
            <w:shd w:val="clear" w:color="auto" w:fill="auto"/>
            <w:vAlign w:val="center"/>
          </w:tcPr>
          <w:p>
            <w:pPr>
              <w:pStyle w:val="63"/>
            </w:pPr>
          </w:p>
        </w:tc>
        <w:tc>
          <w:tcPr>
            <w:tcW w:w="471" w:type="pct"/>
            <w:shd w:val="clear" w:color="auto" w:fill="auto"/>
            <w:vAlign w:val="center"/>
          </w:tcPr>
          <w:p>
            <w:pPr>
              <w:pStyle w:val="63"/>
            </w:pPr>
          </w:p>
        </w:tc>
        <w:tc>
          <w:tcPr>
            <w:tcW w:w="337" w:type="pct"/>
            <w:shd w:val="clear" w:color="auto" w:fill="auto"/>
            <w:vAlign w:val="center"/>
          </w:tcPr>
          <w:p>
            <w:pPr>
              <w:pStyle w:val="63"/>
            </w:pPr>
          </w:p>
        </w:tc>
        <w:tc>
          <w:tcPr>
            <w:tcW w:w="406" w:type="pct"/>
            <w:shd w:val="clear" w:color="auto" w:fill="auto"/>
            <w:vAlign w:val="center"/>
          </w:tcPr>
          <w:p>
            <w:pPr>
              <w:pStyle w:val="63"/>
            </w:pPr>
          </w:p>
        </w:tc>
        <w:tc>
          <w:tcPr>
            <w:tcW w:w="406" w:type="pct"/>
            <w:shd w:val="clear" w:color="auto" w:fill="auto"/>
            <w:vAlign w:val="center"/>
          </w:tcPr>
          <w:p>
            <w:pPr>
              <w:pStyle w:val="63"/>
            </w:pPr>
          </w:p>
        </w:tc>
        <w:tc>
          <w:tcPr>
            <w:tcW w:w="406" w:type="pct"/>
            <w:shd w:val="clear" w:color="auto" w:fill="auto"/>
            <w:vAlign w:val="center"/>
          </w:tcPr>
          <w:p>
            <w:pPr>
              <w:pStyle w:val="63"/>
            </w:pPr>
          </w:p>
        </w:tc>
        <w:tc>
          <w:tcPr>
            <w:tcW w:w="373" w:type="pct"/>
            <w:shd w:val="clear" w:color="auto" w:fill="auto"/>
            <w:vAlign w:val="center"/>
          </w:tcPr>
          <w:p>
            <w:pPr>
              <w:pStyle w:val="63"/>
            </w:pPr>
            <w:r>
              <w:rPr>
                <w:rFonts w:hint="eastAsia" w:ascii="宋体" w:hAnsi="宋体" w:eastAsia="宋体" w:cs="宋体"/>
              </w:rPr>
              <w:t>★</w:t>
            </w:r>
          </w:p>
        </w:tc>
        <w:tc>
          <w:tcPr>
            <w:tcW w:w="458" w:type="pct"/>
            <w:shd w:val="clear" w:color="auto" w:fill="auto"/>
            <w:vAlign w:val="center"/>
          </w:tcPr>
          <w:p>
            <w:pPr>
              <w:pStyle w:val="63"/>
            </w:pPr>
            <w:r>
              <w:rPr>
                <w:rFonts w:hint="eastAsia" w:ascii="宋体" w:hAnsi="宋体" w:eastAsia="宋体" w:cs="宋体"/>
              </w:rPr>
              <w:t>★</w:t>
            </w:r>
          </w:p>
        </w:tc>
        <w:tc>
          <w:tcPr>
            <w:tcW w:w="354" w:type="pct"/>
            <w:shd w:val="clear" w:color="auto" w:fill="auto"/>
            <w:vAlign w:val="center"/>
          </w:tcPr>
          <w:p>
            <w:pPr>
              <w:pStyle w:val="63"/>
            </w:pPr>
            <w:r>
              <w:t>▲</w:t>
            </w:r>
          </w:p>
        </w:tc>
        <w:tc>
          <w:tcPr>
            <w:tcW w:w="431" w:type="pct"/>
            <w:shd w:val="clear" w:color="auto" w:fill="auto"/>
            <w:vAlign w:val="center"/>
          </w:tcPr>
          <w:p>
            <w:pPr>
              <w:pStyle w:val="63"/>
            </w:pPr>
            <w: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67" w:type="pct"/>
            <w:vMerge w:val="continue"/>
            <w:shd w:val="clear" w:color="auto" w:fill="auto"/>
            <w:vAlign w:val="center"/>
          </w:tcPr>
          <w:p>
            <w:pPr>
              <w:pStyle w:val="63"/>
            </w:pPr>
          </w:p>
        </w:tc>
        <w:tc>
          <w:tcPr>
            <w:tcW w:w="656" w:type="pct"/>
            <w:shd w:val="clear" w:color="auto" w:fill="auto"/>
            <w:vAlign w:val="center"/>
          </w:tcPr>
          <w:p>
            <w:pPr>
              <w:pStyle w:val="63"/>
            </w:pPr>
            <w:r>
              <w:t>经济收入</w:t>
            </w:r>
          </w:p>
        </w:tc>
        <w:tc>
          <w:tcPr>
            <w:tcW w:w="336" w:type="pct"/>
            <w:shd w:val="clear" w:color="auto" w:fill="auto"/>
            <w:vAlign w:val="center"/>
          </w:tcPr>
          <w:p>
            <w:pPr>
              <w:pStyle w:val="63"/>
            </w:pPr>
          </w:p>
        </w:tc>
        <w:tc>
          <w:tcPr>
            <w:tcW w:w="471" w:type="pct"/>
            <w:shd w:val="clear" w:color="auto" w:fill="auto"/>
            <w:vAlign w:val="center"/>
          </w:tcPr>
          <w:p>
            <w:pPr>
              <w:pStyle w:val="63"/>
            </w:pPr>
          </w:p>
        </w:tc>
        <w:tc>
          <w:tcPr>
            <w:tcW w:w="337" w:type="pct"/>
            <w:shd w:val="clear" w:color="auto" w:fill="auto"/>
            <w:vAlign w:val="center"/>
          </w:tcPr>
          <w:p>
            <w:pPr>
              <w:pStyle w:val="63"/>
            </w:pPr>
            <w:r>
              <w:rPr>
                <w:rFonts w:hint="eastAsia" w:ascii="宋体" w:hAnsi="宋体" w:eastAsia="宋体" w:cs="宋体"/>
              </w:rPr>
              <w:t>☆</w:t>
            </w:r>
          </w:p>
        </w:tc>
        <w:tc>
          <w:tcPr>
            <w:tcW w:w="406" w:type="pct"/>
            <w:shd w:val="clear" w:color="auto" w:fill="auto"/>
            <w:vAlign w:val="center"/>
          </w:tcPr>
          <w:p>
            <w:pPr>
              <w:pStyle w:val="63"/>
            </w:pPr>
          </w:p>
        </w:tc>
        <w:tc>
          <w:tcPr>
            <w:tcW w:w="406" w:type="pct"/>
            <w:shd w:val="clear" w:color="auto" w:fill="auto"/>
            <w:vAlign w:val="center"/>
          </w:tcPr>
          <w:p>
            <w:pPr>
              <w:pStyle w:val="63"/>
            </w:pPr>
            <w:r>
              <w:rPr>
                <w:rFonts w:hint="eastAsia" w:ascii="宋体" w:hAnsi="宋体" w:eastAsia="宋体" w:cs="宋体"/>
              </w:rPr>
              <w:t>☆</w:t>
            </w:r>
          </w:p>
        </w:tc>
        <w:tc>
          <w:tcPr>
            <w:tcW w:w="406" w:type="pct"/>
            <w:shd w:val="clear" w:color="auto" w:fill="auto"/>
            <w:vAlign w:val="center"/>
          </w:tcPr>
          <w:p>
            <w:pPr>
              <w:pStyle w:val="63"/>
            </w:pPr>
          </w:p>
        </w:tc>
        <w:tc>
          <w:tcPr>
            <w:tcW w:w="373" w:type="pct"/>
            <w:shd w:val="clear" w:color="auto" w:fill="auto"/>
            <w:vAlign w:val="center"/>
          </w:tcPr>
          <w:p>
            <w:pPr>
              <w:pStyle w:val="63"/>
            </w:pPr>
          </w:p>
        </w:tc>
        <w:tc>
          <w:tcPr>
            <w:tcW w:w="458" w:type="pct"/>
            <w:shd w:val="clear" w:color="auto" w:fill="auto"/>
            <w:vAlign w:val="center"/>
          </w:tcPr>
          <w:p>
            <w:pPr>
              <w:pStyle w:val="63"/>
            </w:pPr>
          </w:p>
        </w:tc>
        <w:tc>
          <w:tcPr>
            <w:tcW w:w="354" w:type="pct"/>
            <w:shd w:val="clear" w:color="auto" w:fill="auto"/>
            <w:vAlign w:val="center"/>
          </w:tcPr>
          <w:p>
            <w:pPr>
              <w:pStyle w:val="63"/>
            </w:pPr>
          </w:p>
        </w:tc>
        <w:tc>
          <w:tcPr>
            <w:tcW w:w="431" w:type="pct"/>
            <w:shd w:val="clear" w:color="auto" w:fill="auto"/>
            <w:vAlign w:val="center"/>
          </w:tcPr>
          <w:p>
            <w:pPr>
              <w:pStyle w:val="63"/>
            </w:pPr>
            <w:r>
              <w:rPr>
                <w:rFonts w:hint="eastAsia" w:ascii="宋体" w:hAnsi="宋体" w:eastAsia="宋体" w:cs="宋体"/>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000" w:type="pct"/>
            <w:gridSpan w:val="12"/>
            <w:shd w:val="clear" w:color="auto" w:fill="auto"/>
            <w:vAlign w:val="center"/>
          </w:tcPr>
          <w:p>
            <w:pPr>
              <w:pStyle w:val="63"/>
            </w:pPr>
            <w:r>
              <w:rPr>
                <w:rFonts w:hint="eastAsia" w:ascii="宋体" w:hAnsi="宋体" w:eastAsia="宋体" w:cs="宋体"/>
              </w:rPr>
              <w:t>★</w:t>
            </w:r>
            <w:r>
              <w:t>/</w:t>
            </w:r>
            <w:r>
              <w:rPr>
                <w:rFonts w:hint="eastAsia" w:ascii="宋体" w:hAnsi="宋体" w:eastAsia="宋体" w:cs="宋体"/>
              </w:rPr>
              <w:t>☆</w:t>
            </w:r>
            <w:r>
              <w:t>表示长期不利/有利影响；▲/</w:t>
            </w:r>
            <w:r>
              <w:rPr>
                <w:rFonts w:ascii="Cambria Math" w:hAnsi="Cambria Math" w:cs="Cambria Math"/>
              </w:rPr>
              <w:t>△</w:t>
            </w:r>
            <w:r>
              <w:t>表示短期不利/有利影响；空格表示影响不明显或没有影响</w:t>
            </w:r>
          </w:p>
        </w:tc>
      </w:tr>
    </w:tbl>
    <w:p>
      <w:pPr>
        <w:spacing w:line="360" w:lineRule="auto"/>
        <w:ind w:firstLine="480" w:firstLineChars="200"/>
        <w:rPr>
          <w:rFonts w:ascii="Times New Roman" w:hAnsi="Times New Roman" w:cs="Times New Roman"/>
        </w:rPr>
      </w:pPr>
      <w:r>
        <w:rPr>
          <w:rFonts w:ascii="Times New Roman" w:hAnsi="Times New Roman" w:cs="Times New Roman"/>
        </w:rPr>
        <w:t>由上表可以看出：</w:t>
      </w:r>
    </w:p>
    <w:p>
      <w:pPr>
        <w:spacing w:line="360" w:lineRule="auto"/>
        <w:ind w:firstLine="480" w:firstLineChars="200"/>
        <w:rPr>
          <w:rFonts w:ascii="Times New Roman" w:hAnsi="Times New Roman" w:cs="Times New Roman"/>
        </w:rPr>
      </w:pPr>
      <w:r>
        <w:rPr>
          <w:rFonts w:ascii="Times New Roman" w:hAnsi="Times New Roman" w:cs="Times New Roman"/>
        </w:rPr>
        <w:t>（1）施工期对地表植被的破坏及对部分自然资源占用，对生态环境产生短期影响，基础施工以及运输过程中对大气环境、地表水环境、声环境的影响。</w:t>
      </w:r>
    </w:p>
    <w:p>
      <w:pPr>
        <w:spacing w:line="360" w:lineRule="auto"/>
        <w:ind w:firstLine="480" w:firstLineChars="200"/>
        <w:rPr>
          <w:rFonts w:ascii="Times New Roman" w:hAnsi="Times New Roman" w:cs="Times New Roman"/>
        </w:rPr>
      </w:pPr>
      <w:r>
        <w:rPr>
          <w:rFonts w:ascii="Times New Roman" w:hAnsi="Times New Roman" w:cs="Times New Roman"/>
        </w:rPr>
        <w:t>（2）营运期对环境的影响主要为：</w:t>
      </w:r>
    </w:p>
    <w:p>
      <w:pPr>
        <w:spacing w:line="360" w:lineRule="auto"/>
        <w:ind w:firstLine="480" w:firstLineChars="200"/>
        <w:rPr>
          <w:rFonts w:ascii="Times New Roman" w:hAnsi="Times New Roman" w:cs="Times New Roman"/>
        </w:rPr>
      </w:pPr>
      <w:r>
        <w:rPr>
          <w:rFonts w:hint="eastAsia" w:ascii="宋体" w:hAnsi="宋体" w:eastAsia="宋体" w:cs="宋体"/>
        </w:rPr>
        <w:t>①</w:t>
      </w:r>
      <w:r>
        <w:rPr>
          <w:rFonts w:ascii="Times New Roman" w:hAnsi="Times New Roman" w:cs="Times New Roman"/>
        </w:rPr>
        <w:t>工程废水对水环境的影响；</w:t>
      </w:r>
    </w:p>
    <w:p>
      <w:pPr>
        <w:spacing w:line="360" w:lineRule="auto"/>
        <w:ind w:firstLine="480" w:firstLineChars="200"/>
        <w:rPr>
          <w:rFonts w:ascii="Times New Roman" w:hAnsi="Times New Roman" w:cs="Times New Roman"/>
        </w:rPr>
      </w:pPr>
      <w:r>
        <w:rPr>
          <w:rFonts w:hint="eastAsia" w:ascii="宋体" w:hAnsi="宋体" w:eastAsia="宋体" w:cs="宋体"/>
        </w:rPr>
        <w:t>②</w:t>
      </w:r>
      <w:r>
        <w:rPr>
          <w:rFonts w:ascii="Times New Roman" w:hAnsi="Times New Roman" w:cs="Times New Roman"/>
        </w:rPr>
        <w:t>该项目建设对地下水和土壤环境的影响；</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3 \* GB3 </w:instrText>
      </w:r>
      <w:r>
        <w:rPr>
          <w:rFonts w:ascii="Times New Roman" w:hAnsi="Times New Roman" w:cs="Times New Roman"/>
        </w:rPr>
        <w:fldChar w:fldCharType="separate"/>
      </w:r>
      <w:r>
        <w:rPr>
          <w:rFonts w:hint="eastAsia" w:ascii="宋体" w:hAnsi="宋体" w:eastAsia="宋体" w:cs="宋体"/>
        </w:rPr>
        <w:t>③</w:t>
      </w:r>
      <w:r>
        <w:rPr>
          <w:rFonts w:ascii="Times New Roman" w:hAnsi="Times New Roman" w:cs="Times New Roman"/>
        </w:rPr>
        <w:fldChar w:fldCharType="end"/>
      </w:r>
      <w:r>
        <w:rPr>
          <w:rFonts w:ascii="Times New Roman" w:hAnsi="Times New Roman" w:cs="Times New Roman"/>
        </w:rPr>
        <w:t>工程废气对大气环境的影响；</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4 \* GB3 </w:instrText>
      </w:r>
      <w:r>
        <w:rPr>
          <w:rFonts w:ascii="Times New Roman" w:hAnsi="Times New Roman" w:cs="Times New Roman"/>
        </w:rPr>
        <w:fldChar w:fldCharType="separate"/>
      </w:r>
      <w:r>
        <w:rPr>
          <w:rFonts w:hint="eastAsia" w:ascii="宋体" w:hAnsi="宋体" w:eastAsia="宋体" w:cs="宋体"/>
        </w:rPr>
        <w:t>④</w:t>
      </w:r>
      <w:r>
        <w:rPr>
          <w:rFonts w:ascii="Times New Roman" w:hAnsi="Times New Roman" w:cs="Times New Roman"/>
        </w:rPr>
        <w:fldChar w:fldCharType="end"/>
      </w:r>
      <w:r>
        <w:rPr>
          <w:rFonts w:ascii="Times New Roman" w:hAnsi="Times New Roman" w:cs="Times New Roman"/>
        </w:rPr>
        <w:t>工程噪声对声环境的影响。</w:t>
      </w:r>
    </w:p>
    <w:p>
      <w:pPr>
        <w:spacing w:line="360" w:lineRule="auto"/>
        <w:ind w:firstLine="480" w:firstLineChars="200"/>
        <w:rPr>
          <w:rFonts w:ascii="Times New Roman" w:hAnsi="Times New Roman" w:cs="Times New Roman"/>
        </w:rPr>
      </w:pPr>
      <w:r>
        <w:rPr>
          <w:rFonts w:ascii="Times New Roman" w:hAnsi="Times New Roman" w:cs="Times New Roman"/>
        </w:rPr>
        <w:t>（3）工程对环境影响较大的是废气排放对大气环境的影响以及风险影响。</w:t>
      </w:r>
    </w:p>
    <w:p>
      <w:pPr>
        <w:pStyle w:val="4"/>
        <w:rPr>
          <w:rFonts w:ascii="Times New Roman" w:hAnsi="Times New Roman" w:cs="Times New Roman"/>
        </w:rPr>
      </w:pPr>
      <w:bookmarkStart w:id="63" w:name="_Toc144236741"/>
      <w:bookmarkStart w:id="64" w:name="_Toc144276871"/>
      <w:bookmarkStart w:id="65" w:name="_Toc147847991"/>
      <w:r>
        <w:rPr>
          <w:rFonts w:ascii="Times New Roman" w:hAnsi="Times New Roman" w:cs="Times New Roman"/>
        </w:rPr>
        <w:t>2.4.2 评价因子筛选</w:t>
      </w:r>
      <w:bookmarkEnd w:id="63"/>
      <w:bookmarkEnd w:id="64"/>
      <w:bookmarkEnd w:id="65"/>
    </w:p>
    <w:p>
      <w:pPr>
        <w:spacing w:line="360" w:lineRule="auto"/>
        <w:ind w:firstLine="480" w:firstLineChars="200"/>
        <w:rPr>
          <w:rFonts w:ascii="Times New Roman" w:hAnsi="Times New Roman" w:cs="Times New Roman"/>
        </w:rPr>
      </w:pPr>
      <w:r>
        <w:rPr>
          <w:rFonts w:ascii="Times New Roman" w:hAnsi="Times New Roman" w:cs="Times New Roman"/>
        </w:rPr>
        <w:t>根据上述环境要素识别和工程性质、生产工艺与污染物排放特点，确定项目评价因子，见下表。</w:t>
      </w:r>
    </w:p>
    <w:p>
      <w:pPr>
        <w:pStyle w:val="6"/>
        <w:rPr>
          <w:rFonts w:ascii="Times New Roman" w:hAnsi="Times New Roman" w:cs="Times New Roman"/>
        </w:rPr>
      </w:pPr>
      <w:bookmarkStart w:id="66" w:name="_Toc5084"/>
      <w:bookmarkStart w:id="67" w:name="_Toc24535989"/>
      <w:bookmarkStart w:id="68" w:name="_Toc2599"/>
      <w:bookmarkStart w:id="69" w:name="_Toc23533"/>
      <w:bookmarkStart w:id="70" w:name="_Toc3207234"/>
      <w:bookmarkStart w:id="71" w:name="_Toc29937"/>
      <w:bookmarkStart w:id="72" w:name="_Toc452661694"/>
      <w:bookmarkStart w:id="73" w:name="_Toc19975"/>
      <w:bookmarkStart w:id="74" w:name="_Toc513196335"/>
      <w:r>
        <w:rPr>
          <w:rFonts w:ascii="Times New Roman" w:hAnsi="Times New Roman" w:cs="Times New Roman"/>
        </w:rPr>
        <w:t>表2.4-2  评价因子的确定</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080"/>
        <w:gridCol w:w="1577"/>
        <w:gridCol w:w="586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tblHeader/>
          <w:jc w:val="center"/>
        </w:trPr>
        <w:tc>
          <w:tcPr>
            <w:tcW w:w="1559" w:type="pct"/>
            <w:gridSpan w:val="2"/>
            <w:vAlign w:val="center"/>
          </w:tcPr>
          <w:p>
            <w:pPr>
              <w:pStyle w:val="63"/>
            </w:pPr>
            <w:r>
              <w:t>项目</w:t>
            </w:r>
          </w:p>
        </w:tc>
        <w:tc>
          <w:tcPr>
            <w:tcW w:w="3441" w:type="pct"/>
            <w:vAlign w:val="center"/>
          </w:tcPr>
          <w:p>
            <w:pPr>
              <w:pStyle w:val="63"/>
            </w:pPr>
            <w:r>
              <w:t>评价因子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restart"/>
            <w:vAlign w:val="center"/>
          </w:tcPr>
          <w:p>
            <w:pPr>
              <w:pStyle w:val="63"/>
            </w:pPr>
            <w:r>
              <w:t>大气环境</w:t>
            </w:r>
          </w:p>
        </w:tc>
        <w:tc>
          <w:tcPr>
            <w:tcW w:w="925" w:type="pct"/>
            <w:vAlign w:val="center"/>
          </w:tcPr>
          <w:p>
            <w:pPr>
              <w:pStyle w:val="63"/>
            </w:pPr>
            <w:r>
              <w:t>现状评价因子</w:t>
            </w:r>
          </w:p>
        </w:tc>
        <w:tc>
          <w:tcPr>
            <w:tcW w:w="3441" w:type="pct"/>
            <w:vAlign w:val="center"/>
          </w:tcPr>
          <w:p>
            <w:pPr>
              <w:pStyle w:val="63"/>
            </w:pPr>
            <w:r>
              <w:t>基本因子：SO</w:t>
            </w:r>
            <w:r>
              <w:rPr>
                <w:vertAlign w:val="subscript"/>
              </w:rPr>
              <w:t>2</w:t>
            </w:r>
            <w:r>
              <w:t>、NO</w:t>
            </w:r>
            <w:r>
              <w:rPr>
                <w:vertAlign w:val="subscript"/>
              </w:rPr>
              <w:t>2</w:t>
            </w:r>
            <w:r>
              <w:t>、PM</w:t>
            </w:r>
            <w:r>
              <w:rPr>
                <w:vertAlign w:val="subscript"/>
              </w:rPr>
              <w:t>10</w:t>
            </w:r>
            <w:r>
              <w:t>、PM</w:t>
            </w:r>
            <w:r>
              <w:rPr>
                <w:vertAlign w:val="subscript"/>
              </w:rPr>
              <w:t>2.5</w:t>
            </w:r>
            <w:r>
              <w:t>、CO、O</w:t>
            </w:r>
            <w:r>
              <w:rPr>
                <w:vertAlign w:val="subscript"/>
              </w:rPr>
              <w:t>3</w:t>
            </w:r>
          </w:p>
          <w:p>
            <w:pPr>
              <w:pStyle w:val="63"/>
            </w:pPr>
            <w:r>
              <w:t>其他因子：NOx、TSP、HCl、硫酸雾、镍及其化合物、TVOC、氟化物</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continue"/>
            <w:vAlign w:val="center"/>
          </w:tcPr>
          <w:p>
            <w:pPr>
              <w:pStyle w:val="63"/>
            </w:pPr>
          </w:p>
        </w:tc>
        <w:tc>
          <w:tcPr>
            <w:tcW w:w="925" w:type="pct"/>
            <w:vAlign w:val="center"/>
          </w:tcPr>
          <w:p>
            <w:pPr>
              <w:pStyle w:val="63"/>
            </w:pPr>
            <w:r>
              <w:t>预测评价因子</w:t>
            </w:r>
          </w:p>
        </w:tc>
        <w:tc>
          <w:tcPr>
            <w:tcW w:w="3441" w:type="pct"/>
            <w:vAlign w:val="center"/>
          </w:tcPr>
          <w:p>
            <w:pPr>
              <w:pStyle w:val="63"/>
            </w:pPr>
            <w:r>
              <w:t>SO</w:t>
            </w:r>
            <w:r>
              <w:rPr>
                <w:vertAlign w:val="subscript"/>
              </w:rPr>
              <w:t>2</w:t>
            </w:r>
            <w:r>
              <w:t>、NOx、PM</w:t>
            </w:r>
            <w:r>
              <w:rPr>
                <w:vertAlign w:val="subscript"/>
              </w:rPr>
              <w:t>10</w:t>
            </w:r>
            <w:r>
              <w:t>、硫酸雾、镍及其化合物、</w:t>
            </w:r>
            <w:r>
              <w:rPr>
                <w:rFonts w:hint="eastAsia"/>
              </w:rPr>
              <w:t>VOCs（以非甲烷总烃计）</w:t>
            </w:r>
            <w:r>
              <w:t>、氟化物</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continue"/>
            <w:vAlign w:val="center"/>
          </w:tcPr>
          <w:p>
            <w:pPr>
              <w:pStyle w:val="63"/>
            </w:pPr>
          </w:p>
        </w:tc>
        <w:tc>
          <w:tcPr>
            <w:tcW w:w="925" w:type="pct"/>
            <w:vAlign w:val="center"/>
          </w:tcPr>
          <w:p>
            <w:pPr>
              <w:pStyle w:val="63"/>
            </w:pPr>
            <w:r>
              <w:t>总量控制因子</w:t>
            </w:r>
          </w:p>
        </w:tc>
        <w:tc>
          <w:tcPr>
            <w:tcW w:w="3441" w:type="pct"/>
            <w:vAlign w:val="center"/>
          </w:tcPr>
          <w:p>
            <w:pPr>
              <w:pStyle w:val="63"/>
            </w:pPr>
            <w:r>
              <w:t>SO</w:t>
            </w:r>
            <w:r>
              <w:rPr>
                <w:vertAlign w:val="subscript"/>
              </w:rPr>
              <w:t>2</w:t>
            </w:r>
            <w:r>
              <w:t xml:space="preserve">、NOx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restart"/>
            <w:vAlign w:val="center"/>
          </w:tcPr>
          <w:p>
            <w:pPr>
              <w:pStyle w:val="63"/>
            </w:pPr>
            <w:r>
              <w:t>地表水环境</w:t>
            </w:r>
          </w:p>
        </w:tc>
        <w:tc>
          <w:tcPr>
            <w:tcW w:w="925" w:type="pct"/>
            <w:vAlign w:val="center"/>
          </w:tcPr>
          <w:p>
            <w:pPr>
              <w:pStyle w:val="63"/>
            </w:pPr>
            <w:r>
              <w:t>现状评价因子</w:t>
            </w:r>
          </w:p>
        </w:tc>
        <w:tc>
          <w:tcPr>
            <w:tcW w:w="3441" w:type="pct"/>
            <w:vAlign w:val="center"/>
          </w:tcPr>
          <w:p>
            <w:pPr>
              <w:pStyle w:val="63"/>
            </w:pPr>
            <w:r>
              <w:rPr>
                <w:rFonts w:hint="eastAsia"/>
              </w:rPr>
              <w:t>pH值、化学需氧量、五日生化需氧量、氨氮、悬浮物、总磷、总氮、溶解氧、挥发酚、粪大肠菌群、石油类、氟化物、氯化物、氰化物、硫化物、阴离子表面活性剂、砷、汞、铅、锌、总镉、总铬、总钴、总镍、总锰、总铜、*总铝、铊、水温、流量、流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continue"/>
            <w:vAlign w:val="center"/>
          </w:tcPr>
          <w:p>
            <w:pPr>
              <w:pStyle w:val="63"/>
            </w:pPr>
          </w:p>
        </w:tc>
        <w:tc>
          <w:tcPr>
            <w:tcW w:w="925" w:type="pct"/>
            <w:vAlign w:val="center"/>
          </w:tcPr>
          <w:p>
            <w:pPr>
              <w:pStyle w:val="63"/>
            </w:pPr>
            <w:r>
              <w:t>预测评价因子</w:t>
            </w:r>
          </w:p>
        </w:tc>
        <w:tc>
          <w:tcPr>
            <w:tcW w:w="3441" w:type="pct"/>
            <w:vAlign w:val="center"/>
          </w:tcPr>
          <w:p>
            <w:pPr>
              <w:pStyle w:val="63"/>
            </w:pPr>
            <w: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continue"/>
            <w:vAlign w:val="center"/>
          </w:tcPr>
          <w:p>
            <w:pPr>
              <w:pStyle w:val="63"/>
            </w:pPr>
          </w:p>
        </w:tc>
        <w:tc>
          <w:tcPr>
            <w:tcW w:w="925" w:type="pct"/>
            <w:vAlign w:val="center"/>
          </w:tcPr>
          <w:p>
            <w:pPr>
              <w:pStyle w:val="63"/>
            </w:pPr>
            <w:r>
              <w:t>总量控制因子</w:t>
            </w:r>
          </w:p>
        </w:tc>
        <w:tc>
          <w:tcPr>
            <w:tcW w:w="3441" w:type="pct"/>
            <w:vAlign w:val="center"/>
          </w:tcPr>
          <w:p>
            <w:pPr>
              <w:pStyle w:val="63"/>
            </w:pPr>
            <w:r>
              <w:t>COD、氨氮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restart"/>
            <w:vAlign w:val="center"/>
          </w:tcPr>
          <w:p>
            <w:pPr>
              <w:pStyle w:val="63"/>
            </w:pPr>
            <w:r>
              <w:t>地下水环境</w:t>
            </w:r>
          </w:p>
        </w:tc>
        <w:tc>
          <w:tcPr>
            <w:tcW w:w="925" w:type="pct"/>
            <w:vAlign w:val="center"/>
          </w:tcPr>
          <w:p>
            <w:pPr>
              <w:pStyle w:val="63"/>
            </w:pPr>
            <w:r>
              <w:t>现状评价因子</w:t>
            </w:r>
          </w:p>
        </w:tc>
        <w:tc>
          <w:tcPr>
            <w:tcW w:w="3441" w:type="pct"/>
            <w:vAlign w:val="center"/>
          </w:tcPr>
          <w:p>
            <w:pPr>
              <w:pStyle w:val="63"/>
            </w:pPr>
            <w:r>
              <w:t>K</w:t>
            </w:r>
            <w:r>
              <w:rPr>
                <w:vertAlign w:val="superscript"/>
              </w:rPr>
              <w:t>+</w:t>
            </w:r>
            <w:r>
              <w:t>、Na</w:t>
            </w:r>
            <w:r>
              <w:rPr>
                <w:vertAlign w:val="superscript"/>
              </w:rPr>
              <w:t>+</w:t>
            </w:r>
            <w:r>
              <w:t>、Ca</w:t>
            </w:r>
            <w:r>
              <w:rPr>
                <w:vertAlign w:val="superscript"/>
              </w:rPr>
              <w:t>2+</w:t>
            </w:r>
            <w:r>
              <w:t>、Mg</w:t>
            </w:r>
            <w:r>
              <w:rPr>
                <w:vertAlign w:val="superscript"/>
              </w:rPr>
              <w:t>2+</w:t>
            </w:r>
            <w:r>
              <w:t>、CO</w:t>
            </w:r>
            <w:r>
              <w:rPr>
                <w:vertAlign w:val="subscript"/>
              </w:rPr>
              <w:t>3</w:t>
            </w:r>
            <w:r>
              <w:rPr>
                <w:vertAlign w:val="superscript"/>
              </w:rPr>
              <w:t>2-</w:t>
            </w:r>
            <w:r>
              <w:t>、HCO</w:t>
            </w:r>
            <w:r>
              <w:rPr>
                <w:vertAlign w:val="subscript"/>
              </w:rPr>
              <w:t>3</w:t>
            </w:r>
            <w:r>
              <w:rPr>
                <w:vertAlign w:val="superscript"/>
              </w:rPr>
              <w:t>-</w:t>
            </w:r>
            <w:r>
              <w:t>、SO</w:t>
            </w:r>
            <w:r>
              <w:rPr>
                <w:vertAlign w:val="subscript"/>
              </w:rPr>
              <w:t>4</w:t>
            </w:r>
            <w:r>
              <w:rPr>
                <w:vertAlign w:val="superscript"/>
              </w:rPr>
              <w:t>2-</w:t>
            </w:r>
            <w:r>
              <w:t>、Cl</w:t>
            </w:r>
            <w:r>
              <w:rPr>
                <w:vertAlign w:val="superscript"/>
              </w:rPr>
              <w:t>-</w:t>
            </w:r>
            <w:r>
              <w:t>、pH、总硬度、溶解性总固体、硫酸盐、氯化物、铁、锰、铜、锌、耗氧量、氨氮、挥发性酚类、硫化物、总大肠菌群、亚硝酸盐、硝酸盐、氟化物、汞、砷、镉、六价铬、铅、镍、铊、钴、水位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continue"/>
            <w:vAlign w:val="center"/>
          </w:tcPr>
          <w:p>
            <w:pPr>
              <w:pStyle w:val="63"/>
            </w:pPr>
          </w:p>
        </w:tc>
        <w:tc>
          <w:tcPr>
            <w:tcW w:w="925" w:type="pct"/>
            <w:vAlign w:val="center"/>
          </w:tcPr>
          <w:p>
            <w:pPr>
              <w:pStyle w:val="63"/>
            </w:pPr>
            <w:r>
              <w:t>预测评价因子</w:t>
            </w:r>
          </w:p>
        </w:tc>
        <w:tc>
          <w:tcPr>
            <w:tcW w:w="3441" w:type="pct"/>
            <w:vAlign w:val="center"/>
          </w:tcPr>
          <w:p>
            <w:pPr>
              <w:pStyle w:val="63"/>
            </w:pPr>
            <w: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restart"/>
            <w:vAlign w:val="center"/>
          </w:tcPr>
          <w:p>
            <w:pPr>
              <w:pStyle w:val="63"/>
            </w:pPr>
            <w:r>
              <w:t>噪声</w:t>
            </w:r>
          </w:p>
        </w:tc>
        <w:tc>
          <w:tcPr>
            <w:tcW w:w="925" w:type="pct"/>
            <w:vAlign w:val="center"/>
          </w:tcPr>
          <w:p>
            <w:pPr>
              <w:pStyle w:val="63"/>
            </w:pPr>
            <w:r>
              <w:t>现状评价因子</w:t>
            </w:r>
          </w:p>
        </w:tc>
        <w:tc>
          <w:tcPr>
            <w:tcW w:w="3441" w:type="pct"/>
            <w:vMerge w:val="restart"/>
            <w:vAlign w:val="center"/>
          </w:tcPr>
          <w:p>
            <w:pPr>
              <w:pStyle w:val="63"/>
            </w:pPr>
            <w:r>
              <w:t>等效连续A声级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continue"/>
            <w:vAlign w:val="center"/>
          </w:tcPr>
          <w:p>
            <w:pPr>
              <w:pStyle w:val="63"/>
            </w:pPr>
          </w:p>
        </w:tc>
        <w:tc>
          <w:tcPr>
            <w:tcW w:w="925" w:type="pct"/>
            <w:vAlign w:val="center"/>
          </w:tcPr>
          <w:p>
            <w:pPr>
              <w:pStyle w:val="63"/>
            </w:pPr>
            <w:r>
              <w:t>预测评价因子</w:t>
            </w:r>
          </w:p>
        </w:tc>
        <w:tc>
          <w:tcPr>
            <w:tcW w:w="3441" w:type="pct"/>
            <w:vMerge w:val="continue"/>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restart"/>
            <w:vAlign w:val="center"/>
          </w:tcPr>
          <w:p>
            <w:pPr>
              <w:pStyle w:val="63"/>
            </w:pPr>
            <w:r>
              <w:t>土壤</w:t>
            </w:r>
          </w:p>
        </w:tc>
        <w:tc>
          <w:tcPr>
            <w:tcW w:w="925" w:type="pct"/>
            <w:vAlign w:val="center"/>
          </w:tcPr>
          <w:p>
            <w:pPr>
              <w:pStyle w:val="63"/>
            </w:pPr>
            <w:r>
              <w:t>现状评价因子</w:t>
            </w:r>
          </w:p>
        </w:tc>
        <w:tc>
          <w:tcPr>
            <w:tcW w:w="3441" w:type="pct"/>
            <w:vAlign w:val="center"/>
          </w:tcPr>
          <w:p>
            <w:pPr>
              <w:pStyle w:val="63"/>
            </w:pPr>
            <w:r>
              <w:t>建设用地：pH、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continue"/>
            <w:vAlign w:val="center"/>
          </w:tcPr>
          <w:p>
            <w:pPr>
              <w:pStyle w:val="63"/>
            </w:pPr>
          </w:p>
        </w:tc>
        <w:tc>
          <w:tcPr>
            <w:tcW w:w="925" w:type="pct"/>
            <w:vAlign w:val="center"/>
          </w:tcPr>
          <w:p>
            <w:pPr>
              <w:pStyle w:val="63"/>
            </w:pPr>
            <w:r>
              <w:t>预测评价因子</w:t>
            </w:r>
          </w:p>
        </w:tc>
        <w:tc>
          <w:tcPr>
            <w:tcW w:w="3441" w:type="pct"/>
            <w:vAlign w:val="center"/>
          </w:tcPr>
          <w:p>
            <w:pPr>
              <w:pStyle w:val="63"/>
            </w:pPr>
            <w: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restart"/>
            <w:vAlign w:val="center"/>
          </w:tcPr>
          <w:p>
            <w:pPr>
              <w:pStyle w:val="63"/>
            </w:pPr>
            <w:r>
              <w:t>固体废物</w:t>
            </w:r>
          </w:p>
        </w:tc>
        <w:tc>
          <w:tcPr>
            <w:tcW w:w="925" w:type="pct"/>
            <w:vAlign w:val="center"/>
          </w:tcPr>
          <w:p>
            <w:pPr>
              <w:pStyle w:val="63"/>
            </w:pPr>
            <w:r>
              <w:t>产生因子</w:t>
            </w:r>
          </w:p>
        </w:tc>
        <w:tc>
          <w:tcPr>
            <w:tcW w:w="3441" w:type="pct"/>
            <w:vAlign w:val="center"/>
          </w:tcPr>
          <w:p>
            <w:pPr>
              <w:pStyle w:val="63"/>
            </w:pPr>
            <w:r>
              <w:t>一般工业固废、危险固废、生活垃圾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continue"/>
            <w:vAlign w:val="center"/>
          </w:tcPr>
          <w:p>
            <w:pPr>
              <w:pStyle w:val="63"/>
            </w:pPr>
          </w:p>
        </w:tc>
        <w:tc>
          <w:tcPr>
            <w:tcW w:w="925" w:type="pct"/>
            <w:vAlign w:val="center"/>
          </w:tcPr>
          <w:p>
            <w:pPr>
              <w:pStyle w:val="63"/>
            </w:pPr>
            <w:r>
              <w:t>评价因子</w:t>
            </w:r>
          </w:p>
        </w:tc>
        <w:tc>
          <w:tcPr>
            <w:tcW w:w="3441" w:type="pct"/>
            <w:vAlign w:val="center"/>
          </w:tcPr>
          <w:p>
            <w:pPr>
              <w:pStyle w:val="63"/>
            </w:pPr>
            <w:r>
              <w:t>一般工业固废、危险固废、生活垃圾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restart"/>
            <w:vAlign w:val="center"/>
          </w:tcPr>
          <w:p>
            <w:pPr>
              <w:pStyle w:val="63"/>
            </w:pPr>
            <w:r>
              <w:t>环境风险</w:t>
            </w:r>
          </w:p>
        </w:tc>
        <w:tc>
          <w:tcPr>
            <w:tcW w:w="925" w:type="pct"/>
            <w:vAlign w:val="center"/>
          </w:tcPr>
          <w:p>
            <w:pPr>
              <w:pStyle w:val="63"/>
            </w:pPr>
            <w:r>
              <w:t>风险物质</w:t>
            </w:r>
          </w:p>
        </w:tc>
        <w:tc>
          <w:tcPr>
            <w:tcW w:w="3441" w:type="pct"/>
            <w:vAlign w:val="center"/>
          </w:tcPr>
          <w:p>
            <w:pPr>
              <w:pStyle w:val="63"/>
            </w:pPr>
            <w:r>
              <w:t>硫酸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634" w:type="pct"/>
            <w:vMerge w:val="continue"/>
            <w:vAlign w:val="center"/>
          </w:tcPr>
          <w:p>
            <w:pPr>
              <w:pStyle w:val="63"/>
            </w:pPr>
          </w:p>
        </w:tc>
        <w:tc>
          <w:tcPr>
            <w:tcW w:w="925" w:type="pct"/>
            <w:vAlign w:val="center"/>
          </w:tcPr>
          <w:p>
            <w:pPr>
              <w:pStyle w:val="63"/>
            </w:pPr>
            <w:r>
              <w:t>风险类型</w:t>
            </w:r>
          </w:p>
        </w:tc>
        <w:tc>
          <w:tcPr>
            <w:tcW w:w="3441" w:type="pct"/>
            <w:vAlign w:val="center"/>
          </w:tcPr>
          <w:p>
            <w:pPr>
              <w:pStyle w:val="63"/>
            </w:pPr>
            <w:r>
              <w:t>泄漏、火灾、爆炸引发伴生/次生污染物排放</w:t>
            </w:r>
          </w:p>
        </w:tc>
      </w:tr>
    </w:tbl>
    <w:p>
      <w:pPr>
        <w:pStyle w:val="3"/>
        <w:rPr>
          <w:rFonts w:ascii="Times New Roman" w:hAnsi="Times New Roman" w:cs="Times New Roman" w:eastAsiaTheme="minorEastAsia"/>
        </w:rPr>
      </w:pPr>
      <w:bookmarkStart w:id="75" w:name="_Toc144236742"/>
      <w:bookmarkStart w:id="76" w:name="_Toc144276872"/>
      <w:bookmarkStart w:id="77" w:name="_Toc147847992"/>
      <w:bookmarkStart w:id="78" w:name="_Toc102658195"/>
      <w:r>
        <w:rPr>
          <w:rFonts w:ascii="Times New Roman" w:hAnsi="Times New Roman" w:cs="Times New Roman" w:eastAsiaTheme="minorEastAsia"/>
        </w:rPr>
        <w:t>2.5 评价标准</w:t>
      </w:r>
      <w:bookmarkEnd w:id="75"/>
      <w:bookmarkEnd w:id="76"/>
      <w:bookmarkEnd w:id="77"/>
      <w:bookmarkEnd w:id="78"/>
    </w:p>
    <w:p>
      <w:pPr>
        <w:pStyle w:val="4"/>
        <w:rPr>
          <w:rFonts w:ascii="Times New Roman" w:hAnsi="Times New Roman" w:cs="Times New Roman"/>
        </w:rPr>
      </w:pPr>
      <w:bookmarkStart w:id="79" w:name="_Toc144276873"/>
      <w:bookmarkStart w:id="80" w:name="_Toc147847993"/>
      <w:bookmarkStart w:id="81" w:name="_Toc144236743"/>
      <w:r>
        <w:rPr>
          <w:rFonts w:ascii="Times New Roman" w:hAnsi="Times New Roman" w:cs="Times New Roman"/>
        </w:rPr>
        <w:t>2.5.1 环境质量标准</w:t>
      </w:r>
      <w:bookmarkEnd w:id="79"/>
      <w:bookmarkEnd w:id="80"/>
      <w:bookmarkEnd w:id="81"/>
    </w:p>
    <w:p>
      <w:pPr>
        <w:spacing w:line="360" w:lineRule="auto"/>
        <w:ind w:firstLine="480" w:firstLineChars="200"/>
        <w:rPr>
          <w:rFonts w:ascii="Times New Roman" w:hAnsi="Times New Roman" w:cs="Times New Roman"/>
        </w:rPr>
      </w:pPr>
      <w:r>
        <w:rPr>
          <w:rFonts w:ascii="Times New Roman" w:hAnsi="Times New Roman" w:cs="Times New Roman"/>
        </w:rPr>
        <w:t>（1）环境空气：</w:t>
      </w:r>
      <w:bookmarkStart w:id="82" w:name="_Hlk80010873"/>
      <w:r>
        <w:rPr>
          <w:rFonts w:ascii="Times New Roman" w:hAnsi="Times New Roman" w:cs="Times New Roman"/>
        </w:rPr>
        <w:t>SO</w:t>
      </w:r>
      <w:r>
        <w:rPr>
          <w:rFonts w:ascii="Times New Roman" w:hAnsi="Times New Roman" w:cs="Times New Roman"/>
          <w:vertAlign w:val="subscript"/>
        </w:rPr>
        <w:t>2</w:t>
      </w:r>
      <w:r>
        <w:rPr>
          <w:rFonts w:ascii="Times New Roman" w:hAnsi="Times New Roman" w:cs="Times New Roman"/>
        </w:rPr>
        <w:t>、NO</w:t>
      </w:r>
      <w:r>
        <w:rPr>
          <w:rFonts w:ascii="Times New Roman" w:hAnsi="Times New Roman" w:cs="Times New Roman"/>
          <w:vertAlign w:val="subscript"/>
        </w:rPr>
        <w:t>2</w:t>
      </w:r>
      <w:r>
        <w:rPr>
          <w:rFonts w:ascii="Times New Roman" w:hAnsi="Times New Roman" w:cs="Times New Roman"/>
        </w:rPr>
        <w:t>、PM</w:t>
      </w:r>
      <w:r>
        <w:rPr>
          <w:rFonts w:ascii="Times New Roman" w:hAnsi="Times New Roman" w:cs="Times New Roman"/>
          <w:vertAlign w:val="subscript"/>
        </w:rPr>
        <w:t>10</w:t>
      </w:r>
      <w:r>
        <w:rPr>
          <w:rFonts w:ascii="Times New Roman" w:hAnsi="Times New Roman" w:cs="Times New Roman"/>
        </w:rPr>
        <w:t>、PM</w:t>
      </w:r>
      <w:r>
        <w:rPr>
          <w:rFonts w:ascii="Times New Roman" w:hAnsi="Times New Roman" w:cs="Times New Roman"/>
          <w:vertAlign w:val="subscript"/>
        </w:rPr>
        <w:t>2.5</w:t>
      </w:r>
      <w:r>
        <w:rPr>
          <w:rFonts w:ascii="Times New Roman" w:hAnsi="Times New Roman" w:cs="Times New Roman"/>
        </w:rPr>
        <w:t>、CO、O</w:t>
      </w:r>
      <w:r>
        <w:rPr>
          <w:rFonts w:ascii="Times New Roman" w:hAnsi="Times New Roman" w:cs="Times New Roman"/>
          <w:vertAlign w:val="subscript"/>
        </w:rPr>
        <w:t>3</w:t>
      </w:r>
      <w:r>
        <w:rPr>
          <w:rFonts w:ascii="Times New Roman" w:hAnsi="Times New Roman" w:cs="Times New Roman"/>
        </w:rPr>
        <w:t>、NOx、TSP、氟化物执行《环境空气质量标准》（GB3095-2012）二级标准及修改单中的相关标准要求；硫酸雾、氯化氢、TVOC执行《环境影响评价技术导则大气环境》（HJ2.2-2018）附录D中标准要求；镍及其化合物参照执行《大气污染物综合排放标准详解》中的有关限值要求。</w:t>
      </w:r>
    </w:p>
    <w:bookmarkEnd w:id="82"/>
    <w:p>
      <w:pPr>
        <w:widowControl/>
        <w:spacing w:line="360" w:lineRule="auto"/>
        <w:ind w:firstLine="480" w:firstLineChars="200"/>
        <w:jc w:val="left"/>
        <w:rPr>
          <w:rFonts w:ascii="Times New Roman" w:hAnsi="Times New Roman" w:cs="Times New Roman"/>
        </w:rPr>
      </w:pPr>
      <w:r>
        <w:rPr>
          <w:rFonts w:ascii="Times New Roman" w:hAnsi="Times New Roman" w:cs="Times New Roman"/>
        </w:rPr>
        <w:t>（2）地表水：</w:t>
      </w:r>
    </w:p>
    <w:p>
      <w:pPr>
        <w:widowControl/>
        <w:spacing w:line="360" w:lineRule="auto"/>
        <w:ind w:firstLine="480" w:firstLineChars="200"/>
        <w:jc w:val="left"/>
        <w:rPr>
          <w:rFonts w:ascii="Times New Roman" w:hAnsi="Times New Roman" w:cs="Times New Roman"/>
          <w:color w:val="000000"/>
          <w:kern w:val="0"/>
          <w:lang w:bidi="ar"/>
        </w:rPr>
      </w:pPr>
      <w:r>
        <w:rPr>
          <w:rFonts w:ascii="Times New Roman" w:hAnsi="Times New Roman" w:cs="Times New Roman"/>
          <w:color w:val="000000"/>
          <w:kern w:val="0"/>
          <w:lang w:val="zh-CN" w:bidi="ar"/>
        </w:rPr>
        <w:t>根据《湖南省主要水系地表水环境功能区划》（DB43/023-2005）</w:t>
      </w:r>
      <w:r>
        <w:rPr>
          <w:rFonts w:ascii="Times New Roman" w:hAnsi="Times New Roman" w:cs="Times New Roman"/>
          <w:color w:val="000000"/>
          <w:kern w:val="0"/>
          <w:lang w:bidi="ar"/>
        </w:rPr>
        <w:t>及衡东县饮用水水源保护区划分报告，本次评价河段湘江段：大浦水厂取水口下游200米至湘华化工厂取水口上游1000米共31.8km为渔业用水区，执行《地表水环境质量标准》（GB3838-2002）</w:t>
      </w:r>
      <w:r>
        <w:rPr>
          <w:rFonts w:hint="eastAsia" w:ascii="宋体" w:hAnsi="宋体" w:eastAsia="宋体" w:cs="宋体"/>
          <w:color w:val="000000"/>
          <w:kern w:val="0"/>
          <w:lang w:bidi="ar"/>
        </w:rPr>
        <w:t>Ⅲ</w:t>
      </w:r>
      <w:r>
        <w:rPr>
          <w:rFonts w:ascii="Times New Roman" w:hAnsi="Times New Roman" w:cs="Times New Roman"/>
          <w:color w:val="000000"/>
          <w:kern w:val="0"/>
          <w:lang w:bidi="ar"/>
        </w:rPr>
        <w:t>类水质标准，其中衡山萱洲镇湘江饮用水水源保护区、霞流镇湘江饮用水水源保护区执行《地表水环境质量标准》（GB3838-2002）II类标准；</w:t>
      </w:r>
      <w:r>
        <w:rPr>
          <w:rFonts w:ascii="Times New Roman" w:hAnsi="Times New Roman" w:cs="Times New Roman"/>
          <w:color w:val="000000"/>
          <w:kern w:val="0"/>
          <w:lang w:val="zh-CN" w:bidi="ar"/>
        </w:rPr>
        <w:t>毛家堰溪、白依港、灌溉渠、毛鸡笼水库、新民</w:t>
      </w:r>
      <w:r>
        <w:rPr>
          <w:rFonts w:ascii="Times New Roman" w:hAnsi="Times New Roman" w:cs="Times New Roman"/>
          <w:color w:val="000000"/>
          <w:kern w:val="0"/>
          <w:lang w:bidi="ar"/>
        </w:rPr>
        <w:t>湖、金花港参考</w:t>
      </w:r>
      <w:r>
        <w:rPr>
          <w:rFonts w:ascii="Times New Roman" w:hAnsi="Times New Roman" w:cs="Times New Roman"/>
          <w:color w:val="000000"/>
          <w:kern w:val="0"/>
          <w:lang w:val="zh-CN" w:bidi="ar"/>
        </w:rPr>
        <w:t>执行《地表水环境质量标准》（GB3838-2002）中的</w:t>
      </w:r>
      <w:r>
        <w:rPr>
          <w:rFonts w:ascii="Times New Roman" w:hAnsi="Times New Roman" w:cs="Times New Roman"/>
          <w:color w:val="000000"/>
          <w:kern w:val="0"/>
          <w:lang w:val="zh-CN" w:bidi="ar"/>
        </w:rPr>
        <w:fldChar w:fldCharType="begin"/>
      </w:r>
      <w:r>
        <w:rPr>
          <w:rFonts w:ascii="Times New Roman" w:hAnsi="Times New Roman" w:cs="Times New Roman"/>
          <w:color w:val="000000"/>
          <w:kern w:val="0"/>
          <w:lang w:val="zh-CN" w:bidi="ar"/>
        </w:rPr>
        <w:instrText xml:space="preserve"> = 3 \* ROMAN </w:instrText>
      </w:r>
      <w:r>
        <w:rPr>
          <w:rFonts w:ascii="Times New Roman" w:hAnsi="Times New Roman" w:cs="Times New Roman"/>
          <w:color w:val="000000"/>
          <w:kern w:val="0"/>
          <w:lang w:val="zh-CN" w:bidi="ar"/>
        </w:rPr>
        <w:fldChar w:fldCharType="separate"/>
      </w:r>
      <w:r>
        <w:rPr>
          <w:rFonts w:ascii="Times New Roman" w:hAnsi="Times New Roman" w:cs="Times New Roman"/>
          <w:color w:val="000000"/>
          <w:kern w:val="0"/>
          <w:lang w:val="zh-CN" w:bidi="ar"/>
        </w:rPr>
        <w:t>III</w:t>
      </w:r>
      <w:r>
        <w:rPr>
          <w:rFonts w:ascii="Times New Roman" w:hAnsi="Times New Roman" w:cs="Times New Roman"/>
          <w:color w:val="000000"/>
          <w:kern w:val="0"/>
          <w:lang w:val="zh-CN" w:bidi="ar"/>
        </w:rPr>
        <w:fldChar w:fldCharType="end"/>
      </w:r>
      <w:r>
        <w:rPr>
          <w:rFonts w:ascii="Times New Roman" w:hAnsi="Times New Roman" w:cs="Times New Roman"/>
          <w:color w:val="000000"/>
          <w:kern w:val="0"/>
          <w:lang w:val="zh-CN" w:bidi="ar"/>
        </w:rPr>
        <w:t>类标准</w:t>
      </w:r>
      <w:r>
        <w:rPr>
          <w:rFonts w:ascii="Times New Roman" w:hAnsi="Times New Roman" w:cs="Times New Roman"/>
          <w:color w:val="000000"/>
          <w:kern w:val="0"/>
          <w:lang w:bidi="ar"/>
        </w:rPr>
        <w:t>；洣水枧头村邓家湾至湘江入口处共19.8km为渔业用水区，执行《地表水环境质量标准》（GB3838-2002）</w:t>
      </w:r>
      <w:r>
        <w:rPr>
          <w:rFonts w:hint="eastAsia" w:ascii="宋体" w:hAnsi="宋体" w:eastAsia="宋体" w:cs="宋体"/>
          <w:color w:val="000000"/>
          <w:kern w:val="0"/>
          <w:lang w:bidi="ar"/>
        </w:rPr>
        <w:t>Ⅲ</w:t>
      </w:r>
      <w:r>
        <w:rPr>
          <w:rFonts w:ascii="Times New Roman" w:hAnsi="Times New Roman" w:cs="Times New Roman"/>
          <w:color w:val="000000"/>
          <w:kern w:val="0"/>
          <w:lang w:bidi="ar"/>
        </w:rPr>
        <w:t>类水质标准。</w:t>
      </w:r>
    </w:p>
    <w:p>
      <w:pPr>
        <w:spacing w:line="360" w:lineRule="auto"/>
        <w:ind w:firstLine="480" w:firstLineChars="200"/>
        <w:rPr>
          <w:rFonts w:ascii="Times New Roman" w:hAnsi="Times New Roman" w:cs="Times New Roman"/>
        </w:rPr>
      </w:pPr>
      <w:r>
        <w:rPr>
          <w:rFonts w:ascii="Times New Roman" w:hAnsi="Times New Roman" w:cs="Times New Roman"/>
        </w:rPr>
        <w:t>大浦水厂取水口上游1000m至下游200m（1.2km）河段为饮用水源保护区，执行《地表水环境质量标准》（GB3838-2002）中的II类标准；其他执行《地表水环境质量标准》（GB3838-2002）中的III类标准。</w:t>
      </w:r>
    </w:p>
    <w:p>
      <w:pPr>
        <w:spacing w:line="360" w:lineRule="auto"/>
        <w:ind w:firstLine="480" w:firstLineChars="200"/>
        <w:rPr>
          <w:rFonts w:ascii="Times New Roman" w:hAnsi="Times New Roman" w:cs="Times New Roman"/>
        </w:rPr>
      </w:pPr>
      <w:r>
        <w:rPr>
          <w:rFonts w:ascii="Times New Roman" w:hAnsi="Times New Roman" w:cs="Times New Roman"/>
        </w:rPr>
        <w:t>（3）地下水：项目周边地下水执行《地下水质量标准》（GB/T14848-2017）</w:t>
      </w:r>
      <w:r>
        <w:rPr>
          <w:rFonts w:hint="eastAsia" w:ascii="宋体" w:hAnsi="宋体" w:eastAsia="宋体" w:cs="宋体"/>
        </w:rPr>
        <w:t>Ⅲ</w:t>
      </w:r>
      <w:r>
        <w:rPr>
          <w:rFonts w:ascii="Times New Roman" w:hAnsi="Times New Roman" w:cs="Times New Roman"/>
        </w:rPr>
        <w:t>类标准。</w:t>
      </w:r>
    </w:p>
    <w:p>
      <w:pPr>
        <w:spacing w:line="360" w:lineRule="auto"/>
        <w:ind w:firstLine="480" w:firstLineChars="200"/>
        <w:rPr>
          <w:rFonts w:ascii="Times New Roman" w:hAnsi="Times New Roman" w:cs="Times New Roman"/>
        </w:rPr>
      </w:pPr>
      <w:r>
        <w:rPr>
          <w:rFonts w:ascii="Times New Roman" w:hAnsi="Times New Roman" w:cs="Times New Roman"/>
        </w:rPr>
        <w:t>（4）声环境：</w:t>
      </w:r>
      <w:bookmarkStart w:id="83" w:name="_Hlk80010837"/>
      <w:r>
        <w:rPr>
          <w:rFonts w:ascii="Times New Roman" w:hAnsi="Times New Roman" w:cs="Times New Roman"/>
        </w:rPr>
        <w:t>项目厂界声环境执行《声环境质量标准》（GB3096-2008）3类标准，敏感点执行《声环境质量标准》（GB3096-2008）2类标准。</w:t>
      </w:r>
    </w:p>
    <w:bookmarkEnd w:id="83"/>
    <w:p>
      <w:pPr>
        <w:spacing w:line="360" w:lineRule="auto"/>
        <w:ind w:firstLine="480" w:firstLineChars="200"/>
        <w:rPr>
          <w:rFonts w:ascii="Times New Roman" w:hAnsi="Times New Roman" w:cs="Times New Roman"/>
        </w:rPr>
      </w:pPr>
      <w:r>
        <w:rPr>
          <w:rFonts w:ascii="Times New Roman" w:hAnsi="Times New Roman" w:cs="Times New Roman"/>
        </w:rPr>
        <w:t>（5）土壤环境质量</w:t>
      </w:r>
    </w:p>
    <w:p>
      <w:pPr>
        <w:spacing w:line="360" w:lineRule="auto"/>
        <w:ind w:firstLine="480" w:firstLineChars="200"/>
        <w:rPr>
          <w:rFonts w:ascii="Times New Roman" w:hAnsi="Times New Roman" w:cs="Times New Roman"/>
        </w:rPr>
      </w:pPr>
      <w:r>
        <w:rPr>
          <w:rFonts w:ascii="Times New Roman" w:hAnsi="Times New Roman" w:cs="Times New Roman"/>
        </w:rPr>
        <w:t>土壤执行</w:t>
      </w:r>
      <w:bookmarkStart w:id="84" w:name="_Hlk80010806"/>
      <w:r>
        <w:rPr>
          <w:rFonts w:ascii="Times New Roman" w:hAnsi="Times New Roman" w:cs="Times New Roman"/>
        </w:rPr>
        <w:t>《土壤环境质量—建设用地土壤污染风险管控标准》（GB36600-2018）表1第二类用地中的筛选值标准；</w:t>
      </w:r>
      <w:bookmarkEnd w:id="84"/>
      <w:r>
        <w:rPr>
          <w:rFonts w:ascii="Times New Roman" w:hAnsi="Times New Roman" w:cs="Times New Roman"/>
        </w:rPr>
        <w:t>厂区外农用地执行《土壤环境质量农用地土壤污染风险管控标准（试行）》（GB15618-2018）表1农用地土壤污染风险筛选值。</w:t>
      </w:r>
    </w:p>
    <w:p>
      <w:pPr>
        <w:spacing w:line="360" w:lineRule="auto"/>
        <w:ind w:firstLine="480" w:firstLineChars="200"/>
        <w:rPr>
          <w:rFonts w:ascii="Times New Roman" w:hAnsi="Times New Roman" w:cs="Times New Roman"/>
        </w:rPr>
      </w:pPr>
      <w:r>
        <w:rPr>
          <w:rFonts w:ascii="Times New Roman" w:hAnsi="Times New Roman" w:cs="Times New Roman"/>
        </w:rPr>
        <w:t>具体标准值见表2.5-1-表2.5-5。</w:t>
      </w:r>
    </w:p>
    <w:p>
      <w:pPr>
        <w:pStyle w:val="6"/>
        <w:rPr>
          <w:rFonts w:ascii="Times New Roman" w:hAnsi="Times New Roman" w:cs="Times New Roman"/>
        </w:rPr>
      </w:pPr>
      <w:bookmarkStart w:id="85" w:name="_Hlk80011049"/>
      <w:r>
        <w:rPr>
          <w:rFonts w:ascii="Times New Roman" w:hAnsi="Times New Roman" w:cs="Times New Roman"/>
        </w:rPr>
        <w:t>表2.5-1  环境空气质量标准一览表</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58"/>
        <w:gridCol w:w="992"/>
        <w:gridCol w:w="1416"/>
        <w:gridCol w:w="1558"/>
        <w:gridCol w:w="1275"/>
        <w:gridCol w:w="23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62" w:type="pct"/>
            <w:vMerge w:val="restart"/>
            <w:vAlign w:val="center"/>
          </w:tcPr>
          <w:p>
            <w:pPr>
              <w:pStyle w:val="63"/>
            </w:pPr>
            <w:r>
              <w:t>污染物名称</w:t>
            </w:r>
          </w:p>
        </w:tc>
        <w:tc>
          <w:tcPr>
            <w:tcW w:w="3075" w:type="pct"/>
            <w:gridSpan w:val="4"/>
            <w:vAlign w:val="center"/>
          </w:tcPr>
          <w:p>
            <w:pPr>
              <w:pStyle w:val="63"/>
            </w:pPr>
            <w:r>
              <w:t>标准限值，ug/m3</w:t>
            </w:r>
          </w:p>
        </w:tc>
        <w:tc>
          <w:tcPr>
            <w:tcW w:w="1363" w:type="pct"/>
            <w:vMerge w:val="restart"/>
            <w:vAlign w:val="center"/>
          </w:tcPr>
          <w:p>
            <w:pPr>
              <w:pStyle w:val="63"/>
            </w:pPr>
            <w: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62" w:type="pct"/>
            <w:vMerge w:val="continue"/>
            <w:vAlign w:val="center"/>
          </w:tcPr>
          <w:p>
            <w:pPr>
              <w:pStyle w:val="63"/>
            </w:pPr>
          </w:p>
        </w:tc>
        <w:tc>
          <w:tcPr>
            <w:tcW w:w="582" w:type="pct"/>
            <w:vAlign w:val="center"/>
          </w:tcPr>
          <w:p>
            <w:pPr>
              <w:pStyle w:val="63"/>
            </w:pPr>
            <w:r>
              <w:t>年均值</w:t>
            </w:r>
          </w:p>
        </w:tc>
        <w:tc>
          <w:tcPr>
            <w:tcW w:w="831" w:type="pct"/>
            <w:vAlign w:val="center"/>
          </w:tcPr>
          <w:p>
            <w:pPr>
              <w:pStyle w:val="63"/>
            </w:pPr>
            <w:r>
              <w:t>24小时平均值</w:t>
            </w:r>
          </w:p>
        </w:tc>
        <w:tc>
          <w:tcPr>
            <w:tcW w:w="914" w:type="pct"/>
            <w:vAlign w:val="center"/>
          </w:tcPr>
          <w:p>
            <w:pPr>
              <w:pStyle w:val="63"/>
            </w:pPr>
            <w:r>
              <w:t>日最大8小时平均</w:t>
            </w:r>
          </w:p>
        </w:tc>
        <w:tc>
          <w:tcPr>
            <w:tcW w:w="748" w:type="pct"/>
            <w:vAlign w:val="center"/>
          </w:tcPr>
          <w:p>
            <w:pPr>
              <w:pStyle w:val="63"/>
            </w:pPr>
            <w:r>
              <w:t>1小时值</w:t>
            </w:r>
          </w:p>
        </w:tc>
        <w:tc>
          <w:tcPr>
            <w:tcW w:w="136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62" w:type="pct"/>
            <w:vAlign w:val="center"/>
          </w:tcPr>
          <w:p>
            <w:pPr>
              <w:pStyle w:val="63"/>
            </w:pPr>
            <w:r>
              <w:t>SO</w:t>
            </w:r>
            <w:r>
              <w:rPr>
                <w:vertAlign w:val="subscript"/>
              </w:rPr>
              <w:t>2</w:t>
            </w:r>
          </w:p>
        </w:tc>
        <w:tc>
          <w:tcPr>
            <w:tcW w:w="582" w:type="pct"/>
            <w:vAlign w:val="center"/>
          </w:tcPr>
          <w:p>
            <w:pPr>
              <w:pStyle w:val="63"/>
            </w:pPr>
            <w:r>
              <w:t>60</w:t>
            </w:r>
          </w:p>
        </w:tc>
        <w:tc>
          <w:tcPr>
            <w:tcW w:w="831" w:type="pct"/>
            <w:vAlign w:val="center"/>
          </w:tcPr>
          <w:p>
            <w:pPr>
              <w:pStyle w:val="63"/>
            </w:pPr>
            <w:r>
              <w:t>150</w:t>
            </w:r>
          </w:p>
        </w:tc>
        <w:tc>
          <w:tcPr>
            <w:tcW w:w="914" w:type="pct"/>
            <w:vAlign w:val="center"/>
          </w:tcPr>
          <w:p>
            <w:pPr>
              <w:pStyle w:val="63"/>
            </w:pPr>
            <w:r>
              <w:t>--</w:t>
            </w:r>
          </w:p>
        </w:tc>
        <w:tc>
          <w:tcPr>
            <w:tcW w:w="748" w:type="pct"/>
            <w:vAlign w:val="center"/>
          </w:tcPr>
          <w:p>
            <w:pPr>
              <w:pStyle w:val="63"/>
            </w:pPr>
            <w:r>
              <w:t>500</w:t>
            </w:r>
          </w:p>
        </w:tc>
        <w:tc>
          <w:tcPr>
            <w:tcW w:w="1363" w:type="pct"/>
            <w:vMerge w:val="restart"/>
            <w:vAlign w:val="center"/>
          </w:tcPr>
          <w:p>
            <w:pPr>
              <w:pStyle w:val="63"/>
            </w:pPr>
            <w:r>
              <w:t>《环境空气质量标准》（GB3095-2012）二级标准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62" w:type="pct"/>
            <w:vAlign w:val="center"/>
          </w:tcPr>
          <w:p>
            <w:pPr>
              <w:pStyle w:val="63"/>
            </w:pPr>
            <w:r>
              <w:t>NO</w:t>
            </w:r>
            <w:r>
              <w:rPr>
                <w:vertAlign w:val="subscript"/>
              </w:rPr>
              <w:t>2</w:t>
            </w:r>
          </w:p>
        </w:tc>
        <w:tc>
          <w:tcPr>
            <w:tcW w:w="582" w:type="pct"/>
            <w:vAlign w:val="center"/>
          </w:tcPr>
          <w:p>
            <w:pPr>
              <w:pStyle w:val="63"/>
            </w:pPr>
            <w:r>
              <w:t>40</w:t>
            </w:r>
          </w:p>
        </w:tc>
        <w:tc>
          <w:tcPr>
            <w:tcW w:w="831" w:type="pct"/>
            <w:vAlign w:val="center"/>
          </w:tcPr>
          <w:p>
            <w:pPr>
              <w:pStyle w:val="63"/>
            </w:pPr>
            <w:r>
              <w:t>80</w:t>
            </w:r>
          </w:p>
        </w:tc>
        <w:tc>
          <w:tcPr>
            <w:tcW w:w="914" w:type="pct"/>
            <w:vAlign w:val="center"/>
          </w:tcPr>
          <w:p>
            <w:pPr>
              <w:pStyle w:val="63"/>
            </w:pPr>
            <w:r>
              <w:t>--</w:t>
            </w:r>
          </w:p>
        </w:tc>
        <w:tc>
          <w:tcPr>
            <w:tcW w:w="748" w:type="pct"/>
            <w:vAlign w:val="center"/>
          </w:tcPr>
          <w:p>
            <w:pPr>
              <w:pStyle w:val="63"/>
            </w:pPr>
            <w:r>
              <w:t>200</w:t>
            </w:r>
          </w:p>
        </w:tc>
        <w:tc>
          <w:tcPr>
            <w:tcW w:w="136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62" w:type="pct"/>
            <w:vAlign w:val="center"/>
          </w:tcPr>
          <w:p>
            <w:pPr>
              <w:pStyle w:val="63"/>
            </w:pPr>
            <w:r>
              <w:t>PM</w:t>
            </w:r>
            <w:r>
              <w:rPr>
                <w:vertAlign w:val="subscript"/>
              </w:rPr>
              <w:t>10</w:t>
            </w:r>
          </w:p>
        </w:tc>
        <w:tc>
          <w:tcPr>
            <w:tcW w:w="582" w:type="pct"/>
            <w:vAlign w:val="center"/>
          </w:tcPr>
          <w:p>
            <w:pPr>
              <w:pStyle w:val="63"/>
            </w:pPr>
            <w:r>
              <w:t>70</w:t>
            </w:r>
          </w:p>
        </w:tc>
        <w:tc>
          <w:tcPr>
            <w:tcW w:w="831" w:type="pct"/>
            <w:vAlign w:val="center"/>
          </w:tcPr>
          <w:p>
            <w:pPr>
              <w:pStyle w:val="63"/>
            </w:pPr>
            <w:r>
              <w:t>150</w:t>
            </w:r>
          </w:p>
        </w:tc>
        <w:tc>
          <w:tcPr>
            <w:tcW w:w="914" w:type="pct"/>
            <w:vAlign w:val="center"/>
          </w:tcPr>
          <w:p>
            <w:pPr>
              <w:pStyle w:val="63"/>
            </w:pPr>
            <w:r>
              <w:t>--</w:t>
            </w:r>
          </w:p>
        </w:tc>
        <w:tc>
          <w:tcPr>
            <w:tcW w:w="748" w:type="pct"/>
            <w:vAlign w:val="center"/>
          </w:tcPr>
          <w:p>
            <w:pPr>
              <w:pStyle w:val="63"/>
            </w:pPr>
            <w:r>
              <w:t>--</w:t>
            </w:r>
          </w:p>
        </w:tc>
        <w:tc>
          <w:tcPr>
            <w:tcW w:w="136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62" w:type="pct"/>
            <w:vAlign w:val="center"/>
          </w:tcPr>
          <w:p>
            <w:pPr>
              <w:pStyle w:val="63"/>
            </w:pPr>
            <w:r>
              <w:t>PM</w:t>
            </w:r>
            <w:r>
              <w:rPr>
                <w:vertAlign w:val="subscript"/>
              </w:rPr>
              <w:t>2.5</w:t>
            </w:r>
          </w:p>
        </w:tc>
        <w:tc>
          <w:tcPr>
            <w:tcW w:w="582" w:type="pct"/>
            <w:vAlign w:val="center"/>
          </w:tcPr>
          <w:p>
            <w:pPr>
              <w:pStyle w:val="63"/>
            </w:pPr>
            <w:r>
              <w:t>35</w:t>
            </w:r>
          </w:p>
        </w:tc>
        <w:tc>
          <w:tcPr>
            <w:tcW w:w="831" w:type="pct"/>
            <w:vAlign w:val="center"/>
          </w:tcPr>
          <w:p>
            <w:pPr>
              <w:pStyle w:val="63"/>
            </w:pPr>
            <w:r>
              <w:t>75</w:t>
            </w:r>
          </w:p>
        </w:tc>
        <w:tc>
          <w:tcPr>
            <w:tcW w:w="914" w:type="pct"/>
            <w:vAlign w:val="center"/>
          </w:tcPr>
          <w:p>
            <w:pPr>
              <w:pStyle w:val="63"/>
            </w:pPr>
            <w:r>
              <w:t>--</w:t>
            </w:r>
          </w:p>
        </w:tc>
        <w:tc>
          <w:tcPr>
            <w:tcW w:w="748" w:type="pct"/>
            <w:vAlign w:val="center"/>
          </w:tcPr>
          <w:p>
            <w:pPr>
              <w:pStyle w:val="63"/>
            </w:pPr>
            <w:r>
              <w:t>--</w:t>
            </w:r>
          </w:p>
        </w:tc>
        <w:tc>
          <w:tcPr>
            <w:tcW w:w="136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62" w:type="pct"/>
            <w:vAlign w:val="center"/>
          </w:tcPr>
          <w:p>
            <w:pPr>
              <w:pStyle w:val="63"/>
            </w:pPr>
            <w:r>
              <w:t>CO</w:t>
            </w:r>
          </w:p>
        </w:tc>
        <w:tc>
          <w:tcPr>
            <w:tcW w:w="582" w:type="pct"/>
            <w:vAlign w:val="center"/>
          </w:tcPr>
          <w:p>
            <w:pPr>
              <w:pStyle w:val="63"/>
            </w:pPr>
            <w:r>
              <w:t>--</w:t>
            </w:r>
          </w:p>
        </w:tc>
        <w:tc>
          <w:tcPr>
            <w:tcW w:w="831" w:type="pct"/>
            <w:vAlign w:val="center"/>
          </w:tcPr>
          <w:p>
            <w:pPr>
              <w:pStyle w:val="63"/>
            </w:pPr>
            <w:r>
              <w:t>4</w:t>
            </w:r>
          </w:p>
        </w:tc>
        <w:tc>
          <w:tcPr>
            <w:tcW w:w="914" w:type="pct"/>
            <w:vAlign w:val="center"/>
          </w:tcPr>
          <w:p>
            <w:pPr>
              <w:pStyle w:val="63"/>
            </w:pPr>
            <w:r>
              <w:t>--</w:t>
            </w:r>
          </w:p>
        </w:tc>
        <w:tc>
          <w:tcPr>
            <w:tcW w:w="748" w:type="pct"/>
            <w:vAlign w:val="center"/>
          </w:tcPr>
          <w:p>
            <w:pPr>
              <w:pStyle w:val="63"/>
            </w:pPr>
            <w:r>
              <w:t>10</w:t>
            </w:r>
          </w:p>
        </w:tc>
        <w:tc>
          <w:tcPr>
            <w:tcW w:w="136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62" w:type="pct"/>
            <w:vAlign w:val="center"/>
          </w:tcPr>
          <w:p>
            <w:pPr>
              <w:pStyle w:val="63"/>
            </w:pPr>
            <w:r>
              <w:t>O</w:t>
            </w:r>
            <w:r>
              <w:rPr>
                <w:vertAlign w:val="subscript"/>
              </w:rPr>
              <w:t>3</w:t>
            </w:r>
          </w:p>
        </w:tc>
        <w:tc>
          <w:tcPr>
            <w:tcW w:w="582" w:type="pct"/>
            <w:vAlign w:val="center"/>
          </w:tcPr>
          <w:p>
            <w:pPr>
              <w:pStyle w:val="63"/>
            </w:pPr>
            <w:r>
              <w:t>--</w:t>
            </w:r>
          </w:p>
        </w:tc>
        <w:tc>
          <w:tcPr>
            <w:tcW w:w="831" w:type="pct"/>
            <w:vAlign w:val="center"/>
          </w:tcPr>
          <w:p>
            <w:pPr>
              <w:pStyle w:val="63"/>
            </w:pPr>
            <w:r>
              <w:t>--</w:t>
            </w:r>
          </w:p>
        </w:tc>
        <w:tc>
          <w:tcPr>
            <w:tcW w:w="914" w:type="pct"/>
            <w:vAlign w:val="center"/>
          </w:tcPr>
          <w:p>
            <w:pPr>
              <w:pStyle w:val="63"/>
            </w:pPr>
            <w:r>
              <w:t>160</w:t>
            </w:r>
          </w:p>
        </w:tc>
        <w:tc>
          <w:tcPr>
            <w:tcW w:w="748" w:type="pct"/>
            <w:vAlign w:val="center"/>
          </w:tcPr>
          <w:p>
            <w:pPr>
              <w:pStyle w:val="63"/>
            </w:pPr>
            <w:r>
              <w:t>200</w:t>
            </w:r>
          </w:p>
        </w:tc>
        <w:tc>
          <w:tcPr>
            <w:tcW w:w="136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62" w:type="pct"/>
            <w:vAlign w:val="center"/>
          </w:tcPr>
          <w:p>
            <w:pPr>
              <w:pStyle w:val="63"/>
            </w:pPr>
            <w:r>
              <w:t>TSP</w:t>
            </w:r>
          </w:p>
        </w:tc>
        <w:tc>
          <w:tcPr>
            <w:tcW w:w="582" w:type="pct"/>
            <w:vAlign w:val="center"/>
          </w:tcPr>
          <w:p>
            <w:pPr>
              <w:pStyle w:val="63"/>
            </w:pPr>
            <w:r>
              <w:t>200</w:t>
            </w:r>
          </w:p>
        </w:tc>
        <w:tc>
          <w:tcPr>
            <w:tcW w:w="831" w:type="pct"/>
            <w:vAlign w:val="center"/>
          </w:tcPr>
          <w:p>
            <w:pPr>
              <w:pStyle w:val="63"/>
            </w:pPr>
            <w:r>
              <w:t>300</w:t>
            </w:r>
          </w:p>
        </w:tc>
        <w:tc>
          <w:tcPr>
            <w:tcW w:w="914" w:type="pct"/>
            <w:vAlign w:val="center"/>
          </w:tcPr>
          <w:p>
            <w:pPr>
              <w:pStyle w:val="63"/>
            </w:pPr>
            <w:r>
              <w:t>--</w:t>
            </w:r>
          </w:p>
        </w:tc>
        <w:tc>
          <w:tcPr>
            <w:tcW w:w="748" w:type="pct"/>
            <w:vAlign w:val="center"/>
          </w:tcPr>
          <w:p>
            <w:pPr>
              <w:pStyle w:val="63"/>
            </w:pPr>
            <w:r>
              <w:t>--</w:t>
            </w:r>
          </w:p>
        </w:tc>
        <w:tc>
          <w:tcPr>
            <w:tcW w:w="136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62" w:type="pct"/>
            <w:vAlign w:val="center"/>
          </w:tcPr>
          <w:p>
            <w:pPr>
              <w:pStyle w:val="63"/>
            </w:pPr>
            <w:r>
              <w:t>NOx</w:t>
            </w:r>
          </w:p>
        </w:tc>
        <w:tc>
          <w:tcPr>
            <w:tcW w:w="582" w:type="pct"/>
            <w:vAlign w:val="center"/>
          </w:tcPr>
          <w:p>
            <w:pPr>
              <w:pStyle w:val="63"/>
            </w:pPr>
            <w:r>
              <w:t>50</w:t>
            </w:r>
          </w:p>
        </w:tc>
        <w:tc>
          <w:tcPr>
            <w:tcW w:w="831" w:type="pct"/>
            <w:vAlign w:val="center"/>
          </w:tcPr>
          <w:p>
            <w:pPr>
              <w:pStyle w:val="63"/>
            </w:pPr>
            <w:r>
              <w:t>100</w:t>
            </w:r>
          </w:p>
        </w:tc>
        <w:tc>
          <w:tcPr>
            <w:tcW w:w="914" w:type="pct"/>
            <w:vAlign w:val="center"/>
          </w:tcPr>
          <w:p>
            <w:pPr>
              <w:pStyle w:val="63"/>
            </w:pPr>
            <w:r>
              <w:t>--</w:t>
            </w:r>
          </w:p>
        </w:tc>
        <w:tc>
          <w:tcPr>
            <w:tcW w:w="748" w:type="pct"/>
            <w:vAlign w:val="center"/>
          </w:tcPr>
          <w:p>
            <w:pPr>
              <w:pStyle w:val="63"/>
            </w:pPr>
            <w:r>
              <w:t>250</w:t>
            </w:r>
          </w:p>
        </w:tc>
        <w:tc>
          <w:tcPr>
            <w:tcW w:w="136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62" w:type="pct"/>
            <w:vAlign w:val="center"/>
          </w:tcPr>
          <w:p>
            <w:pPr>
              <w:pStyle w:val="63"/>
            </w:pPr>
            <w:r>
              <w:t>氟化物</w:t>
            </w:r>
          </w:p>
        </w:tc>
        <w:tc>
          <w:tcPr>
            <w:tcW w:w="582" w:type="pct"/>
            <w:vAlign w:val="center"/>
          </w:tcPr>
          <w:p>
            <w:pPr>
              <w:pStyle w:val="63"/>
            </w:pPr>
            <w:r>
              <w:t>--</w:t>
            </w:r>
          </w:p>
        </w:tc>
        <w:tc>
          <w:tcPr>
            <w:tcW w:w="831" w:type="pct"/>
            <w:vAlign w:val="center"/>
          </w:tcPr>
          <w:p>
            <w:pPr>
              <w:pStyle w:val="63"/>
            </w:pPr>
            <w:r>
              <w:t>7</w:t>
            </w:r>
          </w:p>
        </w:tc>
        <w:tc>
          <w:tcPr>
            <w:tcW w:w="914" w:type="pct"/>
            <w:vAlign w:val="center"/>
          </w:tcPr>
          <w:p>
            <w:pPr>
              <w:pStyle w:val="63"/>
            </w:pPr>
            <w:r>
              <w:t>--</w:t>
            </w:r>
          </w:p>
        </w:tc>
        <w:tc>
          <w:tcPr>
            <w:tcW w:w="748" w:type="pct"/>
            <w:vAlign w:val="center"/>
          </w:tcPr>
          <w:p>
            <w:pPr>
              <w:pStyle w:val="63"/>
            </w:pPr>
            <w:r>
              <w:t>20</w:t>
            </w:r>
          </w:p>
        </w:tc>
        <w:tc>
          <w:tcPr>
            <w:tcW w:w="136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62" w:type="pct"/>
            <w:vAlign w:val="center"/>
          </w:tcPr>
          <w:p>
            <w:pPr>
              <w:pStyle w:val="63"/>
            </w:pPr>
            <w:r>
              <w:t>HCl</w:t>
            </w:r>
          </w:p>
        </w:tc>
        <w:tc>
          <w:tcPr>
            <w:tcW w:w="582" w:type="pct"/>
            <w:vAlign w:val="center"/>
          </w:tcPr>
          <w:p>
            <w:pPr>
              <w:pStyle w:val="63"/>
            </w:pPr>
            <w:r>
              <w:t>--</w:t>
            </w:r>
          </w:p>
        </w:tc>
        <w:tc>
          <w:tcPr>
            <w:tcW w:w="831" w:type="pct"/>
            <w:vAlign w:val="center"/>
          </w:tcPr>
          <w:p>
            <w:pPr>
              <w:pStyle w:val="63"/>
            </w:pPr>
            <w:r>
              <w:t>15</w:t>
            </w:r>
          </w:p>
        </w:tc>
        <w:tc>
          <w:tcPr>
            <w:tcW w:w="914" w:type="pct"/>
            <w:vAlign w:val="center"/>
          </w:tcPr>
          <w:p>
            <w:pPr>
              <w:pStyle w:val="63"/>
            </w:pPr>
            <w:r>
              <w:t>--</w:t>
            </w:r>
          </w:p>
        </w:tc>
        <w:tc>
          <w:tcPr>
            <w:tcW w:w="748" w:type="pct"/>
            <w:vAlign w:val="center"/>
          </w:tcPr>
          <w:p>
            <w:pPr>
              <w:pStyle w:val="63"/>
            </w:pPr>
            <w:r>
              <w:t>50</w:t>
            </w:r>
          </w:p>
        </w:tc>
        <w:tc>
          <w:tcPr>
            <w:tcW w:w="1363" w:type="pct"/>
            <w:vMerge w:val="restart"/>
            <w:vAlign w:val="center"/>
          </w:tcPr>
          <w:p>
            <w:pPr>
              <w:pStyle w:val="63"/>
            </w:pPr>
            <w:r>
              <w:t>《环境影响评价技术导则大气环境》附录D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62" w:type="pct"/>
            <w:vAlign w:val="center"/>
          </w:tcPr>
          <w:p>
            <w:pPr>
              <w:pStyle w:val="63"/>
            </w:pPr>
            <w:r>
              <w:t>硫酸雾</w:t>
            </w:r>
          </w:p>
        </w:tc>
        <w:tc>
          <w:tcPr>
            <w:tcW w:w="582" w:type="pct"/>
            <w:vAlign w:val="center"/>
          </w:tcPr>
          <w:p>
            <w:pPr>
              <w:pStyle w:val="63"/>
            </w:pPr>
            <w:r>
              <w:t>--</w:t>
            </w:r>
          </w:p>
        </w:tc>
        <w:tc>
          <w:tcPr>
            <w:tcW w:w="831" w:type="pct"/>
            <w:vAlign w:val="center"/>
          </w:tcPr>
          <w:p>
            <w:pPr>
              <w:pStyle w:val="63"/>
            </w:pPr>
            <w:r>
              <w:t>300</w:t>
            </w:r>
          </w:p>
        </w:tc>
        <w:tc>
          <w:tcPr>
            <w:tcW w:w="914" w:type="pct"/>
            <w:vAlign w:val="center"/>
          </w:tcPr>
          <w:p>
            <w:pPr>
              <w:pStyle w:val="63"/>
            </w:pPr>
            <w:r>
              <w:t>--</w:t>
            </w:r>
          </w:p>
        </w:tc>
        <w:tc>
          <w:tcPr>
            <w:tcW w:w="748" w:type="pct"/>
            <w:vAlign w:val="center"/>
          </w:tcPr>
          <w:p>
            <w:pPr>
              <w:pStyle w:val="63"/>
            </w:pPr>
            <w:r>
              <w:t>100</w:t>
            </w:r>
          </w:p>
        </w:tc>
        <w:tc>
          <w:tcPr>
            <w:tcW w:w="136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62" w:type="pct"/>
            <w:vAlign w:val="center"/>
          </w:tcPr>
          <w:p>
            <w:pPr>
              <w:pStyle w:val="63"/>
            </w:pPr>
            <w:r>
              <w:t>TVOC</w:t>
            </w:r>
          </w:p>
        </w:tc>
        <w:tc>
          <w:tcPr>
            <w:tcW w:w="582" w:type="pct"/>
            <w:vAlign w:val="center"/>
          </w:tcPr>
          <w:p>
            <w:pPr>
              <w:pStyle w:val="63"/>
            </w:pPr>
            <w:r>
              <w:t>--</w:t>
            </w:r>
          </w:p>
        </w:tc>
        <w:tc>
          <w:tcPr>
            <w:tcW w:w="831" w:type="pct"/>
            <w:vAlign w:val="center"/>
          </w:tcPr>
          <w:p>
            <w:pPr>
              <w:pStyle w:val="63"/>
            </w:pPr>
            <w:r>
              <w:t>--</w:t>
            </w:r>
          </w:p>
        </w:tc>
        <w:tc>
          <w:tcPr>
            <w:tcW w:w="914" w:type="pct"/>
            <w:vAlign w:val="center"/>
          </w:tcPr>
          <w:p>
            <w:pPr>
              <w:pStyle w:val="63"/>
            </w:pPr>
            <w:r>
              <w:t>--</w:t>
            </w:r>
          </w:p>
        </w:tc>
        <w:tc>
          <w:tcPr>
            <w:tcW w:w="748" w:type="pct"/>
            <w:vAlign w:val="center"/>
          </w:tcPr>
          <w:p>
            <w:pPr>
              <w:pStyle w:val="63"/>
            </w:pPr>
            <w:r>
              <w:t>600（8小时平均）</w:t>
            </w:r>
          </w:p>
        </w:tc>
        <w:tc>
          <w:tcPr>
            <w:tcW w:w="136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62" w:type="pct"/>
            <w:vAlign w:val="center"/>
          </w:tcPr>
          <w:p>
            <w:pPr>
              <w:pStyle w:val="63"/>
            </w:pPr>
            <w:r>
              <w:t>镍及其化合物</w:t>
            </w:r>
          </w:p>
        </w:tc>
        <w:tc>
          <w:tcPr>
            <w:tcW w:w="582" w:type="pct"/>
            <w:vAlign w:val="center"/>
          </w:tcPr>
          <w:p>
            <w:pPr>
              <w:pStyle w:val="63"/>
            </w:pPr>
            <w:r>
              <w:t>--</w:t>
            </w:r>
          </w:p>
        </w:tc>
        <w:tc>
          <w:tcPr>
            <w:tcW w:w="831" w:type="pct"/>
            <w:vAlign w:val="center"/>
          </w:tcPr>
          <w:p>
            <w:pPr>
              <w:pStyle w:val="63"/>
            </w:pPr>
            <w:r>
              <w:t>30</w:t>
            </w:r>
          </w:p>
        </w:tc>
        <w:tc>
          <w:tcPr>
            <w:tcW w:w="914" w:type="pct"/>
            <w:vAlign w:val="center"/>
          </w:tcPr>
          <w:p>
            <w:pPr>
              <w:pStyle w:val="63"/>
            </w:pPr>
            <w:r>
              <w:t>--</w:t>
            </w:r>
          </w:p>
        </w:tc>
        <w:tc>
          <w:tcPr>
            <w:tcW w:w="748" w:type="pct"/>
            <w:vAlign w:val="center"/>
          </w:tcPr>
          <w:p>
            <w:pPr>
              <w:pStyle w:val="63"/>
            </w:pPr>
            <w:r>
              <w:t>--）</w:t>
            </w:r>
          </w:p>
        </w:tc>
        <w:tc>
          <w:tcPr>
            <w:tcW w:w="1363" w:type="pct"/>
            <w:vAlign w:val="center"/>
          </w:tcPr>
          <w:p>
            <w:pPr>
              <w:pStyle w:val="63"/>
            </w:pPr>
            <w:r>
              <w:t>《大气污染物综合排放标准详解》</w:t>
            </w:r>
          </w:p>
        </w:tc>
      </w:tr>
      <w:bookmarkEnd w:id="85"/>
    </w:tbl>
    <w:p>
      <w:pPr>
        <w:pStyle w:val="6"/>
        <w:rPr>
          <w:rFonts w:ascii="Times New Roman" w:hAnsi="Times New Roman" w:cs="Times New Roman"/>
        </w:rPr>
      </w:pPr>
      <w:r>
        <w:rPr>
          <w:rFonts w:ascii="Times New Roman" w:hAnsi="Times New Roman" w:cs="Times New Roman"/>
        </w:rPr>
        <w:t>表2.5-2  地表水环境质量标准（mg/L，pH除外）</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40"/>
        <w:gridCol w:w="1087"/>
        <w:gridCol w:w="922"/>
        <w:gridCol w:w="922"/>
        <w:gridCol w:w="1018"/>
        <w:gridCol w:w="1074"/>
        <w:gridCol w:w="1047"/>
        <w:gridCol w:w="121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8" w:type="pct"/>
            <w:vAlign w:val="center"/>
          </w:tcPr>
          <w:p>
            <w:pPr>
              <w:jc w:val="center"/>
              <w:rPr>
                <w:rFonts w:ascii="Times New Roman" w:hAnsi="Times New Roman" w:cs="Times New Roman"/>
                <w:sz w:val="21"/>
                <w:szCs w:val="21"/>
              </w:rPr>
            </w:pPr>
            <w:r>
              <w:rPr>
                <w:rFonts w:ascii="Times New Roman" w:hAnsi="Times New Roman" w:cs="Times New Roman"/>
                <w:sz w:val="21"/>
                <w:szCs w:val="21"/>
              </w:rPr>
              <w:t>标准</w:t>
            </w:r>
          </w:p>
        </w:tc>
        <w:tc>
          <w:tcPr>
            <w:tcW w:w="4272" w:type="pct"/>
            <w:gridSpan w:val="7"/>
            <w:vAlign w:val="center"/>
          </w:tcPr>
          <w:p>
            <w:pPr>
              <w:jc w:val="center"/>
              <w:rPr>
                <w:rFonts w:ascii="Times New Roman" w:hAnsi="Times New Roman" w:cs="Times New Roman"/>
                <w:sz w:val="21"/>
                <w:szCs w:val="21"/>
              </w:rPr>
            </w:pPr>
            <w:r>
              <w:rPr>
                <w:rFonts w:ascii="Times New Roman" w:hAnsi="Times New Roman" w:cs="Times New Roman"/>
                <w:sz w:val="21"/>
                <w:szCs w:val="21"/>
              </w:rPr>
              <w:t>标准值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8" w:type="pct"/>
            <w:vMerge w:val="restart"/>
            <w:vAlign w:val="center"/>
          </w:tcPr>
          <w:p>
            <w:pPr>
              <w:ind w:left="-91" w:leftChars="-38" w:right="-58" w:rightChars="-24"/>
              <w:jc w:val="center"/>
              <w:rPr>
                <w:rFonts w:ascii="Times New Roman" w:hAnsi="Times New Roman" w:cs="Times New Roman"/>
                <w:sz w:val="21"/>
                <w:szCs w:val="21"/>
              </w:rPr>
            </w:pPr>
            <w:r>
              <w:rPr>
                <w:rFonts w:ascii="Times New Roman" w:hAnsi="Times New Roman" w:cs="Times New Roman"/>
                <w:sz w:val="21"/>
                <w:szCs w:val="21"/>
              </w:rPr>
              <w:t>地表水环境质量标准</w:t>
            </w:r>
          </w:p>
          <w:p>
            <w:pPr>
              <w:jc w:val="center"/>
              <w:rPr>
                <w:rFonts w:ascii="Times New Roman" w:hAnsi="Times New Roman" w:cs="Times New Roman"/>
                <w:sz w:val="21"/>
                <w:szCs w:val="21"/>
              </w:rPr>
            </w:pPr>
            <w:r>
              <w:rPr>
                <w:rFonts w:ascii="Times New Roman" w:hAnsi="Times New Roman" w:cs="Times New Roman"/>
                <w:sz w:val="21"/>
                <w:szCs w:val="21"/>
              </w:rPr>
              <w:t>（mg/L，pH无量纲）</w:t>
            </w:r>
          </w:p>
        </w:tc>
        <w:tc>
          <w:tcPr>
            <w:tcW w:w="638" w:type="pct"/>
            <w:vAlign w:val="center"/>
          </w:tcPr>
          <w:p>
            <w:pPr>
              <w:jc w:val="center"/>
              <w:rPr>
                <w:rFonts w:ascii="Times New Roman" w:hAnsi="Times New Roman" w:cs="Times New Roman"/>
                <w:sz w:val="21"/>
                <w:szCs w:val="21"/>
              </w:rPr>
            </w:pPr>
            <w:r>
              <w:rPr>
                <w:rFonts w:ascii="Times New Roman" w:hAnsi="Times New Roman" w:cs="Times New Roman"/>
                <w:sz w:val="21"/>
                <w:szCs w:val="21"/>
              </w:rPr>
              <w:t>污染物</w:t>
            </w:r>
          </w:p>
        </w:tc>
        <w:tc>
          <w:tcPr>
            <w:tcW w:w="541" w:type="pct"/>
            <w:vAlign w:val="center"/>
          </w:tcPr>
          <w:p>
            <w:pPr>
              <w:jc w:val="center"/>
              <w:rPr>
                <w:rFonts w:ascii="Times New Roman" w:hAnsi="Times New Roman" w:cs="Times New Roman"/>
                <w:sz w:val="21"/>
                <w:szCs w:val="21"/>
              </w:rPr>
            </w:pPr>
            <w:r>
              <w:rPr>
                <w:rFonts w:ascii="Times New Roman" w:hAnsi="Times New Roman" w:cs="Times New Roman"/>
                <w:sz w:val="21"/>
                <w:szCs w:val="21"/>
              </w:rPr>
              <w:t>pH</w:t>
            </w:r>
          </w:p>
        </w:tc>
        <w:tc>
          <w:tcPr>
            <w:tcW w:w="541" w:type="pct"/>
            <w:vAlign w:val="center"/>
          </w:tcPr>
          <w:p>
            <w:pPr>
              <w:jc w:val="center"/>
              <w:rPr>
                <w:rFonts w:ascii="Times New Roman" w:hAnsi="Times New Roman" w:cs="Times New Roman"/>
                <w:sz w:val="21"/>
                <w:szCs w:val="21"/>
              </w:rPr>
            </w:pPr>
            <w:r>
              <w:rPr>
                <w:rFonts w:ascii="Times New Roman" w:hAnsi="Times New Roman" w:cs="Times New Roman"/>
                <w:sz w:val="21"/>
                <w:szCs w:val="21"/>
              </w:rPr>
              <w:t>COD</w:t>
            </w:r>
          </w:p>
        </w:tc>
        <w:tc>
          <w:tcPr>
            <w:tcW w:w="597" w:type="pct"/>
            <w:vAlign w:val="center"/>
          </w:tcPr>
          <w:p>
            <w:pPr>
              <w:jc w:val="center"/>
              <w:rPr>
                <w:rFonts w:ascii="Times New Roman" w:hAnsi="Times New Roman" w:cs="Times New Roman"/>
                <w:sz w:val="21"/>
                <w:szCs w:val="21"/>
              </w:rPr>
            </w:pPr>
            <w:r>
              <w:rPr>
                <w:rFonts w:ascii="Times New Roman" w:hAnsi="Times New Roman" w:cs="Times New Roman"/>
                <w:sz w:val="21"/>
                <w:szCs w:val="21"/>
              </w:rPr>
              <w:t>BOD</w:t>
            </w:r>
            <w:r>
              <w:rPr>
                <w:rFonts w:ascii="Times New Roman" w:hAnsi="Times New Roman" w:cs="Times New Roman"/>
                <w:sz w:val="21"/>
                <w:szCs w:val="21"/>
                <w:vertAlign w:val="subscript"/>
              </w:rPr>
              <w:t>5</w:t>
            </w:r>
          </w:p>
        </w:tc>
        <w:tc>
          <w:tcPr>
            <w:tcW w:w="630" w:type="pct"/>
            <w:vAlign w:val="center"/>
          </w:tcPr>
          <w:p>
            <w:pPr>
              <w:jc w:val="center"/>
              <w:rPr>
                <w:rFonts w:ascii="Times New Roman" w:hAnsi="Times New Roman" w:cs="Times New Roman"/>
                <w:sz w:val="21"/>
                <w:szCs w:val="21"/>
              </w:rPr>
            </w:pPr>
            <w:r>
              <w:rPr>
                <w:rFonts w:ascii="Times New Roman" w:hAnsi="Times New Roman" w:cs="Times New Roman"/>
                <w:sz w:val="21"/>
                <w:szCs w:val="21"/>
              </w:rPr>
              <w:t>氨氮</w:t>
            </w:r>
          </w:p>
        </w:tc>
        <w:tc>
          <w:tcPr>
            <w:tcW w:w="614" w:type="pct"/>
            <w:vAlign w:val="center"/>
          </w:tcPr>
          <w:p>
            <w:pPr>
              <w:jc w:val="center"/>
              <w:rPr>
                <w:rFonts w:ascii="Times New Roman" w:hAnsi="Times New Roman" w:cs="Times New Roman"/>
                <w:sz w:val="21"/>
                <w:szCs w:val="21"/>
              </w:rPr>
            </w:pPr>
            <w:r>
              <w:rPr>
                <w:rFonts w:ascii="Times New Roman" w:hAnsi="Times New Roman" w:cs="Times New Roman"/>
                <w:sz w:val="21"/>
                <w:szCs w:val="21"/>
              </w:rPr>
              <w:t>石油类</w:t>
            </w:r>
          </w:p>
        </w:tc>
        <w:tc>
          <w:tcPr>
            <w:tcW w:w="711" w:type="pct"/>
            <w:vAlign w:val="center"/>
          </w:tcPr>
          <w:p>
            <w:pPr>
              <w:ind w:left="-118" w:leftChars="-49" w:right="-163" w:rightChars="-68"/>
              <w:jc w:val="center"/>
              <w:rPr>
                <w:rFonts w:ascii="Times New Roman" w:hAnsi="Times New Roman" w:cs="Times New Roman"/>
                <w:sz w:val="21"/>
                <w:szCs w:val="21"/>
              </w:rPr>
            </w:pPr>
            <w:r>
              <w:rPr>
                <w:rFonts w:ascii="Times New Roman" w:hAnsi="Times New Roman" w:cs="Times New Roman"/>
                <w:sz w:val="21"/>
                <w:szCs w:val="21"/>
              </w:rPr>
              <w:t>高锰酸盐指数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8" w:type="pct"/>
            <w:vMerge w:val="continue"/>
            <w:vAlign w:val="center"/>
          </w:tcPr>
          <w:p>
            <w:pPr>
              <w:jc w:val="center"/>
              <w:rPr>
                <w:rFonts w:ascii="Times New Roman" w:hAnsi="Times New Roman" w:cs="Times New Roman"/>
                <w:sz w:val="21"/>
                <w:szCs w:val="21"/>
              </w:rPr>
            </w:pPr>
          </w:p>
        </w:tc>
        <w:tc>
          <w:tcPr>
            <w:tcW w:w="638" w:type="pct"/>
            <w:vAlign w:val="center"/>
          </w:tcPr>
          <w:p>
            <w:pPr>
              <w:jc w:val="center"/>
              <w:rPr>
                <w:rFonts w:ascii="Times New Roman" w:hAnsi="Times New Roman" w:cs="Times New Roman"/>
                <w:sz w:val="21"/>
                <w:szCs w:val="21"/>
              </w:rPr>
            </w:pPr>
            <w:r>
              <w:rPr>
                <w:rFonts w:hint="eastAsia" w:ascii="宋体" w:hAnsi="宋体" w:eastAsia="宋体" w:cs="宋体"/>
                <w:sz w:val="21"/>
                <w:szCs w:val="21"/>
              </w:rPr>
              <w:t>Ⅱ</w:t>
            </w:r>
            <w:r>
              <w:rPr>
                <w:rFonts w:ascii="Times New Roman" w:hAnsi="Times New Roman" w:cs="Times New Roman"/>
                <w:sz w:val="21"/>
                <w:szCs w:val="21"/>
              </w:rPr>
              <w:t>类标准</w:t>
            </w:r>
          </w:p>
        </w:tc>
        <w:tc>
          <w:tcPr>
            <w:tcW w:w="541" w:type="pct"/>
            <w:vAlign w:val="center"/>
          </w:tcPr>
          <w:p>
            <w:pPr>
              <w:jc w:val="center"/>
              <w:rPr>
                <w:rFonts w:ascii="Times New Roman" w:hAnsi="Times New Roman" w:cs="Times New Roman"/>
                <w:sz w:val="21"/>
                <w:szCs w:val="21"/>
              </w:rPr>
            </w:pPr>
            <w:r>
              <w:rPr>
                <w:rFonts w:ascii="Times New Roman" w:hAnsi="Times New Roman" w:cs="Times New Roman"/>
                <w:sz w:val="21"/>
                <w:szCs w:val="21"/>
              </w:rPr>
              <w:t>6~9</w:t>
            </w:r>
          </w:p>
        </w:tc>
        <w:tc>
          <w:tcPr>
            <w:tcW w:w="541" w:type="pct"/>
            <w:vAlign w:val="center"/>
          </w:tcPr>
          <w:p>
            <w:pPr>
              <w:jc w:val="center"/>
              <w:rPr>
                <w:rFonts w:ascii="Times New Roman" w:hAnsi="Times New Roman" w:cs="Times New Roman"/>
                <w:sz w:val="21"/>
                <w:szCs w:val="21"/>
              </w:rPr>
            </w:pPr>
            <w:r>
              <w:rPr>
                <w:rFonts w:ascii="Times New Roman" w:hAnsi="Times New Roman" w:cs="Times New Roman"/>
                <w:sz w:val="21"/>
                <w:szCs w:val="21"/>
              </w:rPr>
              <w:t>≤15.0</w:t>
            </w:r>
          </w:p>
        </w:tc>
        <w:tc>
          <w:tcPr>
            <w:tcW w:w="597" w:type="pct"/>
            <w:vAlign w:val="center"/>
          </w:tcPr>
          <w:p>
            <w:pPr>
              <w:jc w:val="center"/>
              <w:rPr>
                <w:rFonts w:ascii="Times New Roman" w:hAnsi="Times New Roman" w:cs="Times New Roman"/>
                <w:sz w:val="21"/>
                <w:szCs w:val="21"/>
              </w:rPr>
            </w:pPr>
            <w:r>
              <w:rPr>
                <w:rFonts w:ascii="Times New Roman" w:hAnsi="Times New Roman" w:cs="Times New Roman"/>
                <w:sz w:val="21"/>
                <w:szCs w:val="21"/>
              </w:rPr>
              <w:t>≤3.0</w:t>
            </w:r>
          </w:p>
        </w:tc>
        <w:tc>
          <w:tcPr>
            <w:tcW w:w="630" w:type="pct"/>
            <w:vAlign w:val="center"/>
          </w:tcPr>
          <w:p>
            <w:pPr>
              <w:jc w:val="center"/>
              <w:rPr>
                <w:rFonts w:ascii="Times New Roman" w:hAnsi="Times New Roman" w:cs="Times New Roman"/>
                <w:sz w:val="21"/>
                <w:szCs w:val="21"/>
              </w:rPr>
            </w:pPr>
            <w:r>
              <w:rPr>
                <w:rFonts w:ascii="Times New Roman" w:hAnsi="Times New Roman" w:cs="Times New Roman"/>
                <w:sz w:val="21"/>
                <w:szCs w:val="21"/>
              </w:rPr>
              <w:t>≤0.5</w:t>
            </w:r>
          </w:p>
        </w:tc>
        <w:tc>
          <w:tcPr>
            <w:tcW w:w="614"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≤0.05</w:t>
            </w:r>
          </w:p>
        </w:tc>
        <w:tc>
          <w:tcPr>
            <w:tcW w:w="711" w:type="pct"/>
            <w:vAlign w:val="center"/>
          </w:tcPr>
          <w:p>
            <w:pPr>
              <w:jc w:val="center"/>
              <w:rPr>
                <w:rFonts w:ascii="Times New Roman" w:hAnsi="Times New Roman" w:cs="Times New Roman"/>
                <w:sz w:val="21"/>
                <w:szCs w:val="21"/>
              </w:rPr>
            </w:pPr>
            <w:r>
              <w:rPr>
                <w:rFonts w:ascii="Times New Roman" w:hAnsi="Times New Roman" w:cs="Times New Roman"/>
                <w:sz w:val="21"/>
                <w:szCs w:val="21"/>
              </w:rPr>
              <w:t>≤4.0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8" w:type="pct"/>
            <w:vMerge w:val="continue"/>
            <w:vAlign w:val="center"/>
          </w:tcPr>
          <w:p>
            <w:pPr>
              <w:jc w:val="center"/>
              <w:rPr>
                <w:rFonts w:ascii="Times New Roman" w:hAnsi="Times New Roman" w:cs="Times New Roman"/>
                <w:sz w:val="21"/>
                <w:szCs w:val="21"/>
              </w:rPr>
            </w:pPr>
          </w:p>
        </w:tc>
        <w:tc>
          <w:tcPr>
            <w:tcW w:w="638" w:type="pct"/>
            <w:vAlign w:val="center"/>
          </w:tcPr>
          <w:p>
            <w:pPr>
              <w:jc w:val="center"/>
              <w:rPr>
                <w:rFonts w:ascii="Times New Roman" w:hAnsi="Times New Roman" w:cs="Times New Roman"/>
                <w:sz w:val="21"/>
                <w:szCs w:val="21"/>
              </w:rPr>
            </w:pPr>
            <w:r>
              <w:rPr>
                <w:rFonts w:hint="eastAsia" w:ascii="宋体" w:hAnsi="宋体" w:eastAsia="宋体" w:cs="宋体"/>
                <w:sz w:val="21"/>
                <w:szCs w:val="21"/>
              </w:rPr>
              <w:t>Ⅲ</w:t>
            </w:r>
            <w:r>
              <w:rPr>
                <w:rFonts w:ascii="Times New Roman" w:hAnsi="Times New Roman" w:cs="Times New Roman"/>
                <w:sz w:val="21"/>
                <w:szCs w:val="21"/>
              </w:rPr>
              <w:t>类标准</w:t>
            </w:r>
          </w:p>
        </w:tc>
        <w:tc>
          <w:tcPr>
            <w:tcW w:w="541" w:type="pct"/>
            <w:vAlign w:val="center"/>
          </w:tcPr>
          <w:p>
            <w:pPr>
              <w:jc w:val="center"/>
              <w:rPr>
                <w:rFonts w:ascii="Times New Roman" w:hAnsi="Times New Roman" w:cs="Times New Roman"/>
                <w:sz w:val="21"/>
                <w:szCs w:val="21"/>
              </w:rPr>
            </w:pPr>
            <w:r>
              <w:rPr>
                <w:rFonts w:ascii="Times New Roman" w:hAnsi="Times New Roman" w:cs="Times New Roman"/>
                <w:sz w:val="21"/>
                <w:szCs w:val="21"/>
              </w:rPr>
              <w:t>6~9</w:t>
            </w:r>
          </w:p>
        </w:tc>
        <w:tc>
          <w:tcPr>
            <w:tcW w:w="541" w:type="pct"/>
            <w:vAlign w:val="center"/>
          </w:tcPr>
          <w:p>
            <w:pPr>
              <w:jc w:val="center"/>
              <w:rPr>
                <w:rFonts w:ascii="Times New Roman" w:hAnsi="Times New Roman" w:cs="Times New Roman"/>
                <w:sz w:val="21"/>
                <w:szCs w:val="21"/>
              </w:rPr>
            </w:pPr>
            <w:r>
              <w:rPr>
                <w:rFonts w:ascii="Times New Roman" w:hAnsi="Times New Roman" w:cs="Times New Roman"/>
                <w:sz w:val="21"/>
                <w:szCs w:val="21"/>
              </w:rPr>
              <w:t>≤20.0</w:t>
            </w:r>
          </w:p>
        </w:tc>
        <w:tc>
          <w:tcPr>
            <w:tcW w:w="597" w:type="pct"/>
            <w:vAlign w:val="center"/>
          </w:tcPr>
          <w:p>
            <w:pPr>
              <w:jc w:val="center"/>
              <w:rPr>
                <w:rFonts w:ascii="Times New Roman" w:hAnsi="Times New Roman" w:cs="Times New Roman"/>
                <w:sz w:val="21"/>
                <w:szCs w:val="21"/>
              </w:rPr>
            </w:pPr>
            <w:r>
              <w:rPr>
                <w:rFonts w:ascii="Times New Roman" w:hAnsi="Times New Roman" w:cs="Times New Roman"/>
                <w:sz w:val="21"/>
                <w:szCs w:val="21"/>
              </w:rPr>
              <w:t>≤4.0</w:t>
            </w:r>
          </w:p>
        </w:tc>
        <w:tc>
          <w:tcPr>
            <w:tcW w:w="630" w:type="pct"/>
            <w:vAlign w:val="center"/>
          </w:tcPr>
          <w:p>
            <w:pPr>
              <w:jc w:val="center"/>
              <w:rPr>
                <w:rFonts w:ascii="Times New Roman" w:hAnsi="Times New Roman" w:cs="Times New Roman"/>
                <w:sz w:val="21"/>
                <w:szCs w:val="21"/>
              </w:rPr>
            </w:pPr>
            <w:r>
              <w:rPr>
                <w:rFonts w:ascii="Times New Roman" w:hAnsi="Times New Roman" w:cs="Times New Roman"/>
                <w:sz w:val="21"/>
                <w:szCs w:val="21"/>
              </w:rPr>
              <w:t>≤1.0</w:t>
            </w:r>
          </w:p>
        </w:tc>
        <w:tc>
          <w:tcPr>
            <w:tcW w:w="614"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≤0.05</w:t>
            </w:r>
          </w:p>
        </w:tc>
        <w:tc>
          <w:tcPr>
            <w:tcW w:w="711" w:type="pct"/>
            <w:vAlign w:val="center"/>
          </w:tcPr>
          <w:p>
            <w:pPr>
              <w:jc w:val="center"/>
              <w:rPr>
                <w:rFonts w:ascii="Times New Roman" w:hAnsi="Times New Roman" w:cs="Times New Roman"/>
                <w:sz w:val="21"/>
                <w:szCs w:val="21"/>
              </w:rPr>
            </w:pPr>
            <w:r>
              <w:rPr>
                <w:rFonts w:ascii="Times New Roman" w:hAnsi="Times New Roman" w:cs="Times New Roman"/>
                <w:sz w:val="21"/>
                <w:szCs w:val="21"/>
              </w:rPr>
              <w:t>≤6.0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8" w:type="pct"/>
            <w:vMerge w:val="continue"/>
            <w:vAlign w:val="center"/>
          </w:tcPr>
          <w:p>
            <w:pPr>
              <w:jc w:val="center"/>
              <w:rPr>
                <w:rFonts w:ascii="Times New Roman" w:hAnsi="Times New Roman" w:cs="Times New Roman"/>
                <w:sz w:val="21"/>
                <w:szCs w:val="21"/>
              </w:rPr>
            </w:pPr>
          </w:p>
        </w:tc>
        <w:tc>
          <w:tcPr>
            <w:tcW w:w="638" w:type="pct"/>
            <w:vAlign w:val="center"/>
          </w:tcPr>
          <w:p>
            <w:pPr>
              <w:jc w:val="center"/>
              <w:rPr>
                <w:rFonts w:ascii="Times New Roman" w:hAnsi="Times New Roman" w:cs="Times New Roman"/>
                <w:sz w:val="21"/>
                <w:szCs w:val="21"/>
              </w:rPr>
            </w:pPr>
            <w:r>
              <w:rPr>
                <w:rFonts w:ascii="Times New Roman" w:hAnsi="Times New Roman" w:cs="Times New Roman"/>
                <w:sz w:val="21"/>
                <w:szCs w:val="21"/>
              </w:rPr>
              <w:t>污染物</w:t>
            </w:r>
          </w:p>
        </w:tc>
        <w:tc>
          <w:tcPr>
            <w:tcW w:w="541" w:type="pct"/>
            <w:vAlign w:val="center"/>
          </w:tcPr>
          <w:p>
            <w:pPr>
              <w:jc w:val="center"/>
              <w:rPr>
                <w:rFonts w:ascii="Times New Roman" w:hAnsi="Times New Roman" w:cs="Times New Roman"/>
                <w:sz w:val="21"/>
                <w:szCs w:val="21"/>
              </w:rPr>
            </w:pPr>
            <w:r>
              <w:rPr>
                <w:rFonts w:ascii="Times New Roman" w:hAnsi="Times New Roman" w:cs="Times New Roman"/>
                <w:sz w:val="21"/>
                <w:szCs w:val="21"/>
              </w:rPr>
              <w:t>溶解氧</w:t>
            </w:r>
          </w:p>
        </w:tc>
        <w:tc>
          <w:tcPr>
            <w:tcW w:w="541" w:type="pct"/>
            <w:vAlign w:val="center"/>
          </w:tcPr>
          <w:p>
            <w:pPr>
              <w:ind w:left="-118" w:leftChars="-49" w:right="-163" w:rightChars="-68"/>
              <w:jc w:val="center"/>
              <w:rPr>
                <w:rFonts w:ascii="Times New Roman" w:hAnsi="Times New Roman" w:cs="Times New Roman"/>
                <w:sz w:val="21"/>
                <w:szCs w:val="21"/>
              </w:rPr>
            </w:pPr>
            <w:r>
              <w:rPr>
                <w:rFonts w:ascii="Times New Roman" w:hAnsi="Times New Roman" w:cs="Times New Roman"/>
                <w:sz w:val="21"/>
                <w:szCs w:val="21"/>
              </w:rPr>
              <w:t>硫化物</w:t>
            </w:r>
          </w:p>
        </w:tc>
        <w:tc>
          <w:tcPr>
            <w:tcW w:w="597" w:type="pct"/>
            <w:vAlign w:val="center"/>
          </w:tcPr>
          <w:p>
            <w:pPr>
              <w:jc w:val="center"/>
              <w:rPr>
                <w:rFonts w:ascii="Times New Roman" w:hAnsi="Times New Roman" w:cs="Times New Roman"/>
                <w:sz w:val="21"/>
                <w:szCs w:val="21"/>
              </w:rPr>
            </w:pPr>
            <w:r>
              <w:rPr>
                <w:rFonts w:ascii="Times New Roman" w:hAnsi="Times New Roman" w:cs="Times New Roman"/>
                <w:sz w:val="21"/>
                <w:szCs w:val="21"/>
              </w:rPr>
              <w:t>氟化物</w:t>
            </w:r>
          </w:p>
        </w:tc>
        <w:tc>
          <w:tcPr>
            <w:tcW w:w="630" w:type="pct"/>
            <w:vAlign w:val="center"/>
          </w:tcPr>
          <w:p>
            <w:pPr>
              <w:ind w:left="-118" w:leftChars="-49" w:right="-163" w:rightChars="-68"/>
              <w:jc w:val="center"/>
              <w:rPr>
                <w:rFonts w:ascii="Times New Roman" w:hAnsi="Times New Roman" w:cs="Times New Roman"/>
                <w:sz w:val="21"/>
                <w:szCs w:val="21"/>
              </w:rPr>
            </w:pPr>
            <w:r>
              <w:rPr>
                <w:rFonts w:ascii="Times New Roman" w:hAnsi="Times New Roman" w:cs="Times New Roman"/>
                <w:sz w:val="21"/>
                <w:szCs w:val="21"/>
              </w:rPr>
              <w:t>铬（六价）</w:t>
            </w:r>
          </w:p>
        </w:tc>
        <w:tc>
          <w:tcPr>
            <w:tcW w:w="614" w:type="pct"/>
            <w:vAlign w:val="center"/>
          </w:tcPr>
          <w:p>
            <w:pPr>
              <w:jc w:val="center"/>
              <w:rPr>
                <w:rFonts w:ascii="Times New Roman" w:hAnsi="Times New Roman" w:cs="Times New Roman"/>
                <w:sz w:val="21"/>
                <w:szCs w:val="21"/>
              </w:rPr>
            </w:pPr>
            <w:r>
              <w:rPr>
                <w:rFonts w:ascii="Times New Roman" w:hAnsi="Times New Roman" w:cs="Times New Roman"/>
                <w:sz w:val="21"/>
                <w:szCs w:val="21"/>
              </w:rPr>
              <w:t>汞</w:t>
            </w:r>
          </w:p>
        </w:tc>
        <w:tc>
          <w:tcPr>
            <w:tcW w:w="711" w:type="pct"/>
            <w:vAlign w:val="center"/>
          </w:tcPr>
          <w:p>
            <w:pPr>
              <w:jc w:val="center"/>
              <w:rPr>
                <w:rFonts w:ascii="Times New Roman" w:hAnsi="Times New Roman" w:cs="Times New Roman"/>
                <w:sz w:val="21"/>
                <w:szCs w:val="21"/>
              </w:rPr>
            </w:pPr>
            <w:r>
              <w:rPr>
                <w:rFonts w:ascii="Times New Roman" w:hAnsi="Times New Roman" w:cs="Times New Roman"/>
                <w:sz w:val="21"/>
                <w:szCs w:val="21"/>
              </w:rPr>
              <w:t>氯化物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8" w:type="pct"/>
            <w:vMerge w:val="continue"/>
            <w:vAlign w:val="center"/>
          </w:tcPr>
          <w:p>
            <w:pPr>
              <w:jc w:val="center"/>
              <w:rPr>
                <w:rFonts w:ascii="Times New Roman" w:hAnsi="Times New Roman" w:cs="Times New Roman"/>
                <w:sz w:val="21"/>
                <w:szCs w:val="21"/>
              </w:rPr>
            </w:pPr>
          </w:p>
        </w:tc>
        <w:tc>
          <w:tcPr>
            <w:tcW w:w="638" w:type="pct"/>
            <w:vAlign w:val="center"/>
          </w:tcPr>
          <w:p>
            <w:pPr>
              <w:jc w:val="center"/>
              <w:rPr>
                <w:rFonts w:ascii="Times New Roman" w:hAnsi="Times New Roman" w:cs="Times New Roman"/>
                <w:sz w:val="21"/>
                <w:szCs w:val="21"/>
              </w:rPr>
            </w:pPr>
            <w:r>
              <w:rPr>
                <w:rFonts w:hint="eastAsia" w:ascii="宋体" w:hAnsi="宋体" w:eastAsia="宋体" w:cs="宋体"/>
                <w:sz w:val="21"/>
                <w:szCs w:val="21"/>
              </w:rPr>
              <w:t>Ⅱ</w:t>
            </w:r>
            <w:r>
              <w:rPr>
                <w:rFonts w:ascii="Times New Roman" w:hAnsi="Times New Roman" w:cs="Times New Roman"/>
                <w:sz w:val="21"/>
                <w:szCs w:val="21"/>
              </w:rPr>
              <w:t>类标准</w:t>
            </w:r>
          </w:p>
        </w:tc>
        <w:tc>
          <w:tcPr>
            <w:tcW w:w="541" w:type="pct"/>
            <w:vAlign w:val="center"/>
          </w:tcPr>
          <w:p>
            <w:pPr>
              <w:jc w:val="center"/>
              <w:rPr>
                <w:rFonts w:ascii="Times New Roman" w:hAnsi="Times New Roman" w:cs="Times New Roman"/>
                <w:sz w:val="21"/>
                <w:szCs w:val="21"/>
              </w:rPr>
            </w:pPr>
            <w:r>
              <w:rPr>
                <w:rFonts w:ascii="Times New Roman" w:hAnsi="Times New Roman" w:cs="Times New Roman"/>
                <w:sz w:val="21"/>
                <w:szCs w:val="21"/>
              </w:rPr>
              <w:t>≥6</w:t>
            </w:r>
          </w:p>
        </w:tc>
        <w:tc>
          <w:tcPr>
            <w:tcW w:w="541" w:type="pct"/>
            <w:vAlign w:val="center"/>
          </w:tcPr>
          <w:p>
            <w:pPr>
              <w:ind w:left="-118" w:leftChars="-49" w:right="-163" w:rightChars="-68"/>
              <w:jc w:val="center"/>
              <w:rPr>
                <w:rFonts w:ascii="Times New Roman" w:hAnsi="Times New Roman" w:cs="Times New Roman"/>
                <w:sz w:val="21"/>
                <w:szCs w:val="21"/>
              </w:rPr>
            </w:pPr>
            <w:r>
              <w:rPr>
                <w:rFonts w:ascii="Times New Roman" w:hAnsi="Times New Roman" w:cs="Times New Roman"/>
                <w:sz w:val="21"/>
                <w:szCs w:val="21"/>
              </w:rPr>
              <w:t>≤0.1</w:t>
            </w:r>
          </w:p>
        </w:tc>
        <w:tc>
          <w:tcPr>
            <w:tcW w:w="597" w:type="pct"/>
            <w:vAlign w:val="center"/>
          </w:tcPr>
          <w:p>
            <w:pPr>
              <w:jc w:val="center"/>
              <w:rPr>
                <w:rFonts w:ascii="Times New Roman" w:hAnsi="Times New Roman" w:cs="Times New Roman"/>
                <w:sz w:val="21"/>
                <w:szCs w:val="21"/>
              </w:rPr>
            </w:pPr>
            <w:r>
              <w:rPr>
                <w:rFonts w:ascii="Times New Roman" w:hAnsi="Times New Roman" w:cs="Times New Roman"/>
                <w:sz w:val="21"/>
                <w:szCs w:val="21"/>
              </w:rPr>
              <w:t>≤1.0</w:t>
            </w:r>
          </w:p>
        </w:tc>
        <w:tc>
          <w:tcPr>
            <w:tcW w:w="630" w:type="pct"/>
            <w:vAlign w:val="center"/>
          </w:tcPr>
          <w:p>
            <w:pPr>
              <w:ind w:left="-118" w:leftChars="-49" w:right="-163" w:rightChars="-68"/>
              <w:jc w:val="center"/>
              <w:rPr>
                <w:rFonts w:ascii="Times New Roman" w:hAnsi="Times New Roman" w:cs="Times New Roman"/>
                <w:sz w:val="21"/>
                <w:szCs w:val="21"/>
              </w:rPr>
            </w:pPr>
            <w:r>
              <w:rPr>
                <w:rFonts w:ascii="Times New Roman" w:hAnsi="Times New Roman" w:cs="Times New Roman"/>
                <w:sz w:val="21"/>
                <w:szCs w:val="21"/>
              </w:rPr>
              <w:t>≤0.05</w:t>
            </w:r>
          </w:p>
        </w:tc>
        <w:tc>
          <w:tcPr>
            <w:tcW w:w="614"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≤0.00005</w:t>
            </w:r>
          </w:p>
        </w:tc>
        <w:tc>
          <w:tcPr>
            <w:tcW w:w="711" w:type="pct"/>
            <w:vAlign w:val="center"/>
          </w:tcPr>
          <w:p>
            <w:pPr>
              <w:jc w:val="center"/>
              <w:rPr>
                <w:rFonts w:ascii="Times New Roman" w:hAnsi="Times New Roman" w:cs="Times New Roman"/>
                <w:sz w:val="21"/>
                <w:szCs w:val="21"/>
              </w:rPr>
            </w:pPr>
            <w:r>
              <w:rPr>
                <w:rFonts w:ascii="Times New Roman" w:hAnsi="Times New Roman" w:cs="Times New Roman"/>
                <w:sz w:val="21"/>
                <w:szCs w:val="21"/>
              </w:rPr>
              <w:t>≤250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8" w:type="pct"/>
            <w:vMerge w:val="continue"/>
            <w:vAlign w:val="center"/>
          </w:tcPr>
          <w:p>
            <w:pPr>
              <w:jc w:val="center"/>
              <w:rPr>
                <w:rFonts w:ascii="Times New Roman" w:hAnsi="Times New Roman" w:cs="Times New Roman"/>
                <w:sz w:val="21"/>
                <w:szCs w:val="21"/>
              </w:rPr>
            </w:pPr>
          </w:p>
        </w:tc>
        <w:tc>
          <w:tcPr>
            <w:tcW w:w="638" w:type="pct"/>
            <w:vAlign w:val="center"/>
          </w:tcPr>
          <w:p>
            <w:pPr>
              <w:jc w:val="center"/>
              <w:rPr>
                <w:rFonts w:ascii="Times New Roman" w:hAnsi="Times New Roman" w:cs="Times New Roman"/>
                <w:sz w:val="21"/>
                <w:szCs w:val="21"/>
              </w:rPr>
            </w:pPr>
            <w:r>
              <w:rPr>
                <w:rFonts w:hint="eastAsia" w:ascii="宋体" w:hAnsi="宋体" w:eastAsia="宋体" w:cs="宋体"/>
                <w:sz w:val="21"/>
                <w:szCs w:val="21"/>
              </w:rPr>
              <w:t>Ⅲ</w:t>
            </w:r>
            <w:r>
              <w:rPr>
                <w:rFonts w:ascii="Times New Roman" w:hAnsi="Times New Roman" w:cs="Times New Roman"/>
                <w:sz w:val="21"/>
                <w:szCs w:val="21"/>
              </w:rPr>
              <w:t>类标准</w:t>
            </w:r>
          </w:p>
        </w:tc>
        <w:tc>
          <w:tcPr>
            <w:tcW w:w="541" w:type="pct"/>
            <w:vAlign w:val="center"/>
          </w:tcPr>
          <w:p>
            <w:pPr>
              <w:jc w:val="center"/>
              <w:rPr>
                <w:rFonts w:ascii="Times New Roman" w:hAnsi="Times New Roman" w:cs="Times New Roman"/>
                <w:sz w:val="21"/>
                <w:szCs w:val="21"/>
              </w:rPr>
            </w:pPr>
            <w:r>
              <w:rPr>
                <w:rFonts w:ascii="Times New Roman" w:hAnsi="Times New Roman" w:cs="Times New Roman"/>
                <w:sz w:val="21"/>
                <w:szCs w:val="21"/>
              </w:rPr>
              <w:t>≥5</w:t>
            </w:r>
          </w:p>
        </w:tc>
        <w:tc>
          <w:tcPr>
            <w:tcW w:w="541" w:type="pct"/>
            <w:vAlign w:val="center"/>
          </w:tcPr>
          <w:p>
            <w:pPr>
              <w:jc w:val="center"/>
              <w:rPr>
                <w:rFonts w:ascii="Times New Roman" w:hAnsi="Times New Roman" w:cs="Times New Roman"/>
                <w:sz w:val="21"/>
                <w:szCs w:val="21"/>
              </w:rPr>
            </w:pPr>
            <w:r>
              <w:rPr>
                <w:rFonts w:ascii="Times New Roman" w:hAnsi="Times New Roman" w:cs="Times New Roman"/>
                <w:sz w:val="21"/>
                <w:szCs w:val="21"/>
              </w:rPr>
              <w:t>≤0.2</w:t>
            </w:r>
          </w:p>
        </w:tc>
        <w:tc>
          <w:tcPr>
            <w:tcW w:w="597" w:type="pct"/>
            <w:vAlign w:val="center"/>
          </w:tcPr>
          <w:p>
            <w:pPr>
              <w:jc w:val="center"/>
              <w:rPr>
                <w:rFonts w:ascii="Times New Roman" w:hAnsi="Times New Roman" w:cs="Times New Roman"/>
                <w:sz w:val="21"/>
                <w:szCs w:val="21"/>
              </w:rPr>
            </w:pPr>
            <w:r>
              <w:rPr>
                <w:rFonts w:ascii="Times New Roman" w:hAnsi="Times New Roman" w:cs="Times New Roman"/>
                <w:sz w:val="21"/>
                <w:szCs w:val="21"/>
              </w:rPr>
              <w:t>≤1.0</w:t>
            </w:r>
          </w:p>
        </w:tc>
        <w:tc>
          <w:tcPr>
            <w:tcW w:w="630"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≤0.05</w:t>
            </w:r>
          </w:p>
        </w:tc>
        <w:tc>
          <w:tcPr>
            <w:tcW w:w="614"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≤0.0001</w:t>
            </w:r>
          </w:p>
        </w:tc>
        <w:tc>
          <w:tcPr>
            <w:tcW w:w="711" w:type="pct"/>
            <w:vAlign w:val="center"/>
          </w:tcPr>
          <w:p>
            <w:pPr>
              <w:jc w:val="center"/>
              <w:rPr>
                <w:rFonts w:ascii="Times New Roman" w:hAnsi="Times New Roman" w:cs="Times New Roman"/>
                <w:sz w:val="21"/>
                <w:szCs w:val="21"/>
              </w:rPr>
            </w:pPr>
            <w:r>
              <w:rPr>
                <w:rFonts w:ascii="Times New Roman" w:hAnsi="Times New Roman" w:cs="Times New Roman"/>
                <w:sz w:val="21"/>
                <w:szCs w:val="21"/>
              </w:rPr>
              <w:t>≤250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8" w:type="pct"/>
            <w:vMerge w:val="continue"/>
            <w:vAlign w:val="center"/>
          </w:tcPr>
          <w:p>
            <w:pPr>
              <w:jc w:val="center"/>
              <w:rPr>
                <w:rFonts w:ascii="Times New Roman" w:hAnsi="Times New Roman" w:cs="Times New Roman"/>
                <w:sz w:val="21"/>
                <w:szCs w:val="21"/>
              </w:rPr>
            </w:pPr>
          </w:p>
        </w:tc>
        <w:tc>
          <w:tcPr>
            <w:tcW w:w="638" w:type="pct"/>
            <w:vAlign w:val="center"/>
          </w:tcPr>
          <w:p>
            <w:pPr>
              <w:jc w:val="center"/>
              <w:rPr>
                <w:rFonts w:ascii="Times New Roman" w:hAnsi="Times New Roman" w:cs="Times New Roman"/>
                <w:sz w:val="21"/>
                <w:szCs w:val="21"/>
              </w:rPr>
            </w:pPr>
            <w:r>
              <w:rPr>
                <w:rFonts w:ascii="Times New Roman" w:hAnsi="Times New Roman" w:cs="Times New Roman"/>
                <w:sz w:val="21"/>
                <w:szCs w:val="21"/>
              </w:rPr>
              <w:t>污染物</w:t>
            </w:r>
          </w:p>
        </w:tc>
        <w:tc>
          <w:tcPr>
            <w:tcW w:w="541" w:type="pct"/>
            <w:vAlign w:val="center"/>
          </w:tcPr>
          <w:p>
            <w:pPr>
              <w:jc w:val="center"/>
              <w:rPr>
                <w:rFonts w:ascii="Times New Roman" w:hAnsi="Times New Roman" w:cs="Times New Roman"/>
                <w:sz w:val="21"/>
                <w:szCs w:val="21"/>
              </w:rPr>
            </w:pPr>
            <w:r>
              <w:rPr>
                <w:rFonts w:ascii="Times New Roman" w:hAnsi="Times New Roman" w:cs="Times New Roman"/>
                <w:sz w:val="21"/>
                <w:szCs w:val="21"/>
              </w:rPr>
              <w:t>铅</w:t>
            </w:r>
          </w:p>
        </w:tc>
        <w:tc>
          <w:tcPr>
            <w:tcW w:w="541" w:type="pct"/>
            <w:vAlign w:val="center"/>
          </w:tcPr>
          <w:p>
            <w:pPr>
              <w:jc w:val="center"/>
              <w:rPr>
                <w:rFonts w:ascii="Times New Roman" w:hAnsi="Times New Roman" w:cs="Times New Roman"/>
                <w:sz w:val="21"/>
                <w:szCs w:val="21"/>
              </w:rPr>
            </w:pPr>
            <w:r>
              <w:rPr>
                <w:rFonts w:ascii="Times New Roman" w:hAnsi="Times New Roman" w:cs="Times New Roman"/>
                <w:sz w:val="21"/>
                <w:szCs w:val="21"/>
              </w:rPr>
              <w:t>锌</w:t>
            </w:r>
          </w:p>
        </w:tc>
        <w:tc>
          <w:tcPr>
            <w:tcW w:w="597" w:type="pct"/>
            <w:vAlign w:val="center"/>
          </w:tcPr>
          <w:p>
            <w:pPr>
              <w:jc w:val="center"/>
              <w:rPr>
                <w:rFonts w:ascii="Times New Roman" w:hAnsi="Times New Roman" w:cs="Times New Roman"/>
                <w:sz w:val="21"/>
                <w:szCs w:val="21"/>
              </w:rPr>
            </w:pPr>
            <w:r>
              <w:rPr>
                <w:rFonts w:ascii="Times New Roman" w:hAnsi="Times New Roman" w:cs="Times New Roman"/>
                <w:sz w:val="21"/>
                <w:szCs w:val="21"/>
              </w:rPr>
              <w:t>砷</w:t>
            </w:r>
          </w:p>
        </w:tc>
        <w:tc>
          <w:tcPr>
            <w:tcW w:w="630" w:type="pct"/>
            <w:vAlign w:val="center"/>
          </w:tcPr>
          <w:p>
            <w:pPr>
              <w:jc w:val="center"/>
              <w:rPr>
                <w:rFonts w:ascii="Times New Roman" w:hAnsi="Times New Roman" w:cs="Times New Roman"/>
                <w:sz w:val="21"/>
                <w:szCs w:val="21"/>
              </w:rPr>
            </w:pPr>
            <w:r>
              <w:rPr>
                <w:rFonts w:ascii="Times New Roman" w:hAnsi="Times New Roman" w:cs="Times New Roman"/>
                <w:sz w:val="21"/>
                <w:szCs w:val="21"/>
              </w:rPr>
              <w:t>镉</w:t>
            </w:r>
          </w:p>
        </w:tc>
        <w:tc>
          <w:tcPr>
            <w:tcW w:w="614" w:type="pct"/>
            <w:vAlign w:val="center"/>
          </w:tcPr>
          <w:p>
            <w:pPr>
              <w:jc w:val="center"/>
              <w:rPr>
                <w:rFonts w:ascii="Times New Roman" w:hAnsi="Times New Roman" w:cs="Times New Roman"/>
                <w:sz w:val="21"/>
                <w:szCs w:val="21"/>
              </w:rPr>
            </w:pPr>
            <w:r>
              <w:rPr>
                <w:rFonts w:ascii="Times New Roman" w:hAnsi="Times New Roman" w:cs="Times New Roman"/>
                <w:sz w:val="21"/>
                <w:szCs w:val="21"/>
              </w:rPr>
              <w:t>铜</w:t>
            </w:r>
          </w:p>
        </w:tc>
        <w:tc>
          <w:tcPr>
            <w:tcW w:w="711" w:type="pct"/>
            <w:vAlign w:val="center"/>
          </w:tcPr>
          <w:p>
            <w:pPr>
              <w:jc w:val="center"/>
              <w:rPr>
                <w:rFonts w:ascii="Times New Roman" w:hAnsi="Times New Roman" w:cs="Times New Roman"/>
                <w:sz w:val="21"/>
                <w:szCs w:val="21"/>
              </w:rPr>
            </w:pPr>
            <w:r>
              <w:rPr>
                <w:rFonts w:ascii="Times New Roman" w:hAnsi="Times New Roman" w:cs="Times New Roman"/>
                <w:sz w:val="21"/>
                <w:szCs w:val="21"/>
              </w:rPr>
              <w:t>总磷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8" w:type="pct"/>
            <w:vMerge w:val="continue"/>
            <w:vAlign w:val="center"/>
          </w:tcPr>
          <w:p>
            <w:pPr>
              <w:jc w:val="center"/>
              <w:rPr>
                <w:rFonts w:ascii="Times New Roman" w:hAnsi="Times New Roman" w:cs="Times New Roman"/>
                <w:sz w:val="21"/>
                <w:szCs w:val="21"/>
              </w:rPr>
            </w:pPr>
          </w:p>
        </w:tc>
        <w:tc>
          <w:tcPr>
            <w:tcW w:w="638" w:type="pct"/>
            <w:vAlign w:val="center"/>
          </w:tcPr>
          <w:p>
            <w:pPr>
              <w:jc w:val="center"/>
              <w:rPr>
                <w:rFonts w:ascii="Times New Roman" w:hAnsi="Times New Roman" w:cs="Times New Roman"/>
                <w:sz w:val="21"/>
                <w:szCs w:val="21"/>
              </w:rPr>
            </w:pPr>
            <w:r>
              <w:rPr>
                <w:rFonts w:hint="eastAsia" w:ascii="宋体" w:hAnsi="宋体" w:eastAsia="宋体" w:cs="宋体"/>
                <w:sz w:val="21"/>
                <w:szCs w:val="21"/>
              </w:rPr>
              <w:t>Ⅱ</w:t>
            </w:r>
            <w:r>
              <w:rPr>
                <w:rFonts w:ascii="Times New Roman" w:hAnsi="Times New Roman" w:cs="Times New Roman"/>
                <w:sz w:val="21"/>
                <w:szCs w:val="21"/>
              </w:rPr>
              <w:t>类标准</w:t>
            </w:r>
          </w:p>
        </w:tc>
        <w:tc>
          <w:tcPr>
            <w:tcW w:w="541"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≤0.01</w:t>
            </w:r>
          </w:p>
        </w:tc>
        <w:tc>
          <w:tcPr>
            <w:tcW w:w="541" w:type="pct"/>
            <w:vAlign w:val="center"/>
          </w:tcPr>
          <w:p>
            <w:pPr>
              <w:jc w:val="center"/>
              <w:rPr>
                <w:rFonts w:ascii="Times New Roman" w:hAnsi="Times New Roman" w:cs="Times New Roman"/>
                <w:sz w:val="21"/>
                <w:szCs w:val="21"/>
              </w:rPr>
            </w:pPr>
            <w:r>
              <w:rPr>
                <w:rFonts w:ascii="Times New Roman" w:hAnsi="Times New Roman" w:cs="Times New Roman"/>
                <w:sz w:val="21"/>
                <w:szCs w:val="21"/>
              </w:rPr>
              <w:t>≤1.0</w:t>
            </w:r>
          </w:p>
        </w:tc>
        <w:tc>
          <w:tcPr>
            <w:tcW w:w="597"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≤0.05</w:t>
            </w:r>
          </w:p>
        </w:tc>
        <w:tc>
          <w:tcPr>
            <w:tcW w:w="630"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≤0.005</w:t>
            </w:r>
          </w:p>
        </w:tc>
        <w:tc>
          <w:tcPr>
            <w:tcW w:w="614" w:type="pct"/>
            <w:vAlign w:val="center"/>
          </w:tcPr>
          <w:p>
            <w:pPr>
              <w:jc w:val="center"/>
              <w:rPr>
                <w:rFonts w:ascii="Times New Roman" w:hAnsi="Times New Roman" w:cs="Times New Roman"/>
                <w:sz w:val="21"/>
                <w:szCs w:val="21"/>
              </w:rPr>
            </w:pPr>
            <w:r>
              <w:rPr>
                <w:rFonts w:ascii="Times New Roman" w:hAnsi="Times New Roman" w:cs="Times New Roman"/>
                <w:sz w:val="21"/>
                <w:szCs w:val="21"/>
              </w:rPr>
              <w:t>≤1.0</w:t>
            </w:r>
          </w:p>
        </w:tc>
        <w:tc>
          <w:tcPr>
            <w:tcW w:w="711" w:type="pct"/>
            <w:vAlign w:val="center"/>
          </w:tcPr>
          <w:p>
            <w:pPr>
              <w:jc w:val="center"/>
              <w:rPr>
                <w:rFonts w:ascii="Times New Roman" w:hAnsi="Times New Roman" w:cs="Times New Roman"/>
                <w:sz w:val="21"/>
                <w:szCs w:val="21"/>
              </w:rPr>
            </w:pPr>
            <w:r>
              <w:rPr>
                <w:rFonts w:ascii="Times New Roman" w:hAnsi="Times New Roman" w:cs="Times New Roman"/>
                <w:sz w:val="21"/>
                <w:szCs w:val="21"/>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8" w:type="pct"/>
            <w:vMerge w:val="continue"/>
            <w:vAlign w:val="center"/>
          </w:tcPr>
          <w:p>
            <w:pPr>
              <w:jc w:val="center"/>
              <w:rPr>
                <w:rFonts w:ascii="Times New Roman" w:hAnsi="Times New Roman" w:cs="Times New Roman"/>
                <w:sz w:val="21"/>
                <w:szCs w:val="21"/>
              </w:rPr>
            </w:pPr>
          </w:p>
        </w:tc>
        <w:tc>
          <w:tcPr>
            <w:tcW w:w="638" w:type="pct"/>
            <w:vAlign w:val="center"/>
          </w:tcPr>
          <w:p>
            <w:pPr>
              <w:jc w:val="center"/>
              <w:rPr>
                <w:rFonts w:ascii="Times New Roman" w:hAnsi="Times New Roman" w:cs="Times New Roman"/>
                <w:sz w:val="21"/>
                <w:szCs w:val="21"/>
              </w:rPr>
            </w:pPr>
            <w:r>
              <w:rPr>
                <w:rFonts w:hint="eastAsia" w:ascii="宋体" w:hAnsi="宋体" w:eastAsia="宋体" w:cs="宋体"/>
                <w:sz w:val="21"/>
                <w:szCs w:val="21"/>
              </w:rPr>
              <w:t>Ⅲ</w:t>
            </w:r>
            <w:r>
              <w:rPr>
                <w:rFonts w:ascii="Times New Roman" w:hAnsi="Times New Roman" w:cs="Times New Roman"/>
                <w:sz w:val="21"/>
                <w:szCs w:val="21"/>
              </w:rPr>
              <w:t>类标准</w:t>
            </w:r>
          </w:p>
        </w:tc>
        <w:tc>
          <w:tcPr>
            <w:tcW w:w="541"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≤0.05</w:t>
            </w:r>
          </w:p>
        </w:tc>
        <w:tc>
          <w:tcPr>
            <w:tcW w:w="541" w:type="pct"/>
            <w:vAlign w:val="center"/>
          </w:tcPr>
          <w:p>
            <w:pPr>
              <w:jc w:val="center"/>
              <w:rPr>
                <w:rFonts w:ascii="Times New Roman" w:hAnsi="Times New Roman" w:cs="Times New Roman"/>
                <w:sz w:val="21"/>
                <w:szCs w:val="21"/>
              </w:rPr>
            </w:pPr>
            <w:r>
              <w:rPr>
                <w:rFonts w:ascii="Times New Roman" w:hAnsi="Times New Roman" w:cs="Times New Roman"/>
                <w:sz w:val="21"/>
                <w:szCs w:val="21"/>
              </w:rPr>
              <w:t>≤1.0</w:t>
            </w:r>
          </w:p>
        </w:tc>
        <w:tc>
          <w:tcPr>
            <w:tcW w:w="597"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≤0.05</w:t>
            </w:r>
          </w:p>
        </w:tc>
        <w:tc>
          <w:tcPr>
            <w:tcW w:w="630"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≤0.005</w:t>
            </w:r>
          </w:p>
        </w:tc>
        <w:tc>
          <w:tcPr>
            <w:tcW w:w="614" w:type="pct"/>
            <w:vAlign w:val="center"/>
          </w:tcPr>
          <w:p>
            <w:pPr>
              <w:jc w:val="center"/>
              <w:rPr>
                <w:rFonts w:ascii="Times New Roman" w:hAnsi="Times New Roman" w:cs="Times New Roman"/>
                <w:sz w:val="21"/>
                <w:szCs w:val="21"/>
              </w:rPr>
            </w:pPr>
            <w:r>
              <w:rPr>
                <w:rFonts w:ascii="Times New Roman" w:hAnsi="Times New Roman" w:cs="Times New Roman"/>
                <w:sz w:val="21"/>
                <w:szCs w:val="21"/>
              </w:rPr>
              <w:t>≤1.0</w:t>
            </w:r>
          </w:p>
        </w:tc>
        <w:tc>
          <w:tcPr>
            <w:tcW w:w="711" w:type="pct"/>
            <w:vAlign w:val="center"/>
          </w:tcPr>
          <w:p>
            <w:pPr>
              <w:jc w:val="center"/>
              <w:rPr>
                <w:rFonts w:ascii="Times New Roman" w:hAnsi="Times New Roman" w:cs="Times New Roman"/>
                <w:sz w:val="21"/>
                <w:szCs w:val="21"/>
              </w:rPr>
            </w:pPr>
            <w:r>
              <w:rPr>
                <w:rFonts w:ascii="Times New Roman" w:hAnsi="Times New Roman" w:cs="Times New Roman"/>
                <w:sz w:val="21"/>
                <w:szCs w:val="21"/>
              </w:rPr>
              <w:t>≤0.2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8" w:type="pct"/>
            <w:vMerge w:val="continue"/>
            <w:vAlign w:val="center"/>
          </w:tcPr>
          <w:p>
            <w:pPr>
              <w:jc w:val="center"/>
              <w:rPr>
                <w:rFonts w:ascii="Times New Roman" w:hAnsi="Times New Roman" w:cs="Times New Roman"/>
                <w:sz w:val="21"/>
                <w:szCs w:val="21"/>
              </w:rPr>
            </w:pPr>
          </w:p>
        </w:tc>
        <w:tc>
          <w:tcPr>
            <w:tcW w:w="638" w:type="pct"/>
            <w:vAlign w:val="center"/>
          </w:tcPr>
          <w:p>
            <w:pPr>
              <w:jc w:val="center"/>
              <w:rPr>
                <w:rFonts w:ascii="Times New Roman" w:hAnsi="Times New Roman" w:cs="Times New Roman"/>
                <w:sz w:val="21"/>
                <w:szCs w:val="21"/>
              </w:rPr>
            </w:pPr>
            <w:r>
              <w:rPr>
                <w:rFonts w:ascii="Times New Roman" w:hAnsi="Times New Roman" w:cs="Times New Roman"/>
                <w:sz w:val="21"/>
                <w:szCs w:val="21"/>
              </w:rPr>
              <w:t>污染物</w:t>
            </w:r>
          </w:p>
        </w:tc>
        <w:tc>
          <w:tcPr>
            <w:tcW w:w="1679" w:type="pct"/>
            <w:gridSpan w:val="3"/>
            <w:vAlign w:val="center"/>
          </w:tcPr>
          <w:p>
            <w:pPr>
              <w:jc w:val="center"/>
              <w:rPr>
                <w:rFonts w:ascii="Times New Roman" w:hAnsi="Times New Roman" w:cs="Times New Roman"/>
                <w:sz w:val="21"/>
                <w:szCs w:val="21"/>
              </w:rPr>
            </w:pPr>
            <w:r>
              <w:rPr>
                <w:rFonts w:ascii="Times New Roman" w:hAnsi="Times New Roman" w:cs="Times New Roman"/>
                <w:sz w:val="21"/>
                <w:szCs w:val="21"/>
              </w:rPr>
              <w:t>阴离子表面活性剂</w:t>
            </w:r>
          </w:p>
        </w:tc>
        <w:tc>
          <w:tcPr>
            <w:tcW w:w="1954" w:type="pct"/>
            <w:gridSpan w:val="3"/>
            <w:vAlign w:val="center"/>
          </w:tcPr>
          <w:p>
            <w:pPr>
              <w:jc w:val="center"/>
              <w:rPr>
                <w:rFonts w:ascii="Times New Roman" w:hAnsi="Times New Roman" w:cs="Times New Roman"/>
                <w:sz w:val="21"/>
                <w:szCs w:val="21"/>
              </w:rPr>
            </w:pPr>
            <w:r>
              <w:rPr>
                <w:rFonts w:ascii="Times New Roman" w:hAnsi="Times New Roman" w:cs="Times New Roman"/>
                <w:sz w:val="21"/>
                <w:szCs w:val="21"/>
              </w:rPr>
              <w:t>粪大肠杆菌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8" w:type="pct"/>
            <w:vMerge w:val="continue"/>
            <w:vAlign w:val="center"/>
          </w:tcPr>
          <w:p>
            <w:pPr>
              <w:jc w:val="center"/>
              <w:rPr>
                <w:rFonts w:ascii="Times New Roman" w:hAnsi="Times New Roman" w:cs="Times New Roman"/>
                <w:sz w:val="21"/>
                <w:szCs w:val="21"/>
              </w:rPr>
            </w:pPr>
          </w:p>
        </w:tc>
        <w:tc>
          <w:tcPr>
            <w:tcW w:w="638" w:type="pct"/>
            <w:vAlign w:val="center"/>
          </w:tcPr>
          <w:p>
            <w:pPr>
              <w:jc w:val="center"/>
              <w:rPr>
                <w:rFonts w:ascii="Times New Roman" w:hAnsi="Times New Roman" w:cs="Times New Roman"/>
                <w:sz w:val="21"/>
                <w:szCs w:val="21"/>
              </w:rPr>
            </w:pPr>
            <w:r>
              <w:rPr>
                <w:rFonts w:hint="eastAsia" w:ascii="宋体" w:hAnsi="宋体" w:eastAsia="宋体" w:cs="宋体"/>
                <w:sz w:val="21"/>
                <w:szCs w:val="21"/>
              </w:rPr>
              <w:t>Ⅱ</w:t>
            </w:r>
            <w:r>
              <w:rPr>
                <w:rFonts w:ascii="Times New Roman" w:hAnsi="Times New Roman" w:cs="Times New Roman"/>
                <w:sz w:val="21"/>
                <w:szCs w:val="21"/>
              </w:rPr>
              <w:t>类标准</w:t>
            </w:r>
          </w:p>
        </w:tc>
        <w:tc>
          <w:tcPr>
            <w:tcW w:w="1679" w:type="pct"/>
            <w:gridSpan w:val="3"/>
            <w:vAlign w:val="center"/>
          </w:tcPr>
          <w:p>
            <w:pPr>
              <w:jc w:val="center"/>
              <w:rPr>
                <w:rFonts w:ascii="Times New Roman" w:hAnsi="Times New Roman" w:cs="Times New Roman"/>
                <w:sz w:val="21"/>
                <w:szCs w:val="21"/>
              </w:rPr>
            </w:pPr>
            <w:r>
              <w:rPr>
                <w:rFonts w:ascii="Times New Roman" w:hAnsi="Times New Roman" w:cs="Times New Roman"/>
                <w:sz w:val="21"/>
                <w:szCs w:val="21"/>
              </w:rPr>
              <w:t>≤0.2</w:t>
            </w:r>
          </w:p>
        </w:tc>
        <w:tc>
          <w:tcPr>
            <w:tcW w:w="1954" w:type="pct"/>
            <w:gridSpan w:val="3"/>
            <w:vAlign w:val="center"/>
          </w:tcPr>
          <w:p>
            <w:pPr>
              <w:jc w:val="center"/>
              <w:rPr>
                <w:rFonts w:ascii="Times New Roman" w:hAnsi="Times New Roman" w:cs="Times New Roman"/>
                <w:sz w:val="21"/>
                <w:szCs w:val="21"/>
              </w:rPr>
            </w:pPr>
            <w:r>
              <w:rPr>
                <w:rFonts w:ascii="Times New Roman" w:hAnsi="Times New Roman" w:cs="Times New Roman"/>
                <w:sz w:val="21"/>
                <w:szCs w:val="21"/>
              </w:rPr>
              <w:t>≤2000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728" w:type="pct"/>
            <w:vMerge w:val="continue"/>
            <w:vAlign w:val="center"/>
          </w:tcPr>
          <w:p>
            <w:pPr>
              <w:jc w:val="center"/>
              <w:rPr>
                <w:rFonts w:ascii="Times New Roman" w:hAnsi="Times New Roman" w:cs="Times New Roman"/>
                <w:sz w:val="21"/>
                <w:szCs w:val="21"/>
              </w:rPr>
            </w:pPr>
          </w:p>
        </w:tc>
        <w:tc>
          <w:tcPr>
            <w:tcW w:w="638" w:type="pct"/>
            <w:vAlign w:val="center"/>
          </w:tcPr>
          <w:p>
            <w:pPr>
              <w:jc w:val="center"/>
              <w:rPr>
                <w:rFonts w:ascii="Times New Roman" w:hAnsi="Times New Roman" w:cs="Times New Roman"/>
                <w:sz w:val="21"/>
                <w:szCs w:val="21"/>
              </w:rPr>
            </w:pPr>
            <w:r>
              <w:rPr>
                <w:rFonts w:hint="eastAsia" w:ascii="宋体" w:hAnsi="宋体" w:eastAsia="宋体" w:cs="宋体"/>
                <w:sz w:val="21"/>
                <w:szCs w:val="21"/>
              </w:rPr>
              <w:t>Ⅲ</w:t>
            </w:r>
            <w:r>
              <w:rPr>
                <w:rFonts w:ascii="Times New Roman" w:hAnsi="Times New Roman" w:cs="Times New Roman"/>
                <w:sz w:val="21"/>
                <w:szCs w:val="21"/>
              </w:rPr>
              <w:t>类标准</w:t>
            </w:r>
          </w:p>
        </w:tc>
        <w:tc>
          <w:tcPr>
            <w:tcW w:w="1679" w:type="pct"/>
            <w:gridSpan w:val="3"/>
            <w:vAlign w:val="center"/>
          </w:tcPr>
          <w:p>
            <w:pPr>
              <w:jc w:val="center"/>
              <w:rPr>
                <w:rFonts w:ascii="Times New Roman" w:hAnsi="Times New Roman" w:cs="Times New Roman"/>
                <w:sz w:val="21"/>
                <w:szCs w:val="21"/>
              </w:rPr>
            </w:pPr>
            <w:r>
              <w:rPr>
                <w:rFonts w:ascii="Times New Roman" w:hAnsi="Times New Roman" w:cs="Times New Roman"/>
                <w:sz w:val="21"/>
                <w:szCs w:val="21"/>
              </w:rPr>
              <w:t>≤0.2</w:t>
            </w:r>
          </w:p>
        </w:tc>
        <w:tc>
          <w:tcPr>
            <w:tcW w:w="1954" w:type="pct"/>
            <w:gridSpan w:val="3"/>
            <w:vAlign w:val="center"/>
          </w:tcPr>
          <w:p>
            <w:pPr>
              <w:jc w:val="center"/>
              <w:rPr>
                <w:rFonts w:ascii="Times New Roman" w:hAnsi="Times New Roman" w:cs="Times New Roman"/>
                <w:sz w:val="21"/>
                <w:szCs w:val="21"/>
              </w:rPr>
            </w:pPr>
            <w:r>
              <w:rPr>
                <w:rFonts w:ascii="Times New Roman" w:hAnsi="Times New Roman" w:cs="Times New Roman"/>
                <w:sz w:val="21"/>
                <w:szCs w:val="21"/>
              </w:rPr>
              <w:t>≤10000</w:t>
            </w:r>
          </w:p>
        </w:tc>
      </w:tr>
    </w:tbl>
    <w:p>
      <w:pPr>
        <w:pStyle w:val="6"/>
        <w:rPr>
          <w:rFonts w:ascii="Times New Roman" w:hAnsi="Times New Roman" w:cs="Times New Roman"/>
        </w:rPr>
      </w:pPr>
      <w:r>
        <w:rPr>
          <w:rFonts w:ascii="Times New Roman" w:hAnsi="Times New Roman" w:cs="Times New Roman"/>
        </w:rPr>
        <w:t>表2.5-3  地下水质量评价标准（单位：mg/L）pH无量纲</w:t>
      </w:r>
    </w:p>
    <w:tbl>
      <w:tblPr>
        <w:tblStyle w:val="35"/>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934"/>
        <w:gridCol w:w="1043"/>
        <w:gridCol w:w="1079"/>
        <w:gridCol w:w="1079"/>
        <w:gridCol w:w="1097"/>
        <w:gridCol w:w="1049"/>
        <w:gridCol w:w="105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59" w:type="pct"/>
            <w:vAlign w:val="center"/>
          </w:tcPr>
          <w:p>
            <w:pPr>
              <w:pStyle w:val="63"/>
              <w:rPr>
                <w:lang w:bidi="zh-CN"/>
              </w:rPr>
            </w:pPr>
            <w:r>
              <w:rPr>
                <w:lang w:bidi="zh-CN"/>
              </w:rPr>
              <w:t>标准名称</w:t>
            </w:r>
          </w:p>
        </w:tc>
        <w:tc>
          <w:tcPr>
            <w:tcW w:w="3841" w:type="pct"/>
            <w:gridSpan w:val="6"/>
            <w:vAlign w:val="center"/>
          </w:tcPr>
          <w:p>
            <w:pPr>
              <w:pStyle w:val="63"/>
              <w:rPr>
                <w:lang w:bidi="zh-CN"/>
              </w:rPr>
            </w:pPr>
            <w:r>
              <w:rPr>
                <w:lang w:bidi="zh-CN"/>
              </w:rPr>
              <w:t>标准值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59" w:type="pct"/>
            <w:vMerge w:val="restart"/>
            <w:vAlign w:val="center"/>
          </w:tcPr>
          <w:p>
            <w:pPr>
              <w:pStyle w:val="63"/>
              <w:rPr>
                <w:lang w:bidi="zh-CN"/>
              </w:rPr>
            </w:pPr>
            <w:r>
              <w:rPr>
                <w:lang w:bidi="zh-CN"/>
              </w:rPr>
              <w:t>《地下水质量标准》</w:t>
            </w:r>
          </w:p>
          <w:p>
            <w:pPr>
              <w:pStyle w:val="63"/>
              <w:rPr>
                <w:lang w:bidi="zh-CN"/>
              </w:rPr>
            </w:pPr>
            <w:r>
              <w:rPr>
                <w:lang w:bidi="zh-CN"/>
              </w:rPr>
              <w:t>（GB/T14848-2017）</w:t>
            </w:r>
          </w:p>
          <w:p>
            <w:pPr>
              <w:pStyle w:val="63"/>
              <w:rPr>
                <w:lang w:bidi="zh-CN"/>
              </w:rPr>
            </w:pPr>
            <w:r>
              <w:rPr>
                <w:rFonts w:hint="eastAsia" w:ascii="宋体" w:hAnsi="宋体" w:eastAsia="宋体" w:cs="宋体"/>
                <w:lang w:bidi="zh-CN"/>
              </w:rPr>
              <w:t>Ⅲ</w:t>
            </w:r>
            <w:r>
              <w:rPr>
                <w:lang w:bidi="zh-CN"/>
              </w:rPr>
              <w:t>类标准</w:t>
            </w:r>
          </w:p>
        </w:tc>
        <w:tc>
          <w:tcPr>
            <w:tcW w:w="626" w:type="pct"/>
            <w:vAlign w:val="center"/>
          </w:tcPr>
          <w:p>
            <w:pPr>
              <w:pStyle w:val="63"/>
              <w:rPr>
                <w:lang w:bidi="zh-CN"/>
              </w:rPr>
            </w:pPr>
            <w:r>
              <w:rPr>
                <w:lang w:bidi="zh-CN"/>
              </w:rPr>
              <w:t>项目</w:t>
            </w:r>
          </w:p>
        </w:tc>
        <w:tc>
          <w:tcPr>
            <w:tcW w:w="648" w:type="pct"/>
            <w:vAlign w:val="center"/>
          </w:tcPr>
          <w:p>
            <w:pPr>
              <w:pStyle w:val="63"/>
              <w:rPr>
                <w:lang w:bidi="zh-CN"/>
              </w:rPr>
            </w:pPr>
            <w:r>
              <w:rPr>
                <w:lang w:bidi="zh-CN"/>
              </w:rPr>
              <w:t>pH</w:t>
            </w:r>
          </w:p>
        </w:tc>
        <w:tc>
          <w:tcPr>
            <w:tcW w:w="647" w:type="pct"/>
            <w:vAlign w:val="center"/>
          </w:tcPr>
          <w:p>
            <w:pPr>
              <w:pStyle w:val="63"/>
              <w:rPr>
                <w:lang w:bidi="zh-CN"/>
              </w:rPr>
            </w:pPr>
            <w:r>
              <w:rPr>
                <w:lang w:bidi="zh-CN"/>
              </w:rPr>
              <w:t>硫酸盐</w:t>
            </w:r>
          </w:p>
        </w:tc>
        <w:tc>
          <w:tcPr>
            <w:tcW w:w="658" w:type="pct"/>
            <w:vAlign w:val="center"/>
          </w:tcPr>
          <w:p>
            <w:pPr>
              <w:pStyle w:val="63"/>
              <w:rPr>
                <w:lang w:bidi="zh-CN"/>
              </w:rPr>
            </w:pPr>
            <w:r>
              <w:rPr>
                <w:lang w:bidi="zh-CN"/>
              </w:rPr>
              <w:t>氯化物</w:t>
            </w:r>
          </w:p>
        </w:tc>
        <w:tc>
          <w:tcPr>
            <w:tcW w:w="629" w:type="pct"/>
            <w:vAlign w:val="center"/>
          </w:tcPr>
          <w:p>
            <w:pPr>
              <w:pStyle w:val="63"/>
              <w:rPr>
                <w:lang w:bidi="zh-CN"/>
              </w:rPr>
            </w:pPr>
            <w:r>
              <w:rPr>
                <w:lang w:bidi="zh-CN"/>
              </w:rPr>
              <w:t>铁</w:t>
            </w:r>
          </w:p>
        </w:tc>
        <w:tc>
          <w:tcPr>
            <w:tcW w:w="633" w:type="pct"/>
            <w:vAlign w:val="center"/>
          </w:tcPr>
          <w:p>
            <w:pPr>
              <w:pStyle w:val="63"/>
              <w:rPr>
                <w:lang w:bidi="zh-CN"/>
              </w:rPr>
            </w:pPr>
            <w:r>
              <w:rPr>
                <w:lang w:bidi="zh-CN"/>
              </w:rPr>
              <w:t>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59" w:type="pct"/>
            <w:vMerge w:val="continue"/>
            <w:vAlign w:val="center"/>
          </w:tcPr>
          <w:p>
            <w:pPr>
              <w:pStyle w:val="63"/>
            </w:pPr>
          </w:p>
        </w:tc>
        <w:tc>
          <w:tcPr>
            <w:tcW w:w="626" w:type="pct"/>
            <w:vAlign w:val="center"/>
          </w:tcPr>
          <w:p>
            <w:pPr>
              <w:pStyle w:val="63"/>
              <w:rPr>
                <w:lang w:bidi="zh-CN"/>
              </w:rPr>
            </w:pPr>
            <w:r>
              <w:rPr>
                <w:lang w:bidi="zh-CN"/>
              </w:rPr>
              <w:t>标准</w:t>
            </w:r>
          </w:p>
        </w:tc>
        <w:tc>
          <w:tcPr>
            <w:tcW w:w="648" w:type="pct"/>
            <w:vAlign w:val="center"/>
          </w:tcPr>
          <w:p>
            <w:pPr>
              <w:pStyle w:val="63"/>
              <w:rPr>
                <w:lang w:bidi="zh-CN"/>
              </w:rPr>
            </w:pPr>
            <w:r>
              <w:rPr>
                <w:lang w:bidi="zh-CN"/>
              </w:rPr>
              <w:t>6.5-8.5</w:t>
            </w:r>
          </w:p>
        </w:tc>
        <w:tc>
          <w:tcPr>
            <w:tcW w:w="647" w:type="pct"/>
            <w:vAlign w:val="center"/>
          </w:tcPr>
          <w:p>
            <w:pPr>
              <w:pStyle w:val="63"/>
              <w:rPr>
                <w:lang w:bidi="zh-CN"/>
              </w:rPr>
            </w:pPr>
            <w:r>
              <w:rPr>
                <w:lang w:bidi="zh-CN"/>
              </w:rPr>
              <w:t>250</w:t>
            </w:r>
          </w:p>
        </w:tc>
        <w:tc>
          <w:tcPr>
            <w:tcW w:w="658" w:type="pct"/>
            <w:vAlign w:val="center"/>
          </w:tcPr>
          <w:p>
            <w:pPr>
              <w:pStyle w:val="63"/>
              <w:rPr>
                <w:lang w:bidi="zh-CN"/>
              </w:rPr>
            </w:pPr>
            <w:r>
              <w:rPr>
                <w:lang w:bidi="zh-CN"/>
              </w:rPr>
              <w:t>250</w:t>
            </w:r>
          </w:p>
        </w:tc>
        <w:tc>
          <w:tcPr>
            <w:tcW w:w="629" w:type="pct"/>
            <w:vAlign w:val="center"/>
          </w:tcPr>
          <w:p>
            <w:pPr>
              <w:pStyle w:val="63"/>
              <w:rPr>
                <w:lang w:bidi="zh-CN"/>
              </w:rPr>
            </w:pPr>
            <w:r>
              <w:rPr>
                <w:lang w:bidi="zh-CN"/>
              </w:rPr>
              <w:t>0.3</w:t>
            </w:r>
          </w:p>
        </w:tc>
        <w:tc>
          <w:tcPr>
            <w:tcW w:w="633" w:type="pct"/>
            <w:vAlign w:val="center"/>
          </w:tcPr>
          <w:p>
            <w:pPr>
              <w:pStyle w:val="63"/>
              <w:rPr>
                <w:lang w:bidi="zh-CN"/>
              </w:rPr>
            </w:pPr>
            <w:r>
              <w:rPr>
                <w:lang w:bidi="zh-CN"/>
              </w:rPr>
              <w:t>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59" w:type="pct"/>
            <w:vMerge w:val="continue"/>
            <w:vAlign w:val="center"/>
          </w:tcPr>
          <w:p>
            <w:pPr>
              <w:pStyle w:val="63"/>
            </w:pPr>
          </w:p>
        </w:tc>
        <w:tc>
          <w:tcPr>
            <w:tcW w:w="626" w:type="pct"/>
            <w:vAlign w:val="center"/>
          </w:tcPr>
          <w:p>
            <w:pPr>
              <w:pStyle w:val="63"/>
              <w:rPr>
                <w:lang w:bidi="zh-CN"/>
              </w:rPr>
            </w:pPr>
            <w:r>
              <w:rPr>
                <w:lang w:bidi="zh-CN"/>
              </w:rPr>
              <w:t>项目</w:t>
            </w:r>
          </w:p>
        </w:tc>
        <w:tc>
          <w:tcPr>
            <w:tcW w:w="648" w:type="pct"/>
            <w:vAlign w:val="center"/>
          </w:tcPr>
          <w:p>
            <w:pPr>
              <w:pStyle w:val="63"/>
              <w:rPr>
                <w:lang w:bidi="zh-CN"/>
              </w:rPr>
            </w:pPr>
            <w:r>
              <w:rPr>
                <w:lang w:bidi="zh-CN"/>
              </w:rPr>
              <w:t>挥发酚</w:t>
            </w:r>
          </w:p>
        </w:tc>
        <w:tc>
          <w:tcPr>
            <w:tcW w:w="647" w:type="pct"/>
            <w:vAlign w:val="center"/>
          </w:tcPr>
          <w:p>
            <w:pPr>
              <w:pStyle w:val="63"/>
              <w:rPr>
                <w:lang w:bidi="zh-CN"/>
              </w:rPr>
            </w:pPr>
            <w:r>
              <w:rPr>
                <w:lang w:bidi="zh-CN"/>
              </w:rPr>
              <w:t>耗氧量</w:t>
            </w:r>
          </w:p>
        </w:tc>
        <w:tc>
          <w:tcPr>
            <w:tcW w:w="658" w:type="pct"/>
            <w:vAlign w:val="center"/>
          </w:tcPr>
          <w:p>
            <w:pPr>
              <w:pStyle w:val="63"/>
              <w:rPr>
                <w:lang w:bidi="zh-CN"/>
              </w:rPr>
            </w:pPr>
            <w:r>
              <w:rPr>
                <w:lang w:bidi="zh-CN"/>
              </w:rPr>
              <w:t>氨氮</w:t>
            </w:r>
          </w:p>
        </w:tc>
        <w:tc>
          <w:tcPr>
            <w:tcW w:w="629" w:type="pct"/>
            <w:vAlign w:val="center"/>
          </w:tcPr>
          <w:p>
            <w:pPr>
              <w:pStyle w:val="63"/>
              <w:rPr>
                <w:lang w:bidi="zh-CN"/>
              </w:rPr>
            </w:pPr>
            <w:r>
              <w:rPr>
                <w:lang w:bidi="zh-CN"/>
              </w:rPr>
              <w:t>钠</w:t>
            </w:r>
          </w:p>
        </w:tc>
        <w:tc>
          <w:tcPr>
            <w:tcW w:w="633" w:type="pct"/>
            <w:vAlign w:val="center"/>
          </w:tcPr>
          <w:p>
            <w:pPr>
              <w:pStyle w:val="63"/>
              <w:rPr>
                <w:lang w:bidi="zh-CN"/>
              </w:rPr>
            </w:pPr>
            <w:r>
              <w:rPr>
                <w:lang w:bidi="zh-CN"/>
              </w:rPr>
              <w:t>亚硝酸盐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59" w:type="pct"/>
            <w:vMerge w:val="continue"/>
            <w:vAlign w:val="center"/>
          </w:tcPr>
          <w:p>
            <w:pPr>
              <w:pStyle w:val="63"/>
            </w:pPr>
          </w:p>
        </w:tc>
        <w:tc>
          <w:tcPr>
            <w:tcW w:w="626" w:type="pct"/>
            <w:vAlign w:val="center"/>
          </w:tcPr>
          <w:p>
            <w:pPr>
              <w:pStyle w:val="63"/>
              <w:rPr>
                <w:lang w:bidi="zh-CN"/>
              </w:rPr>
            </w:pPr>
            <w:r>
              <w:rPr>
                <w:lang w:bidi="zh-CN"/>
              </w:rPr>
              <w:t>标准</w:t>
            </w:r>
          </w:p>
        </w:tc>
        <w:tc>
          <w:tcPr>
            <w:tcW w:w="648" w:type="pct"/>
            <w:vAlign w:val="center"/>
          </w:tcPr>
          <w:p>
            <w:pPr>
              <w:pStyle w:val="63"/>
              <w:rPr>
                <w:lang w:bidi="zh-CN"/>
              </w:rPr>
            </w:pPr>
            <w:r>
              <w:rPr>
                <w:lang w:bidi="zh-CN"/>
              </w:rPr>
              <w:t>0.002</w:t>
            </w:r>
          </w:p>
        </w:tc>
        <w:tc>
          <w:tcPr>
            <w:tcW w:w="647" w:type="pct"/>
            <w:vAlign w:val="center"/>
          </w:tcPr>
          <w:p>
            <w:pPr>
              <w:pStyle w:val="63"/>
              <w:rPr>
                <w:lang w:bidi="zh-CN"/>
              </w:rPr>
            </w:pPr>
            <w:r>
              <w:rPr>
                <w:lang w:bidi="zh-CN"/>
              </w:rPr>
              <w:t>3.0</w:t>
            </w:r>
          </w:p>
        </w:tc>
        <w:tc>
          <w:tcPr>
            <w:tcW w:w="658" w:type="pct"/>
            <w:vAlign w:val="center"/>
          </w:tcPr>
          <w:p>
            <w:pPr>
              <w:pStyle w:val="63"/>
              <w:rPr>
                <w:lang w:bidi="zh-CN"/>
              </w:rPr>
            </w:pPr>
            <w:r>
              <w:rPr>
                <w:lang w:bidi="zh-CN"/>
              </w:rPr>
              <w:t>0.50</w:t>
            </w:r>
          </w:p>
        </w:tc>
        <w:tc>
          <w:tcPr>
            <w:tcW w:w="629" w:type="pct"/>
            <w:vAlign w:val="center"/>
          </w:tcPr>
          <w:p>
            <w:pPr>
              <w:pStyle w:val="63"/>
              <w:rPr>
                <w:lang w:bidi="zh-CN"/>
              </w:rPr>
            </w:pPr>
            <w:r>
              <w:rPr>
                <w:lang w:bidi="zh-CN"/>
              </w:rPr>
              <w:t>200</w:t>
            </w:r>
          </w:p>
        </w:tc>
        <w:tc>
          <w:tcPr>
            <w:tcW w:w="633" w:type="pct"/>
            <w:vAlign w:val="center"/>
          </w:tcPr>
          <w:p>
            <w:pPr>
              <w:pStyle w:val="63"/>
              <w:rPr>
                <w:lang w:bidi="zh-CN"/>
              </w:rPr>
            </w:pPr>
            <w:r>
              <w:rPr>
                <w:lang w:bidi="zh-CN"/>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59" w:type="pct"/>
            <w:vMerge w:val="continue"/>
            <w:vAlign w:val="center"/>
          </w:tcPr>
          <w:p>
            <w:pPr>
              <w:pStyle w:val="63"/>
            </w:pPr>
          </w:p>
        </w:tc>
        <w:tc>
          <w:tcPr>
            <w:tcW w:w="626" w:type="pct"/>
            <w:vAlign w:val="center"/>
          </w:tcPr>
          <w:p>
            <w:pPr>
              <w:pStyle w:val="63"/>
              <w:rPr>
                <w:lang w:bidi="zh-CN"/>
              </w:rPr>
            </w:pPr>
            <w:r>
              <w:rPr>
                <w:lang w:bidi="zh-CN"/>
              </w:rPr>
              <w:t>项目</w:t>
            </w:r>
          </w:p>
        </w:tc>
        <w:tc>
          <w:tcPr>
            <w:tcW w:w="648" w:type="pct"/>
            <w:vAlign w:val="center"/>
          </w:tcPr>
          <w:p>
            <w:pPr>
              <w:pStyle w:val="63"/>
              <w:rPr>
                <w:lang w:bidi="zh-CN"/>
              </w:rPr>
            </w:pPr>
            <w:r>
              <w:rPr>
                <w:lang w:bidi="zh-CN"/>
              </w:rPr>
              <w:t>硝酸盐</w:t>
            </w:r>
          </w:p>
        </w:tc>
        <w:tc>
          <w:tcPr>
            <w:tcW w:w="647" w:type="pct"/>
            <w:vAlign w:val="center"/>
          </w:tcPr>
          <w:p>
            <w:pPr>
              <w:pStyle w:val="63"/>
              <w:rPr>
                <w:lang w:bidi="zh-CN"/>
              </w:rPr>
            </w:pPr>
            <w:r>
              <w:rPr>
                <w:lang w:bidi="zh-CN"/>
              </w:rPr>
              <w:t>氰化物</w:t>
            </w:r>
          </w:p>
        </w:tc>
        <w:tc>
          <w:tcPr>
            <w:tcW w:w="658" w:type="pct"/>
            <w:vAlign w:val="center"/>
          </w:tcPr>
          <w:p>
            <w:pPr>
              <w:pStyle w:val="63"/>
              <w:rPr>
                <w:lang w:bidi="zh-CN"/>
              </w:rPr>
            </w:pPr>
            <w:r>
              <w:rPr>
                <w:lang w:bidi="zh-CN"/>
              </w:rPr>
              <w:t>氟化物</w:t>
            </w:r>
          </w:p>
        </w:tc>
        <w:tc>
          <w:tcPr>
            <w:tcW w:w="629" w:type="pct"/>
            <w:vAlign w:val="center"/>
          </w:tcPr>
          <w:p>
            <w:pPr>
              <w:pStyle w:val="63"/>
              <w:rPr>
                <w:lang w:bidi="zh-CN"/>
              </w:rPr>
            </w:pPr>
            <w:r>
              <w:rPr>
                <w:lang w:bidi="zh-CN"/>
              </w:rPr>
              <w:t>汞</w:t>
            </w:r>
          </w:p>
        </w:tc>
        <w:tc>
          <w:tcPr>
            <w:tcW w:w="633" w:type="pct"/>
            <w:vAlign w:val="center"/>
          </w:tcPr>
          <w:p>
            <w:pPr>
              <w:pStyle w:val="63"/>
              <w:rPr>
                <w:lang w:bidi="zh-CN"/>
              </w:rPr>
            </w:pPr>
            <w:r>
              <w:rPr>
                <w:lang w:bidi="zh-CN"/>
              </w:rPr>
              <w:t>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59" w:type="pct"/>
            <w:vMerge w:val="continue"/>
            <w:vAlign w:val="center"/>
          </w:tcPr>
          <w:p>
            <w:pPr>
              <w:pStyle w:val="63"/>
            </w:pPr>
          </w:p>
        </w:tc>
        <w:tc>
          <w:tcPr>
            <w:tcW w:w="626" w:type="pct"/>
            <w:vAlign w:val="center"/>
          </w:tcPr>
          <w:p>
            <w:pPr>
              <w:pStyle w:val="63"/>
              <w:rPr>
                <w:lang w:bidi="zh-CN"/>
              </w:rPr>
            </w:pPr>
            <w:r>
              <w:rPr>
                <w:lang w:bidi="zh-CN"/>
              </w:rPr>
              <w:t>标准</w:t>
            </w:r>
          </w:p>
        </w:tc>
        <w:tc>
          <w:tcPr>
            <w:tcW w:w="648" w:type="pct"/>
            <w:vAlign w:val="center"/>
          </w:tcPr>
          <w:p>
            <w:pPr>
              <w:pStyle w:val="63"/>
              <w:rPr>
                <w:lang w:bidi="zh-CN"/>
              </w:rPr>
            </w:pPr>
            <w:r>
              <w:rPr>
                <w:lang w:bidi="zh-CN"/>
              </w:rPr>
              <w:t>20.0</w:t>
            </w:r>
          </w:p>
        </w:tc>
        <w:tc>
          <w:tcPr>
            <w:tcW w:w="647" w:type="pct"/>
            <w:vAlign w:val="center"/>
          </w:tcPr>
          <w:p>
            <w:pPr>
              <w:pStyle w:val="63"/>
              <w:rPr>
                <w:lang w:bidi="zh-CN"/>
              </w:rPr>
            </w:pPr>
            <w:r>
              <w:rPr>
                <w:lang w:bidi="zh-CN"/>
              </w:rPr>
              <w:t>0.05</w:t>
            </w:r>
          </w:p>
        </w:tc>
        <w:tc>
          <w:tcPr>
            <w:tcW w:w="658" w:type="pct"/>
            <w:vAlign w:val="center"/>
          </w:tcPr>
          <w:p>
            <w:pPr>
              <w:pStyle w:val="63"/>
              <w:rPr>
                <w:lang w:bidi="zh-CN"/>
              </w:rPr>
            </w:pPr>
            <w:r>
              <w:rPr>
                <w:lang w:bidi="zh-CN"/>
              </w:rPr>
              <w:t>1.0</w:t>
            </w:r>
          </w:p>
        </w:tc>
        <w:tc>
          <w:tcPr>
            <w:tcW w:w="629" w:type="pct"/>
            <w:vAlign w:val="center"/>
          </w:tcPr>
          <w:p>
            <w:pPr>
              <w:pStyle w:val="63"/>
              <w:rPr>
                <w:lang w:bidi="zh-CN"/>
              </w:rPr>
            </w:pPr>
            <w:r>
              <w:rPr>
                <w:lang w:bidi="zh-CN"/>
              </w:rPr>
              <w:t>0.001</w:t>
            </w:r>
          </w:p>
        </w:tc>
        <w:tc>
          <w:tcPr>
            <w:tcW w:w="633" w:type="pct"/>
            <w:vAlign w:val="center"/>
          </w:tcPr>
          <w:p>
            <w:pPr>
              <w:pStyle w:val="63"/>
              <w:rPr>
                <w:lang w:bidi="zh-CN"/>
              </w:rPr>
            </w:pPr>
            <w:r>
              <w:rPr>
                <w:lang w:bidi="zh-CN"/>
              </w:rPr>
              <w:t>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59" w:type="pct"/>
            <w:vMerge w:val="continue"/>
            <w:vAlign w:val="center"/>
          </w:tcPr>
          <w:p>
            <w:pPr>
              <w:pStyle w:val="63"/>
            </w:pPr>
          </w:p>
        </w:tc>
        <w:tc>
          <w:tcPr>
            <w:tcW w:w="626" w:type="pct"/>
            <w:vAlign w:val="center"/>
          </w:tcPr>
          <w:p>
            <w:pPr>
              <w:pStyle w:val="63"/>
              <w:rPr>
                <w:lang w:bidi="zh-CN"/>
              </w:rPr>
            </w:pPr>
            <w:r>
              <w:rPr>
                <w:lang w:bidi="zh-CN"/>
              </w:rPr>
              <w:t>项目</w:t>
            </w:r>
          </w:p>
        </w:tc>
        <w:tc>
          <w:tcPr>
            <w:tcW w:w="648" w:type="pct"/>
            <w:vAlign w:val="center"/>
          </w:tcPr>
          <w:p>
            <w:pPr>
              <w:pStyle w:val="63"/>
              <w:rPr>
                <w:lang w:bidi="zh-CN"/>
              </w:rPr>
            </w:pPr>
            <w:r>
              <w:rPr>
                <w:lang w:bidi="zh-CN"/>
              </w:rPr>
              <w:t>镉</w:t>
            </w:r>
          </w:p>
        </w:tc>
        <w:tc>
          <w:tcPr>
            <w:tcW w:w="647" w:type="pct"/>
            <w:vAlign w:val="center"/>
          </w:tcPr>
          <w:p>
            <w:pPr>
              <w:pStyle w:val="63"/>
              <w:rPr>
                <w:lang w:bidi="zh-CN"/>
              </w:rPr>
            </w:pPr>
            <w:r>
              <w:rPr>
                <w:lang w:bidi="zh-CN"/>
              </w:rPr>
              <w:t>铅</w:t>
            </w:r>
          </w:p>
        </w:tc>
        <w:tc>
          <w:tcPr>
            <w:tcW w:w="658" w:type="pct"/>
            <w:vAlign w:val="center"/>
          </w:tcPr>
          <w:p>
            <w:pPr>
              <w:pStyle w:val="63"/>
              <w:rPr>
                <w:lang w:bidi="zh-CN"/>
              </w:rPr>
            </w:pPr>
            <w:r>
              <w:rPr>
                <w:lang w:bidi="zh-CN"/>
              </w:rPr>
              <w:t>六价铬</w:t>
            </w:r>
          </w:p>
        </w:tc>
        <w:tc>
          <w:tcPr>
            <w:tcW w:w="629" w:type="pct"/>
            <w:vAlign w:val="center"/>
          </w:tcPr>
          <w:p>
            <w:pPr>
              <w:pStyle w:val="63"/>
              <w:rPr>
                <w:lang w:bidi="zh-CN"/>
              </w:rPr>
            </w:pPr>
          </w:p>
        </w:tc>
        <w:tc>
          <w:tcPr>
            <w:tcW w:w="633" w:type="pct"/>
            <w:vAlign w:val="center"/>
          </w:tcPr>
          <w:p>
            <w:pPr>
              <w:pStyle w:val="63"/>
              <w:rPr>
                <w:lang w:bidi="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59" w:type="pct"/>
            <w:vMerge w:val="continue"/>
            <w:vAlign w:val="center"/>
          </w:tcPr>
          <w:p>
            <w:pPr>
              <w:pStyle w:val="63"/>
            </w:pPr>
          </w:p>
        </w:tc>
        <w:tc>
          <w:tcPr>
            <w:tcW w:w="626" w:type="pct"/>
            <w:vAlign w:val="center"/>
          </w:tcPr>
          <w:p>
            <w:pPr>
              <w:pStyle w:val="63"/>
              <w:rPr>
                <w:lang w:bidi="zh-CN"/>
              </w:rPr>
            </w:pPr>
            <w:r>
              <w:rPr>
                <w:lang w:bidi="zh-CN"/>
              </w:rPr>
              <w:t>标准</w:t>
            </w:r>
          </w:p>
        </w:tc>
        <w:tc>
          <w:tcPr>
            <w:tcW w:w="648" w:type="pct"/>
            <w:vAlign w:val="center"/>
          </w:tcPr>
          <w:p>
            <w:pPr>
              <w:pStyle w:val="63"/>
              <w:rPr>
                <w:lang w:bidi="zh-CN"/>
              </w:rPr>
            </w:pPr>
            <w:r>
              <w:rPr>
                <w:lang w:bidi="zh-CN"/>
              </w:rPr>
              <w:t>0.005</w:t>
            </w:r>
          </w:p>
        </w:tc>
        <w:tc>
          <w:tcPr>
            <w:tcW w:w="647" w:type="pct"/>
            <w:vAlign w:val="center"/>
          </w:tcPr>
          <w:p>
            <w:pPr>
              <w:pStyle w:val="63"/>
              <w:rPr>
                <w:lang w:bidi="zh-CN"/>
              </w:rPr>
            </w:pPr>
            <w:r>
              <w:rPr>
                <w:lang w:bidi="zh-CN"/>
              </w:rPr>
              <w:t>0.01</w:t>
            </w:r>
          </w:p>
        </w:tc>
        <w:tc>
          <w:tcPr>
            <w:tcW w:w="658" w:type="pct"/>
            <w:vAlign w:val="center"/>
          </w:tcPr>
          <w:p>
            <w:pPr>
              <w:pStyle w:val="63"/>
              <w:rPr>
                <w:lang w:bidi="zh-CN"/>
              </w:rPr>
            </w:pPr>
            <w:r>
              <w:rPr>
                <w:lang w:bidi="zh-CN"/>
              </w:rPr>
              <w:t>0.05</w:t>
            </w:r>
          </w:p>
        </w:tc>
        <w:tc>
          <w:tcPr>
            <w:tcW w:w="629" w:type="pct"/>
            <w:vAlign w:val="center"/>
          </w:tcPr>
          <w:p>
            <w:pPr>
              <w:pStyle w:val="63"/>
              <w:rPr>
                <w:lang w:bidi="zh-CN"/>
              </w:rPr>
            </w:pPr>
          </w:p>
        </w:tc>
        <w:tc>
          <w:tcPr>
            <w:tcW w:w="633" w:type="pct"/>
            <w:vAlign w:val="center"/>
          </w:tcPr>
          <w:p>
            <w:pPr>
              <w:pStyle w:val="63"/>
              <w:rPr>
                <w:lang w:bidi="zh-CN"/>
              </w:rPr>
            </w:pPr>
          </w:p>
        </w:tc>
      </w:tr>
    </w:tbl>
    <w:p>
      <w:pPr>
        <w:pStyle w:val="6"/>
        <w:rPr>
          <w:rFonts w:ascii="Times New Roman" w:hAnsi="Times New Roman" w:cs="Times New Roman"/>
        </w:rPr>
      </w:pPr>
      <w:r>
        <w:rPr>
          <w:rFonts w:ascii="Times New Roman" w:hAnsi="Times New Roman" w:cs="Times New Roman"/>
        </w:rPr>
        <w:t>表2.5-4  声环境质量标准 单位：dB（A）</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989"/>
        <w:gridCol w:w="2620"/>
        <w:gridCol w:w="29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54" w:type="pct"/>
            <w:vAlign w:val="center"/>
          </w:tcPr>
          <w:p>
            <w:pPr>
              <w:pStyle w:val="63"/>
            </w:pPr>
            <w:r>
              <w:t>类别</w:t>
            </w:r>
          </w:p>
        </w:tc>
        <w:tc>
          <w:tcPr>
            <w:tcW w:w="1537" w:type="pct"/>
            <w:vAlign w:val="center"/>
          </w:tcPr>
          <w:p>
            <w:pPr>
              <w:pStyle w:val="63"/>
            </w:pPr>
            <w:r>
              <w:t>昼间</w:t>
            </w:r>
          </w:p>
        </w:tc>
        <w:tc>
          <w:tcPr>
            <w:tcW w:w="1709" w:type="pct"/>
            <w:vAlign w:val="center"/>
          </w:tcPr>
          <w:p>
            <w:pPr>
              <w:pStyle w:val="63"/>
            </w:pPr>
            <w: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54" w:type="pct"/>
            <w:vAlign w:val="center"/>
          </w:tcPr>
          <w:p>
            <w:pPr>
              <w:pStyle w:val="63"/>
            </w:pPr>
            <w:r>
              <w:t>2类</w:t>
            </w:r>
          </w:p>
        </w:tc>
        <w:tc>
          <w:tcPr>
            <w:tcW w:w="1537" w:type="pct"/>
            <w:vAlign w:val="center"/>
          </w:tcPr>
          <w:p>
            <w:pPr>
              <w:pStyle w:val="63"/>
            </w:pPr>
            <w:r>
              <w:t>60</w:t>
            </w:r>
          </w:p>
        </w:tc>
        <w:tc>
          <w:tcPr>
            <w:tcW w:w="1709" w:type="pct"/>
            <w:vAlign w:val="center"/>
          </w:tcPr>
          <w:p>
            <w:pPr>
              <w:pStyle w:val="63"/>
            </w:pPr>
            <w: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54" w:type="pct"/>
            <w:vAlign w:val="center"/>
          </w:tcPr>
          <w:p>
            <w:pPr>
              <w:pStyle w:val="63"/>
            </w:pPr>
            <w:r>
              <w:t>3类</w:t>
            </w:r>
          </w:p>
        </w:tc>
        <w:tc>
          <w:tcPr>
            <w:tcW w:w="1537" w:type="pct"/>
            <w:vAlign w:val="center"/>
          </w:tcPr>
          <w:p>
            <w:pPr>
              <w:pStyle w:val="63"/>
            </w:pPr>
            <w:r>
              <w:t>65</w:t>
            </w:r>
          </w:p>
        </w:tc>
        <w:tc>
          <w:tcPr>
            <w:tcW w:w="1709" w:type="pct"/>
            <w:vAlign w:val="center"/>
          </w:tcPr>
          <w:p>
            <w:pPr>
              <w:pStyle w:val="63"/>
            </w:pPr>
            <w:r>
              <w:t>55</w:t>
            </w:r>
          </w:p>
        </w:tc>
      </w:tr>
    </w:tbl>
    <w:p>
      <w:pPr>
        <w:pStyle w:val="6"/>
        <w:rPr>
          <w:rFonts w:ascii="Times New Roman" w:hAnsi="Times New Roman" w:cs="Times New Roman"/>
        </w:rPr>
      </w:pPr>
      <w:r>
        <w:rPr>
          <w:rFonts w:ascii="Times New Roman" w:hAnsi="Times New Roman" w:cs="Times New Roman"/>
        </w:rPr>
        <w:t>表2.5-5  土壤环境质量标准（建设用地）单位：mg/kg（pH除外）</w:t>
      </w:r>
    </w:p>
    <w:tbl>
      <w:tblPr>
        <w:tblStyle w:val="35"/>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825"/>
        <w:gridCol w:w="2031"/>
        <w:gridCol w:w="1335"/>
        <w:gridCol w:w="1037"/>
        <w:gridCol w:w="1037"/>
        <w:gridCol w:w="989"/>
        <w:gridCol w:w="108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Merge w:val="restart"/>
            <w:vAlign w:val="center"/>
          </w:tcPr>
          <w:p>
            <w:pPr>
              <w:pStyle w:val="63"/>
            </w:pPr>
            <w:r>
              <w:t>序号</w:t>
            </w:r>
          </w:p>
        </w:tc>
        <w:tc>
          <w:tcPr>
            <w:tcW w:w="1218" w:type="pct"/>
            <w:vMerge w:val="restart"/>
            <w:vAlign w:val="center"/>
          </w:tcPr>
          <w:p>
            <w:pPr>
              <w:pStyle w:val="63"/>
            </w:pPr>
            <w:r>
              <w:t>污染物项目</w:t>
            </w:r>
          </w:p>
        </w:tc>
        <w:tc>
          <w:tcPr>
            <w:tcW w:w="801" w:type="pct"/>
            <w:vMerge w:val="restart"/>
            <w:vAlign w:val="center"/>
          </w:tcPr>
          <w:p>
            <w:pPr>
              <w:pStyle w:val="63"/>
            </w:pPr>
            <w:r>
              <w:t>CAS编号</w:t>
            </w:r>
          </w:p>
        </w:tc>
        <w:tc>
          <w:tcPr>
            <w:tcW w:w="1244" w:type="pct"/>
            <w:gridSpan w:val="2"/>
            <w:vAlign w:val="center"/>
          </w:tcPr>
          <w:p>
            <w:pPr>
              <w:pStyle w:val="63"/>
            </w:pPr>
            <w:r>
              <w:t>筛选值</w:t>
            </w:r>
          </w:p>
        </w:tc>
        <w:tc>
          <w:tcPr>
            <w:tcW w:w="1242" w:type="pct"/>
            <w:gridSpan w:val="2"/>
            <w:vAlign w:val="center"/>
          </w:tcPr>
          <w:p>
            <w:pPr>
              <w:pStyle w:val="63"/>
            </w:pPr>
            <w:r>
              <w:t>管制值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Merge w:val="continue"/>
            <w:vAlign w:val="center"/>
          </w:tcPr>
          <w:p>
            <w:pPr>
              <w:pStyle w:val="63"/>
            </w:pPr>
          </w:p>
        </w:tc>
        <w:tc>
          <w:tcPr>
            <w:tcW w:w="1218" w:type="pct"/>
            <w:vMerge w:val="continue"/>
            <w:vAlign w:val="center"/>
          </w:tcPr>
          <w:p>
            <w:pPr>
              <w:pStyle w:val="63"/>
            </w:pPr>
          </w:p>
        </w:tc>
        <w:tc>
          <w:tcPr>
            <w:tcW w:w="801" w:type="pct"/>
            <w:vMerge w:val="continue"/>
            <w:vAlign w:val="center"/>
          </w:tcPr>
          <w:p>
            <w:pPr>
              <w:pStyle w:val="63"/>
            </w:pPr>
          </w:p>
        </w:tc>
        <w:tc>
          <w:tcPr>
            <w:tcW w:w="622" w:type="pct"/>
            <w:vAlign w:val="center"/>
          </w:tcPr>
          <w:p>
            <w:pPr>
              <w:pStyle w:val="63"/>
            </w:pPr>
            <w:r>
              <w:t>第一类</w:t>
            </w:r>
          </w:p>
          <w:p>
            <w:pPr>
              <w:pStyle w:val="63"/>
            </w:pPr>
            <w:r>
              <w:t>用地</w:t>
            </w:r>
          </w:p>
        </w:tc>
        <w:tc>
          <w:tcPr>
            <w:tcW w:w="622" w:type="pct"/>
            <w:vAlign w:val="center"/>
          </w:tcPr>
          <w:p>
            <w:pPr>
              <w:pStyle w:val="63"/>
            </w:pPr>
            <w:r>
              <w:t>第二类</w:t>
            </w:r>
          </w:p>
          <w:p>
            <w:pPr>
              <w:pStyle w:val="63"/>
            </w:pPr>
            <w:r>
              <w:t>用地</w:t>
            </w:r>
          </w:p>
        </w:tc>
        <w:tc>
          <w:tcPr>
            <w:tcW w:w="593" w:type="pct"/>
            <w:vAlign w:val="center"/>
          </w:tcPr>
          <w:p>
            <w:pPr>
              <w:pStyle w:val="63"/>
            </w:pPr>
            <w:r>
              <w:t>第一类</w:t>
            </w:r>
          </w:p>
          <w:p>
            <w:pPr>
              <w:pStyle w:val="63"/>
            </w:pPr>
            <w:r>
              <w:t>用地</w:t>
            </w:r>
          </w:p>
        </w:tc>
        <w:tc>
          <w:tcPr>
            <w:tcW w:w="649" w:type="pct"/>
            <w:vAlign w:val="center"/>
          </w:tcPr>
          <w:p>
            <w:pPr>
              <w:pStyle w:val="63"/>
            </w:pPr>
            <w:r>
              <w:t>第二类</w:t>
            </w:r>
          </w:p>
          <w:p>
            <w:pPr>
              <w:pStyle w:val="63"/>
            </w:pPr>
            <w:r>
              <w:t>用地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5000" w:type="pct"/>
            <w:gridSpan w:val="7"/>
            <w:vAlign w:val="center"/>
          </w:tcPr>
          <w:p>
            <w:pPr>
              <w:pStyle w:val="63"/>
            </w:pPr>
            <w:r>
              <w:t>重金属和无机物</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1</w:t>
            </w:r>
          </w:p>
        </w:tc>
        <w:tc>
          <w:tcPr>
            <w:tcW w:w="1218" w:type="pct"/>
            <w:vAlign w:val="center"/>
          </w:tcPr>
          <w:p>
            <w:pPr>
              <w:pStyle w:val="63"/>
            </w:pPr>
            <w:r>
              <w:t>砷</w:t>
            </w:r>
          </w:p>
        </w:tc>
        <w:tc>
          <w:tcPr>
            <w:tcW w:w="801" w:type="pct"/>
            <w:vAlign w:val="center"/>
          </w:tcPr>
          <w:p>
            <w:pPr>
              <w:pStyle w:val="63"/>
            </w:pPr>
            <w:r>
              <w:t>7440-38-2</w:t>
            </w:r>
          </w:p>
        </w:tc>
        <w:tc>
          <w:tcPr>
            <w:tcW w:w="622" w:type="pct"/>
            <w:vAlign w:val="center"/>
          </w:tcPr>
          <w:p>
            <w:pPr>
              <w:pStyle w:val="63"/>
            </w:pPr>
            <w:r>
              <w:t>20</w:t>
            </w:r>
            <w:r>
              <w:rPr>
                <w:rFonts w:hint="eastAsia" w:ascii="宋体" w:hAnsi="宋体" w:eastAsia="宋体" w:cs="宋体"/>
              </w:rPr>
              <w:t>①</w:t>
            </w:r>
          </w:p>
        </w:tc>
        <w:tc>
          <w:tcPr>
            <w:tcW w:w="622" w:type="pct"/>
            <w:vAlign w:val="center"/>
          </w:tcPr>
          <w:p>
            <w:pPr>
              <w:pStyle w:val="63"/>
            </w:pPr>
            <w:r>
              <w:t>60</w:t>
            </w:r>
            <w:r>
              <w:rPr>
                <w:rFonts w:hint="eastAsia" w:ascii="宋体" w:hAnsi="宋体" w:eastAsia="宋体" w:cs="宋体"/>
              </w:rPr>
              <w:t>①</w:t>
            </w:r>
          </w:p>
        </w:tc>
        <w:tc>
          <w:tcPr>
            <w:tcW w:w="593" w:type="pct"/>
            <w:vAlign w:val="center"/>
          </w:tcPr>
          <w:p>
            <w:pPr>
              <w:pStyle w:val="63"/>
            </w:pPr>
            <w:r>
              <w:t>120</w:t>
            </w:r>
          </w:p>
        </w:tc>
        <w:tc>
          <w:tcPr>
            <w:tcW w:w="649" w:type="pct"/>
            <w:vAlign w:val="center"/>
          </w:tcPr>
          <w:p>
            <w:pPr>
              <w:pStyle w:val="63"/>
            </w:pPr>
            <w:r>
              <w:t>140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2</w:t>
            </w:r>
          </w:p>
        </w:tc>
        <w:tc>
          <w:tcPr>
            <w:tcW w:w="1218" w:type="pct"/>
            <w:vAlign w:val="center"/>
          </w:tcPr>
          <w:p>
            <w:pPr>
              <w:pStyle w:val="63"/>
            </w:pPr>
            <w:r>
              <w:t>镉</w:t>
            </w:r>
          </w:p>
        </w:tc>
        <w:tc>
          <w:tcPr>
            <w:tcW w:w="801" w:type="pct"/>
            <w:vAlign w:val="center"/>
          </w:tcPr>
          <w:p>
            <w:pPr>
              <w:pStyle w:val="63"/>
            </w:pPr>
            <w:r>
              <w:t>7440-43-9</w:t>
            </w:r>
          </w:p>
        </w:tc>
        <w:tc>
          <w:tcPr>
            <w:tcW w:w="622" w:type="pct"/>
            <w:vAlign w:val="center"/>
          </w:tcPr>
          <w:p>
            <w:pPr>
              <w:pStyle w:val="63"/>
            </w:pPr>
            <w:r>
              <w:t>20</w:t>
            </w:r>
          </w:p>
        </w:tc>
        <w:tc>
          <w:tcPr>
            <w:tcW w:w="622" w:type="pct"/>
            <w:vAlign w:val="center"/>
          </w:tcPr>
          <w:p>
            <w:pPr>
              <w:pStyle w:val="63"/>
            </w:pPr>
            <w:r>
              <w:t>65</w:t>
            </w:r>
          </w:p>
        </w:tc>
        <w:tc>
          <w:tcPr>
            <w:tcW w:w="593" w:type="pct"/>
            <w:vAlign w:val="center"/>
          </w:tcPr>
          <w:p>
            <w:pPr>
              <w:pStyle w:val="63"/>
            </w:pPr>
            <w:r>
              <w:t>47</w:t>
            </w:r>
          </w:p>
        </w:tc>
        <w:tc>
          <w:tcPr>
            <w:tcW w:w="649" w:type="pct"/>
            <w:vAlign w:val="center"/>
          </w:tcPr>
          <w:p>
            <w:pPr>
              <w:pStyle w:val="63"/>
            </w:pPr>
            <w:r>
              <w:t>172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3</w:t>
            </w:r>
          </w:p>
        </w:tc>
        <w:tc>
          <w:tcPr>
            <w:tcW w:w="1218" w:type="pct"/>
            <w:vAlign w:val="center"/>
          </w:tcPr>
          <w:p>
            <w:pPr>
              <w:pStyle w:val="63"/>
            </w:pPr>
            <w:r>
              <w:t>铬（六价）</w:t>
            </w:r>
          </w:p>
        </w:tc>
        <w:tc>
          <w:tcPr>
            <w:tcW w:w="801" w:type="pct"/>
            <w:vAlign w:val="center"/>
          </w:tcPr>
          <w:p>
            <w:pPr>
              <w:pStyle w:val="63"/>
            </w:pPr>
            <w:r>
              <w:t>18540-29-9</w:t>
            </w:r>
          </w:p>
        </w:tc>
        <w:tc>
          <w:tcPr>
            <w:tcW w:w="622" w:type="pct"/>
            <w:vAlign w:val="center"/>
          </w:tcPr>
          <w:p>
            <w:pPr>
              <w:pStyle w:val="63"/>
            </w:pPr>
            <w:r>
              <w:t>3.0</w:t>
            </w:r>
          </w:p>
        </w:tc>
        <w:tc>
          <w:tcPr>
            <w:tcW w:w="622" w:type="pct"/>
            <w:vAlign w:val="center"/>
          </w:tcPr>
          <w:p>
            <w:pPr>
              <w:pStyle w:val="63"/>
            </w:pPr>
            <w:r>
              <w:t>5.7</w:t>
            </w:r>
          </w:p>
        </w:tc>
        <w:tc>
          <w:tcPr>
            <w:tcW w:w="593" w:type="pct"/>
            <w:vAlign w:val="center"/>
          </w:tcPr>
          <w:p>
            <w:pPr>
              <w:pStyle w:val="63"/>
            </w:pPr>
            <w:r>
              <w:t>30</w:t>
            </w:r>
          </w:p>
        </w:tc>
        <w:tc>
          <w:tcPr>
            <w:tcW w:w="649" w:type="pct"/>
            <w:vAlign w:val="center"/>
          </w:tcPr>
          <w:p>
            <w:pPr>
              <w:pStyle w:val="63"/>
            </w:pPr>
            <w:r>
              <w:t>78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4</w:t>
            </w:r>
          </w:p>
        </w:tc>
        <w:tc>
          <w:tcPr>
            <w:tcW w:w="1218" w:type="pct"/>
            <w:vAlign w:val="center"/>
          </w:tcPr>
          <w:p>
            <w:pPr>
              <w:pStyle w:val="63"/>
            </w:pPr>
            <w:r>
              <w:t>铜</w:t>
            </w:r>
          </w:p>
        </w:tc>
        <w:tc>
          <w:tcPr>
            <w:tcW w:w="801" w:type="pct"/>
            <w:vAlign w:val="center"/>
          </w:tcPr>
          <w:p>
            <w:pPr>
              <w:pStyle w:val="63"/>
            </w:pPr>
            <w:r>
              <w:t>7440-50-8</w:t>
            </w:r>
          </w:p>
        </w:tc>
        <w:tc>
          <w:tcPr>
            <w:tcW w:w="622" w:type="pct"/>
            <w:vAlign w:val="center"/>
          </w:tcPr>
          <w:p>
            <w:pPr>
              <w:pStyle w:val="63"/>
            </w:pPr>
            <w:r>
              <w:t>2000</w:t>
            </w:r>
          </w:p>
        </w:tc>
        <w:tc>
          <w:tcPr>
            <w:tcW w:w="622" w:type="pct"/>
            <w:vAlign w:val="center"/>
          </w:tcPr>
          <w:p>
            <w:pPr>
              <w:pStyle w:val="63"/>
            </w:pPr>
            <w:r>
              <w:t>18000</w:t>
            </w:r>
          </w:p>
        </w:tc>
        <w:tc>
          <w:tcPr>
            <w:tcW w:w="593" w:type="pct"/>
            <w:vAlign w:val="center"/>
          </w:tcPr>
          <w:p>
            <w:pPr>
              <w:pStyle w:val="63"/>
            </w:pPr>
            <w:r>
              <w:t>8000</w:t>
            </w:r>
          </w:p>
        </w:tc>
        <w:tc>
          <w:tcPr>
            <w:tcW w:w="649" w:type="pct"/>
            <w:vAlign w:val="center"/>
          </w:tcPr>
          <w:p>
            <w:pPr>
              <w:pStyle w:val="63"/>
            </w:pPr>
            <w:r>
              <w:t>36000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5</w:t>
            </w:r>
          </w:p>
        </w:tc>
        <w:tc>
          <w:tcPr>
            <w:tcW w:w="1218" w:type="pct"/>
            <w:vAlign w:val="center"/>
          </w:tcPr>
          <w:p>
            <w:pPr>
              <w:pStyle w:val="63"/>
            </w:pPr>
            <w:r>
              <w:t>铅</w:t>
            </w:r>
          </w:p>
        </w:tc>
        <w:tc>
          <w:tcPr>
            <w:tcW w:w="801" w:type="pct"/>
            <w:vAlign w:val="center"/>
          </w:tcPr>
          <w:p>
            <w:pPr>
              <w:pStyle w:val="63"/>
            </w:pPr>
            <w:r>
              <w:t>7439-92-1</w:t>
            </w:r>
          </w:p>
        </w:tc>
        <w:tc>
          <w:tcPr>
            <w:tcW w:w="622" w:type="pct"/>
            <w:vAlign w:val="center"/>
          </w:tcPr>
          <w:p>
            <w:pPr>
              <w:pStyle w:val="63"/>
            </w:pPr>
            <w:r>
              <w:t>400</w:t>
            </w:r>
          </w:p>
        </w:tc>
        <w:tc>
          <w:tcPr>
            <w:tcW w:w="622" w:type="pct"/>
            <w:vAlign w:val="center"/>
          </w:tcPr>
          <w:p>
            <w:pPr>
              <w:pStyle w:val="63"/>
            </w:pPr>
            <w:r>
              <w:t>800</w:t>
            </w:r>
          </w:p>
        </w:tc>
        <w:tc>
          <w:tcPr>
            <w:tcW w:w="593" w:type="pct"/>
            <w:vAlign w:val="center"/>
          </w:tcPr>
          <w:p>
            <w:pPr>
              <w:pStyle w:val="63"/>
            </w:pPr>
            <w:r>
              <w:t>800</w:t>
            </w:r>
          </w:p>
        </w:tc>
        <w:tc>
          <w:tcPr>
            <w:tcW w:w="649" w:type="pct"/>
            <w:vAlign w:val="center"/>
          </w:tcPr>
          <w:p>
            <w:pPr>
              <w:pStyle w:val="63"/>
            </w:pPr>
            <w:r>
              <w:t>2500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6</w:t>
            </w:r>
          </w:p>
        </w:tc>
        <w:tc>
          <w:tcPr>
            <w:tcW w:w="1218" w:type="pct"/>
            <w:vAlign w:val="center"/>
          </w:tcPr>
          <w:p>
            <w:pPr>
              <w:pStyle w:val="63"/>
            </w:pPr>
            <w:r>
              <w:t>汞</w:t>
            </w:r>
          </w:p>
        </w:tc>
        <w:tc>
          <w:tcPr>
            <w:tcW w:w="801" w:type="pct"/>
            <w:vAlign w:val="center"/>
          </w:tcPr>
          <w:p>
            <w:pPr>
              <w:pStyle w:val="63"/>
            </w:pPr>
            <w:r>
              <w:t>7439-97-6</w:t>
            </w:r>
          </w:p>
        </w:tc>
        <w:tc>
          <w:tcPr>
            <w:tcW w:w="622" w:type="pct"/>
            <w:vAlign w:val="center"/>
          </w:tcPr>
          <w:p>
            <w:pPr>
              <w:pStyle w:val="63"/>
            </w:pPr>
            <w:r>
              <w:t>8</w:t>
            </w:r>
          </w:p>
        </w:tc>
        <w:tc>
          <w:tcPr>
            <w:tcW w:w="622" w:type="pct"/>
            <w:vAlign w:val="center"/>
          </w:tcPr>
          <w:p>
            <w:pPr>
              <w:pStyle w:val="63"/>
            </w:pPr>
            <w:r>
              <w:t>38</w:t>
            </w:r>
          </w:p>
        </w:tc>
        <w:tc>
          <w:tcPr>
            <w:tcW w:w="593" w:type="pct"/>
            <w:vAlign w:val="center"/>
          </w:tcPr>
          <w:p>
            <w:pPr>
              <w:pStyle w:val="63"/>
            </w:pPr>
            <w:r>
              <w:t>33</w:t>
            </w:r>
          </w:p>
        </w:tc>
        <w:tc>
          <w:tcPr>
            <w:tcW w:w="649" w:type="pct"/>
            <w:vAlign w:val="center"/>
          </w:tcPr>
          <w:p>
            <w:pPr>
              <w:pStyle w:val="63"/>
            </w:pPr>
            <w:r>
              <w:t>82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7</w:t>
            </w:r>
          </w:p>
        </w:tc>
        <w:tc>
          <w:tcPr>
            <w:tcW w:w="1218" w:type="pct"/>
            <w:vAlign w:val="center"/>
          </w:tcPr>
          <w:p>
            <w:pPr>
              <w:pStyle w:val="63"/>
            </w:pPr>
            <w:r>
              <w:t>镍</w:t>
            </w:r>
          </w:p>
        </w:tc>
        <w:tc>
          <w:tcPr>
            <w:tcW w:w="801" w:type="pct"/>
            <w:vAlign w:val="center"/>
          </w:tcPr>
          <w:p>
            <w:pPr>
              <w:pStyle w:val="63"/>
            </w:pPr>
            <w:r>
              <w:t>7440-02-0</w:t>
            </w:r>
          </w:p>
        </w:tc>
        <w:tc>
          <w:tcPr>
            <w:tcW w:w="622" w:type="pct"/>
            <w:vAlign w:val="center"/>
          </w:tcPr>
          <w:p>
            <w:pPr>
              <w:pStyle w:val="63"/>
            </w:pPr>
            <w:r>
              <w:t>150</w:t>
            </w:r>
          </w:p>
        </w:tc>
        <w:tc>
          <w:tcPr>
            <w:tcW w:w="622" w:type="pct"/>
            <w:vAlign w:val="center"/>
          </w:tcPr>
          <w:p>
            <w:pPr>
              <w:pStyle w:val="63"/>
            </w:pPr>
            <w:r>
              <w:t>900</w:t>
            </w:r>
          </w:p>
        </w:tc>
        <w:tc>
          <w:tcPr>
            <w:tcW w:w="593" w:type="pct"/>
            <w:vAlign w:val="center"/>
          </w:tcPr>
          <w:p>
            <w:pPr>
              <w:pStyle w:val="63"/>
            </w:pPr>
            <w:r>
              <w:t>600</w:t>
            </w:r>
          </w:p>
        </w:tc>
        <w:tc>
          <w:tcPr>
            <w:tcW w:w="649" w:type="pct"/>
            <w:vAlign w:val="center"/>
          </w:tcPr>
          <w:p>
            <w:pPr>
              <w:pStyle w:val="63"/>
            </w:pPr>
            <w:r>
              <w:t>2000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5000" w:type="pct"/>
            <w:gridSpan w:val="7"/>
            <w:vAlign w:val="center"/>
          </w:tcPr>
          <w:p>
            <w:pPr>
              <w:pStyle w:val="63"/>
            </w:pPr>
            <w:r>
              <w:t>挥发性有机物</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8</w:t>
            </w:r>
          </w:p>
        </w:tc>
        <w:tc>
          <w:tcPr>
            <w:tcW w:w="1218" w:type="pct"/>
            <w:vAlign w:val="center"/>
          </w:tcPr>
          <w:p>
            <w:pPr>
              <w:pStyle w:val="63"/>
            </w:pPr>
            <w:r>
              <w:t>四氯化碳</w:t>
            </w:r>
          </w:p>
        </w:tc>
        <w:tc>
          <w:tcPr>
            <w:tcW w:w="801" w:type="pct"/>
            <w:vAlign w:val="center"/>
          </w:tcPr>
          <w:p>
            <w:pPr>
              <w:pStyle w:val="63"/>
            </w:pPr>
            <w:r>
              <w:t>56-23-5</w:t>
            </w:r>
          </w:p>
        </w:tc>
        <w:tc>
          <w:tcPr>
            <w:tcW w:w="622" w:type="pct"/>
            <w:vAlign w:val="center"/>
          </w:tcPr>
          <w:p>
            <w:pPr>
              <w:pStyle w:val="63"/>
            </w:pPr>
            <w:r>
              <w:t>0.9</w:t>
            </w:r>
          </w:p>
        </w:tc>
        <w:tc>
          <w:tcPr>
            <w:tcW w:w="622" w:type="pct"/>
            <w:vAlign w:val="center"/>
          </w:tcPr>
          <w:p>
            <w:pPr>
              <w:pStyle w:val="63"/>
            </w:pPr>
            <w:r>
              <w:t>2.8</w:t>
            </w:r>
          </w:p>
        </w:tc>
        <w:tc>
          <w:tcPr>
            <w:tcW w:w="593" w:type="pct"/>
            <w:vAlign w:val="center"/>
          </w:tcPr>
          <w:p>
            <w:pPr>
              <w:pStyle w:val="63"/>
            </w:pPr>
            <w:r>
              <w:t>9</w:t>
            </w:r>
          </w:p>
        </w:tc>
        <w:tc>
          <w:tcPr>
            <w:tcW w:w="649" w:type="pct"/>
            <w:vAlign w:val="center"/>
          </w:tcPr>
          <w:p>
            <w:pPr>
              <w:pStyle w:val="63"/>
            </w:pPr>
            <w:r>
              <w:t>36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9</w:t>
            </w:r>
          </w:p>
        </w:tc>
        <w:tc>
          <w:tcPr>
            <w:tcW w:w="1218" w:type="pct"/>
            <w:vAlign w:val="center"/>
          </w:tcPr>
          <w:p>
            <w:pPr>
              <w:pStyle w:val="63"/>
            </w:pPr>
            <w:r>
              <w:t>氯仿</w:t>
            </w:r>
          </w:p>
        </w:tc>
        <w:tc>
          <w:tcPr>
            <w:tcW w:w="801" w:type="pct"/>
            <w:vAlign w:val="center"/>
          </w:tcPr>
          <w:p>
            <w:pPr>
              <w:pStyle w:val="63"/>
            </w:pPr>
            <w:r>
              <w:t>67-66-3</w:t>
            </w:r>
          </w:p>
        </w:tc>
        <w:tc>
          <w:tcPr>
            <w:tcW w:w="622" w:type="pct"/>
            <w:vAlign w:val="center"/>
          </w:tcPr>
          <w:p>
            <w:pPr>
              <w:pStyle w:val="63"/>
            </w:pPr>
            <w:r>
              <w:t>0.3</w:t>
            </w:r>
          </w:p>
        </w:tc>
        <w:tc>
          <w:tcPr>
            <w:tcW w:w="622" w:type="pct"/>
            <w:vAlign w:val="center"/>
          </w:tcPr>
          <w:p>
            <w:pPr>
              <w:pStyle w:val="63"/>
            </w:pPr>
            <w:r>
              <w:t>0.9</w:t>
            </w:r>
          </w:p>
        </w:tc>
        <w:tc>
          <w:tcPr>
            <w:tcW w:w="593" w:type="pct"/>
            <w:vAlign w:val="center"/>
          </w:tcPr>
          <w:p>
            <w:pPr>
              <w:pStyle w:val="63"/>
            </w:pPr>
            <w:r>
              <w:t>5</w:t>
            </w:r>
          </w:p>
        </w:tc>
        <w:tc>
          <w:tcPr>
            <w:tcW w:w="649" w:type="pct"/>
            <w:vAlign w:val="center"/>
          </w:tcPr>
          <w:p>
            <w:pPr>
              <w:pStyle w:val="63"/>
            </w:pPr>
            <w: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10</w:t>
            </w:r>
          </w:p>
        </w:tc>
        <w:tc>
          <w:tcPr>
            <w:tcW w:w="1218" w:type="pct"/>
            <w:vAlign w:val="center"/>
          </w:tcPr>
          <w:p>
            <w:pPr>
              <w:pStyle w:val="63"/>
            </w:pPr>
            <w:r>
              <w:t>氯甲烷</w:t>
            </w:r>
          </w:p>
        </w:tc>
        <w:tc>
          <w:tcPr>
            <w:tcW w:w="801" w:type="pct"/>
            <w:vAlign w:val="center"/>
          </w:tcPr>
          <w:p>
            <w:pPr>
              <w:pStyle w:val="63"/>
            </w:pPr>
            <w:r>
              <w:t>74-87-3</w:t>
            </w:r>
          </w:p>
        </w:tc>
        <w:tc>
          <w:tcPr>
            <w:tcW w:w="622" w:type="pct"/>
            <w:vAlign w:val="center"/>
          </w:tcPr>
          <w:p>
            <w:pPr>
              <w:pStyle w:val="63"/>
            </w:pPr>
            <w:r>
              <w:t>12</w:t>
            </w:r>
          </w:p>
        </w:tc>
        <w:tc>
          <w:tcPr>
            <w:tcW w:w="622" w:type="pct"/>
            <w:vAlign w:val="center"/>
          </w:tcPr>
          <w:p>
            <w:pPr>
              <w:pStyle w:val="63"/>
            </w:pPr>
            <w:r>
              <w:t>37</w:t>
            </w:r>
          </w:p>
        </w:tc>
        <w:tc>
          <w:tcPr>
            <w:tcW w:w="593" w:type="pct"/>
            <w:vAlign w:val="center"/>
          </w:tcPr>
          <w:p>
            <w:pPr>
              <w:pStyle w:val="63"/>
            </w:pPr>
            <w:r>
              <w:t>21</w:t>
            </w:r>
          </w:p>
        </w:tc>
        <w:tc>
          <w:tcPr>
            <w:tcW w:w="649" w:type="pct"/>
            <w:vAlign w:val="center"/>
          </w:tcPr>
          <w:p>
            <w:pPr>
              <w:pStyle w:val="63"/>
            </w:pPr>
            <w:r>
              <w:t>120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11</w:t>
            </w:r>
          </w:p>
        </w:tc>
        <w:tc>
          <w:tcPr>
            <w:tcW w:w="1218" w:type="pct"/>
            <w:vAlign w:val="center"/>
          </w:tcPr>
          <w:p>
            <w:pPr>
              <w:pStyle w:val="63"/>
            </w:pPr>
            <w:r>
              <w:t>1，1-二氯乙烷</w:t>
            </w:r>
          </w:p>
        </w:tc>
        <w:tc>
          <w:tcPr>
            <w:tcW w:w="801" w:type="pct"/>
            <w:vAlign w:val="center"/>
          </w:tcPr>
          <w:p>
            <w:pPr>
              <w:pStyle w:val="63"/>
            </w:pPr>
            <w:r>
              <w:t>75-34-3</w:t>
            </w:r>
          </w:p>
        </w:tc>
        <w:tc>
          <w:tcPr>
            <w:tcW w:w="622" w:type="pct"/>
            <w:vAlign w:val="center"/>
          </w:tcPr>
          <w:p>
            <w:pPr>
              <w:pStyle w:val="63"/>
            </w:pPr>
            <w:r>
              <w:t>3</w:t>
            </w:r>
          </w:p>
        </w:tc>
        <w:tc>
          <w:tcPr>
            <w:tcW w:w="622" w:type="pct"/>
            <w:vAlign w:val="center"/>
          </w:tcPr>
          <w:p>
            <w:pPr>
              <w:pStyle w:val="63"/>
            </w:pPr>
            <w:r>
              <w:t>9</w:t>
            </w:r>
          </w:p>
        </w:tc>
        <w:tc>
          <w:tcPr>
            <w:tcW w:w="593" w:type="pct"/>
            <w:vAlign w:val="center"/>
          </w:tcPr>
          <w:p>
            <w:pPr>
              <w:pStyle w:val="63"/>
            </w:pPr>
            <w:r>
              <w:t>20</w:t>
            </w:r>
          </w:p>
        </w:tc>
        <w:tc>
          <w:tcPr>
            <w:tcW w:w="649" w:type="pct"/>
            <w:vAlign w:val="center"/>
          </w:tcPr>
          <w:p>
            <w:pPr>
              <w:pStyle w:val="63"/>
            </w:pPr>
            <w:r>
              <w:t>100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12</w:t>
            </w:r>
          </w:p>
        </w:tc>
        <w:tc>
          <w:tcPr>
            <w:tcW w:w="1218" w:type="pct"/>
            <w:vAlign w:val="center"/>
          </w:tcPr>
          <w:p>
            <w:pPr>
              <w:pStyle w:val="63"/>
            </w:pPr>
            <w:r>
              <w:t>1，2-二氯乙烷</w:t>
            </w:r>
          </w:p>
        </w:tc>
        <w:tc>
          <w:tcPr>
            <w:tcW w:w="801" w:type="pct"/>
            <w:vAlign w:val="center"/>
          </w:tcPr>
          <w:p>
            <w:pPr>
              <w:pStyle w:val="63"/>
            </w:pPr>
            <w:r>
              <w:t>107-06-2</w:t>
            </w:r>
          </w:p>
        </w:tc>
        <w:tc>
          <w:tcPr>
            <w:tcW w:w="622" w:type="pct"/>
            <w:vAlign w:val="center"/>
          </w:tcPr>
          <w:p>
            <w:pPr>
              <w:pStyle w:val="63"/>
            </w:pPr>
            <w:r>
              <w:t>0.52</w:t>
            </w:r>
          </w:p>
        </w:tc>
        <w:tc>
          <w:tcPr>
            <w:tcW w:w="622" w:type="pct"/>
            <w:vAlign w:val="center"/>
          </w:tcPr>
          <w:p>
            <w:pPr>
              <w:pStyle w:val="63"/>
            </w:pPr>
            <w:r>
              <w:t>5</w:t>
            </w:r>
          </w:p>
        </w:tc>
        <w:tc>
          <w:tcPr>
            <w:tcW w:w="593" w:type="pct"/>
            <w:vAlign w:val="center"/>
          </w:tcPr>
          <w:p>
            <w:pPr>
              <w:pStyle w:val="63"/>
            </w:pPr>
            <w:r>
              <w:t>6</w:t>
            </w:r>
          </w:p>
        </w:tc>
        <w:tc>
          <w:tcPr>
            <w:tcW w:w="649" w:type="pct"/>
            <w:vAlign w:val="center"/>
          </w:tcPr>
          <w:p>
            <w:pPr>
              <w:pStyle w:val="63"/>
            </w:pPr>
            <w:r>
              <w:t>21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13</w:t>
            </w:r>
          </w:p>
        </w:tc>
        <w:tc>
          <w:tcPr>
            <w:tcW w:w="1218" w:type="pct"/>
            <w:vAlign w:val="center"/>
          </w:tcPr>
          <w:p>
            <w:pPr>
              <w:pStyle w:val="63"/>
            </w:pPr>
            <w:r>
              <w:t>1，1-二氯乙烯</w:t>
            </w:r>
          </w:p>
        </w:tc>
        <w:tc>
          <w:tcPr>
            <w:tcW w:w="801" w:type="pct"/>
            <w:vAlign w:val="center"/>
          </w:tcPr>
          <w:p>
            <w:pPr>
              <w:pStyle w:val="63"/>
            </w:pPr>
            <w:r>
              <w:t>75-35-4</w:t>
            </w:r>
          </w:p>
        </w:tc>
        <w:tc>
          <w:tcPr>
            <w:tcW w:w="622" w:type="pct"/>
            <w:vAlign w:val="center"/>
          </w:tcPr>
          <w:p>
            <w:pPr>
              <w:pStyle w:val="63"/>
            </w:pPr>
            <w:r>
              <w:t>12</w:t>
            </w:r>
          </w:p>
        </w:tc>
        <w:tc>
          <w:tcPr>
            <w:tcW w:w="622" w:type="pct"/>
            <w:vAlign w:val="center"/>
          </w:tcPr>
          <w:p>
            <w:pPr>
              <w:pStyle w:val="63"/>
            </w:pPr>
            <w:r>
              <w:t>66</w:t>
            </w:r>
          </w:p>
        </w:tc>
        <w:tc>
          <w:tcPr>
            <w:tcW w:w="593" w:type="pct"/>
            <w:vAlign w:val="center"/>
          </w:tcPr>
          <w:p>
            <w:pPr>
              <w:pStyle w:val="63"/>
            </w:pPr>
            <w:r>
              <w:t>40</w:t>
            </w:r>
          </w:p>
        </w:tc>
        <w:tc>
          <w:tcPr>
            <w:tcW w:w="649" w:type="pct"/>
            <w:vAlign w:val="center"/>
          </w:tcPr>
          <w:p>
            <w:pPr>
              <w:pStyle w:val="63"/>
            </w:pPr>
            <w:r>
              <w:t>200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14</w:t>
            </w:r>
          </w:p>
        </w:tc>
        <w:tc>
          <w:tcPr>
            <w:tcW w:w="1218" w:type="pct"/>
            <w:vAlign w:val="center"/>
          </w:tcPr>
          <w:p>
            <w:pPr>
              <w:pStyle w:val="63"/>
            </w:pPr>
            <w:r>
              <w:t>顺-1，2-二氯乙烯</w:t>
            </w:r>
          </w:p>
        </w:tc>
        <w:tc>
          <w:tcPr>
            <w:tcW w:w="801" w:type="pct"/>
            <w:vAlign w:val="center"/>
          </w:tcPr>
          <w:p>
            <w:pPr>
              <w:pStyle w:val="63"/>
            </w:pPr>
            <w:r>
              <w:t>156-59-2</w:t>
            </w:r>
          </w:p>
        </w:tc>
        <w:tc>
          <w:tcPr>
            <w:tcW w:w="622" w:type="pct"/>
            <w:vAlign w:val="center"/>
          </w:tcPr>
          <w:p>
            <w:pPr>
              <w:pStyle w:val="63"/>
            </w:pPr>
            <w:r>
              <w:t>66</w:t>
            </w:r>
          </w:p>
        </w:tc>
        <w:tc>
          <w:tcPr>
            <w:tcW w:w="622" w:type="pct"/>
            <w:vAlign w:val="center"/>
          </w:tcPr>
          <w:p>
            <w:pPr>
              <w:pStyle w:val="63"/>
            </w:pPr>
            <w:r>
              <w:t>596</w:t>
            </w:r>
          </w:p>
        </w:tc>
        <w:tc>
          <w:tcPr>
            <w:tcW w:w="593" w:type="pct"/>
            <w:vAlign w:val="center"/>
          </w:tcPr>
          <w:p>
            <w:pPr>
              <w:pStyle w:val="63"/>
            </w:pPr>
            <w:r>
              <w:t>200</w:t>
            </w:r>
          </w:p>
        </w:tc>
        <w:tc>
          <w:tcPr>
            <w:tcW w:w="649" w:type="pct"/>
            <w:vAlign w:val="center"/>
          </w:tcPr>
          <w:p>
            <w:pPr>
              <w:pStyle w:val="63"/>
            </w:pPr>
            <w:r>
              <w:t>2000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15</w:t>
            </w:r>
          </w:p>
        </w:tc>
        <w:tc>
          <w:tcPr>
            <w:tcW w:w="1218" w:type="pct"/>
            <w:vAlign w:val="center"/>
          </w:tcPr>
          <w:p>
            <w:pPr>
              <w:pStyle w:val="63"/>
            </w:pPr>
            <w:r>
              <w:t>反-1，2-二氯乙烯</w:t>
            </w:r>
          </w:p>
        </w:tc>
        <w:tc>
          <w:tcPr>
            <w:tcW w:w="801" w:type="pct"/>
            <w:vAlign w:val="center"/>
          </w:tcPr>
          <w:p>
            <w:pPr>
              <w:pStyle w:val="63"/>
            </w:pPr>
            <w:r>
              <w:t>156-60-5</w:t>
            </w:r>
          </w:p>
        </w:tc>
        <w:tc>
          <w:tcPr>
            <w:tcW w:w="622" w:type="pct"/>
            <w:vAlign w:val="center"/>
          </w:tcPr>
          <w:p>
            <w:pPr>
              <w:pStyle w:val="63"/>
            </w:pPr>
            <w:r>
              <w:t>10</w:t>
            </w:r>
          </w:p>
        </w:tc>
        <w:tc>
          <w:tcPr>
            <w:tcW w:w="622" w:type="pct"/>
            <w:vAlign w:val="center"/>
          </w:tcPr>
          <w:p>
            <w:pPr>
              <w:pStyle w:val="63"/>
            </w:pPr>
            <w:r>
              <w:t>54</w:t>
            </w:r>
          </w:p>
        </w:tc>
        <w:tc>
          <w:tcPr>
            <w:tcW w:w="593" w:type="pct"/>
            <w:vAlign w:val="center"/>
          </w:tcPr>
          <w:p>
            <w:pPr>
              <w:pStyle w:val="63"/>
            </w:pPr>
            <w:r>
              <w:t>31</w:t>
            </w:r>
          </w:p>
        </w:tc>
        <w:tc>
          <w:tcPr>
            <w:tcW w:w="649" w:type="pct"/>
            <w:vAlign w:val="center"/>
          </w:tcPr>
          <w:p>
            <w:pPr>
              <w:pStyle w:val="63"/>
            </w:pPr>
            <w:r>
              <w:t>163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16</w:t>
            </w:r>
          </w:p>
        </w:tc>
        <w:tc>
          <w:tcPr>
            <w:tcW w:w="1218" w:type="pct"/>
            <w:vAlign w:val="center"/>
          </w:tcPr>
          <w:p>
            <w:pPr>
              <w:pStyle w:val="63"/>
            </w:pPr>
            <w:r>
              <w:t>二氯甲烷</w:t>
            </w:r>
          </w:p>
        </w:tc>
        <w:tc>
          <w:tcPr>
            <w:tcW w:w="801" w:type="pct"/>
            <w:vAlign w:val="center"/>
          </w:tcPr>
          <w:p>
            <w:pPr>
              <w:pStyle w:val="63"/>
            </w:pPr>
            <w:r>
              <w:t>75-09-2</w:t>
            </w:r>
          </w:p>
        </w:tc>
        <w:tc>
          <w:tcPr>
            <w:tcW w:w="622" w:type="pct"/>
            <w:vAlign w:val="center"/>
          </w:tcPr>
          <w:p>
            <w:pPr>
              <w:pStyle w:val="63"/>
            </w:pPr>
            <w:r>
              <w:t>94</w:t>
            </w:r>
          </w:p>
        </w:tc>
        <w:tc>
          <w:tcPr>
            <w:tcW w:w="622" w:type="pct"/>
            <w:vAlign w:val="center"/>
          </w:tcPr>
          <w:p>
            <w:pPr>
              <w:pStyle w:val="63"/>
            </w:pPr>
            <w:r>
              <w:t>616</w:t>
            </w:r>
          </w:p>
        </w:tc>
        <w:tc>
          <w:tcPr>
            <w:tcW w:w="593" w:type="pct"/>
            <w:vAlign w:val="center"/>
          </w:tcPr>
          <w:p>
            <w:pPr>
              <w:pStyle w:val="63"/>
            </w:pPr>
            <w:r>
              <w:t>300</w:t>
            </w:r>
          </w:p>
        </w:tc>
        <w:tc>
          <w:tcPr>
            <w:tcW w:w="649" w:type="pct"/>
            <w:vAlign w:val="center"/>
          </w:tcPr>
          <w:p>
            <w:pPr>
              <w:pStyle w:val="63"/>
            </w:pPr>
            <w:r>
              <w:t>2000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17</w:t>
            </w:r>
          </w:p>
        </w:tc>
        <w:tc>
          <w:tcPr>
            <w:tcW w:w="1218" w:type="pct"/>
            <w:vAlign w:val="center"/>
          </w:tcPr>
          <w:p>
            <w:pPr>
              <w:pStyle w:val="63"/>
            </w:pPr>
            <w:r>
              <w:t>1，2-二氯丙烷</w:t>
            </w:r>
          </w:p>
        </w:tc>
        <w:tc>
          <w:tcPr>
            <w:tcW w:w="801" w:type="pct"/>
            <w:vAlign w:val="center"/>
          </w:tcPr>
          <w:p>
            <w:pPr>
              <w:pStyle w:val="63"/>
            </w:pPr>
            <w:r>
              <w:t>78-87-5</w:t>
            </w:r>
          </w:p>
        </w:tc>
        <w:tc>
          <w:tcPr>
            <w:tcW w:w="622" w:type="pct"/>
            <w:vAlign w:val="center"/>
          </w:tcPr>
          <w:p>
            <w:pPr>
              <w:pStyle w:val="63"/>
            </w:pPr>
            <w:r>
              <w:t>1</w:t>
            </w:r>
          </w:p>
        </w:tc>
        <w:tc>
          <w:tcPr>
            <w:tcW w:w="622" w:type="pct"/>
            <w:vAlign w:val="center"/>
          </w:tcPr>
          <w:p>
            <w:pPr>
              <w:pStyle w:val="63"/>
            </w:pPr>
            <w:r>
              <w:t>5</w:t>
            </w:r>
          </w:p>
        </w:tc>
        <w:tc>
          <w:tcPr>
            <w:tcW w:w="593" w:type="pct"/>
            <w:vAlign w:val="center"/>
          </w:tcPr>
          <w:p>
            <w:pPr>
              <w:pStyle w:val="63"/>
            </w:pPr>
            <w:r>
              <w:t>5</w:t>
            </w:r>
          </w:p>
        </w:tc>
        <w:tc>
          <w:tcPr>
            <w:tcW w:w="649" w:type="pct"/>
            <w:vAlign w:val="center"/>
          </w:tcPr>
          <w:p>
            <w:pPr>
              <w:pStyle w:val="63"/>
            </w:pPr>
            <w:r>
              <w:t>47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18</w:t>
            </w:r>
          </w:p>
        </w:tc>
        <w:tc>
          <w:tcPr>
            <w:tcW w:w="1218" w:type="pct"/>
            <w:vAlign w:val="center"/>
          </w:tcPr>
          <w:p>
            <w:pPr>
              <w:pStyle w:val="63"/>
            </w:pPr>
            <w:r>
              <w:t>1，1，1，2-四氯乙烷</w:t>
            </w:r>
          </w:p>
        </w:tc>
        <w:tc>
          <w:tcPr>
            <w:tcW w:w="801" w:type="pct"/>
            <w:vAlign w:val="center"/>
          </w:tcPr>
          <w:p>
            <w:pPr>
              <w:pStyle w:val="63"/>
            </w:pPr>
            <w:r>
              <w:t>630-20-6</w:t>
            </w:r>
          </w:p>
        </w:tc>
        <w:tc>
          <w:tcPr>
            <w:tcW w:w="622" w:type="pct"/>
            <w:vAlign w:val="center"/>
          </w:tcPr>
          <w:p>
            <w:pPr>
              <w:pStyle w:val="63"/>
            </w:pPr>
            <w:r>
              <w:t>2.6</w:t>
            </w:r>
          </w:p>
        </w:tc>
        <w:tc>
          <w:tcPr>
            <w:tcW w:w="622" w:type="pct"/>
            <w:vAlign w:val="center"/>
          </w:tcPr>
          <w:p>
            <w:pPr>
              <w:pStyle w:val="63"/>
            </w:pPr>
            <w:r>
              <w:t>10</w:t>
            </w:r>
          </w:p>
        </w:tc>
        <w:tc>
          <w:tcPr>
            <w:tcW w:w="593" w:type="pct"/>
            <w:vAlign w:val="center"/>
          </w:tcPr>
          <w:p>
            <w:pPr>
              <w:pStyle w:val="63"/>
            </w:pPr>
            <w:r>
              <w:t>26</w:t>
            </w:r>
          </w:p>
        </w:tc>
        <w:tc>
          <w:tcPr>
            <w:tcW w:w="649" w:type="pct"/>
            <w:vAlign w:val="center"/>
          </w:tcPr>
          <w:p>
            <w:pPr>
              <w:pStyle w:val="63"/>
            </w:pPr>
            <w:r>
              <w:t>100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19</w:t>
            </w:r>
          </w:p>
        </w:tc>
        <w:tc>
          <w:tcPr>
            <w:tcW w:w="1218" w:type="pct"/>
            <w:vAlign w:val="center"/>
          </w:tcPr>
          <w:p>
            <w:pPr>
              <w:pStyle w:val="63"/>
            </w:pPr>
            <w:r>
              <w:t>1，1，2，2-四氯乙烷</w:t>
            </w:r>
          </w:p>
        </w:tc>
        <w:tc>
          <w:tcPr>
            <w:tcW w:w="801" w:type="pct"/>
            <w:vAlign w:val="center"/>
          </w:tcPr>
          <w:p>
            <w:pPr>
              <w:pStyle w:val="63"/>
            </w:pPr>
            <w:r>
              <w:t>79-34-5</w:t>
            </w:r>
          </w:p>
        </w:tc>
        <w:tc>
          <w:tcPr>
            <w:tcW w:w="622" w:type="pct"/>
            <w:vAlign w:val="center"/>
          </w:tcPr>
          <w:p>
            <w:pPr>
              <w:pStyle w:val="63"/>
            </w:pPr>
            <w:r>
              <w:t>1.6</w:t>
            </w:r>
          </w:p>
        </w:tc>
        <w:tc>
          <w:tcPr>
            <w:tcW w:w="622" w:type="pct"/>
            <w:vAlign w:val="center"/>
          </w:tcPr>
          <w:p>
            <w:pPr>
              <w:pStyle w:val="63"/>
            </w:pPr>
            <w:r>
              <w:t>6.8</w:t>
            </w:r>
          </w:p>
        </w:tc>
        <w:tc>
          <w:tcPr>
            <w:tcW w:w="593" w:type="pct"/>
            <w:vAlign w:val="center"/>
          </w:tcPr>
          <w:p>
            <w:pPr>
              <w:pStyle w:val="63"/>
            </w:pPr>
            <w:r>
              <w:t>14</w:t>
            </w:r>
          </w:p>
        </w:tc>
        <w:tc>
          <w:tcPr>
            <w:tcW w:w="649" w:type="pct"/>
            <w:vAlign w:val="center"/>
          </w:tcPr>
          <w:p>
            <w:pPr>
              <w:pStyle w:val="63"/>
            </w:pPr>
            <w: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20</w:t>
            </w:r>
          </w:p>
        </w:tc>
        <w:tc>
          <w:tcPr>
            <w:tcW w:w="1218" w:type="pct"/>
            <w:vAlign w:val="center"/>
          </w:tcPr>
          <w:p>
            <w:pPr>
              <w:pStyle w:val="63"/>
            </w:pPr>
            <w:r>
              <w:t>四氯乙烯</w:t>
            </w:r>
          </w:p>
        </w:tc>
        <w:tc>
          <w:tcPr>
            <w:tcW w:w="801" w:type="pct"/>
            <w:vAlign w:val="center"/>
          </w:tcPr>
          <w:p>
            <w:pPr>
              <w:pStyle w:val="63"/>
            </w:pPr>
            <w:r>
              <w:t>127-18-4</w:t>
            </w:r>
          </w:p>
        </w:tc>
        <w:tc>
          <w:tcPr>
            <w:tcW w:w="622" w:type="pct"/>
            <w:vAlign w:val="center"/>
          </w:tcPr>
          <w:p>
            <w:pPr>
              <w:pStyle w:val="63"/>
            </w:pPr>
            <w:r>
              <w:t>11</w:t>
            </w:r>
          </w:p>
        </w:tc>
        <w:tc>
          <w:tcPr>
            <w:tcW w:w="622" w:type="pct"/>
            <w:vAlign w:val="center"/>
          </w:tcPr>
          <w:p>
            <w:pPr>
              <w:pStyle w:val="63"/>
            </w:pPr>
            <w:r>
              <w:t>53</w:t>
            </w:r>
          </w:p>
        </w:tc>
        <w:tc>
          <w:tcPr>
            <w:tcW w:w="593" w:type="pct"/>
            <w:vAlign w:val="center"/>
          </w:tcPr>
          <w:p>
            <w:pPr>
              <w:pStyle w:val="63"/>
            </w:pPr>
            <w:r>
              <w:t>34</w:t>
            </w:r>
          </w:p>
        </w:tc>
        <w:tc>
          <w:tcPr>
            <w:tcW w:w="649" w:type="pct"/>
            <w:vAlign w:val="center"/>
          </w:tcPr>
          <w:p>
            <w:pPr>
              <w:pStyle w:val="63"/>
            </w:pPr>
            <w:r>
              <w:t>183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21</w:t>
            </w:r>
          </w:p>
        </w:tc>
        <w:tc>
          <w:tcPr>
            <w:tcW w:w="1218" w:type="pct"/>
            <w:vAlign w:val="center"/>
          </w:tcPr>
          <w:p>
            <w:pPr>
              <w:pStyle w:val="63"/>
            </w:pPr>
            <w:r>
              <w:t>1，1，1-三氯乙烷</w:t>
            </w:r>
          </w:p>
        </w:tc>
        <w:tc>
          <w:tcPr>
            <w:tcW w:w="801" w:type="pct"/>
            <w:vAlign w:val="center"/>
          </w:tcPr>
          <w:p>
            <w:pPr>
              <w:pStyle w:val="63"/>
            </w:pPr>
            <w:r>
              <w:t>71-55-6</w:t>
            </w:r>
          </w:p>
        </w:tc>
        <w:tc>
          <w:tcPr>
            <w:tcW w:w="622" w:type="pct"/>
            <w:vAlign w:val="center"/>
          </w:tcPr>
          <w:p>
            <w:pPr>
              <w:pStyle w:val="63"/>
            </w:pPr>
            <w:r>
              <w:t>701</w:t>
            </w:r>
          </w:p>
        </w:tc>
        <w:tc>
          <w:tcPr>
            <w:tcW w:w="622" w:type="pct"/>
            <w:vAlign w:val="center"/>
          </w:tcPr>
          <w:p>
            <w:pPr>
              <w:pStyle w:val="63"/>
            </w:pPr>
            <w:r>
              <w:t>840</w:t>
            </w:r>
          </w:p>
        </w:tc>
        <w:tc>
          <w:tcPr>
            <w:tcW w:w="593" w:type="pct"/>
            <w:vAlign w:val="center"/>
          </w:tcPr>
          <w:p>
            <w:pPr>
              <w:pStyle w:val="63"/>
            </w:pPr>
            <w:r>
              <w:t>840</w:t>
            </w:r>
          </w:p>
        </w:tc>
        <w:tc>
          <w:tcPr>
            <w:tcW w:w="649" w:type="pct"/>
            <w:vAlign w:val="center"/>
          </w:tcPr>
          <w:p>
            <w:pPr>
              <w:pStyle w:val="63"/>
            </w:pPr>
            <w:r>
              <w:t>840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22</w:t>
            </w:r>
          </w:p>
        </w:tc>
        <w:tc>
          <w:tcPr>
            <w:tcW w:w="1218" w:type="pct"/>
            <w:vAlign w:val="center"/>
          </w:tcPr>
          <w:p>
            <w:pPr>
              <w:pStyle w:val="63"/>
            </w:pPr>
            <w:r>
              <w:t>1，1，2-三氯乙烷</w:t>
            </w:r>
          </w:p>
        </w:tc>
        <w:tc>
          <w:tcPr>
            <w:tcW w:w="801" w:type="pct"/>
            <w:vAlign w:val="center"/>
          </w:tcPr>
          <w:p>
            <w:pPr>
              <w:pStyle w:val="63"/>
            </w:pPr>
            <w:r>
              <w:t>79-00-5</w:t>
            </w:r>
          </w:p>
        </w:tc>
        <w:tc>
          <w:tcPr>
            <w:tcW w:w="622" w:type="pct"/>
            <w:vAlign w:val="center"/>
          </w:tcPr>
          <w:p>
            <w:pPr>
              <w:pStyle w:val="63"/>
            </w:pPr>
            <w:r>
              <w:t>0.6</w:t>
            </w:r>
          </w:p>
        </w:tc>
        <w:tc>
          <w:tcPr>
            <w:tcW w:w="622" w:type="pct"/>
            <w:vAlign w:val="center"/>
          </w:tcPr>
          <w:p>
            <w:pPr>
              <w:pStyle w:val="63"/>
            </w:pPr>
            <w:r>
              <w:t>2.8</w:t>
            </w:r>
          </w:p>
        </w:tc>
        <w:tc>
          <w:tcPr>
            <w:tcW w:w="593" w:type="pct"/>
            <w:vAlign w:val="center"/>
          </w:tcPr>
          <w:p>
            <w:pPr>
              <w:pStyle w:val="63"/>
            </w:pPr>
            <w:r>
              <w:t>5</w:t>
            </w:r>
          </w:p>
        </w:tc>
        <w:tc>
          <w:tcPr>
            <w:tcW w:w="649" w:type="pct"/>
            <w:vAlign w:val="center"/>
          </w:tcPr>
          <w:p>
            <w:pPr>
              <w:pStyle w:val="63"/>
            </w:pPr>
            <w: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23</w:t>
            </w:r>
          </w:p>
        </w:tc>
        <w:tc>
          <w:tcPr>
            <w:tcW w:w="1218" w:type="pct"/>
            <w:vAlign w:val="center"/>
          </w:tcPr>
          <w:p>
            <w:pPr>
              <w:pStyle w:val="63"/>
            </w:pPr>
            <w:r>
              <w:t>三氯乙烯</w:t>
            </w:r>
          </w:p>
        </w:tc>
        <w:tc>
          <w:tcPr>
            <w:tcW w:w="801" w:type="pct"/>
            <w:vAlign w:val="center"/>
          </w:tcPr>
          <w:p>
            <w:pPr>
              <w:pStyle w:val="63"/>
            </w:pPr>
            <w:r>
              <w:t>79-01-6</w:t>
            </w:r>
          </w:p>
        </w:tc>
        <w:tc>
          <w:tcPr>
            <w:tcW w:w="622" w:type="pct"/>
            <w:vAlign w:val="center"/>
          </w:tcPr>
          <w:p>
            <w:pPr>
              <w:pStyle w:val="63"/>
            </w:pPr>
            <w:r>
              <w:t>0.7</w:t>
            </w:r>
          </w:p>
        </w:tc>
        <w:tc>
          <w:tcPr>
            <w:tcW w:w="622" w:type="pct"/>
            <w:vAlign w:val="center"/>
          </w:tcPr>
          <w:p>
            <w:pPr>
              <w:pStyle w:val="63"/>
            </w:pPr>
            <w:r>
              <w:t>2.8</w:t>
            </w:r>
          </w:p>
        </w:tc>
        <w:tc>
          <w:tcPr>
            <w:tcW w:w="593" w:type="pct"/>
            <w:vAlign w:val="center"/>
          </w:tcPr>
          <w:p>
            <w:pPr>
              <w:pStyle w:val="63"/>
            </w:pPr>
            <w:r>
              <w:t>7</w:t>
            </w:r>
          </w:p>
        </w:tc>
        <w:tc>
          <w:tcPr>
            <w:tcW w:w="649" w:type="pct"/>
            <w:vAlign w:val="center"/>
          </w:tcPr>
          <w:p>
            <w:pPr>
              <w:pStyle w:val="63"/>
            </w:pPr>
            <w: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24</w:t>
            </w:r>
          </w:p>
        </w:tc>
        <w:tc>
          <w:tcPr>
            <w:tcW w:w="1218" w:type="pct"/>
            <w:vAlign w:val="center"/>
          </w:tcPr>
          <w:p>
            <w:pPr>
              <w:pStyle w:val="63"/>
            </w:pPr>
            <w:r>
              <w:t>1，2，3-三氯丙烷</w:t>
            </w:r>
          </w:p>
        </w:tc>
        <w:tc>
          <w:tcPr>
            <w:tcW w:w="801" w:type="pct"/>
            <w:vAlign w:val="center"/>
          </w:tcPr>
          <w:p>
            <w:pPr>
              <w:pStyle w:val="63"/>
            </w:pPr>
            <w:r>
              <w:t>96-18-4</w:t>
            </w:r>
          </w:p>
        </w:tc>
        <w:tc>
          <w:tcPr>
            <w:tcW w:w="622" w:type="pct"/>
            <w:vAlign w:val="center"/>
          </w:tcPr>
          <w:p>
            <w:pPr>
              <w:pStyle w:val="63"/>
            </w:pPr>
            <w:r>
              <w:t>0.05</w:t>
            </w:r>
          </w:p>
        </w:tc>
        <w:tc>
          <w:tcPr>
            <w:tcW w:w="622" w:type="pct"/>
            <w:vAlign w:val="center"/>
          </w:tcPr>
          <w:p>
            <w:pPr>
              <w:pStyle w:val="63"/>
            </w:pPr>
            <w:r>
              <w:t>0.5</w:t>
            </w:r>
          </w:p>
        </w:tc>
        <w:tc>
          <w:tcPr>
            <w:tcW w:w="593" w:type="pct"/>
            <w:vAlign w:val="center"/>
          </w:tcPr>
          <w:p>
            <w:pPr>
              <w:pStyle w:val="63"/>
            </w:pPr>
            <w:r>
              <w:t>0.5</w:t>
            </w:r>
          </w:p>
        </w:tc>
        <w:tc>
          <w:tcPr>
            <w:tcW w:w="649" w:type="pct"/>
            <w:vAlign w:val="center"/>
          </w:tcPr>
          <w:p>
            <w:pPr>
              <w:pStyle w:val="63"/>
            </w:pPr>
            <w: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25</w:t>
            </w:r>
          </w:p>
        </w:tc>
        <w:tc>
          <w:tcPr>
            <w:tcW w:w="1218" w:type="pct"/>
            <w:vAlign w:val="center"/>
          </w:tcPr>
          <w:p>
            <w:pPr>
              <w:pStyle w:val="63"/>
            </w:pPr>
            <w:r>
              <w:t>氯乙烯</w:t>
            </w:r>
          </w:p>
        </w:tc>
        <w:tc>
          <w:tcPr>
            <w:tcW w:w="801" w:type="pct"/>
            <w:vAlign w:val="center"/>
          </w:tcPr>
          <w:p>
            <w:pPr>
              <w:pStyle w:val="63"/>
            </w:pPr>
            <w:r>
              <w:t>75-01-4</w:t>
            </w:r>
          </w:p>
        </w:tc>
        <w:tc>
          <w:tcPr>
            <w:tcW w:w="622" w:type="pct"/>
            <w:vAlign w:val="center"/>
          </w:tcPr>
          <w:p>
            <w:pPr>
              <w:pStyle w:val="63"/>
            </w:pPr>
            <w:r>
              <w:t>0.12</w:t>
            </w:r>
          </w:p>
        </w:tc>
        <w:tc>
          <w:tcPr>
            <w:tcW w:w="622" w:type="pct"/>
            <w:vAlign w:val="center"/>
          </w:tcPr>
          <w:p>
            <w:pPr>
              <w:pStyle w:val="63"/>
            </w:pPr>
            <w:r>
              <w:t>0.43</w:t>
            </w:r>
          </w:p>
        </w:tc>
        <w:tc>
          <w:tcPr>
            <w:tcW w:w="593" w:type="pct"/>
            <w:vAlign w:val="center"/>
          </w:tcPr>
          <w:p>
            <w:pPr>
              <w:pStyle w:val="63"/>
            </w:pPr>
            <w:r>
              <w:t>1.2</w:t>
            </w:r>
          </w:p>
        </w:tc>
        <w:tc>
          <w:tcPr>
            <w:tcW w:w="649" w:type="pct"/>
            <w:vAlign w:val="center"/>
          </w:tcPr>
          <w:p>
            <w:pPr>
              <w:pStyle w:val="63"/>
            </w:pPr>
            <w:r>
              <w:t>4.3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26</w:t>
            </w:r>
          </w:p>
        </w:tc>
        <w:tc>
          <w:tcPr>
            <w:tcW w:w="1218" w:type="pct"/>
            <w:vAlign w:val="center"/>
          </w:tcPr>
          <w:p>
            <w:pPr>
              <w:pStyle w:val="63"/>
            </w:pPr>
            <w:r>
              <w:t>苯</w:t>
            </w:r>
          </w:p>
        </w:tc>
        <w:tc>
          <w:tcPr>
            <w:tcW w:w="801" w:type="pct"/>
            <w:vAlign w:val="center"/>
          </w:tcPr>
          <w:p>
            <w:pPr>
              <w:pStyle w:val="63"/>
            </w:pPr>
            <w:r>
              <w:t>71-43-2</w:t>
            </w:r>
          </w:p>
        </w:tc>
        <w:tc>
          <w:tcPr>
            <w:tcW w:w="622" w:type="pct"/>
            <w:vAlign w:val="center"/>
          </w:tcPr>
          <w:p>
            <w:pPr>
              <w:pStyle w:val="63"/>
            </w:pPr>
            <w:r>
              <w:t>1</w:t>
            </w:r>
          </w:p>
        </w:tc>
        <w:tc>
          <w:tcPr>
            <w:tcW w:w="622" w:type="pct"/>
            <w:vAlign w:val="center"/>
          </w:tcPr>
          <w:p>
            <w:pPr>
              <w:pStyle w:val="63"/>
            </w:pPr>
            <w:r>
              <w:t>4</w:t>
            </w:r>
          </w:p>
        </w:tc>
        <w:tc>
          <w:tcPr>
            <w:tcW w:w="593" w:type="pct"/>
            <w:vAlign w:val="center"/>
          </w:tcPr>
          <w:p>
            <w:pPr>
              <w:pStyle w:val="63"/>
            </w:pPr>
            <w:r>
              <w:t>10</w:t>
            </w:r>
          </w:p>
        </w:tc>
        <w:tc>
          <w:tcPr>
            <w:tcW w:w="649" w:type="pct"/>
            <w:vAlign w:val="center"/>
          </w:tcPr>
          <w:p>
            <w:pPr>
              <w:pStyle w:val="63"/>
            </w:pPr>
            <w:r>
              <w:t>40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27</w:t>
            </w:r>
          </w:p>
        </w:tc>
        <w:tc>
          <w:tcPr>
            <w:tcW w:w="1218" w:type="pct"/>
            <w:vAlign w:val="center"/>
          </w:tcPr>
          <w:p>
            <w:pPr>
              <w:pStyle w:val="63"/>
            </w:pPr>
            <w:r>
              <w:t>氯苯</w:t>
            </w:r>
          </w:p>
        </w:tc>
        <w:tc>
          <w:tcPr>
            <w:tcW w:w="801" w:type="pct"/>
            <w:vAlign w:val="center"/>
          </w:tcPr>
          <w:p>
            <w:pPr>
              <w:pStyle w:val="63"/>
            </w:pPr>
            <w:r>
              <w:t>108-90-7</w:t>
            </w:r>
          </w:p>
        </w:tc>
        <w:tc>
          <w:tcPr>
            <w:tcW w:w="622" w:type="pct"/>
            <w:vAlign w:val="center"/>
          </w:tcPr>
          <w:p>
            <w:pPr>
              <w:pStyle w:val="63"/>
            </w:pPr>
            <w:r>
              <w:t>68</w:t>
            </w:r>
          </w:p>
        </w:tc>
        <w:tc>
          <w:tcPr>
            <w:tcW w:w="622" w:type="pct"/>
            <w:vAlign w:val="center"/>
          </w:tcPr>
          <w:p>
            <w:pPr>
              <w:pStyle w:val="63"/>
            </w:pPr>
            <w:r>
              <w:t>270</w:t>
            </w:r>
          </w:p>
        </w:tc>
        <w:tc>
          <w:tcPr>
            <w:tcW w:w="593" w:type="pct"/>
            <w:vAlign w:val="center"/>
          </w:tcPr>
          <w:p>
            <w:pPr>
              <w:pStyle w:val="63"/>
            </w:pPr>
            <w:r>
              <w:t>200</w:t>
            </w:r>
          </w:p>
        </w:tc>
        <w:tc>
          <w:tcPr>
            <w:tcW w:w="649" w:type="pct"/>
            <w:vAlign w:val="center"/>
          </w:tcPr>
          <w:p>
            <w:pPr>
              <w:pStyle w:val="63"/>
            </w:pPr>
            <w:r>
              <w:t>1000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28</w:t>
            </w:r>
          </w:p>
        </w:tc>
        <w:tc>
          <w:tcPr>
            <w:tcW w:w="1218" w:type="pct"/>
            <w:vAlign w:val="center"/>
          </w:tcPr>
          <w:p>
            <w:pPr>
              <w:pStyle w:val="63"/>
            </w:pPr>
            <w:r>
              <w:t>1，2-二氯苯</w:t>
            </w:r>
          </w:p>
        </w:tc>
        <w:tc>
          <w:tcPr>
            <w:tcW w:w="801" w:type="pct"/>
            <w:vAlign w:val="center"/>
          </w:tcPr>
          <w:p>
            <w:pPr>
              <w:pStyle w:val="63"/>
            </w:pPr>
            <w:r>
              <w:t>95-50-1</w:t>
            </w:r>
          </w:p>
        </w:tc>
        <w:tc>
          <w:tcPr>
            <w:tcW w:w="622" w:type="pct"/>
            <w:vAlign w:val="center"/>
          </w:tcPr>
          <w:p>
            <w:pPr>
              <w:pStyle w:val="63"/>
            </w:pPr>
            <w:r>
              <w:t>560</w:t>
            </w:r>
          </w:p>
        </w:tc>
        <w:tc>
          <w:tcPr>
            <w:tcW w:w="622" w:type="pct"/>
            <w:vAlign w:val="center"/>
          </w:tcPr>
          <w:p>
            <w:pPr>
              <w:pStyle w:val="63"/>
            </w:pPr>
            <w:r>
              <w:t>560</w:t>
            </w:r>
          </w:p>
        </w:tc>
        <w:tc>
          <w:tcPr>
            <w:tcW w:w="593" w:type="pct"/>
            <w:vAlign w:val="center"/>
          </w:tcPr>
          <w:p>
            <w:pPr>
              <w:pStyle w:val="63"/>
            </w:pPr>
            <w:r>
              <w:t>560</w:t>
            </w:r>
          </w:p>
        </w:tc>
        <w:tc>
          <w:tcPr>
            <w:tcW w:w="649" w:type="pct"/>
            <w:vAlign w:val="center"/>
          </w:tcPr>
          <w:p>
            <w:pPr>
              <w:pStyle w:val="63"/>
            </w:pPr>
            <w:r>
              <w:t>560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29</w:t>
            </w:r>
          </w:p>
        </w:tc>
        <w:tc>
          <w:tcPr>
            <w:tcW w:w="1218" w:type="pct"/>
            <w:vAlign w:val="center"/>
          </w:tcPr>
          <w:p>
            <w:pPr>
              <w:pStyle w:val="63"/>
            </w:pPr>
            <w:r>
              <w:t>1，4-二氯苯</w:t>
            </w:r>
          </w:p>
        </w:tc>
        <w:tc>
          <w:tcPr>
            <w:tcW w:w="801" w:type="pct"/>
            <w:vAlign w:val="center"/>
          </w:tcPr>
          <w:p>
            <w:pPr>
              <w:pStyle w:val="63"/>
            </w:pPr>
            <w:r>
              <w:t>106-46-7</w:t>
            </w:r>
          </w:p>
        </w:tc>
        <w:tc>
          <w:tcPr>
            <w:tcW w:w="622" w:type="pct"/>
            <w:vAlign w:val="center"/>
          </w:tcPr>
          <w:p>
            <w:pPr>
              <w:pStyle w:val="63"/>
            </w:pPr>
            <w:r>
              <w:t>5.6</w:t>
            </w:r>
          </w:p>
        </w:tc>
        <w:tc>
          <w:tcPr>
            <w:tcW w:w="622" w:type="pct"/>
            <w:vAlign w:val="center"/>
          </w:tcPr>
          <w:p>
            <w:pPr>
              <w:pStyle w:val="63"/>
            </w:pPr>
            <w:r>
              <w:t>20</w:t>
            </w:r>
          </w:p>
        </w:tc>
        <w:tc>
          <w:tcPr>
            <w:tcW w:w="593" w:type="pct"/>
            <w:vAlign w:val="center"/>
          </w:tcPr>
          <w:p>
            <w:pPr>
              <w:pStyle w:val="63"/>
            </w:pPr>
            <w:r>
              <w:t>56</w:t>
            </w:r>
          </w:p>
        </w:tc>
        <w:tc>
          <w:tcPr>
            <w:tcW w:w="649" w:type="pct"/>
            <w:vAlign w:val="center"/>
          </w:tcPr>
          <w:p>
            <w:pPr>
              <w:pStyle w:val="63"/>
            </w:pPr>
            <w:r>
              <w:t>200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30</w:t>
            </w:r>
          </w:p>
        </w:tc>
        <w:tc>
          <w:tcPr>
            <w:tcW w:w="1218" w:type="pct"/>
            <w:vAlign w:val="center"/>
          </w:tcPr>
          <w:p>
            <w:pPr>
              <w:pStyle w:val="63"/>
            </w:pPr>
            <w:r>
              <w:t>乙苯</w:t>
            </w:r>
          </w:p>
        </w:tc>
        <w:tc>
          <w:tcPr>
            <w:tcW w:w="801" w:type="pct"/>
            <w:vAlign w:val="center"/>
          </w:tcPr>
          <w:p>
            <w:pPr>
              <w:pStyle w:val="63"/>
            </w:pPr>
            <w:r>
              <w:t>100-41-4</w:t>
            </w:r>
          </w:p>
        </w:tc>
        <w:tc>
          <w:tcPr>
            <w:tcW w:w="622" w:type="pct"/>
            <w:vAlign w:val="center"/>
          </w:tcPr>
          <w:p>
            <w:pPr>
              <w:pStyle w:val="63"/>
            </w:pPr>
            <w:r>
              <w:t>7.2</w:t>
            </w:r>
          </w:p>
        </w:tc>
        <w:tc>
          <w:tcPr>
            <w:tcW w:w="622" w:type="pct"/>
            <w:vAlign w:val="center"/>
          </w:tcPr>
          <w:p>
            <w:pPr>
              <w:pStyle w:val="63"/>
            </w:pPr>
            <w:r>
              <w:t>28</w:t>
            </w:r>
          </w:p>
        </w:tc>
        <w:tc>
          <w:tcPr>
            <w:tcW w:w="593" w:type="pct"/>
            <w:vAlign w:val="center"/>
          </w:tcPr>
          <w:p>
            <w:pPr>
              <w:pStyle w:val="63"/>
            </w:pPr>
            <w:r>
              <w:t>72</w:t>
            </w:r>
          </w:p>
        </w:tc>
        <w:tc>
          <w:tcPr>
            <w:tcW w:w="649" w:type="pct"/>
            <w:vAlign w:val="center"/>
          </w:tcPr>
          <w:p>
            <w:pPr>
              <w:pStyle w:val="63"/>
            </w:pPr>
            <w:r>
              <w:t>280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31</w:t>
            </w:r>
          </w:p>
        </w:tc>
        <w:tc>
          <w:tcPr>
            <w:tcW w:w="1218" w:type="pct"/>
            <w:vAlign w:val="center"/>
          </w:tcPr>
          <w:p>
            <w:pPr>
              <w:pStyle w:val="63"/>
            </w:pPr>
            <w:r>
              <w:t>苯乙烯</w:t>
            </w:r>
          </w:p>
        </w:tc>
        <w:tc>
          <w:tcPr>
            <w:tcW w:w="801" w:type="pct"/>
            <w:vAlign w:val="center"/>
          </w:tcPr>
          <w:p>
            <w:pPr>
              <w:pStyle w:val="63"/>
            </w:pPr>
            <w:r>
              <w:t>100-42-5</w:t>
            </w:r>
          </w:p>
        </w:tc>
        <w:tc>
          <w:tcPr>
            <w:tcW w:w="622" w:type="pct"/>
            <w:vAlign w:val="center"/>
          </w:tcPr>
          <w:p>
            <w:pPr>
              <w:pStyle w:val="63"/>
            </w:pPr>
            <w:r>
              <w:t>1290</w:t>
            </w:r>
          </w:p>
        </w:tc>
        <w:tc>
          <w:tcPr>
            <w:tcW w:w="622" w:type="pct"/>
            <w:vAlign w:val="center"/>
          </w:tcPr>
          <w:p>
            <w:pPr>
              <w:pStyle w:val="63"/>
            </w:pPr>
            <w:r>
              <w:t>1290</w:t>
            </w:r>
          </w:p>
        </w:tc>
        <w:tc>
          <w:tcPr>
            <w:tcW w:w="593" w:type="pct"/>
            <w:vAlign w:val="center"/>
          </w:tcPr>
          <w:p>
            <w:pPr>
              <w:pStyle w:val="63"/>
            </w:pPr>
            <w:r>
              <w:t>1290</w:t>
            </w:r>
          </w:p>
        </w:tc>
        <w:tc>
          <w:tcPr>
            <w:tcW w:w="649" w:type="pct"/>
            <w:vAlign w:val="center"/>
          </w:tcPr>
          <w:p>
            <w:pPr>
              <w:pStyle w:val="63"/>
            </w:pPr>
            <w:r>
              <w:t>1290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32</w:t>
            </w:r>
          </w:p>
        </w:tc>
        <w:tc>
          <w:tcPr>
            <w:tcW w:w="1218" w:type="pct"/>
            <w:vAlign w:val="center"/>
          </w:tcPr>
          <w:p>
            <w:pPr>
              <w:pStyle w:val="63"/>
            </w:pPr>
            <w:r>
              <w:t>甲苯</w:t>
            </w:r>
          </w:p>
        </w:tc>
        <w:tc>
          <w:tcPr>
            <w:tcW w:w="801" w:type="pct"/>
            <w:vAlign w:val="center"/>
          </w:tcPr>
          <w:p>
            <w:pPr>
              <w:pStyle w:val="63"/>
            </w:pPr>
            <w:r>
              <w:t>108-88-3</w:t>
            </w:r>
          </w:p>
        </w:tc>
        <w:tc>
          <w:tcPr>
            <w:tcW w:w="622" w:type="pct"/>
            <w:vAlign w:val="center"/>
          </w:tcPr>
          <w:p>
            <w:pPr>
              <w:pStyle w:val="63"/>
            </w:pPr>
            <w:r>
              <w:t>1200</w:t>
            </w:r>
          </w:p>
        </w:tc>
        <w:tc>
          <w:tcPr>
            <w:tcW w:w="622" w:type="pct"/>
            <w:vAlign w:val="center"/>
          </w:tcPr>
          <w:p>
            <w:pPr>
              <w:pStyle w:val="63"/>
            </w:pPr>
            <w:r>
              <w:t>1200</w:t>
            </w:r>
          </w:p>
        </w:tc>
        <w:tc>
          <w:tcPr>
            <w:tcW w:w="593" w:type="pct"/>
            <w:vAlign w:val="center"/>
          </w:tcPr>
          <w:p>
            <w:pPr>
              <w:pStyle w:val="63"/>
            </w:pPr>
            <w:r>
              <w:t>1200</w:t>
            </w:r>
          </w:p>
        </w:tc>
        <w:tc>
          <w:tcPr>
            <w:tcW w:w="649" w:type="pct"/>
            <w:vAlign w:val="center"/>
          </w:tcPr>
          <w:p>
            <w:pPr>
              <w:pStyle w:val="63"/>
            </w:pPr>
            <w:r>
              <w:t>1200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33</w:t>
            </w:r>
          </w:p>
        </w:tc>
        <w:tc>
          <w:tcPr>
            <w:tcW w:w="1218" w:type="pct"/>
            <w:vAlign w:val="center"/>
          </w:tcPr>
          <w:p>
            <w:pPr>
              <w:pStyle w:val="63"/>
            </w:pPr>
            <w:r>
              <w:t>间二甲苯+对二甲苯</w:t>
            </w:r>
          </w:p>
        </w:tc>
        <w:tc>
          <w:tcPr>
            <w:tcW w:w="801" w:type="pct"/>
            <w:vAlign w:val="center"/>
          </w:tcPr>
          <w:p>
            <w:pPr>
              <w:pStyle w:val="63"/>
            </w:pPr>
            <w:r>
              <w:t>108-38-3，</w:t>
            </w:r>
          </w:p>
          <w:p>
            <w:pPr>
              <w:pStyle w:val="63"/>
            </w:pPr>
            <w:r>
              <w:t>106-42-3</w:t>
            </w:r>
          </w:p>
        </w:tc>
        <w:tc>
          <w:tcPr>
            <w:tcW w:w="622" w:type="pct"/>
            <w:vAlign w:val="center"/>
          </w:tcPr>
          <w:p>
            <w:pPr>
              <w:pStyle w:val="63"/>
            </w:pPr>
            <w:r>
              <w:t>163</w:t>
            </w:r>
          </w:p>
        </w:tc>
        <w:tc>
          <w:tcPr>
            <w:tcW w:w="622" w:type="pct"/>
            <w:vAlign w:val="center"/>
          </w:tcPr>
          <w:p>
            <w:pPr>
              <w:pStyle w:val="63"/>
            </w:pPr>
            <w:r>
              <w:t>570</w:t>
            </w:r>
          </w:p>
        </w:tc>
        <w:tc>
          <w:tcPr>
            <w:tcW w:w="593" w:type="pct"/>
            <w:vAlign w:val="center"/>
          </w:tcPr>
          <w:p>
            <w:pPr>
              <w:pStyle w:val="63"/>
            </w:pPr>
            <w:r>
              <w:t>500</w:t>
            </w:r>
          </w:p>
        </w:tc>
        <w:tc>
          <w:tcPr>
            <w:tcW w:w="649" w:type="pct"/>
            <w:vAlign w:val="center"/>
          </w:tcPr>
          <w:p>
            <w:pPr>
              <w:pStyle w:val="63"/>
            </w:pPr>
            <w:r>
              <w:t>570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34</w:t>
            </w:r>
          </w:p>
        </w:tc>
        <w:tc>
          <w:tcPr>
            <w:tcW w:w="1218" w:type="pct"/>
            <w:vAlign w:val="center"/>
          </w:tcPr>
          <w:p>
            <w:pPr>
              <w:pStyle w:val="63"/>
            </w:pPr>
            <w:r>
              <w:t>邻二甲苯</w:t>
            </w:r>
          </w:p>
        </w:tc>
        <w:tc>
          <w:tcPr>
            <w:tcW w:w="801" w:type="pct"/>
            <w:vAlign w:val="center"/>
          </w:tcPr>
          <w:p>
            <w:pPr>
              <w:pStyle w:val="63"/>
            </w:pPr>
            <w:r>
              <w:t>95-47-6</w:t>
            </w:r>
          </w:p>
        </w:tc>
        <w:tc>
          <w:tcPr>
            <w:tcW w:w="622" w:type="pct"/>
            <w:vAlign w:val="center"/>
          </w:tcPr>
          <w:p>
            <w:pPr>
              <w:pStyle w:val="63"/>
            </w:pPr>
            <w:r>
              <w:t>222</w:t>
            </w:r>
          </w:p>
        </w:tc>
        <w:tc>
          <w:tcPr>
            <w:tcW w:w="622" w:type="pct"/>
            <w:vAlign w:val="center"/>
          </w:tcPr>
          <w:p>
            <w:pPr>
              <w:pStyle w:val="63"/>
            </w:pPr>
            <w:r>
              <w:t>640</w:t>
            </w:r>
          </w:p>
        </w:tc>
        <w:tc>
          <w:tcPr>
            <w:tcW w:w="593" w:type="pct"/>
            <w:vAlign w:val="center"/>
          </w:tcPr>
          <w:p>
            <w:pPr>
              <w:pStyle w:val="63"/>
            </w:pPr>
            <w:r>
              <w:t>640</w:t>
            </w:r>
          </w:p>
        </w:tc>
        <w:tc>
          <w:tcPr>
            <w:tcW w:w="649" w:type="pct"/>
            <w:vAlign w:val="center"/>
          </w:tcPr>
          <w:p>
            <w:pPr>
              <w:pStyle w:val="63"/>
            </w:pPr>
            <w:r>
              <w:t>640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5000" w:type="pct"/>
            <w:gridSpan w:val="7"/>
            <w:vAlign w:val="center"/>
          </w:tcPr>
          <w:p>
            <w:pPr>
              <w:pStyle w:val="63"/>
            </w:pPr>
            <w:r>
              <w:t>半挥发性有机物</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35</w:t>
            </w:r>
          </w:p>
        </w:tc>
        <w:tc>
          <w:tcPr>
            <w:tcW w:w="1218" w:type="pct"/>
            <w:vAlign w:val="center"/>
          </w:tcPr>
          <w:p>
            <w:pPr>
              <w:pStyle w:val="63"/>
            </w:pPr>
            <w:r>
              <w:t>硝基苯</w:t>
            </w:r>
          </w:p>
        </w:tc>
        <w:tc>
          <w:tcPr>
            <w:tcW w:w="801" w:type="pct"/>
            <w:vAlign w:val="center"/>
          </w:tcPr>
          <w:p>
            <w:pPr>
              <w:pStyle w:val="63"/>
            </w:pPr>
            <w:r>
              <w:t>98-95-3</w:t>
            </w:r>
          </w:p>
        </w:tc>
        <w:tc>
          <w:tcPr>
            <w:tcW w:w="622" w:type="pct"/>
            <w:vAlign w:val="center"/>
          </w:tcPr>
          <w:p>
            <w:pPr>
              <w:pStyle w:val="63"/>
            </w:pPr>
            <w:r>
              <w:t>34</w:t>
            </w:r>
          </w:p>
        </w:tc>
        <w:tc>
          <w:tcPr>
            <w:tcW w:w="622" w:type="pct"/>
            <w:vAlign w:val="center"/>
          </w:tcPr>
          <w:p>
            <w:pPr>
              <w:pStyle w:val="63"/>
            </w:pPr>
            <w:r>
              <w:t>76</w:t>
            </w:r>
          </w:p>
        </w:tc>
        <w:tc>
          <w:tcPr>
            <w:tcW w:w="593" w:type="pct"/>
            <w:vAlign w:val="center"/>
          </w:tcPr>
          <w:p>
            <w:pPr>
              <w:pStyle w:val="63"/>
            </w:pPr>
            <w:r>
              <w:t>190</w:t>
            </w:r>
          </w:p>
        </w:tc>
        <w:tc>
          <w:tcPr>
            <w:tcW w:w="649" w:type="pct"/>
            <w:vAlign w:val="center"/>
          </w:tcPr>
          <w:p>
            <w:pPr>
              <w:pStyle w:val="63"/>
            </w:pPr>
            <w:r>
              <w:t>760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36</w:t>
            </w:r>
          </w:p>
        </w:tc>
        <w:tc>
          <w:tcPr>
            <w:tcW w:w="1218" w:type="pct"/>
            <w:vAlign w:val="center"/>
          </w:tcPr>
          <w:p>
            <w:pPr>
              <w:pStyle w:val="63"/>
            </w:pPr>
            <w:r>
              <w:t>苯胺</w:t>
            </w:r>
          </w:p>
        </w:tc>
        <w:tc>
          <w:tcPr>
            <w:tcW w:w="801" w:type="pct"/>
            <w:vAlign w:val="center"/>
          </w:tcPr>
          <w:p>
            <w:pPr>
              <w:pStyle w:val="63"/>
            </w:pPr>
            <w:r>
              <w:t>62-53-3</w:t>
            </w:r>
          </w:p>
        </w:tc>
        <w:tc>
          <w:tcPr>
            <w:tcW w:w="622" w:type="pct"/>
            <w:vAlign w:val="center"/>
          </w:tcPr>
          <w:p>
            <w:pPr>
              <w:pStyle w:val="63"/>
            </w:pPr>
            <w:r>
              <w:t>92</w:t>
            </w:r>
          </w:p>
        </w:tc>
        <w:tc>
          <w:tcPr>
            <w:tcW w:w="622" w:type="pct"/>
            <w:vAlign w:val="center"/>
          </w:tcPr>
          <w:p>
            <w:pPr>
              <w:pStyle w:val="63"/>
            </w:pPr>
            <w:r>
              <w:t>260</w:t>
            </w:r>
          </w:p>
        </w:tc>
        <w:tc>
          <w:tcPr>
            <w:tcW w:w="593" w:type="pct"/>
            <w:vAlign w:val="center"/>
          </w:tcPr>
          <w:p>
            <w:pPr>
              <w:pStyle w:val="63"/>
            </w:pPr>
            <w:r>
              <w:t>211</w:t>
            </w:r>
          </w:p>
        </w:tc>
        <w:tc>
          <w:tcPr>
            <w:tcW w:w="649" w:type="pct"/>
            <w:vAlign w:val="center"/>
          </w:tcPr>
          <w:p>
            <w:pPr>
              <w:pStyle w:val="63"/>
            </w:pPr>
            <w:r>
              <w:t>663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37</w:t>
            </w:r>
          </w:p>
        </w:tc>
        <w:tc>
          <w:tcPr>
            <w:tcW w:w="1218" w:type="pct"/>
            <w:vAlign w:val="center"/>
          </w:tcPr>
          <w:p>
            <w:pPr>
              <w:pStyle w:val="63"/>
            </w:pPr>
            <w:r>
              <w:t>2-氯酚</w:t>
            </w:r>
          </w:p>
        </w:tc>
        <w:tc>
          <w:tcPr>
            <w:tcW w:w="801" w:type="pct"/>
            <w:vAlign w:val="center"/>
          </w:tcPr>
          <w:p>
            <w:pPr>
              <w:pStyle w:val="63"/>
            </w:pPr>
            <w:r>
              <w:t>95-57-8</w:t>
            </w:r>
          </w:p>
        </w:tc>
        <w:tc>
          <w:tcPr>
            <w:tcW w:w="622" w:type="pct"/>
            <w:vAlign w:val="center"/>
          </w:tcPr>
          <w:p>
            <w:pPr>
              <w:pStyle w:val="63"/>
            </w:pPr>
            <w:r>
              <w:t>250</w:t>
            </w:r>
          </w:p>
        </w:tc>
        <w:tc>
          <w:tcPr>
            <w:tcW w:w="622" w:type="pct"/>
            <w:vAlign w:val="center"/>
          </w:tcPr>
          <w:p>
            <w:pPr>
              <w:pStyle w:val="63"/>
            </w:pPr>
            <w:r>
              <w:t>2256</w:t>
            </w:r>
          </w:p>
        </w:tc>
        <w:tc>
          <w:tcPr>
            <w:tcW w:w="593" w:type="pct"/>
            <w:vAlign w:val="center"/>
          </w:tcPr>
          <w:p>
            <w:pPr>
              <w:pStyle w:val="63"/>
            </w:pPr>
            <w:r>
              <w:t>500</w:t>
            </w:r>
          </w:p>
        </w:tc>
        <w:tc>
          <w:tcPr>
            <w:tcW w:w="649" w:type="pct"/>
            <w:vAlign w:val="center"/>
          </w:tcPr>
          <w:p>
            <w:pPr>
              <w:pStyle w:val="63"/>
            </w:pPr>
            <w:r>
              <w:t>4500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38</w:t>
            </w:r>
          </w:p>
        </w:tc>
        <w:tc>
          <w:tcPr>
            <w:tcW w:w="1218" w:type="pct"/>
            <w:vAlign w:val="center"/>
          </w:tcPr>
          <w:p>
            <w:pPr>
              <w:pStyle w:val="63"/>
            </w:pPr>
            <w:r>
              <w:t>苯并[a]蒽</w:t>
            </w:r>
          </w:p>
        </w:tc>
        <w:tc>
          <w:tcPr>
            <w:tcW w:w="801" w:type="pct"/>
            <w:vAlign w:val="center"/>
          </w:tcPr>
          <w:p>
            <w:pPr>
              <w:pStyle w:val="63"/>
            </w:pPr>
            <w:r>
              <w:t>56-55-3</w:t>
            </w:r>
          </w:p>
        </w:tc>
        <w:tc>
          <w:tcPr>
            <w:tcW w:w="622" w:type="pct"/>
            <w:vAlign w:val="center"/>
          </w:tcPr>
          <w:p>
            <w:pPr>
              <w:pStyle w:val="63"/>
            </w:pPr>
            <w:r>
              <w:t>5.5</w:t>
            </w:r>
          </w:p>
        </w:tc>
        <w:tc>
          <w:tcPr>
            <w:tcW w:w="622" w:type="pct"/>
            <w:vAlign w:val="center"/>
          </w:tcPr>
          <w:p>
            <w:pPr>
              <w:pStyle w:val="63"/>
            </w:pPr>
            <w:r>
              <w:t>15</w:t>
            </w:r>
          </w:p>
        </w:tc>
        <w:tc>
          <w:tcPr>
            <w:tcW w:w="593" w:type="pct"/>
            <w:vAlign w:val="center"/>
          </w:tcPr>
          <w:p>
            <w:pPr>
              <w:pStyle w:val="63"/>
            </w:pPr>
            <w:r>
              <w:t>55</w:t>
            </w:r>
          </w:p>
        </w:tc>
        <w:tc>
          <w:tcPr>
            <w:tcW w:w="649" w:type="pct"/>
            <w:vAlign w:val="center"/>
          </w:tcPr>
          <w:p>
            <w:pPr>
              <w:pStyle w:val="63"/>
            </w:pPr>
            <w:r>
              <w:t>151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39</w:t>
            </w:r>
          </w:p>
        </w:tc>
        <w:tc>
          <w:tcPr>
            <w:tcW w:w="1218" w:type="pct"/>
            <w:vAlign w:val="center"/>
          </w:tcPr>
          <w:p>
            <w:pPr>
              <w:pStyle w:val="63"/>
            </w:pPr>
            <w:r>
              <w:t>苯并[a]芘</w:t>
            </w:r>
          </w:p>
        </w:tc>
        <w:tc>
          <w:tcPr>
            <w:tcW w:w="801" w:type="pct"/>
            <w:vAlign w:val="center"/>
          </w:tcPr>
          <w:p>
            <w:pPr>
              <w:pStyle w:val="63"/>
            </w:pPr>
            <w:r>
              <w:t>50-32-8</w:t>
            </w:r>
          </w:p>
        </w:tc>
        <w:tc>
          <w:tcPr>
            <w:tcW w:w="622" w:type="pct"/>
            <w:vAlign w:val="center"/>
          </w:tcPr>
          <w:p>
            <w:pPr>
              <w:pStyle w:val="63"/>
            </w:pPr>
            <w:r>
              <w:t>0.55</w:t>
            </w:r>
          </w:p>
        </w:tc>
        <w:tc>
          <w:tcPr>
            <w:tcW w:w="622" w:type="pct"/>
            <w:vAlign w:val="center"/>
          </w:tcPr>
          <w:p>
            <w:pPr>
              <w:pStyle w:val="63"/>
            </w:pPr>
            <w:r>
              <w:t>1.5</w:t>
            </w:r>
          </w:p>
        </w:tc>
        <w:tc>
          <w:tcPr>
            <w:tcW w:w="593" w:type="pct"/>
            <w:vAlign w:val="center"/>
          </w:tcPr>
          <w:p>
            <w:pPr>
              <w:pStyle w:val="63"/>
            </w:pPr>
            <w:r>
              <w:t>5.5</w:t>
            </w:r>
          </w:p>
        </w:tc>
        <w:tc>
          <w:tcPr>
            <w:tcW w:w="649" w:type="pct"/>
            <w:vAlign w:val="center"/>
          </w:tcPr>
          <w:p>
            <w:pPr>
              <w:pStyle w:val="63"/>
            </w:pPr>
            <w: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40</w:t>
            </w:r>
          </w:p>
        </w:tc>
        <w:tc>
          <w:tcPr>
            <w:tcW w:w="1218" w:type="pct"/>
            <w:vAlign w:val="center"/>
          </w:tcPr>
          <w:p>
            <w:pPr>
              <w:pStyle w:val="63"/>
            </w:pPr>
            <w:r>
              <w:t>苯并[b]荧蒽</w:t>
            </w:r>
          </w:p>
        </w:tc>
        <w:tc>
          <w:tcPr>
            <w:tcW w:w="801" w:type="pct"/>
            <w:vAlign w:val="center"/>
          </w:tcPr>
          <w:p>
            <w:pPr>
              <w:pStyle w:val="63"/>
            </w:pPr>
            <w:r>
              <w:t>205-99-2</w:t>
            </w:r>
          </w:p>
        </w:tc>
        <w:tc>
          <w:tcPr>
            <w:tcW w:w="622" w:type="pct"/>
            <w:vAlign w:val="center"/>
          </w:tcPr>
          <w:p>
            <w:pPr>
              <w:pStyle w:val="63"/>
            </w:pPr>
            <w:r>
              <w:t>5.5</w:t>
            </w:r>
          </w:p>
        </w:tc>
        <w:tc>
          <w:tcPr>
            <w:tcW w:w="622" w:type="pct"/>
            <w:vAlign w:val="center"/>
          </w:tcPr>
          <w:p>
            <w:pPr>
              <w:pStyle w:val="63"/>
            </w:pPr>
            <w:r>
              <w:t>15</w:t>
            </w:r>
          </w:p>
        </w:tc>
        <w:tc>
          <w:tcPr>
            <w:tcW w:w="593" w:type="pct"/>
            <w:vAlign w:val="center"/>
          </w:tcPr>
          <w:p>
            <w:pPr>
              <w:pStyle w:val="63"/>
            </w:pPr>
            <w:r>
              <w:t>55</w:t>
            </w:r>
          </w:p>
        </w:tc>
        <w:tc>
          <w:tcPr>
            <w:tcW w:w="649" w:type="pct"/>
            <w:vAlign w:val="center"/>
          </w:tcPr>
          <w:p>
            <w:pPr>
              <w:pStyle w:val="63"/>
            </w:pPr>
            <w:r>
              <w:t>151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41</w:t>
            </w:r>
          </w:p>
        </w:tc>
        <w:tc>
          <w:tcPr>
            <w:tcW w:w="1218" w:type="pct"/>
            <w:vAlign w:val="center"/>
          </w:tcPr>
          <w:p>
            <w:pPr>
              <w:pStyle w:val="63"/>
            </w:pPr>
            <w:r>
              <w:t>苯并[k]荧蒽</w:t>
            </w:r>
          </w:p>
        </w:tc>
        <w:tc>
          <w:tcPr>
            <w:tcW w:w="801" w:type="pct"/>
            <w:vAlign w:val="center"/>
          </w:tcPr>
          <w:p>
            <w:pPr>
              <w:pStyle w:val="63"/>
            </w:pPr>
            <w:r>
              <w:t>207-08-9</w:t>
            </w:r>
          </w:p>
        </w:tc>
        <w:tc>
          <w:tcPr>
            <w:tcW w:w="622" w:type="pct"/>
            <w:vAlign w:val="center"/>
          </w:tcPr>
          <w:p>
            <w:pPr>
              <w:pStyle w:val="63"/>
            </w:pPr>
            <w:r>
              <w:t>55</w:t>
            </w:r>
          </w:p>
        </w:tc>
        <w:tc>
          <w:tcPr>
            <w:tcW w:w="622" w:type="pct"/>
            <w:vAlign w:val="center"/>
          </w:tcPr>
          <w:p>
            <w:pPr>
              <w:pStyle w:val="63"/>
            </w:pPr>
            <w:r>
              <w:t>151</w:t>
            </w:r>
          </w:p>
        </w:tc>
        <w:tc>
          <w:tcPr>
            <w:tcW w:w="593" w:type="pct"/>
            <w:vAlign w:val="center"/>
          </w:tcPr>
          <w:p>
            <w:pPr>
              <w:pStyle w:val="63"/>
            </w:pPr>
            <w:r>
              <w:t>550</w:t>
            </w:r>
          </w:p>
        </w:tc>
        <w:tc>
          <w:tcPr>
            <w:tcW w:w="649" w:type="pct"/>
            <w:vAlign w:val="center"/>
          </w:tcPr>
          <w:p>
            <w:pPr>
              <w:pStyle w:val="63"/>
            </w:pPr>
            <w:r>
              <w:t>1500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42</w:t>
            </w:r>
          </w:p>
        </w:tc>
        <w:tc>
          <w:tcPr>
            <w:tcW w:w="1218" w:type="pct"/>
            <w:vAlign w:val="center"/>
          </w:tcPr>
          <w:p>
            <w:pPr>
              <w:pStyle w:val="63"/>
            </w:pPr>
            <w:r>
              <w:t>䓛</w:t>
            </w:r>
          </w:p>
        </w:tc>
        <w:tc>
          <w:tcPr>
            <w:tcW w:w="801" w:type="pct"/>
            <w:vAlign w:val="center"/>
          </w:tcPr>
          <w:p>
            <w:pPr>
              <w:pStyle w:val="63"/>
            </w:pPr>
            <w:r>
              <w:t>218-01-9</w:t>
            </w:r>
          </w:p>
        </w:tc>
        <w:tc>
          <w:tcPr>
            <w:tcW w:w="622" w:type="pct"/>
            <w:vAlign w:val="center"/>
          </w:tcPr>
          <w:p>
            <w:pPr>
              <w:pStyle w:val="63"/>
            </w:pPr>
            <w:r>
              <w:t>490</w:t>
            </w:r>
          </w:p>
        </w:tc>
        <w:tc>
          <w:tcPr>
            <w:tcW w:w="622" w:type="pct"/>
            <w:vAlign w:val="center"/>
          </w:tcPr>
          <w:p>
            <w:pPr>
              <w:pStyle w:val="63"/>
            </w:pPr>
            <w:r>
              <w:t>1293</w:t>
            </w:r>
          </w:p>
        </w:tc>
        <w:tc>
          <w:tcPr>
            <w:tcW w:w="593" w:type="pct"/>
            <w:vAlign w:val="center"/>
          </w:tcPr>
          <w:p>
            <w:pPr>
              <w:pStyle w:val="63"/>
            </w:pPr>
            <w:r>
              <w:t>4900</w:t>
            </w:r>
          </w:p>
        </w:tc>
        <w:tc>
          <w:tcPr>
            <w:tcW w:w="649" w:type="pct"/>
            <w:vAlign w:val="center"/>
          </w:tcPr>
          <w:p>
            <w:pPr>
              <w:pStyle w:val="63"/>
            </w:pPr>
            <w:r>
              <w:t>12900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43</w:t>
            </w:r>
          </w:p>
        </w:tc>
        <w:tc>
          <w:tcPr>
            <w:tcW w:w="1218" w:type="pct"/>
            <w:vAlign w:val="center"/>
          </w:tcPr>
          <w:p>
            <w:pPr>
              <w:pStyle w:val="63"/>
            </w:pPr>
            <w:r>
              <w:t>二苯并[a，h]蒽</w:t>
            </w:r>
          </w:p>
        </w:tc>
        <w:tc>
          <w:tcPr>
            <w:tcW w:w="801" w:type="pct"/>
            <w:vAlign w:val="center"/>
          </w:tcPr>
          <w:p>
            <w:pPr>
              <w:pStyle w:val="63"/>
            </w:pPr>
            <w:r>
              <w:t>53-70-3</w:t>
            </w:r>
          </w:p>
        </w:tc>
        <w:tc>
          <w:tcPr>
            <w:tcW w:w="622" w:type="pct"/>
            <w:vAlign w:val="center"/>
          </w:tcPr>
          <w:p>
            <w:pPr>
              <w:pStyle w:val="63"/>
            </w:pPr>
            <w:r>
              <w:t>0.55</w:t>
            </w:r>
          </w:p>
        </w:tc>
        <w:tc>
          <w:tcPr>
            <w:tcW w:w="622" w:type="pct"/>
            <w:vAlign w:val="center"/>
          </w:tcPr>
          <w:p>
            <w:pPr>
              <w:pStyle w:val="63"/>
            </w:pPr>
            <w:r>
              <w:t>1.5</w:t>
            </w:r>
          </w:p>
        </w:tc>
        <w:tc>
          <w:tcPr>
            <w:tcW w:w="593" w:type="pct"/>
            <w:vAlign w:val="center"/>
          </w:tcPr>
          <w:p>
            <w:pPr>
              <w:pStyle w:val="63"/>
            </w:pPr>
            <w:r>
              <w:t>5.5</w:t>
            </w:r>
          </w:p>
        </w:tc>
        <w:tc>
          <w:tcPr>
            <w:tcW w:w="649" w:type="pct"/>
            <w:vAlign w:val="center"/>
          </w:tcPr>
          <w:p>
            <w:pPr>
              <w:pStyle w:val="63"/>
            </w:pPr>
            <w: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44</w:t>
            </w:r>
          </w:p>
        </w:tc>
        <w:tc>
          <w:tcPr>
            <w:tcW w:w="1218" w:type="pct"/>
            <w:vAlign w:val="center"/>
          </w:tcPr>
          <w:p>
            <w:pPr>
              <w:pStyle w:val="63"/>
            </w:pPr>
            <w:r>
              <w:t>茚并[1，2，3-cd]芘</w:t>
            </w:r>
          </w:p>
        </w:tc>
        <w:tc>
          <w:tcPr>
            <w:tcW w:w="801" w:type="pct"/>
            <w:vAlign w:val="center"/>
          </w:tcPr>
          <w:p>
            <w:pPr>
              <w:pStyle w:val="63"/>
            </w:pPr>
            <w:r>
              <w:t>193-39-5</w:t>
            </w:r>
          </w:p>
        </w:tc>
        <w:tc>
          <w:tcPr>
            <w:tcW w:w="622" w:type="pct"/>
            <w:vAlign w:val="center"/>
          </w:tcPr>
          <w:p>
            <w:pPr>
              <w:pStyle w:val="63"/>
            </w:pPr>
            <w:r>
              <w:t>5.5</w:t>
            </w:r>
          </w:p>
        </w:tc>
        <w:tc>
          <w:tcPr>
            <w:tcW w:w="622" w:type="pct"/>
            <w:vAlign w:val="center"/>
          </w:tcPr>
          <w:p>
            <w:pPr>
              <w:pStyle w:val="63"/>
            </w:pPr>
            <w:r>
              <w:t>15</w:t>
            </w:r>
          </w:p>
        </w:tc>
        <w:tc>
          <w:tcPr>
            <w:tcW w:w="593" w:type="pct"/>
            <w:vAlign w:val="center"/>
          </w:tcPr>
          <w:p>
            <w:pPr>
              <w:pStyle w:val="63"/>
            </w:pPr>
            <w:r>
              <w:t>55</w:t>
            </w:r>
          </w:p>
        </w:tc>
        <w:tc>
          <w:tcPr>
            <w:tcW w:w="649" w:type="pct"/>
            <w:vAlign w:val="center"/>
          </w:tcPr>
          <w:p>
            <w:pPr>
              <w:pStyle w:val="63"/>
            </w:pPr>
            <w:r>
              <w:t>151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45</w:t>
            </w:r>
          </w:p>
        </w:tc>
        <w:tc>
          <w:tcPr>
            <w:tcW w:w="1218" w:type="pct"/>
            <w:vAlign w:val="center"/>
          </w:tcPr>
          <w:p>
            <w:pPr>
              <w:pStyle w:val="63"/>
            </w:pPr>
            <w:r>
              <w:t>萘</w:t>
            </w:r>
          </w:p>
        </w:tc>
        <w:tc>
          <w:tcPr>
            <w:tcW w:w="801" w:type="pct"/>
            <w:vAlign w:val="center"/>
          </w:tcPr>
          <w:p>
            <w:pPr>
              <w:pStyle w:val="63"/>
            </w:pPr>
            <w:r>
              <w:t>91-20-3</w:t>
            </w:r>
          </w:p>
        </w:tc>
        <w:tc>
          <w:tcPr>
            <w:tcW w:w="622" w:type="pct"/>
            <w:vAlign w:val="center"/>
          </w:tcPr>
          <w:p>
            <w:pPr>
              <w:pStyle w:val="63"/>
            </w:pPr>
            <w:r>
              <w:t>25</w:t>
            </w:r>
          </w:p>
        </w:tc>
        <w:tc>
          <w:tcPr>
            <w:tcW w:w="622" w:type="pct"/>
            <w:vAlign w:val="center"/>
          </w:tcPr>
          <w:p>
            <w:pPr>
              <w:pStyle w:val="63"/>
            </w:pPr>
            <w:r>
              <w:t>70</w:t>
            </w:r>
          </w:p>
        </w:tc>
        <w:tc>
          <w:tcPr>
            <w:tcW w:w="593" w:type="pct"/>
            <w:vAlign w:val="center"/>
          </w:tcPr>
          <w:p>
            <w:pPr>
              <w:pStyle w:val="63"/>
            </w:pPr>
            <w:r>
              <w:t>255</w:t>
            </w:r>
          </w:p>
        </w:tc>
        <w:tc>
          <w:tcPr>
            <w:tcW w:w="649" w:type="pct"/>
            <w:vAlign w:val="center"/>
          </w:tcPr>
          <w:p>
            <w:pPr>
              <w:pStyle w:val="63"/>
            </w:pPr>
            <w:r>
              <w:t>700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495" w:type="pct"/>
            <w:vAlign w:val="center"/>
          </w:tcPr>
          <w:p>
            <w:pPr>
              <w:pStyle w:val="63"/>
            </w:pPr>
            <w:r>
              <w:t>46</w:t>
            </w:r>
          </w:p>
        </w:tc>
        <w:tc>
          <w:tcPr>
            <w:tcW w:w="1218" w:type="pct"/>
            <w:vAlign w:val="center"/>
          </w:tcPr>
          <w:p>
            <w:pPr>
              <w:pStyle w:val="63"/>
            </w:pPr>
            <w:r>
              <w:t>石油烃（C1-C40）</w:t>
            </w:r>
          </w:p>
        </w:tc>
        <w:tc>
          <w:tcPr>
            <w:tcW w:w="801" w:type="pct"/>
            <w:vAlign w:val="center"/>
          </w:tcPr>
          <w:p>
            <w:pPr>
              <w:pStyle w:val="63"/>
            </w:pPr>
            <w:r>
              <w:t>--</w:t>
            </w:r>
          </w:p>
        </w:tc>
        <w:tc>
          <w:tcPr>
            <w:tcW w:w="622" w:type="pct"/>
            <w:vAlign w:val="center"/>
          </w:tcPr>
          <w:p>
            <w:pPr>
              <w:pStyle w:val="63"/>
            </w:pPr>
            <w:r>
              <w:t>826</w:t>
            </w:r>
          </w:p>
        </w:tc>
        <w:tc>
          <w:tcPr>
            <w:tcW w:w="622" w:type="pct"/>
            <w:vAlign w:val="center"/>
          </w:tcPr>
          <w:p>
            <w:pPr>
              <w:pStyle w:val="63"/>
            </w:pPr>
            <w:r>
              <w:t>4500</w:t>
            </w:r>
          </w:p>
        </w:tc>
        <w:tc>
          <w:tcPr>
            <w:tcW w:w="593" w:type="pct"/>
            <w:vAlign w:val="center"/>
          </w:tcPr>
          <w:p>
            <w:pPr>
              <w:pStyle w:val="63"/>
            </w:pPr>
            <w:r>
              <w:t>5000</w:t>
            </w:r>
          </w:p>
        </w:tc>
        <w:tc>
          <w:tcPr>
            <w:tcW w:w="649" w:type="pct"/>
            <w:vAlign w:val="center"/>
          </w:tcPr>
          <w:p>
            <w:pPr>
              <w:pStyle w:val="63"/>
            </w:pPr>
            <w:r>
              <w:t>9000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5000" w:type="pct"/>
            <w:gridSpan w:val="7"/>
            <w:vAlign w:val="center"/>
          </w:tcPr>
          <w:p>
            <w:pPr>
              <w:pStyle w:val="63"/>
            </w:pPr>
            <w:r>
              <w:t>注：</w:t>
            </w:r>
            <w:r>
              <w:rPr>
                <w:rFonts w:hint="eastAsia" w:ascii="宋体" w:hAnsi="宋体" w:eastAsia="宋体" w:cs="宋体"/>
              </w:rPr>
              <w:t>①</w:t>
            </w:r>
            <w:r>
              <w:t>具体地块土壤中污染物检测含量超过筛选值，但等于或者低于土壤环境背景值（见3.6）水平的，不纳入污染地块管理。土壤环境背景值可参见附录A。</w:t>
            </w:r>
          </w:p>
        </w:tc>
      </w:tr>
    </w:tbl>
    <w:p>
      <w:pPr>
        <w:pStyle w:val="6"/>
        <w:rPr>
          <w:rFonts w:ascii="Times New Roman" w:hAnsi="Times New Roman" w:cs="Times New Roman"/>
        </w:rPr>
      </w:pPr>
      <w:r>
        <w:rPr>
          <w:rFonts w:ascii="Times New Roman" w:hAnsi="Times New Roman" w:cs="Times New Roman"/>
        </w:rPr>
        <w:t>表2.5-6  土壤环境质量标准（农用地）   单位：mg/kg（pH除外）</w:t>
      </w:r>
    </w:p>
    <w:tbl>
      <w:tblPr>
        <w:tblStyle w:val="35"/>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6"/>
        <w:gridCol w:w="553"/>
        <w:gridCol w:w="808"/>
        <w:gridCol w:w="814"/>
        <w:gridCol w:w="815"/>
        <w:gridCol w:w="814"/>
        <w:gridCol w:w="815"/>
        <w:gridCol w:w="814"/>
        <w:gridCol w:w="815"/>
        <w:gridCol w:w="814"/>
        <w:gridCol w:w="8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dxa"/>
            <w:vMerge w:val="restart"/>
            <w:noWrap/>
            <w:vAlign w:val="center"/>
          </w:tcPr>
          <w:p>
            <w:pPr>
              <w:pStyle w:val="63"/>
            </w:pPr>
            <w:r>
              <w:t>标准</w:t>
            </w:r>
          </w:p>
        </w:tc>
        <w:tc>
          <w:tcPr>
            <w:tcW w:w="1361" w:type="dxa"/>
            <w:gridSpan w:val="2"/>
            <w:vMerge w:val="restart"/>
            <w:noWrap/>
            <w:vAlign w:val="center"/>
          </w:tcPr>
          <w:p>
            <w:pPr>
              <w:pStyle w:val="63"/>
            </w:pPr>
            <w:r>
              <w:t>污染物项目</w:t>
            </w:r>
          </w:p>
        </w:tc>
        <w:tc>
          <w:tcPr>
            <w:tcW w:w="1629" w:type="dxa"/>
            <w:gridSpan w:val="2"/>
            <w:noWrap/>
            <w:vAlign w:val="center"/>
          </w:tcPr>
          <w:p>
            <w:pPr>
              <w:pStyle w:val="63"/>
            </w:pPr>
            <w:r>
              <w:t>pH≤5.5</w:t>
            </w:r>
          </w:p>
        </w:tc>
        <w:tc>
          <w:tcPr>
            <w:tcW w:w="1629" w:type="dxa"/>
            <w:gridSpan w:val="2"/>
            <w:noWrap/>
            <w:vAlign w:val="center"/>
          </w:tcPr>
          <w:p>
            <w:pPr>
              <w:pStyle w:val="63"/>
            </w:pPr>
            <w:r>
              <w:t>5.5＜pH ≤6.5</w:t>
            </w:r>
          </w:p>
        </w:tc>
        <w:tc>
          <w:tcPr>
            <w:tcW w:w="1629" w:type="dxa"/>
            <w:gridSpan w:val="2"/>
            <w:noWrap/>
            <w:vAlign w:val="center"/>
          </w:tcPr>
          <w:p>
            <w:pPr>
              <w:pStyle w:val="63"/>
            </w:pPr>
            <w:r>
              <w:t>6.5＜pH ≤7.5</w:t>
            </w:r>
          </w:p>
        </w:tc>
        <w:tc>
          <w:tcPr>
            <w:tcW w:w="1624" w:type="dxa"/>
            <w:gridSpan w:val="2"/>
            <w:noWrap/>
            <w:vAlign w:val="center"/>
          </w:tcPr>
          <w:p>
            <w:pPr>
              <w:pStyle w:val="63"/>
            </w:pPr>
            <w:r>
              <w:t>pH ＞7.5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dxa"/>
            <w:vMerge w:val="continue"/>
            <w:noWrap/>
            <w:vAlign w:val="center"/>
          </w:tcPr>
          <w:p>
            <w:pPr>
              <w:pStyle w:val="63"/>
            </w:pPr>
          </w:p>
        </w:tc>
        <w:tc>
          <w:tcPr>
            <w:tcW w:w="1361" w:type="dxa"/>
            <w:gridSpan w:val="2"/>
            <w:vMerge w:val="continue"/>
            <w:noWrap/>
            <w:vAlign w:val="center"/>
          </w:tcPr>
          <w:p>
            <w:pPr>
              <w:pStyle w:val="63"/>
            </w:pPr>
          </w:p>
        </w:tc>
        <w:tc>
          <w:tcPr>
            <w:tcW w:w="814" w:type="dxa"/>
            <w:noWrap/>
            <w:vAlign w:val="center"/>
          </w:tcPr>
          <w:p>
            <w:pPr>
              <w:pStyle w:val="63"/>
            </w:pPr>
            <w:r>
              <w:t>筛选值</w:t>
            </w:r>
          </w:p>
        </w:tc>
        <w:tc>
          <w:tcPr>
            <w:tcW w:w="815" w:type="dxa"/>
            <w:noWrap/>
            <w:vAlign w:val="center"/>
          </w:tcPr>
          <w:p>
            <w:pPr>
              <w:pStyle w:val="63"/>
            </w:pPr>
            <w:r>
              <w:t xml:space="preserve">管制值 </w:t>
            </w:r>
          </w:p>
        </w:tc>
        <w:tc>
          <w:tcPr>
            <w:tcW w:w="814" w:type="dxa"/>
            <w:noWrap/>
            <w:vAlign w:val="center"/>
          </w:tcPr>
          <w:p>
            <w:pPr>
              <w:pStyle w:val="63"/>
            </w:pPr>
            <w:r>
              <w:t>筛选值</w:t>
            </w:r>
          </w:p>
        </w:tc>
        <w:tc>
          <w:tcPr>
            <w:tcW w:w="815" w:type="dxa"/>
            <w:noWrap/>
            <w:vAlign w:val="center"/>
          </w:tcPr>
          <w:p>
            <w:pPr>
              <w:pStyle w:val="63"/>
            </w:pPr>
            <w:r>
              <w:t xml:space="preserve">管制值 </w:t>
            </w:r>
          </w:p>
        </w:tc>
        <w:tc>
          <w:tcPr>
            <w:tcW w:w="814" w:type="dxa"/>
            <w:noWrap/>
            <w:vAlign w:val="center"/>
          </w:tcPr>
          <w:p>
            <w:pPr>
              <w:pStyle w:val="63"/>
            </w:pPr>
            <w:r>
              <w:t>筛选值</w:t>
            </w:r>
          </w:p>
        </w:tc>
        <w:tc>
          <w:tcPr>
            <w:tcW w:w="815" w:type="dxa"/>
            <w:noWrap/>
            <w:vAlign w:val="center"/>
          </w:tcPr>
          <w:p>
            <w:pPr>
              <w:pStyle w:val="63"/>
            </w:pPr>
            <w:r>
              <w:t xml:space="preserve">管制值 </w:t>
            </w:r>
          </w:p>
        </w:tc>
        <w:tc>
          <w:tcPr>
            <w:tcW w:w="814" w:type="dxa"/>
            <w:noWrap/>
            <w:vAlign w:val="center"/>
          </w:tcPr>
          <w:p>
            <w:pPr>
              <w:pStyle w:val="63"/>
            </w:pPr>
            <w:r>
              <w:t>筛选值</w:t>
            </w:r>
          </w:p>
        </w:tc>
        <w:tc>
          <w:tcPr>
            <w:tcW w:w="810" w:type="dxa"/>
            <w:noWrap/>
            <w:vAlign w:val="center"/>
          </w:tcPr>
          <w:p>
            <w:pPr>
              <w:pStyle w:val="63"/>
            </w:pPr>
            <w:r>
              <w:t xml:space="preserve">管制值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dxa"/>
            <w:vMerge w:val="restart"/>
            <w:noWrap/>
            <w:vAlign w:val="center"/>
          </w:tcPr>
          <w:p>
            <w:pPr>
              <w:pStyle w:val="63"/>
            </w:pPr>
            <w:r>
              <w:t>农用地土壤污染风险管控标准</w:t>
            </w:r>
          </w:p>
        </w:tc>
        <w:tc>
          <w:tcPr>
            <w:tcW w:w="553" w:type="dxa"/>
            <w:vMerge w:val="restart"/>
            <w:noWrap/>
            <w:vAlign w:val="center"/>
          </w:tcPr>
          <w:p>
            <w:pPr>
              <w:pStyle w:val="63"/>
            </w:pPr>
            <w:r>
              <w:t>镉</w:t>
            </w:r>
          </w:p>
        </w:tc>
        <w:tc>
          <w:tcPr>
            <w:tcW w:w="808" w:type="dxa"/>
            <w:noWrap/>
            <w:vAlign w:val="center"/>
          </w:tcPr>
          <w:p>
            <w:pPr>
              <w:pStyle w:val="63"/>
            </w:pPr>
            <w:r>
              <w:t>水田</w:t>
            </w:r>
          </w:p>
        </w:tc>
        <w:tc>
          <w:tcPr>
            <w:tcW w:w="814" w:type="dxa"/>
            <w:noWrap/>
            <w:vAlign w:val="center"/>
          </w:tcPr>
          <w:p>
            <w:pPr>
              <w:pStyle w:val="63"/>
            </w:pPr>
            <w:r>
              <w:t>0.3</w:t>
            </w:r>
          </w:p>
        </w:tc>
        <w:tc>
          <w:tcPr>
            <w:tcW w:w="815" w:type="dxa"/>
            <w:vMerge w:val="restart"/>
            <w:noWrap/>
            <w:vAlign w:val="center"/>
          </w:tcPr>
          <w:p>
            <w:pPr>
              <w:pStyle w:val="63"/>
            </w:pPr>
            <w:r>
              <w:t>1.5</w:t>
            </w:r>
          </w:p>
        </w:tc>
        <w:tc>
          <w:tcPr>
            <w:tcW w:w="814" w:type="dxa"/>
            <w:noWrap/>
            <w:vAlign w:val="center"/>
          </w:tcPr>
          <w:p>
            <w:pPr>
              <w:pStyle w:val="63"/>
            </w:pPr>
            <w:r>
              <w:t>0.4</w:t>
            </w:r>
          </w:p>
        </w:tc>
        <w:tc>
          <w:tcPr>
            <w:tcW w:w="815" w:type="dxa"/>
            <w:vMerge w:val="restart"/>
            <w:noWrap/>
            <w:vAlign w:val="center"/>
          </w:tcPr>
          <w:p>
            <w:pPr>
              <w:pStyle w:val="63"/>
            </w:pPr>
            <w:r>
              <w:t>2.0</w:t>
            </w:r>
          </w:p>
        </w:tc>
        <w:tc>
          <w:tcPr>
            <w:tcW w:w="814" w:type="dxa"/>
            <w:noWrap/>
            <w:vAlign w:val="center"/>
          </w:tcPr>
          <w:p>
            <w:pPr>
              <w:pStyle w:val="63"/>
            </w:pPr>
            <w:r>
              <w:t>0.6</w:t>
            </w:r>
          </w:p>
        </w:tc>
        <w:tc>
          <w:tcPr>
            <w:tcW w:w="815" w:type="dxa"/>
            <w:vMerge w:val="restart"/>
            <w:noWrap/>
            <w:vAlign w:val="center"/>
          </w:tcPr>
          <w:p>
            <w:pPr>
              <w:pStyle w:val="63"/>
            </w:pPr>
            <w:r>
              <w:t>3.0</w:t>
            </w:r>
          </w:p>
        </w:tc>
        <w:tc>
          <w:tcPr>
            <w:tcW w:w="814" w:type="dxa"/>
            <w:noWrap/>
            <w:vAlign w:val="center"/>
          </w:tcPr>
          <w:p>
            <w:pPr>
              <w:pStyle w:val="63"/>
            </w:pPr>
            <w:r>
              <w:t>0.8</w:t>
            </w:r>
          </w:p>
        </w:tc>
        <w:tc>
          <w:tcPr>
            <w:tcW w:w="810" w:type="dxa"/>
            <w:vMerge w:val="restart"/>
            <w:noWrap/>
            <w:vAlign w:val="center"/>
          </w:tcPr>
          <w:p>
            <w:pPr>
              <w:pStyle w:val="63"/>
            </w:pPr>
            <w: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dxa"/>
            <w:vMerge w:val="continue"/>
            <w:noWrap/>
            <w:vAlign w:val="center"/>
          </w:tcPr>
          <w:p>
            <w:pPr>
              <w:pStyle w:val="63"/>
            </w:pPr>
          </w:p>
        </w:tc>
        <w:tc>
          <w:tcPr>
            <w:tcW w:w="553" w:type="dxa"/>
            <w:vMerge w:val="continue"/>
            <w:noWrap/>
            <w:vAlign w:val="center"/>
          </w:tcPr>
          <w:p>
            <w:pPr>
              <w:pStyle w:val="63"/>
            </w:pPr>
          </w:p>
        </w:tc>
        <w:tc>
          <w:tcPr>
            <w:tcW w:w="808" w:type="dxa"/>
            <w:noWrap/>
            <w:vAlign w:val="center"/>
          </w:tcPr>
          <w:p>
            <w:pPr>
              <w:pStyle w:val="63"/>
            </w:pPr>
            <w:r>
              <w:t>其他</w:t>
            </w:r>
          </w:p>
        </w:tc>
        <w:tc>
          <w:tcPr>
            <w:tcW w:w="814" w:type="dxa"/>
            <w:noWrap/>
            <w:vAlign w:val="center"/>
          </w:tcPr>
          <w:p>
            <w:pPr>
              <w:pStyle w:val="63"/>
            </w:pPr>
            <w:r>
              <w:t>0.3</w:t>
            </w:r>
          </w:p>
        </w:tc>
        <w:tc>
          <w:tcPr>
            <w:tcW w:w="815" w:type="dxa"/>
            <w:vMerge w:val="continue"/>
            <w:noWrap/>
            <w:vAlign w:val="center"/>
          </w:tcPr>
          <w:p>
            <w:pPr>
              <w:pStyle w:val="63"/>
            </w:pPr>
          </w:p>
        </w:tc>
        <w:tc>
          <w:tcPr>
            <w:tcW w:w="814" w:type="dxa"/>
            <w:noWrap/>
            <w:vAlign w:val="center"/>
          </w:tcPr>
          <w:p>
            <w:pPr>
              <w:pStyle w:val="63"/>
            </w:pPr>
            <w:r>
              <w:t>0.3</w:t>
            </w:r>
          </w:p>
        </w:tc>
        <w:tc>
          <w:tcPr>
            <w:tcW w:w="815" w:type="dxa"/>
            <w:vMerge w:val="continue"/>
            <w:noWrap/>
            <w:vAlign w:val="center"/>
          </w:tcPr>
          <w:p>
            <w:pPr>
              <w:pStyle w:val="63"/>
            </w:pPr>
          </w:p>
        </w:tc>
        <w:tc>
          <w:tcPr>
            <w:tcW w:w="814" w:type="dxa"/>
            <w:noWrap/>
            <w:vAlign w:val="center"/>
          </w:tcPr>
          <w:p>
            <w:pPr>
              <w:pStyle w:val="63"/>
            </w:pPr>
            <w:r>
              <w:t>0.3</w:t>
            </w:r>
          </w:p>
        </w:tc>
        <w:tc>
          <w:tcPr>
            <w:tcW w:w="815" w:type="dxa"/>
            <w:vMerge w:val="continue"/>
            <w:noWrap/>
            <w:vAlign w:val="center"/>
          </w:tcPr>
          <w:p>
            <w:pPr>
              <w:pStyle w:val="63"/>
            </w:pPr>
          </w:p>
        </w:tc>
        <w:tc>
          <w:tcPr>
            <w:tcW w:w="814" w:type="dxa"/>
            <w:noWrap/>
            <w:vAlign w:val="center"/>
          </w:tcPr>
          <w:p>
            <w:pPr>
              <w:pStyle w:val="63"/>
            </w:pPr>
            <w:r>
              <w:t>0.6</w:t>
            </w:r>
          </w:p>
        </w:tc>
        <w:tc>
          <w:tcPr>
            <w:tcW w:w="810" w:type="dxa"/>
            <w:vMerge w:val="continue"/>
            <w:noWrap/>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dxa"/>
            <w:vMerge w:val="continue"/>
            <w:noWrap/>
            <w:vAlign w:val="center"/>
          </w:tcPr>
          <w:p>
            <w:pPr>
              <w:pStyle w:val="63"/>
            </w:pPr>
          </w:p>
        </w:tc>
        <w:tc>
          <w:tcPr>
            <w:tcW w:w="553" w:type="dxa"/>
            <w:vMerge w:val="restart"/>
            <w:noWrap/>
            <w:vAlign w:val="center"/>
          </w:tcPr>
          <w:p>
            <w:pPr>
              <w:pStyle w:val="63"/>
            </w:pPr>
            <w:r>
              <w:t>汞</w:t>
            </w:r>
          </w:p>
        </w:tc>
        <w:tc>
          <w:tcPr>
            <w:tcW w:w="808" w:type="dxa"/>
            <w:noWrap/>
            <w:vAlign w:val="center"/>
          </w:tcPr>
          <w:p>
            <w:pPr>
              <w:pStyle w:val="63"/>
            </w:pPr>
            <w:r>
              <w:t>水田</w:t>
            </w:r>
          </w:p>
        </w:tc>
        <w:tc>
          <w:tcPr>
            <w:tcW w:w="814" w:type="dxa"/>
            <w:noWrap/>
            <w:vAlign w:val="center"/>
          </w:tcPr>
          <w:p>
            <w:pPr>
              <w:pStyle w:val="63"/>
            </w:pPr>
            <w:r>
              <w:t>0.5</w:t>
            </w:r>
          </w:p>
        </w:tc>
        <w:tc>
          <w:tcPr>
            <w:tcW w:w="815" w:type="dxa"/>
            <w:vMerge w:val="restart"/>
            <w:noWrap/>
            <w:vAlign w:val="center"/>
          </w:tcPr>
          <w:p>
            <w:pPr>
              <w:pStyle w:val="63"/>
            </w:pPr>
            <w:r>
              <w:t>2.0</w:t>
            </w:r>
          </w:p>
        </w:tc>
        <w:tc>
          <w:tcPr>
            <w:tcW w:w="814" w:type="dxa"/>
            <w:noWrap/>
            <w:vAlign w:val="center"/>
          </w:tcPr>
          <w:p>
            <w:pPr>
              <w:pStyle w:val="63"/>
            </w:pPr>
            <w:r>
              <w:t>0.5</w:t>
            </w:r>
          </w:p>
        </w:tc>
        <w:tc>
          <w:tcPr>
            <w:tcW w:w="815" w:type="dxa"/>
            <w:vMerge w:val="restart"/>
            <w:noWrap/>
            <w:vAlign w:val="center"/>
          </w:tcPr>
          <w:p>
            <w:pPr>
              <w:pStyle w:val="63"/>
            </w:pPr>
            <w:r>
              <w:t>2.5</w:t>
            </w:r>
          </w:p>
        </w:tc>
        <w:tc>
          <w:tcPr>
            <w:tcW w:w="814" w:type="dxa"/>
            <w:noWrap/>
            <w:vAlign w:val="center"/>
          </w:tcPr>
          <w:p>
            <w:pPr>
              <w:pStyle w:val="63"/>
            </w:pPr>
            <w:r>
              <w:t>0.6</w:t>
            </w:r>
          </w:p>
        </w:tc>
        <w:tc>
          <w:tcPr>
            <w:tcW w:w="815" w:type="dxa"/>
            <w:vMerge w:val="restart"/>
            <w:noWrap/>
            <w:vAlign w:val="center"/>
          </w:tcPr>
          <w:p>
            <w:pPr>
              <w:pStyle w:val="63"/>
            </w:pPr>
            <w:r>
              <w:t>4.0</w:t>
            </w:r>
          </w:p>
        </w:tc>
        <w:tc>
          <w:tcPr>
            <w:tcW w:w="814" w:type="dxa"/>
            <w:noWrap/>
            <w:vAlign w:val="center"/>
          </w:tcPr>
          <w:p>
            <w:pPr>
              <w:pStyle w:val="63"/>
            </w:pPr>
            <w:r>
              <w:t>1.0</w:t>
            </w:r>
          </w:p>
        </w:tc>
        <w:tc>
          <w:tcPr>
            <w:tcW w:w="810" w:type="dxa"/>
            <w:vMerge w:val="restart"/>
            <w:noWrap/>
            <w:vAlign w:val="center"/>
          </w:tcPr>
          <w:p>
            <w:pPr>
              <w:pStyle w:val="63"/>
            </w:pPr>
            <w: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dxa"/>
            <w:vMerge w:val="continue"/>
            <w:noWrap/>
            <w:vAlign w:val="center"/>
          </w:tcPr>
          <w:p>
            <w:pPr>
              <w:pStyle w:val="63"/>
            </w:pPr>
          </w:p>
        </w:tc>
        <w:tc>
          <w:tcPr>
            <w:tcW w:w="553" w:type="dxa"/>
            <w:vMerge w:val="continue"/>
            <w:noWrap/>
            <w:vAlign w:val="center"/>
          </w:tcPr>
          <w:p>
            <w:pPr>
              <w:pStyle w:val="63"/>
            </w:pPr>
          </w:p>
        </w:tc>
        <w:tc>
          <w:tcPr>
            <w:tcW w:w="808" w:type="dxa"/>
            <w:noWrap/>
            <w:vAlign w:val="center"/>
          </w:tcPr>
          <w:p>
            <w:pPr>
              <w:pStyle w:val="63"/>
            </w:pPr>
            <w:r>
              <w:t>其他</w:t>
            </w:r>
          </w:p>
        </w:tc>
        <w:tc>
          <w:tcPr>
            <w:tcW w:w="814" w:type="dxa"/>
            <w:noWrap/>
            <w:vAlign w:val="center"/>
          </w:tcPr>
          <w:p>
            <w:pPr>
              <w:pStyle w:val="63"/>
            </w:pPr>
            <w:r>
              <w:t>1.3</w:t>
            </w:r>
          </w:p>
        </w:tc>
        <w:tc>
          <w:tcPr>
            <w:tcW w:w="815" w:type="dxa"/>
            <w:vMerge w:val="continue"/>
            <w:noWrap/>
            <w:vAlign w:val="center"/>
          </w:tcPr>
          <w:p>
            <w:pPr>
              <w:pStyle w:val="63"/>
            </w:pPr>
          </w:p>
        </w:tc>
        <w:tc>
          <w:tcPr>
            <w:tcW w:w="814" w:type="dxa"/>
            <w:noWrap/>
            <w:vAlign w:val="center"/>
          </w:tcPr>
          <w:p>
            <w:pPr>
              <w:pStyle w:val="63"/>
            </w:pPr>
            <w:r>
              <w:t>1.8</w:t>
            </w:r>
          </w:p>
        </w:tc>
        <w:tc>
          <w:tcPr>
            <w:tcW w:w="815" w:type="dxa"/>
            <w:vMerge w:val="continue"/>
            <w:noWrap/>
            <w:vAlign w:val="center"/>
          </w:tcPr>
          <w:p>
            <w:pPr>
              <w:pStyle w:val="63"/>
            </w:pPr>
          </w:p>
        </w:tc>
        <w:tc>
          <w:tcPr>
            <w:tcW w:w="814" w:type="dxa"/>
            <w:noWrap/>
            <w:vAlign w:val="center"/>
          </w:tcPr>
          <w:p>
            <w:pPr>
              <w:pStyle w:val="63"/>
            </w:pPr>
            <w:r>
              <w:t>2.4</w:t>
            </w:r>
          </w:p>
        </w:tc>
        <w:tc>
          <w:tcPr>
            <w:tcW w:w="815" w:type="dxa"/>
            <w:vMerge w:val="continue"/>
            <w:noWrap/>
            <w:vAlign w:val="center"/>
          </w:tcPr>
          <w:p>
            <w:pPr>
              <w:pStyle w:val="63"/>
            </w:pPr>
          </w:p>
        </w:tc>
        <w:tc>
          <w:tcPr>
            <w:tcW w:w="814" w:type="dxa"/>
            <w:noWrap/>
            <w:vAlign w:val="center"/>
          </w:tcPr>
          <w:p>
            <w:pPr>
              <w:pStyle w:val="63"/>
            </w:pPr>
            <w:r>
              <w:t>3.4</w:t>
            </w:r>
          </w:p>
        </w:tc>
        <w:tc>
          <w:tcPr>
            <w:tcW w:w="810" w:type="dxa"/>
            <w:vMerge w:val="continue"/>
            <w:noWrap/>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dxa"/>
            <w:vMerge w:val="continue"/>
            <w:noWrap/>
            <w:vAlign w:val="center"/>
          </w:tcPr>
          <w:p>
            <w:pPr>
              <w:pStyle w:val="63"/>
            </w:pPr>
          </w:p>
        </w:tc>
        <w:tc>
          <w:tcPr>
            <w:tcW w:w="553" w:type="dxa"/>
            <w:vMerge w:val="restart"/>
            <w:noWrap/>
            <w:vAlign w:val="center"/>
          </w:tcPr>
          <w:p>
            <w:pPr>
              <w:pStyle w:val="63"/>
            </w:pPr>
            <w:r>
              <w:t>砷</w:t>
            </w:r>
          </w:p>
        </w:tc>
        <w:tc>
          <w:tcPr>
            <w:tcW w:w="808" w:type="dxa"/>
            <w:noWrap/>
            <w:vAlign w:val="center"/>
          </w:tcPr>
          <w:p>
            <w:pPr>
              <w:pStyle w:val="63"/>
            </w:pPr>
            <w:r>
              <w:t>水田</w:t>
            </w:r>
          </w:p>
        </w:tc>
        <w:tc>
          <w:tcPr>
            <w:tcW w:w="814" w:type="dxa"/>
            <w:noWrap/>
            <w:vAlign w:val="center"/>
          </w:tcPr>
          <w:p>
            <w:pPr>
              <w:pStyle w:val="63"/>
            </w:pPr>
            <w:r>
              <w:t>30</w:t>
            </w:r>
          </w:p>
        </w:tc>
        <w:tc>
          <w:tcPr>
            <w:tcW w:w="815" w:type="dxa"/>
            <w:vMerge w:val="restart"/>
            <w:noWrap/>
            <w:vAlign w:val="center"/>
          </w:tcPr>
          <w:p>
            <w:pPr>
              <w:pStyle w:val="63"/>
            </w:pPr>
            <w:r>
              <w:t>200</w:t>
            </w:r>
          </w:p>
        </w:tc>
        <w:tc>
          <w:tcPr>
            <w:tcW w:w="814" w:type="dxa"/>
            <w:noWrap/>
            <w:vAlign w:val="center"/>
          </w:tcPr>
          <w:p>
            <w:pPr>
              <w:pStyle w:val="63"/>
            </w:pPr>
            <w:r>
              <w:t>30</w:t>
            </w:r>
          </w:p>
        </w:tc>
        <w:tc>
          <w:tcPr>
            <w:tcW w:w="815" w:type="dxa"/>
            <w:vMerge w:val="restart"/>
            <w:noWrap/>
            <w:vAlign w:val="center"/>
          </w:tcPr>
          <w:p>
            <w:pPr>
              <w:pStyle w:val="63"/>
            </w:pPr>
            <w:r>
              <w:t>150</w:t>
            </w:r>
          </w:p>
        </w:tc>
        <w:tc>
          <w:tcPr>
            <w:tcW w:w="814" w:type="dxa"/>
            <w:noWrap/>
            <w:vAlign w:val="center"/>
          </w:tcPr>
          <w:p>
            <w:pPr>
              <w:pStyle w:val="63"/>
            </w:pPr>
            <w:r>
              <w:t>25</w:t>
            </w:r>
          </w:p>
        </w:tc>
        <w:tc>
          <w:tcPr>
            <w:tcW w:w="815" w:type="dxa"/>
            <w:vMerge w:val="restart"/>
            <w:noWrap/>
            <w:vAlign w:val="center"/>
          </w:tcPr>
          <w:p>
            <w:pPr>
              <w:pStyle w:val="63"/>
            </w:pPr>
            <w:r>
              <w:t>120</w:t>
            </w:r>
          </w:p>
        </w:tc>
        <w:tc>
          <w:tcPr>
            <w:tcW w:w="814" w:type="dxa"/>
            <w:noWrap/>
            <w:vAlign w:val="center"/>
          </w:tcPr>
          <w:p>
            <w:pPr>
              <w:pStyle w:val="63"/>
            </w:pPr>
            <w:r>
              <w:t>20</w:t>
            </w:r>
          </w:p>
        </w:tc>
        <w:tc>
          <w:tcPr>
            <w:tcW w:w="810" w:type="dxa"/>
            <w:vMerge w:val="restart"/>
            <w:noWrap/>
            <w:vAlign w:val="center"/>
          </w:tcPr>
          <w:p>
            <w:pPr>
              <w:pStyle w:val="63"/>
            </w:pPr>
            <w: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dxa"/>
            <w:vMerge w:val="continue"/>
            <w:noWrap/>
            <w:vAlign w:val="center"/>
          </w:tcPr>
          <w:p>
            <w:pPr>
              <w:pStyle w:val="63"/>
            </w:pPr>
          </w:p>
        </w:tc>
        <w:tc>
          <w:tcPr>
            <w:tcW w:w="553" w:type="dxa"/>
            <w:vMerge w:val="continue"/>
            <w:noWrap/>
            <w:vAlign w:val="center"/>
          </w:tcPr>
          <w:p>
            <w:pPr>
              <w:pStyle w:val="63"/>
            </w:pPr>
          </w:p>
        </w:tc>
        <w:tc>
          <w:tcPr>
            <w:tcW w:w="808" w:type="dxa"/>
            <w:noWrap/>
            <w:vAlign w:val="center"/>
          </w:tcPr>
          <w:p>
            <w:pPr>
              <w:pStyle w:val="63"/>
            </w:pPr>
            <w:r>
              <w:t>其他</w:t>
            </w:r>
          </w:p>
        </w:tc>
        <w:tc>
          <w:tcPr>
            <w:tcW w:w="814" w:type="dxa"/>
            <w:noWrap/>
            <w:vAlign w:val="center"/>
          </w:tcPr>
          <w:p>
            <w:pPr>
              <w:pStyle w:val="63"/>
            </w:pPr>
            <w:r>
              <w:t>40</w:t>
            </w:r>
          </w:p>
        </w:tc>
        <w:tc>
          <w:tcPr>
            <w:tcW w:w="815" w:type="dxa"/>
            <w:vMerge w:val="continue"/>
            <w:noWrap/>
            <w:vAlign w:val="center"/>
          </w:tcPr>
          <w:p>
            <w:pPr>
              <w:pStyle w:val="63"/>
            </w:pPr>
          </w:p>
        </w:tc>
        <w:tc>
          <w:tcPr>
            <w:tcW w:w="814" w:type="dxa"/>
            <w:noWrap/>
            <w:vAlign w:val="center"/>
          </w:tcPr>
          <w:p>
            <w:pPr>
              <w:pStyle w:val="63"/>
            </w:pPr>
            <w:r>
              <w:t>40</w:t>
            </w:r>
          </w:p>
        </w:tc>
        <w:tc>
          <w:tcPr>
            <w:tcW w:w="815" w:type="dxa"/>
            <w:vMerge w:val="continue"/>
            <w:noWrap/>
            <w:vAlign w:val="center"/>
          </w:tcPr>
          <w:p>
            <w:pPr>
              <w:pStyle w:val="63"/>
            </w:pPr>
          </w:p>
        </w:tc>
        <w:tc>
          <w:tcPr>
            <w:tcW w:w="814" w:type="dxa"/>
            <w:noWrap/>
            <w:vAlign w:val="center"/>
          </w:tcPr>
          <w:p>
            <w:pPr>
              <w:pStyle w:val="63"/>
            </w:pPr>
            <w:r>
              <w:t>30</w:t>
            </w:r>
          </w:p>
        </w:tc>
        <w:tc>
          <w:tcPr>
            <w:tcW w:w="815" w:type="dxa"/>
            <w:vMerge w:val="continue"/>
            <w:noWrap/>
            <w:vAlign w:val="center"/>
          </w:tcPr>
          <w:p>
            <w:pPr>
              <w:pStyle w:val="63"/>
            </w:pPr>
          </w:p>
        </w:tc>
        <w:tc>
          <w:tcPr>
            <w:tcW w:w="814" w:type="dxa"/>
            <w:noWrap/>
            <w:vAlign w:val="center"/>
          </w:tcPr>
          <w:p>
            <w:pPr>
              <w:pStyle w:val="63"/>
            </w:pPr>
            <w:r>
              <w:t>25</w:t>
            </w:r>
          </w:p>
        </w:tc>
        <w:tc>
          <w:tcPr>
            <w:tcW w:w="810" w:type="dxa"/>
            <w:vMerge w:val="continue"/>
            <w:noWrap/>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dxa"/>
            <w:vMerge w:val="continue"/>
            <w:noWrap/>
            <w:vAlign w:val="center"/>
          </w:tcPr>
          <w:p>
            <w:pPr>
              <w:pStyle w:val="63"/>
            </w:pPr>
          </w:p>
        </w:tc>
        <w:tc>
          <w:tcPr>
            <w:tcW w:w="553" w:type="dxa"/>
            <w:vMerge w:val="restart"/>
            <w:noWrap/>
            <w:vAlign w:val="center"/>
          </w:tcPr>
          <w:p>
            <w:pPr>
              <w:pStyle w:val="63"/>
            </w:pPr>
            <w:r>
              <w:t>铅</w:t>
            </w:r>
          </w:p>
        </w:tc>
        <w:tc>
          <w:tcPr>
            <w:tcW w:w="808" w:type="dxa"/>
            <w:noWrap/>
            <w:vAlign w:val="center"/>
          </w:tcPr>
          <w:p>
            <w:pPr>
              <w:pStyle w:val="63"/>
            </w:pPr>
            <w:r>
              <w:t>水田</w:t>
            </w:r>
          </w:p>
        </w:tc>
        <w:tc>
          <w:tcPr>
            <w:tcW w:w="814" w:type="dxa"/>
            <w:noWrap/>
            <w:vAlign w:val="center"/>
          </w:tcPr>
          <w:p>
            <w:pPr>
              <w:pStyle w:val="63"/>
            </w:pPr>
            <w:r>
              <w:t>80</w:t>
            </w:r>
          </w:p>
        </w:tc>
        <w:tc>
          <w:tcPr>
            <w:tcW w:w="815" w:type="dxa"/>
            <w:vMerge w:val="restart"/>
            <w:noWrap/>
            <w:vAlign w:val="center"/>
          </w:tcPr>
          <w:p>
            <w:pPr>
              <w:pStyle w:val="63"/>
            </w:pPr>
            <w:r>
              <w:t>400</w:t>
            </w:r>
          </w:p>
        </w:tc>
        <w:tc>
          <w:tcPr>
            <w:tcW w:w="814" w:type="dxa"/>
            <w:noWrap/>
            <w:vAlign w:val="center"/>
          </w:tcPr>
          <w:p>
            <w:pPr>
              <w:pStyle w:val="63"/>
            </w:pPr>
            <w:r>
              <w:t>100</w:t>
            </w:r>
          </w:p>
        </w:tc>
        <w:tc>
          <w:tcPr>
            <w:tcW w:w="815" w:type="dxa"/>
            <w:vMerge w:val="restart"/>
            <w:noWrap/>
            <w:vAlign w:val="center"/>
          </w:tcPr>
          <w:p>
            <w:pPr>
              <w:pStyle w:val="63"/>
            </w:pPr>
            <w:r>
              <w:t>500</w:t>
            </w:r>
          </w:p>
        </w:tc>
        <w:tc>
          <w:tcPr>
            <w:tcW w:w="814" w:type="dxa"/>
            <w:noWrap/>
            <w:vAlign w:val="center"/>
          </w:tcPr>
          <w:p>
            <w:pPr>
              <w:pStyle w:val="63"/>
            </w:pPr>
            <w:r>
              <w:t>140</w:t>
            </w:r>
          </w:p>
        </w:tc>
        <w:tc>
          <w:tcPr>
            <w:tcW w:w="815" w:type="dxa"/>
            <w:vMerge w:val="restart"/>
            <w:noWrap/>
            <w:vAlign w:val="center"/>
          </w:tcPr>
          <w:p>
            <w:pPr>
              <w:pStyle w:val="63"/>
            </w:pPr>
            <w:r>
              <w:t>700</w:t>
            </w:r>
          </w:p>
        </w:tc>
        <w:tc>
          <w:tcPr>
            <w:tcW w:w="814" w:type="dxa"/>
            <w:noWrap/>
            <w:vAlign w:val="center"/>
          </w:tcPr>
          <w:p>
            <w:pPr>
              <w:pStyle w:val="63"/>
            </w:pPr>
            <w:r>
              <w:t>240</w:t>
            </w:r>
          </w:p>
        </w:tc>
        <w:tc>
          <w:tcPr>
            <w:tcW w:w="810" w:type="dxa"/>
            <w:vMerge w:val="restart"/>
            <w:noWrap/>
            <w:vAlign w:val="center"/>
          </w:tcPr>
          <w:p>
            <w:pPr>
              <w:pStyle w:val="63"/>
            </w:pPr>
            <w:r>
              <w: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dxa"/>
            <w:vMerge w:val="continue"/>
            <w:noWrap/>
            <w:vAlign w:val="center"/>
          </w:tcPr>
          <w:p>
            <w:pPr>
              <w:pStyle w:val="63"/>
            </w:pPr>
          </w:p>
        </w:tc>
        <w:tc>
          <w:tcPr>
            <w:tcW w:w="553" w:type="dxa"/>
            <w:vMerge w:val="continue"/>
            <w:noWrap/>
            <w:vAlign w:val="center"/>
          </w:tcPr>
          <w:p>
            <w:pPr>
              <w:pStyle w:val="63"/>
            </w:pPr>
          </w:p>
        </w:tc>
        <w:tc>
          <w:tcPr>
            <w:tcW w:w="808" w:type="dxa"/>
            <w:noWrap/>
            <w:vAlign w:val="center"/>
          </w:tcPr>
          <w:p>
            <w:pPr>
              <w:pStyle w:val="63"/>
            </w:pPr>
            <w:r>
              <w:t>其他</w:t>
            </w:r>
          </w:p>
        </w:tc>
        <w:tc>
          <w:tcPr>
            <w:tcW w:w="814" w:type="dxa"/>
            <w:noWrap/>
            <w:vAlign w:val="center"/>
          </w:tcPr>
          <w:p>
            <w:pPr>
              <w:pStyle w:val="63"/>
            </w:pPr>
            <w:r>
              <w:t>70</w:t>
            </w:r>
          </w:p>
        </w:tc>
        <w:tc>
          <w:tcPr>
            <w:tcW w:w="815" w:type="dxa"/>
            <w:vMerge w:val="continue"/>
            <w:noWrap/>
            <w:vAlign w:val="center"/>
          </w:tcPr>
          <w:p>
            <w:pPr>
              <w:pStyle w:val="63"/>
            </w:pPr>
          </w:p>
        </w:tc>
        <w:tc>
          <w:tcPr>
            <w:tcW w:w="814" w:type="dxa"/>
            <w:noWrap/>
            <w:vAlign w:val="center"/>
          </w:tcPr>
          <w:p>
            <w:pPr>
              <w:pStyle w:val="63"/>
            </w:pPr>
            <w:r>
              <w:t>90</w:t>
            </w:r>
          </w:p>
        </w:tc>
        <w:tc>
          <w:tcPr>
            <w:tcW w:w="815" w:type="dxa"/>
            <w:vMerge w:val="continue"/>
            <w:noWrap/>
            <w:vAlign w:val="center"/>
          </w:tcPr>
          <w:p>
            <w:pPr>
              <w:pStyle w:val="63"/>
            </w:pPr>
          </w:p>
        </w:tc>
        <w:tc>
          <w:tcPr>
            <w:tcW w:w="814" w:type="dxa"/>
            <w:noWrap/>
            <w:vAlign w:val="center"/>
          </w:tcPr>
          <w:p>
            <w:pPr>
              <w:pStyle w:val="63"/>
            </w:pPr>
            <w:r>
              <w:t>120</w:t>
            </w:r>
          </w:p>
        </w:tc>
        <w:tc>
          <w:tcPr>
            <w:tcW w:w="815" w:type="dxa"/>
            <w:vMerge w:val="continue"/>
            <w:noWrap/>
            <w:vAlign w:val="center"/>
          </w:tcPr>
          <w:p>
            <w:pPr>
              <w:pStyle w:val="63"/>
            </w:pPr>
          </w:p>
        </w:tc>
        <w:tc>
          <w:tcPr>
            <w:tcW w:w="814" w:type="dxa"/>
            <w:noWrap/>
            <w:vAlign w:val="center"/>
          </w:tcPr>
          <w:p>
            <w:pPr>
              <w:pStyle w:val="63"/>
            </w:pPr>
            <w:r>
              <w:t>170</w:t>
            </w:r>
          </w:p>
        </w:tc>
        <w:tc>
          <w:tcPr>
            <w:tcW w:w="810" w:type="dxa"/>
            <w:vMerge w:val="continue"/>
            <w:noWrap/>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dxa"/>
            <w:vMerge w:val="continue"/>
            <w:noWrap/>
            <w:vAlign w:val="center"/>
          </w:tcPr>
          <w:p>
            <w:pPr>
              <w:pStyle w:val="63"/>
            </w:pPr>
          </w:p>
        </w:tc>
        <w:tc>
          <w:tcPr>
            <w:tcW w:w="553" w:type="dxa"/>
            <w:vMerge w:val="restart"/>
            <w:noWrap/>
            <w:vAlign w:val="center"/>
          </w:tcPr>
          <w:p>
            <w:pPr>
              <w:pStyle w:val="63"/>
            </w:pPr>
            <w:r>
              <w:t>铬</w:t>
            </w:r>
          </w:p>
        </w:tc>
        <w:tc>
          <w:tcPr>
            <w:tcW w:w="808" w:type="dxa"/>
            <w:noWrap/>
            <w:vAlign w:val="center"/>
          </w:tcPr>
          <w:p>
            <w:pPr>
              <w:pStyle w:val="63"/>
            </w:pPr>
            <w:r>
              <w:t>水田</w:t>
            </w:r>
          </w:p>
        </w:tc>
        <w:tc>
          <w:tcPr>
            <w:tcW w:w="814" w:type="dxa"/>
            <w:noWrap/>
            <w:vAlign w:val="center"/>
          </w:tcPr>
          <w:p>
            <w:pPr>
              <w:pStyle w:val="63"/>
            </w:pPr>
            <w:r>
              <w:t>250</w:t>
            </w:r>
          </w:p>
        </w:tc>
        <w:tc>
          <w:tcPr>
            <w:tcW w:w="815" w:type="dxa"/>
            <w:vMerge w:val="restart"/>
            <w:noWrap/>
            <w:vAlign w:val="center"/>
          </w:tcPr>
          <w:p>
            <w:pPr>
              <w:pStyle w:val="63"/>
            </w:pPr>
            <w:r>
              <w:t>800</w:t>
            </w:r>
          </w:p>
        </w:tc>
        <w:tc>
          <w:tcPr>
            <w:tcW w:w="814" w:type="dxa"/>
            <w:noWrap/>
            <w:vAlign w:val="center"/>
          </w:tcPr>
          <w:p>
            <w:pPr>
              <w:pStyle w:val="63"/>
            </w:pPr>
            <w:r>
              <w:t>250</w:t>
            </w:r>
          </w:p>
        </w:tc>
        <w:tc>
          <w:tcPr>
            <w:tcW w:w="815" w:type="dxa"/>
            <w:vMerge w:val="restart"/>
            <w:noWrap/>
            <w:vAlign w:val="center"/>
          </w:tcPr>
          <w:p>
            <w:pPr>
              <w:pStyle w:val="63"/>
            </w:pPr>
            <w:r>
              <w:t>850</w:t>
            </w:r>
          </w:p>
        </w:tc>
        <w:tc>
          <w:tcPr>
            <w:tcW w:w="814" w:type="dxa"/>
            <w:noWrap/>
            <w:vAlign w:val="center"/>
          </w:tcPr>
          <w:p>
            <w:pPr>
              <w:pStyle w:val="63"/>
            </w:pPr>
            <w:r>
              <w:t>300</w:t>
            </w:r>
          </w:p>
        </w:tc>
        <w:tc>
          <w:tcPr>
            <w:tcW w:w="815" w:type="dxa"/>
            <w:vMerge w:val="restart"/>
            <w:noWrap/>
            <w:vAlign w:val="center"/>
          </w:tcPr>
          <w:p>
            <w:pPr>
              <w:pStyle w:val="63"/>
            </w:pPr>
            <w:r>
              <w:t>1000</w:t>
            </w:r>
          </w:p>
        </w:tc>
        <w:tc>
          <w:tcPr>
            <w:tcW w:w="814" w:type="dxa"/>
            <w:noWrap/>
            <w:vAlign w:val="center"/>
          </w:tcPr>
          <w:p>
            <w:pPr>
              <w:pStyle w:val="63"/>
            </w:pPr>
            <w:r>
              <w:t>350</w:t>
            </w:r>
          </w:p>
        </w:tc>
        <w:tc>
          <w:tcPr>
            <w:tcW w:w="810" w:type="dxa"/>
            <w:vMerge w:val="restart"/>
            <w:noWrap/>
            <w:vAlign w:val="center"/>
          </w:tcPr>
          <w:p>
            <w:pPr>
              <w:pStyle w:val="63"/>
            </w:pPr>
            <w:r>
              <w:t>1300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dxa"/>
            <w:vMerge w:val="continue"/>
            <w:noWrap/>
            <w:vAlign w:val="center"/>
          </w:tcPr>
          <w:p>
            <w:pPr>
              <w:pStyle w:val="63"/>
            </w:pPr>
          </w:p>
        </w:tc>
        <w:tc>
          <w:tcPr>
            <w:tcW w:w="553" w:type="dxa"/>
            <w:vMerge w:val="continue"/>
            <w:noWrap/>
            <w:vAlign w:val="center"/>
          </w:tcPr>
          <w:p>
            <w:pPr>
              <w:pStyle w:val="63"/>
            </w:pPr>
          </w:p>
        </w:tc>
        <w:tc>
          <w:tcPr>
            <w:tcW w:w="808" w:type="dxa"/>
            <w:noWrap/>
            <w:vAlign w:val="center"/>
          </w:tcPr>
          <w:p>
            <w:pPr>
              <w:pStyle w:val="63"/>
            </w:pPr>
            <w:r>
              <w:t>其他</w:t>
            </w:r>
          </w:p>
        </w:tc>
        <w:tc>
          <w:tcPr>
            <w:tcW w:w="814" w:type="dxa"/>
            <w:noWrap/>
            <w:vAlign w:val="center"/>
          </w:tcPr>
          <w:p>
            <w:pPr>
              <w:pStyle w:val="63"/>
            </w:pPr>
            <w:r>
              <w:t>150</w:t>
            </w:r>
          </w:p>
        </w:tc>
        <w:tc>
          <w:tcPr>
            <w:tcW w:w="815" w:type="dxa"/>
            <w:vMerge w:val="continue"/>
            <w:noWrap/>
            <w:vAlign w:val="center"/>
          </w:tcPr>
          <w:p>
            <w:pPr>
              <w:pStyle w:val="63"/>
            </w:pPr>
          </w:p>
        </w:tc>
        <w:tc>
          <w:tcPr>
            <w:tcW w:w="814" w:type="dxa"/>
            <w:noWrap/>
            <w:vAlign w:val="center"/>
          </w:tcPr>
          <w:p>
            <w:pPr>
              <w:pStyle w:val="63"/>
            </w:pPr>
            <w:r>
              <w:t>150</w:t>
            </w:r>
          </w:p>
        </w:tc>
        <w:tc>
          <w:tcPr>
            <w:tcW w:w="815" w:type="dxa"/>
            <w:vMerge w:val="continue"/>
            <w:noWrap/>
            <w:vAlign w:val="center"/>
          </w:tcPr>
          <w:p>
            <w:pPr>
              <w:pStyle w:val="63"/>
            </w:pPr>
          </w:p>
        </w:tc>
        <w:tc>
          <w:tcPr>
            <w:tcW w:w="814" w:type="dxa"/>
            <w:noWrap/>
            <w:vAlign w:val="center"/>
          </w:tcPr>
          <w:p>
            <w:pPr>
              <w:pStyle w:val="63"/>
            </w:pPr>
            <w:r>
              <w:t>200</w:t>
            </w:r>
          </w:p>
        </w:tc>
        <w:tc>
          <w:tcPr>
            <w:tcW w:w="815" w:type="dxa"/>
            <w:vMerge w:val="continue"/>
            <w:noWrap/>
            <w:vAlign w:val="center"/>
          </w:tcPr>
          <w:p>
            <w:pPr>
              <w:pStyle w:val="63"/>
            </w:pPr>
          </w:p>
        </w:tc>
        <w:tc>
          <w:tcPr>
            <w:tcW w:w="814" w:type="dxa"/>
            <w:noWrap/>
            <w:vAlign w:val="center"/>
          </w:tcPr>
          <w:p>
            <w:pPr>
              <w:pStyle w:val="63"/>
            </w:pPr>
            <w:r>
              <w:t>250</w:t>
            </w:r>
          </w:p>
        </w:tc>
        <w:tc>
          <w:tcPr>
            <w:tcW w:w="810" w:type="dxa"/>
            <w:vMerge w:val="continue"/>
            <w:noWrap/>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dxa"/>
            <w:vMerge w:val="continue"/>
            <w:noWrap/>
            <w:vAlign w:val="center"/>
          </w:tcPr>
          <w:p>
            <w:pPr>
              <w:pStyle w:val="63"/>
            </w:pPr>
          </w:p>
        </w:tc>
        <w:tc>
          <w:tcPr>
            <w:tcW w:w="553" w:type="dxa"/>
            <w:vMerge w:val="restart"/>
            <w:noWrap/>
            <w:vAlign w:val="center"/>
          </w:tcPr>
          <w:p>
            <w:pPr>
              <w:pStyle w:val="63"/>
            </w:pPr>
            <w:r>
              <w:t>铜</w:t>
            </w:r>
          </w:p>
        </w:tc>
        <w:tc>
          <w:tcPr>
            <w:tcW w:w="808" w:type="dxa"/>
            <w:noWrap/>
            <w:vAlign w:val="center"/>
          </w:tcPr>
          <w:p>
            <w:pPr>
              <w:pStyle w:val="63"/>
            </w:pPr>
            <w:r>
              <w:t>果园</w:t>
            </w:r>
          </w:p>
        </w:tc>
        <w:tc>
          <w:tcPr>
            <w:tcW w:w="814" w:type="dxa"/>
            <w:noWrap/>
            <w:vAlign w:val="center"/>
          </w:tcPr>
          <w:p>
            <w:pPr>
              <w:pStyle w:val="63"/>
            </w:pPr>
            <w:r>
              <w:t>150</w:t>
            </w:r>
          </w:p>
        </w:tc>
        <w:tc>
          <w:tcPr>
            <w:tcW w:w="815" w:type="dxa"/>
            <w:vMerge w:val="restart"/>
            <w:noWrap/>
            <w:vAlign w:val="center"/>
          </w:tcPr>
          <w:p>
            <w:pPr>
              <w:pStyle w:val="63"/>
            </w:pPr>
            <w:r>
              <w:t>/</w:t>
            </w:r>
          </w:p>
        </w:tc>
        <w:tc>
          <w:tcPr>
            <w:tcW w:w="814" w:type="dxa"/>
            <w:noWrap/>
            <w:vAlign w:val="center"/>
          </w:tcPr>
          <w:p>
            <w:pPr>
              <w:pStyle w:val="63"/>
            </w:pPr>
            <w:r>
              <w:t>150</w:t>
            </w:r>
          </w:p>
        </w:tc>
        <w:tc>
          <w:tcPr>
            <w:tcW w:w="815" w:type="dxa"/>
            <w:vMerge w:val="restart"/>
            <w:noWrap/>
            <w:vAlign w:val="center"/>
          </w:tcPr>
          <w:p>
            <w:pPr>
              <w:pStyle w:val="63"/>
            </w:pPr>
            <w:r>
              <w:t>/</w:t>
            </w:r>
          </w:p>
        </w:tc>
        <w:tc>
          <w:tcPr>
            <w:tcW w:w="814" w:type="dxa"/>
            <w:noWrap/>
            <w:vAlign w:val="center"/>
          </w:tcPr>
          <w:p>
            <w:pPr>
              <w:pStyle w:val="63"/>
            </w:pPr>
            <w:r>
              <w:t>200</w:t>
            </w:r>
          </w:p>
        </w:tc>
        <w:tc>
          <w:tcPr>
            <w:tcW w:w="815" w:type="dxa"/>
            <w:vMerge w:val="restart"/>
            <w:noWrap/>
            <w:vAlign w:val="center"/>
          </w:tcPr>
          <w:p>
            <w:pPr>
              <w:pStyle w:val="63"/>
            </w:pPr>
            <w:r>
              <w:t>/</w:t>
            </w:r>
          </w:p>
        </w:tc>
        <w:tc>
          <w:tcPr>
            <w:tcW w:w="814" w:type="dxa"/>
            <w:noWrap/>
            <w:vAlign w:val="center"/>
          </w:tcPr>
          <w:p>
            <w:pPr>
              <w:pStyle w:val="63"/>
            </w:pPr>
            <w:r>
              <w:t>200</w:t>
            </w:r>
          </w:p>
        </w:tc>
        <w:tc>
          <w:tcPr>
            <w:tcW w:w="810" w:type="dxa"/>
            <w:vMerge w:val="restart"/>
            <w:noWrap/>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dxa"/>
            <w:vMerge w:val="continue"/>
            <w:noWrap/>
            <w:vAlign w:val="center"/>
          </w:tcPr>
          <w:p>
            <w:pPr>
              <w:pStyle w:val="63"/>
            </w:pPr>
          </w:p>
        </w:tc>
        <w:tc>
          <w:tcPr>
            <w:tcW w:w="553" w:type="dxa"/>
            <w:vMerge w:val="continue"/>
            <w:noWrap/>
            <w:vAlign w:val="center"/>
          </w:tcPr>
          <w:p>
            <w:pPr>
              <w:pStyle w:val="63"/>
            </w:pPr>
          </w:p>
        </w:tc>
        <w:tc>
          <w:tcPr>
            <w:tcW w:w="808" w:type="dxa"/>
            <w:noWrap/>
            <w:vAlign w:val="center"/>
          </w:tcPr>
          <w:p>
            <w:pPr>
              <w:pStyle w:val="63"/>
            </w:pPr>
            <w:r>
              <w:t>其他</w:t>
            </w:r>
          </w:p>
        </w:tc>
        <w:tc>
          <w:tcPr>
            <w:tcW w:w="814" w:type="dxa"/>
            <w:noWrap/>
            <w:vAlign w:val="center"/>
          </w:tcPr>
          <w:p>
            <w:pPr>
              <w:pStyle w:val="63"/>
            </w:pPr>
            <w:r>
              <w:t>50</w:t>
            </w:r>
          </w:p>
        </w:tc>
        <w:tc>
          <w:tcPr>
            <w:tcW w:w="815" w:type="dxa"/>
            <w:vMerge w:val="continue"/>
            <w:noWrap/>
            <w:vAlign w:val="center"/>
          </w:tcPr>
          <w:p>
            <w:pPr>
              <w:pStyle w:val="63"/>
            </w:pPr>
          </w:p>
        </w:tc>
        <w:tc>
          <w:tcPr>
            <w:tcW w:w="814" w:type="dxa"/>
            <w:noWrap/>
            <w:vAlign w:val="center"/>
          </w:tcPr>
          <w:p>
            <w:pPr>
              <w:pStyle w:val="63"/>
            </w:pPr>
            <w:r>
              <w:t>50</w:t>
            </w:r>
          </w:p>
        </w:tc>
        <w:tc>
          <w:tcPr>
            <w:tcW w:w="815" w:type="dxa"/>
            <w:vMerge w:val="continue"/>
            <w:noWrap/>
            <w:vAlign w:val="center"/>
          </w:tcPr>
          <w:p>
            <w:pPr>
              <w:pStyle w:val="63"/>
            </w:pPr>
          </w:p>
        </w:tc>
        <w:tc>
          <w:tcPr>
            <w:tcW w:w="814" w:type="dxa"/>
            <w:noWrap/>
            <w:vAlign w:val="center"/>
          </w:tcPr>
          <w:p>
            <w:pPr>
              <w:pStyle w:val="63"/>
            </w:pPr>
            <w:r>
              <w:t>100</w:t>
            </w:r>
          </w:p>
        </w:tc>
        <w:tc>
          <w:tcPr>
            <w:tcW w:w="815" w:type="dxa"/>
            <w:vMerge w:val="continue"/>
            <w:noWrap/>
            <w:vAlign w:val="center"/>
          </w:tcPr>
          <w:p>
            <w:pPr>
              <w:pStyle w:val="63"/>
            </w:pPr>
          </w:p>
        </w:tc>
        <w:tc>
          <w:tcPr>
            <w:tcW w:w="814" w:type="dxa"/>
            <w:noWrap/>
            <w:vAlign w:val="center"/>
          </w:tcPr>
          <w:p>
            <w:pPr>
              <w:pStyle w:val="63"/>
            </w:pPr>
            <w:r>
              <w:t>100</w:t>
            </w:r>
          </w:p>
        </w:tc>
        <w:tc>
          <w:tcPr>
            <w:tcW w:w="810" w:type="dxa"/>
            <w:vMerge w:val="continue"/>
            <w:noWrap/>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dxa"/>
            <w:vMerge w:val="continue"/>
            <w:noWrap/>
            <w:vAlign w:val="center"/>
          </w:tcPr>
          <w:p>
            <w:pPr>
              <w:pStyle w:val="63"/>
            </w:pPr>
          </w:p>
        </w:tc>
        <w:tc>
          <w:tcPr>
            <w:tcW w:w="1361" w:type="dxa"/>
            <w:gridSpan w:val="2"/>
            <w:noWrap/>
            <w:vAlign w:val="center"/>
          </w:tcPr>
          <w:p>
            <w:pPr>
              <w:pStyle w:val="63"/>
            </w:pPr>
            <w:r>
              <w:t>镍</w:t>
            </w:r>
          </w:p>
        </w:tc>
        <w:tc>
          <w:tcPr>
            <w:tcW w:w="814" w:type="dxa"/>
            <w:noWrap/>
            <w:vAlign w:val="center"/>
          </w:tcPr>
          <w:p>
            <w:pPr>
              <w:pStyle w:val="63"/>
            </w:pPr>
            <w:r>
              <w:t>60</w:t>
            </w:r>
          </w:p>
        </w:tc>
        <w:tc>
          <w:tcPr>
            <w:tcW w:w="815" w:type="dxa"/>
            <w:noWrap/>
            <w:vAlign w:val="center"/>
          </w:tcPr>
          <w:p>
            <w:pPr>
              <w:pStyle w:val="63"/>
            </w:pPr>
            <w:r>
              <w:t>/</w:t>
            </w:r>
          </w:p>
        </w:tc>
        <w:tc>
          <w:tcPr>
            <w:tcW w:w="814" w:type="dxa"/>
            <w:noWrap/>
            <w:vAlign w:val="center"/>
          </w:tcPr>
          <w:p>
            <w:pPr>
              <w:pStyle w:val="63"/>
            </w:pPr>
            <w:r>
              <w:t>70</w:t>
            </w:r>
          </w:p>
        </w:tc>
        <w:tc>
          <w:tcPr>
            <w:tcW w:w="815" w:type="dxa"/>
            <w:noWrap/>
            <w:vAlign w:val="center"/>
          </w:tcPr>
          <w:p>
            <w:pPr>
              <w:pStyle w:val="63"/>
            </w:pPr>
            <w:r>
              <w:t>/</w:t>
            </w:r>
          </w:p>
        </w:tc>
        <w:tc>
          <w:tcPr>
            <w:tcW w:w="814" w:type="dxa"/>
            <w:noWrap/>
            <w:vAlign w:val="center"/>
          </w:tcPr>
          <w:p>
            <w:pPr>
              <w:pStyle w:val="63"/>
            </w:pPr>
            <w:r>
              <w:t>100</w:t>
            </w:r>
          </w:p>
        </w:tc>
        <w:tc>
          <w:tcPr>
            <w:tcW w:w="815" w:type="dxa"/>
            <w:noWrap/>
            <w:vAlign w:val="center"/>
          </w:tcPr>
          <w:p>
            <w:pPr>
              <w:pStyle w:val="63"/>
            </w:pPr>
            <w:r>
              <w:t>/</w:t>
            </w:r>
          </w:p>
        </w:tc>
        <w:tc>
          <w:tcPr>
            <w:tcW w:w="814" w:type="dxa"/>
            <w:noWrap/>
            <w:vAlign w:val="center"/>
          </w:tcPr>
          <w:p>
            <w:pPr>
              <w:pStyle w:val="63"/>
            </w:pPr>
            <w:r>
              <w:t>190</w:t>
            </w:r>
          </w:p>
        </w:tc>
        <w:tc>
          <w:tcPr>
            <w:tcW w:w="810" w:type="dxa"/>
            <w:noWrap/>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6" w:type="dxa"/>
            <w:vMerge w:val="continue"/>
            <w:noWrap/>
            <w:vAlign w:val="center"/>
          </w:tcPr>
          <w:p>
            <w:pPr>
              <w:pStyle w:val="63"/>
            </w:pPr>
          </w:p>
        </w:tc>
        <w:tc>
          <w:tcPr>
            <w:tcW w:w="1361" w:type="dxa"/>
            <w:gridSpan w:val="2"/>
            <w:noWrap/>
            <w:vAlign w:val="center"/>
          </w:tcPr>
          <w:p>
            <w:pPr>
              <w:pStyle w:val="63"/>
            </w:pPr>
            <w:r>
              <w:t>锌</w:t>
            </w:r>
          </w:p>
        </w:tc>
        <w:tc>
          <w:tcPr>
            <w:tcW w:w="814" w:type="dxa"/>
            <w:noWrap/>
            <w:vAlign w:val="center"/>
          </w:tcPr>
          <w:p>
            <w:pPr>
              <w:pStyle w:val="63"/>
            </w:pPr>
            <w:r>
              <w:t>200</w:t>
            </w:r>
          </w:p>
        </w:tc>
        <w:tc>
          <w:tcPr>
            <w:tcW w:w="815" w:type="dxa"/>
            <w:noWrap/>
            <w:vAlign w:val="center"/>
          </w:tcPr>
          <w:p>
            <w:pPr>
              <w:pStyle w:val="63"/>
            </w:pPr>
            <w:r>
              <w:t>/</w:t>
            </w:r>
          </w:p>
        </w:tc>
        <w:tc>
          <w:tcPr>
            <w:tcW w:w="814" w:type="dxa"/>
            <w:noWrap/>
            <w:vAlign w:val="center"/>
          </w:tcPr>
          <w:p>
            <w:pPr>
              <w:pStyle w:val="63"/>
            </w:pPr>
            <w:r>
              <w:t>200</w:t>
            </w:r>
          </w:p>
        </w:tc>
        <w:tc>
          <w:tcPr>
            <w:tcW w:w="815" w:type="dxa"/>
            <w:noWrap/>
            <w:vAlign w:val="center"/>
          </w:tcPr>
          <w:p>
            <w:pPr>
              <w:pStyle w:val="63"/>
            </w:pPr>
            <w:r>
              <w:t>/</w:t>
            </w:r>
          </w:p>
        </w:tc>
        <w:tc>
          <w:tcPr>
            <w:tcW w:w="814" w:type="dxa"/>
            <w:noWrap/>
            <w:vAlign w:val="center"/>
          </w:tcPr>
          <w:p>
            <w:pPr>
              <w:pStyle w:val="63"/>
            </w:pPr>
            <w:r>
              <w:t>250</w:t>
            </w:r>
          </w:p>
        </w:tc>
        <w:tc>
          <w:tcPr>
            <w:tcW w:w="815" w:type="dxa"/>
            <w:noWrap/>
            <w:vAlign w:val="center"/>
          </w:tcPr>
          <w:p>
            <w:pPr>
              <w:pStyle w:val="63"/>
            </w:pPr>
            <w:r>
              <w:t>/</w:t>
            </w:r>
          </w:p>
        </w:tc>
        <w:tc>
          <w:tcPr>
            <w:tcW w:w="814" w:type="dxa"/>
            <w:noWrap/>
            <w:vAlign w:val="center"/>
          </w:tcPr>
          <w:p>
            <w:pPr>
              <w:pStyle w:val="63"/>
            </w:pPr>
            <w:r>
              <w:t>300</w:t>
            </w:r>
          </w:p>
        </w:tc>
        <w:tc>
          <w:tcPr>
            <w:tcW w:w="810" w:type="dxa"/>
            <w:noWrap/>
            <w:vAlign w:val="center"/>
          </w:tcPr>
          <w:p>
            <w:pPr>
              <w:pStyle w:val="63"/>
            </w:pPr>
            <w:r>
              <w:t>/</w:t>
            </w:r>
          </w:p>
        </w:tc>
      </w:tr>
    </w:tbl>
    <w:p>
      <w:pPr>
        <w:pStyle w:val="4"/>
        <w:rPr>
          <w:rFonts w:ascii="Times New Roman" w:hAnsi="Times New Roman" w:cs="Times New Roman"/>
        </w:rPr>
      </w:pPr>
      <w:bookmarkStart w:id="86" w:name="_Toc144236744"/>
      <w:bookmarkStart w:id="87" w:name="_Toc144276874"/>
      <w:bookmarkStart w:id="88" w:name="_Toc147847994"/>
      <w:r>
        <w:rPr>
          <w:rFonts w:ascii="Times New Roman" w:hAnsi="Times New Roman" w:cs="Times New Roman"/>
        </w:rPr>
        <w:t>2.5.2 污染物排放标准</w:t>
      </w:r>
      <w:bookmarkEnd w:id="86"/>
      <w:bookmarkEnd w:id="87"/>
      <w:bookmarkEnd w:id="88"/>
    </w:p>
    <w:p>
      <w:pPr>
        <w:spacing w:line="360" w:lineRule="auto"/>
        <w:ind w:firstLine="480" w:firstLineChars="200"/>
        <w:rPr>
          <w:rFonts w:ascii="Times New Roman" w:hAnsi="Times New Roman" w:cs="Times New Roman"/>
        </w:rPr>
      </w:pPr>
      <w:r>
        <w:rPr>
          <w:rFonts w:ascii="Times New Roman" w:hAnsi="Times New Roman" w:cs="Times New Roman"/>
        </w:rPr>
        <w:t>（1）废气</w:t>
      </w:r>
    </w:p>
    <w:p>
      <w:pPr>
        <w:spacing w:line="360" w:lineRule="auto"/>
        <w:ind w:firstLine="480" w:firstLineChars="200"/>
        <w:rPr>
          <w:rFonts w:ascii="Times New Roman" w:hAnsi="Times New Roman" w:cs="Times New Roman"/>
        </w:rPr>
      </w:pPr>
      <w:bookmarkStart w:id="89" w:name="_Hlk81912262"/>
      <w:r>
        <w:rPr>
          <w:rFonts w:ascii="Times New Roman" w:hAnsi="Times New Roman" w:cs="Times New Roman"/>
        </w:rPr>
        <w:t>本项目预处理车间废气排放口中的颗粒物、二氧化硫、氮氧化物执行《湖南省工业炉窑大气污染综合治理实施方案》附件1 “湖南省涉工业炉窑行业主要大气污染物排放浓度限值要求中的“其他无机化学工业”标准要求；氟化氢、镍及其化合物、非甲烷总烃执行《大气污染物综合排放标准》（GB16279-1996）表 2 中的二级标准及其无组织排放监控浓度限值要求。其他车间废气中的硫酸雾、非甲烷总烃执行《大气污染物综合排放标准》（GB16279-1996）表 2 中的二级标准</w:t>
      </w:r>
      <w:bookmarkStart w:id="828" w:name="_GoBack"/>
      <w:bookmarkEnd w:id="828"/>
      <w:r>
        <w:rPr>
          <w:rFonts w:ascii="Times New Roman" w:hAnsi="Times New Roman" w:cs="Times New Roman"/>
        </w:rPr>
        <w:t>及其无组织排放监控浓度限值要求。生物质锅炉排放的燃烧废气，氮氧化物、SO</w:t>
      </w:r>
      <w:r>
        <w:rPr>
          <w:rFonts w:ascii="Times New Roman" w:hAnsi="Times New Roman" w:cs="Times New Roman"/>
          <w:vertAlign w:val="subscript"/>
        </w:rPr>
        <w:t>2</w:t>
      </w:r>
      <w:r>
        <w:rPr>
          <w:rFonts w:ascii="Times New Roman" w:hAnsi="Times New Roman" w:cs="Times New Roman"/>
        </w:rPr>
        <w:t>、颗粒物排放执行《锅炉大气污染物排放标准》（GB13271-2014）表3中燃煤锅炉限值。食堂油烟执行《饮食业油烟排放标准》（GB18483-2001）。</w:t>
      </w:r>
    </w:p>
    <w:bookmarkEnd w:id="89"/>
    <w:p>
      <w:pPr>
        <w:spacing w:line="360" w:lineRule="auto"/>
        <w:ind w:firstLine="480" w:firstLineChars="200"/>
        <w:rPr>
          <w:rFonts w:ascii="Times New Roman" w:hAnsi="Times New Roman" w:cs="Times New Roman"/>
        </w:rPr>
      </w:pPr>
      <w:r>
        <w:rPr>
          <w:rFonts w:ascii="Times New Roman" w:hAnsi="Times New Roman" w:cs="Times New Roman"/>
        </w:rPr>
        <w:t>（2）废水：</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hint="eastAsia" w:ascii="宋体" w:hAnsi="宋体" w:eastAsia="宋体" w:cs="宋体"/>
        </w:rPr>
        <w:t>①</w:t>
      </w:r>
      <w:r>
        <w:rPr>
          <w:rFonts w:ascii="Times New Roman" w:hAnsi="Times New Roman" w:cs="Times New Roman"/>
        </w:rPr>
        <w:fldChar w:fldCharType="end"/>
      </w:r>
      <w:bookmarkStart w:id="90" w:name="_Hlk87515842"/>
      <w:r>
        <w:rPr>
          <w:rFonts w:ascii="Times New Roman" w:hAnsi="Times New Roman" w:cs="Times New Roman"/>
        </w:rPr>
        <w:t>生产废水：项目生产废水经处理满足《城市污水再生利用工业用水水质》（GB/T19923－2005）中“工艺与产品用水”标准后全部回用，不外排。</w:t>
      </w:r>
      <w:bookmarkEnd w:id="90"/>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hint="eastAsia" w:ascii="宋体" w:hAnsi="宋体" w:eastAsia="宋体" w:cs="宋体"/>
        </w:rPr>
        <w:t>②</w:t>
      </w:r>
      <w:r>
        <w:rPr>
          <w:rFonts w:ascii="Times New Roman" w:hAnsi="Times New Roman" w:cs="Times New Roman"/>
        </w:rPr>
        <w:fldChar w:fldCharType="end"/>
      </w:r>
      <w:r>
        <w:rPr>
          <w:rFonts w:ascii="Times New Roman" w:hAnsi="Times New Roman" w:cs="Times New Roman"/>
        </w:rPr>
        <w:t>生活污水：本项目生活污水经化粪池预处理达到</w:t>
      </w:r>
      <w:bookmarkStart w:id="91" w:name="_Hlk87521421"/>
      <w:r>
        <w:rPr>
          <w:rFonts w:ascii="Times New Roman" w:hAnsi="Times New Roman" w:cs="Times New Roman"/>
        </w:rPr>
        <w:t>《污水综合排放标准》（GB8978-1996）中“三级标准”</w:t>
      </w:r>
      <w:bookmarkEnd w:id="91"/>
      <w:r>
        <w:rPr>
          <w:rFonts w:ascii="Times New Roman" w:hAnsi="Times New Roman" w:cs="Times New Roman"/>
        </w:rPr>
        <w:t>后通过市政污水管网排入园区污水处理厂。</w:t>
      </w:r>
    </w:p>
    <w:p>
      <w:pPr>
        <w:spacing w:line="360" w:lineRule="auto"/>
        <w:ind w:firstLine="480" w:firstLineChars="200"/>
        <w:rPr>
          <w:rFonts w:ascii="Times New Roman" w:hAnsi="Times New Roman" w:cs="Times New Roman"/>
        </w:rPr>
      </w:pPr>
      <w:r>
        <w:rPr>
          <w:rFonts w:hint="eastAsia" w:ascii="Times New Roman" w:hAnsi="Times New Roman" w:cs="Times New Roman"/>
        </w:rPr>
        <w:t>③冷凝水：本项目部分冷凝水无法回用，需要外排，外排冷凝水符合《无机化学工业污染物排放标准》（GB31573-2015）》相关要求，</w:t>
      </w:r>
      <w:r>
        <w:rPr>
          <w:rFonts w:ascii="Times New Roman" w:hAnsi="Times New Roman" w:cs="Times New Roman"/>
        </w:rPr>
        <w:t>通过市政污水管网排入园区污水处理厂。</w:t>
      </w:r>
    </w:p>
    <w:p>
      <w:pPr>
        <w:spacing w:line="360" w:lineRule="auto"/>
        <w:ind w:firstLine="480" w:firstLineChars="200"/>
        <w:rPr>
          <w:rFonts w:ascii="Times New Roman" w:hAnsi="Times New Roman" w:cs="Times New Roman"/>
        </w:rPr>
      </w:pPr>
      <w:r>
        <w:rPr>
          <w:rFonts w:ascii="Times New Roman" w:hAnsi="Times New Roman" w:cs="Times New Roman"/>
        </w:rPr>
        <w:t>（3）噪声：</w:t>
      </w:r>
      <w:bookmarkStart w:id="92" w:name="_Hlk87515960"/>
      <w:r>
        <w:rPr>
          <w:rFonts w:ascii="Times New Roman" w:hAnsi="Times New Roman" w:cs="Times New Roman"/>
        </w:rPr>
        <w:t>施工期执行《建筑施工场界环境噪声排放标准》（GB12523-2011）；运营期厂界噪声执行《工业企业厂界环境噪声排放标准》（GB12348-2008）3类标准。</w:t>
      </w:r>
    </w:p>
    <w:bookmarkEnd w:id="92"/>
    <w:p>
      <w:pPr>
        <w:pStyle w:val="6"/>
        <w:rPr>
          <w:rFonts w:ascii="Times New Roman" w:hAnsi="Times New Roman" w:cs="Times New Roman"/>
        </w:rPr>
      </w:pPr>
      <w:r>
        <w:rPr>
          <w:rFonts w:ascii="Times New Roman" w:hAnsi="Times New Roman" w:cs="Times New Roman"/>
        </w:rPr>
        <w:t>表2.5-7  噪声排放执行标准</w:t>
      </w:r>
    </w:p>
    <w:tbl>
      <w:tblPr>
        <w:tblStyle w:val="35"/>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275"/>
        <w:gridCol w:w="2114"/>
        <w:gridCol w:w="194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564" w:type="pct"/>
            <w:vAlign w:val="center"/>
          </w:tcPr>
          <w:p>
            <w:pPr>
              <w:pStyle w:val="63"/>
              <w:rPr>
                <w:lang w:bidi="zh-CN"/>
              </w:rPr>
            </w:pPr>
            <w:r>
              <w:rPr>
                <w:lang w:bidi="zh-CN"/>
              </w:rPr>
              <w:t>标准名称</w:t>
            </w:r>
          </w:p>
        </w:tc>
        <w:tc>
          <w:tcPr>
            <w:tcW w:w="2436" w:type="pct"/>
            <w:gridSpan w:val="2"/>
            <w:vAlign w:val="center"/>
          </w:tcPr>
          <w:p>
            <w:pPr>
              <w:pStyle w:val="63"/>
              <w:rPr>
                <w:lang w:bidi="zh-CN"/>
              </w:rPr>
            </w:pPr>
            <w:r>
              <w:rPr>
                <w:lang w:bidi="zh-CN"/>
              </w:rPr>
              <w:t>标准值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564" w:type="pct"/>
            <w:vMerge w:val="restart"/>
            <w:vAlign w:val="center"/>
          </w:tcPr>
          <w:p>
            <w:pPr>
              <w:pStyle w:val="63"/>
              <w:rPr>
                <w:lang w:bidi="zh-CN"/>
              </w:rPr>
            </w:pPr>
            <w:r>
              <w:rPr>
                <w:lang w:bidi="zh-CN"/>
              </w:rPr>
              <w:t>《建筑施工场界环境噪声排放标准》</w:t>
            </w:r>
          </w:p>
          <w:p>
            <w:pPr>
              <w:pStyle w:val="63"/>
              <w:rPr>
                <w:lang w:bidi="zh-CN"/>
              </w:rPr>
            </w:pPr>
            <w:r>
              <w:rPr>
                <w:lang w:bidi="zh-CN"/>
              </w:rPr>
              <w:t>（GB12523-2011）</w:t>
            </w:r>
          </w:p>
        </w:tc>
        <w:tc>
          <w:tcPr>
            <w:tcW w:w="1268" w:type="pct"/>
            <w:vAlign w:val="center"/>
          </w:tcPr>
          <w:p>
            <w:pPr>
              <w:pStyle w:val="63"/>
              <w:rPr>
                <w:lang w:bidi="zh-CN"/>
              </w:rPr>
            </w:pPr>
            <w:r>
              <w:rPr>
                <w:lang w:bidi="zh-CN"/>
              </w:rPr>
              <w:t>昼间</w:t>
            </w:r>
          </w:p>
        </w:tc>
        <w:tc>
          <w:tcPr>
            <w:tcW w:w="1168" w:type="pct"/>
            <w:vAlign w:val="center"/>
          </w:tcPr>
          <w:p>
            <w:pPr>
              <w:pStyle w:val="63"/>
              <w:rPr>
                <w:lang w:bidi="zh-CN"/>
              </w:rPr>
            </w:pPr>
            <w:r>
              <w:rPr>
                <w:lang w:bidi="zh-CN"/>
              </w:rPr>
              <w:t>夜间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564" w:type="pct"/>
            <w:vMerge w:val="continue"/>
            <w:vAlign w:val="center"/>
          </w:tcPr>
          <w:p>
            <w:pPr>
              <w:pStyle w:val="63"/>
            </w:pPr>
          </w:p>
        </w:tc>
        <w:tc>
          <w:tcPr>
            <w:tcW w:w="1268" w:type="pct"/>
            <w:vAlign w:val="center"/>
          </w:tcPr>
          <w:p>
            <w:pPr>
              <w:pStyle w:val="63"/>
              <w:rPr>
                <w:lang w:bidi="zh-CN"/>
              </w:rPr>
            </w:pPr>
            <w:r>
              <w:rPr>
                <w:lang w:bidi="zh-CN"/>
              </w:rPr>
              <w:t>70dB（A）</w:t>
            </w:r>
          </w:p>
        </w:tc>
        <w:tc>
          <w:tcPr>
            <w:tcW w:w="1168" w:type="pct"/>
            <w:vAlign w:val="center"/>
          </w:tcPr>
          <w:p>
            <w:pPr>
              <w:pStyle w:val="63"/>
              <w:rPr>
                <w:lang w:bidi="zh-CN"/>
              </w:rPr>
            </w:pPr>
            <w:r>
              <w:rPr>
                <w:lang w:bidi="zh-CN"/>
              </w:rPr>
              <w:t>55dB（A）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564" w:type="pct"/>
            <w:vMerge w:val="restart"/>
            <w:vAlign w:val="center"/>
          </w:tcPr>
          <w:p>
            <w:pPr>
              <w:pStyle w:val="63"/>
              <w:rPr>
                <w:lang w:bidi="zh-CN"/>
              </w:rPr>
            </w:pPr>
            <w:r>
              <w:rPr>
                <w:lang w:bidi="zh-CN"/>
              </w:rPr>
              <w:t>《工业企业厂界环境噪声排放标准》</w:t>
            </w:r>
          </w:p>
          <w:p>
            <w:pPr>
              <w:pStyle w:val="63"/>
              <w:rPr>
                <w:lang w:bidi="zh-CN"/>
              </w:rPr>
            </w:pPr>
            <w:r>
              <w:rPr>
                <w:lang w:bidi="zh-CN"/>
              </w:rPr>
              <w:t>（GB12348-2008）3类标准</w:t>
            </w:r>
          </w:p>
        </w:tc>
        <w:tc>
          <w:tcPr>
            <w:tcW w:w="1268" w:type="pct"/>
            <w:vAlign w:val="center"/>
          </w:tcPr>
          <w:p>
            <w:pPr>
              <w:pStyle w:val="63"/>
              <w:rPr>
                <w:lang w:bidi="zh-CN"/>
              </w:rPr>
            </w:pPr>
            <w:r>
              <w:rPr>
                <w:lang w:bidi="zh-CN"/>
              </w:rPr>
              <w:t>昼间</w:t>
            </w:r>
          </w:p>
        </w:tc>
        <w:tc>
          <w:tcPr>
            <w:tcW w:w="1168" w:type="pct"/>
            <w:vAlign w:val="center"/>
          </w:tcPr>
          <w:p>
            <w:pPr>
              <w:pStyle w:val="63"/>
              <w:rPr>
                <w:lang w:bidi="zh-CN"/>
              </w:rPr>
            </w:pPr>
            <w:r>
              <w:rPr>
                <w:lang w:bidi="zh-CN"/>
              </w:rPr>
              <w:t>夜间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564" w:type="pct"/>
            <w:vMerge w:val="continue"/>
            <w:vAlign w:val="center"/>
          </w:tcPr>
          <w:p>
            <w:pPr>
              <w:pStyle w:val="63"/>
            </w:pPr>
          </w:p>
        </w:tc>
        <w:tc>
          <w:tcPr>
            <w:tcW w:w="1268" w:type="pct"/>
            <w:vAlign w:val="center"/>
          </w:tcPr>
          <w:p>
            <w:pPr>
              <w:pStyle w:val="63"/>
              <w:rPr>
                <w:lang w:bidi="zh-CN"/>
              </w:rPr>
            </w:pPr>
            <w:r>
              <w:rPr>
                <w:lang w:bidi="zh-CN"/>
              </w:rPr>
              <w:t>65dB（A）</w:t>
            </w:r>
          </w:p>
        </w:tc>
        <w:tc>
          <w:tcPr>
            <w:tcW w:w="1168" w:type="pct"/>
            <w:vAlign w:val="center"/>
          </w:tcPr>
          <w:p>
            <w:pPr>
              <w:pStyle w:val="63"/>
              <w:rPr>
                <w:lang w:bidi="zh-CN"/>
              </w:rPr>
            </w:pPr>
            <w:r>
              <w:rPr>
                <w:lang w:bidi="zh-CN"/>
              </w:rPr>
              <w:t>55dB（A）</w:t>
            </w:r>
          </w:p>
        </w:tc>
      </w:tr>
    </w:tbl>
    <w:p>
      <w:pPr>
        <w:spacing w:line="360" w:lineRule="auto"/>
        <w:ind w:firstLine="480" w:firstLineChars="200"/>
        <w:rPr>
          <w:rFonts w:ascii="Times New Roman" w:hAnsi="Times New Roman" w:cs="Times New Roman"/>
        </w:rPr>
      </w:pPr>
      <w:r>
        <w:rPr>
          <w:rFonts w:ascii="Times New Roman" w:hAnsi="Times New Roman" w:cs="Times New Roman"/>
        </w:rPr>
        <w:t>（4）固体废物：</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hint="eastAsia" w:ascii="宋体" w:hAnsi="宋体" w:eastAsia="宋体" w:cs="宋体"/>
        </w:rPr>
        <w:t>①</w:t>
      </w:r>
      <w:r>
        <w:rPr>
          <w:rFonts w:ascii="Times New Roman" w:hAnsi="Times New Roman" w:cs="Times New Roman"/>
        </w:rPr>
        <w:fldChar w:fldCharType="end"/>
      </w:r>
      <w:r>
        <w:rPr>
          <w:rFonts w:ascii="Times New Roman" w:hAnsi="Times New Roman" w:cs="Times New Roman"/>
        </w:rPr>
        <w:t>一般工业固体废物执行《一般工业固体废物贮存和填埋污染控制标准》（GB18599-2020）；</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hint="eastAsia" w:ascii="宋体" w:hAnsi="宋体" w:eastAsia="宋体" w:cs="宋体"/>
        </w:rPr>
        <w:t>②</w:t>
      </w:r>
      <w:r>
        <w:rPr>
          <w:rFonts w:ascii="Times New Roman" w:hAnsi="Times New Roman" w:cs="Times New Roman"/>
        </w:rPr>
        <w:fldChar w:fldCharType="end"/>
      </w:r>
      <w:bookmarkStart w:id="93" w:name="_Hlk87516146"/>
      <w:r>
        <w:rPr>
          <w:rFonts w:ascii="Times New Roman" w:hAnsi="Times New Roman" w:cs="Times New Roman"/>
        </w:rPr>
        <w:t>生活垃圾执行《生活垃圾填埋场污染控制标准》（GB16889-2008）；</w:t>
      </w:r>
      <w:bookmarkEnd w:id="93"/>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3 \* GB3</w:instrText>
      </w:r>
      <w:r>
        <w:rPr>
          <w:rFonts w:ascii="Times New Roman" w:hAnsi="Times New Roman" w:cs="Times New Roman"/>
        </w:rPr>
        <w:fldChar w:fldCharType="separate"/>
      </w:r>
      <w:r>
        <w:rPr>
          <w:rFonts w:hint="eastAsia" w:ascii="宋体" w:hAnsi="宋体" w:eastAsia="宋体" w:cs="宋体"/>
        </w:rPr>
        <w:t>③</w:t>
      </w:r>
      <w:r>
        <w:rPr>
          <w:rFonts w:ascii="Times New Roman" w:hAnsi="Times New Roman" w:cs="Times New Roman"/>
        </w:rPr>
        <w:fldChar w:fldCharType="end"/>
      </w:r>
      <w:r>
        <w:rPr>
          <w:rFonts w:ascii="Times New Roman" w:hAnsi="Times New Roman" w:cs="Times New Roman"/>
        </w:rPr>
        <w:t>危险废物执行《危险废物贮存污染控制标准》（GB18597-2023）。</w:t>
      </w:r>
    </w:p>
    <w:p>
      <w:pPr>
        <w:pStyle w:val="3"/>
        <w:rPr>
          <w:rFonts w:ascii="Times New Roman" w:hAnsi="Times New Roman" w:cs="Times New Roman" w:eastAsiaTheme="minorEastAsia"/>
        </w:rPr>
      </w:pPr>
      <w:bookmarkStart w:id="94" w:name="_Toc51688788"/>
      <w:bookmarkStart w:id="95" w:name="_Toc144236745"/>
      <w:bookmarkStart w:id="96" w:name="_Toc144276875"/>
      <w:bookmarkStart w:id="97" w:name="_Toc147847995"/>
      <w:bookmarkStart w:id="98" w:name="_Toc102658196"/>
      <w:r>
        <w:rPr>
          <w:rFonts w:ascii="Times New Roman" w:hAnsi="Times New Roman" w:cs="Times New Roman" w:eastAsiaTheme="minorEastAsia"/>
        </w:rPr>
        <w:t>2.6 评价工作等级与评价范围</w:t>
      </w:r>
      <w:bookmarkEnd w:id="94"/>
      <w:bookmarkEnd w:id="95"/>
      <w:bookmarkEnd w:id="96"/>
      <w:bookmarkEnd w:id="97"/>
      <w:bookmarkEnd w:id="98"/>
    </w:p>
    <w:p>
      <w:pPr>
        <w:pStyle w:val="4"/>
        <w:rPr>
          <w:rFonts w:ascii="Times New Roman" w:hAnsi="Times New Roman" w:cs="Times New Roman"/>
        </w:rPr>
      </w:pPr>
      <w:bookmarkStart w:id="99" w:name="_Toc147847996"/>
      <w:bookmarkStart w:id="100" w:name="_Toc144276876"/>
      <w:bookmarkStart w:id="101" w:name="_Toc144236746"/>
      <w:r>
        <w:rPr>
          <w:rFonts w:ascii="Times New Roman" w:hAnsi="Times New Roman" w:cs="Times New Roman"/>
        </w:rPr>
        <w:t>2.6.1 评价工作等级</w:t>
      </w:r>
      <w:bookmarkEnd w:id="99"/>
      <w:bookmarkEnd w:id="100"/>
      <w:bookmarkEnd w:id="101"/>
    </w:p>
    <w:p>
      <w:pPr>
        <w:pStyle w:val="5"/>
        <w:ind w:firstLine="482"/>
        <w:rPr>
          <w:rFonts w:ascii="Times New Roman" w:hAnsi="Times New Roman" w:cs="Times New Roman" w:eastAsiaTheme="minorEastAsia"/>
        </w:rPr>
      </w:pPr>
      <w:r>
        <w:rPr>
          <w:rFonts w:ascii="Times New Roman" w:hAnsi="Times New Roman" w:cs="Times New Roman" w:eastAsiaTheme="minorEastAsia"/>
        </w:rPr>
        <w:t>2.6.1.1 环境空气</w:t>
      </w:r>
    </w:p>
    <w:p>
      <w:pPr>
        <w:spacing w:line="360" w:lineRule="auto"/>
        <w:ind w:firstLine="480" w:firstLineChars="200"/>
        <w:rPr>
          <w:rFonts w:ascii="Times New Roman" w:hAnsi="Times New Roman" w:cs="Times New Roman"/>
        </w:rPr>
      </w:pPr>
      <w:r>
        <w:rPr>
          <w:rFonts w:ascii="Times New Roman" w:hAnsi="Times New Roman" w:cs="Times New Roman"/>
        </w:rPr>
        <w:t>根据《环境影响评价技术导则大气环境》（HJ2.2-2018），一个项目有多个污染源排放同一种污染物时，按各污染源分别确定其评价等级，并取评价级别最高者作为项目的评价等级。评价工作等级按表1.6-4的分级判据进行划分。</w:t>
      </w:r>
    </w:p>
    <w:p>
      <w:pPr>
        <w:spacing w:line="360" w:lineRule="auto"/>
        <w:ind w:firstLine="480" w:firstLineChars="200"/>
        <w:rPr>
          <w:rFonts w:ascii="Times New Roman" w:hAnsi="Times New Roman" w:cs="Times New Roman"/>
        </w:rPr>
      </w:pPr>
      <w:r>
        <w:rPr>
          <w:rFonts w:ascii="Times New Roman" w:hAnsi="Times New Roman" w:cs="Times New Roman"/>
        </w:rPr>
        <w:t>采用HJ2.2-2018推荐模式清单中的估算模式分别计算每一种污染物的最大地面浓度占标率Pi，及第i个污染物的地面空气质量浓度达到标准限值的10％时所对应的最远距离D10%，其中Pi定义为：</w:t>
      </w:r>
    </w:p>
    <w:p>
      <w:pPr>
        <w:pStyle w:val="63"/>
      </w:pPr>
      <w:r>
        <w:drawing>
          <wp:inline distT="0" distB="0" distL="0" distR="0">
            <wp:extent cx="1022985" cy="446405"/>
            <wp:effectExtent l="0" t="0" r="571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1022985" cy="446405"/>
                    </a:xfrm>
                    <a:prstGeom prst="rect">
                      <a:avLst/>
                    </a:prstGeom>
                    <a:noFill/>
                    <a:ln>
                      <a:noFill/>
                    </a:ln>
                  </pic:spPr>
                </pic:pic>
              </a:graphicData>
            </a:graphic>
          </wp:inline>
        </w:drawing>
      </w:r>
    </w:p>
    <w:p>
      <w:pPr>
        <w:spacing w:line="360" w:lineRule="auto"/>
        <w:ind w:firstLine="480" w:firstLineChars="200"/>
        <w:rPr>
          <w:rFonts w:ascii="Times New Roman" w:hAnsi="Times New Roman" w:cs="Times New Roman"/>
        </w:rPr>
      </w:pPr>
      <w:r>
        <w:rPr>
          <w:rFonts w:ascii="Times New Roman" w:hAnsi="Times New Roman" w:cs="Times New Roman"/>
        </w:rPr>
        <w:t>式中：Pi----第i个污染物的最大地面浓度占标率，%；</w:t>
      </w:r>
    </w:p>
    <w:p>
      <w:pPr>
        <w:spacing w:line="360" w:lineRule="auto"/>
        <w:ind w:firstLine="480" w:firstLineChars="200"/>
        <w:rPr>
          <w:rFonts w:ascii="Times New Roman" w:hAnsi="Times New Roman" w:cs="Times New Roman"/>
        </w:rPr>
      </w:pPr>
      <w:r>
        <w:rPr>
          <w:rFonts w:ascii="Times New Roman" w:hAnsi="Times New Roman" w:cs="Times New Roman"/>
        </w:rPr>
        <w:t>Ci----采用估算模式计算出的第i个污染物的最大地面浓度，mg/m</w:t>
      </w:r>
      <w:r>
        <w:rPr>
          <w:rFonts w:ascii="Times New Roman" w:hAnsi="Times New Roman" w:cs="Times New Roman"/>
          <w:vertAlign w:val="superscript"/>
        </w:rPr>
        <w:t>3</w:t>
      </w:r>
      <w:r>
        <w:rPr>
          <w:rFonts w:ascii="Times New Roman" w:hAnsi="Times New Roman" w:cs="Times New Roman"/>
        </w:rPr>
        <w:t>；</w:t>
      </w:r>
    </w:p>
    <w:p>
      <w:pPr>
        <w:spacing w:line="360" w:lineRule="auto"/>
        <w:ind w:firstLine="480" w:firstLineChars="200"/>
        <w:rPr>
          <w:rFonts w:ascii="Times New Roman" w:hAnsi="Times New Roman" w:cs="Times New Roman"/>
        </w:rPr>
      </w:pPr>
      <w:r>
        <w:rPr>
          <w:rFonts w:ascii="Times New Roman" w:hAnsi="Times New Roman" w:cs="Times New Roman"/>
        </w:rPr>
        <w:t>Coi----第i个污染物的环境空气质量标准mg/m</w:t>
      </w:r>
      <w:r>
        <w:rPr>
          <w:rFonts w:ascii="Times New Roman" w:hAnsi="Times New Roman" w:cs="Times New Roman"/>
          <w:vertAlign w:val="superscript"/>
        </w:rPr>
        <w:t>3</w:t>
      </w:r>
      <w:r>
        <w:rPr>
          <w:rFonts w:ascii="Times New Roman" w:hAnsi="Times New Roman" w:cs="Times New Roman"/>
        </w:rPr>
        <w:t>。</w:t>
      </w:r>
    </w:p>
    <w:p>
      <w:pPr>
        <w:spacing w:line="360" w:lineRule="auto"/>
        <w:ind w:firstLine="480" w:firstLineChars="200"/>
        <w:rPr>
          <w:rFonts w:ascii="Times New Roman" w:hAnsi="Times New Roman" w:cs="Times New Roman"/>
        </w:rPr>
      </w:pPr>
      <w:r>
        <w:rPr>
          <w:rFonts w:ascii="Times New Roman" w:hAnsi="Times New Roman" w:cs="Times New Roman"/>
        </w:rPr>
        <w:t>Coi----一般选用GB3095中1h平均质量浓度的二级浓度限值。对仅有8h平均质量浓度限值、日平均质量浓度限值或年平均质量浓度限值的，可分别按2倍、3倍、6倍折算为1小时平均质量浓度限值。</w:t>
      </w:r>
    </w:p>
    <w:p>
      <w:pPr>
        <w:spacing w:line="360" w:lineRule="auto"/>
        <w:ind w:firstLine="480" w:firstLineChars="200"/>
        <w:rPr>
          <w:rFonts w:ascii="Times New Roman" w:hAnsi="Times New Roman" w:cs="Times New Roman"/>
        </w:rPr>
      </w:pPr>
      <w:r>
        <w:rPr>
          <w:rFonts w:ascii="Times New Roman" w:hAnsi="Times New Roman" w:cs="Times New Roman"/>
        </w:rPr>
        <w:t>因本项目SO</w:t>
      </w:r>
      <w:r>
        <w:rPr>
          <w:rFonts w:ascii="Times New Roman" w:hAnsi="Times New Roman" w:cs="Times New Roman"/>
          <w:vertAlign w:val="subscript"/>
        </w:rPr>
        <w:t>2</w:t>
      </w:r>
      <w:r>
        <w:rPr>
          <w:rFonts w:ascii="Times New Roman" w:hAnsi="Times New Roman" w:cs="Times New Roman"/>
        </w:rPr>
        <w:t>+NOx＜500t/a，因此项目大气污染因子不考虑二次污染物评价因子PM</w:t>
      </w:r>
      <w:r>
        <w:rPr>
          <w:rFonts w:ascii="Times New Roman" w:hAnsi="Times New Roman" w:cs="Times New Roman"/>
          <w:vertAlign w:val="subscript"/>
        </w:rPr>
        <w:t>2.5</w:t>
      </w:r>
      <w:r>
        <w:rPr>
          <w:rFonts w:ascii="Times New Roman" w:hAnsi="Times New Roman" w:cs="Times New Roman"/>
        </w:rPr>
        <w:t>。根据工程分析所得的大气污染物排放参数，本项目大气污染物主要为SO</w:t>
      </w:r>
      <w:r>
        <w:rPr>
          <w:rFonts w:ascii="Times New Roman" w:hAnsi="Times New Roman" w:cs="Times New Roman"/>
          <w:vertAlign w:val="subscript"/>
        </w:rPr>
        <w:t>2</w:t>
      </w:r>
      <w:r>
        <w:rPr>
          <w:rFonts w:ascii="Times New Roman" w:hAnsi="Times New Roman" w:cs="Times New Roman"/>
        </w:rPr>
        <w:t>、NOx、HCl、镍及其化合物、锰及其化合物、氟化物、硫酸雾、硫化氢、非甲烷总烃。本项目排放的各类污染物的环境空气质量标准执行情况见下表。</w:t>
      </w:r>
    </w:p>
    <w:p>
      <w:pPr>
        <w:pStyle w:val="6"/>
        <w:rPr>
          <w:rFonts w:ascii="Times New Roman" w:hAnsi="Times New Roman" w:cs="Times New Roman"/>
        </w:rPr>
      </w:pPr>
      <w:r>
        <w:rPr>
          <w:rFonts w:ascii="Times New Roman" w:hAnsi="Times New Roman" w:cs="Times New Roman"/>
        </w:rPr>
        <w:t>表2.6-1  污染物评价标准表</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25"/>
        <w:gridCol w:w="1273"/>
        <w:gridCol w:w="1699"/>
        <w:gridCol w:w="1560"/>
        <w:gridCol w:w="246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895" w:type="pct"/>
            <w:vAlign w:val="center"/>
          </w:tcPr>
          <w:p>
            <w:pPr>
              <w:pStyle w:val="63"/>
              <w:rPr>
                <w:szCs w:val="21"/>
              </w:rPr>
            </w:pPr>
            <w:r>
              <w:rPr>
                <w:szCs w:val="21"/>
              </w:rPr>
              <w:t>污染物名称</w:t>
            </w:r>
          </w:p>
        </w:tc>
        <w:tc>
          <w:tcPr>
            <w:tcW w:w="747" w:type="pct"/>
            <w:vAlign w:val="center"/>
          </w:tcPr>
          <w:p>
            <w:pPr>
              <w:pStyle w:val="63"/>
              <w:rPr>
                <w:szCs w:val="21"/>
              </w:rPr>
            </w:pPr>
            <w:r>
              <w:rPr>
                <w:szCs w:val="21"/>
              </w:rPr>
              <w:t>功能区</w:t>
            </w:r>
          </w:p>
        </w:tc>
        <w:tc>
          <w:tcPr>
            <w:tcW w:w="997" w:type="pct"/>
            <w:vAlign w:val="center"/>
          </w:tcPr>
          <w:p>
            <w:pPr>
              <w:pStyle w:val="63"/>
              <w:rPr>
                <w:szCs w:val="21"/>
              </w:rPr>
            </w:pPr>
            <w:r>
              <w:rPr>
                <w:szCs w:val="21"/>
              </w:rPr>
              <w:t>取值时间</w:t>
            </w:r>
          </w:p>
        </w:tc>
        <w:tc>
          <w:tcPr>
            <w:tcW w:w="915" w:type="pct"/>
            <w:vAlign w:val="center"/>
          </w:tcPr>
          <w:p>
            <w:pPr>
              <w:pStyle w:val="63"/>
              <w:rPr>
                <w:szCs w:val="21"/>
              </w:rPr>
            </w:pPr>
            <w:r>
              <w:rPr>
                <w:szCs w:val="21"/>
              </w:rPr>
              <w:t>标准值（μg/m3）</w:t>
            </w:r>
          </w:p>
        </w:tc>
        <w:tc>
          <w:tcPr>
            <w:tcW w:w="1446" w:type="pct"/>
            <w:vAlign w:val="center"/>
          </w:tcPr>
          <w:p>
            <w:pPr>
              <w:pStyle w:val="63"/>
              <w:rPr>
                <w:szCs w:val="21"/>
              </w:rPr>
            </w:pPr>
            <w:r>
              <w:rPr>
                <w:szCs w:val="21"/>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95" w:type="pct"/>
            <w:vAlign w:val="center"/>
          </w:tcPr>
          <w:p>
            <w:pPr>
              <w:pStyle w:val="63"/>
              <w:rPr>
                <w:szCs w:val="21"/>
              </w:rPr>
            </w:pPr>
            <w:r>
              <w:rPr>
                <w:szCs w:val="21"/>
              </w:rPr>
              <w:t>SO</w:t>
            </w:r>
            <w:r>
              <w:rPr>
                <w:szCs w:val="21"/>
                <w:vertAlign w:val="subscript"/>
              </w:rPr>
              <w:t>2</w:t>
            </w:r>
          </w:p>
        </w:tc>
        <w:tc>
          <w:tcPr>
            <w:tcW w:w="747" w:type="pct"/>
            <w:vAlign w:val="center"/>
          </w:tcPr>
          <w:p>
            <w:pPr>
              <w:pStyle w:val="63"/>
              <w:rPr>
                <w:szCs w:val="21"/>
              </w:rPr>
            </w:pPr>
            <w:r>
              <w:rPr>
                <w:szCs w:val="21"/>
              </w:rPr>
              <w:t>二类区</w:t>
            </w:r>
          </w:p>
        </w:tc>
        <w:tc>
          <w:tcPr>
            <w:tcW w:w="997" w:type="pct"/>
            <w:vAlign w:val="center"/>
          </w:tcPr>
          <w:p>
            <w:pPr>
              <w:pStyle w:val="63"/>
              <w:rPr>
                <w:szCs w:val="21"/>
              </w:rPr>
            </w:pPr>
            <w:r>
              <w:rPr>
                <w:szCs w:val="21"/>
              </w:rPr>
              <w:t>1小时平均</w:t>
            </w:r>
          </w:p>
        </w:tc>
        <w:tc>
          <w:tcPr>
            <w:tcW w:w="915" w:type="pct"/>
            <w:vAlign w:val="center"/>
          </w:tcPr>
          <w:p>
            <w:pPr>
              <w:pStyle w:val="63"/>
              <w:rPr>
                <w:szCs w:val="21"/>
              </w:rPr>
            </w:pPr>
            <w:r>
              <w:rPr>
                <w:szCs w:val="21"/>
              </w:rPr>
              <w:t>500</w:t>
            </w:r>
          </w:p>
        </w:tc>
        <w:tc>
          <w:tcPr>
            <w:tcW w:w="1446" w:type="pct"/>
            <w:vMerge w:val="restart"/>
            <w:vAlign w:val="center"/>
          </w:tcPr>
          <w:p>
            <w:pPr>
              <w:pStyle w:val="63"/>
              <w:rPr>
                <w:szCs w:val="21"/>
              </w:rPr>
            </w:pPr>
            <w:r>
              <w:rPr>
                <w:szCs w:val="21"/>
              </w:rPr>
              <w:t>GB3095-2012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95" w:type="pct"/>
            <w:vAlign w:val="center"/>
          </w:tcPr>
          <w:p>
            <w:pPr>
              <w:pStyle w:val="63"/>
              <w:rPr>
                <w:szCs w:val="21"/>
              </w:rPr>
            </w:pPr>
            <w:r>
              <w:rPr>
                <w:szCs w:val="21"/>
              </w:rPr>
              <w:t>NOx</w:t>
            </w:r>
          </w:p>
        </w:tc>
        <w:tc>
          <w:tcPr>
            <w:tcW w:w="747" w:type="pct"/>
            <w:vAlign w:val="center"/>
          </w:tcPr>
          <w:p>
            <w:pPr>
              <w:pStyle w:val="63"/>
              <w:rPr>
                <w:szCs w:val="21"/>
              </w:rPr>
            </w:pPr>
            <w:r>
              <w:rPr>
                <w:szCs w:val="21"/>
              </w:rPr>
              <w:t>二类区</w:t>
            </w:r>
          </w:p>
        </w:tc>
        <w:tc>
          <w:tcPr>
            <w:tcW w:w="997" w:type="pct"/>
            <w:vAlign w:val="center"/>
          </w:tcPr>
          <w:p>
            <w:pPr>
              <w:pStyle w:val="63"/>
              <w:rPr>
                <w:szCs w:val="21"/>
              </w:rPr>
            </w:pPr>
            <w:r>
              <w:rPr>
                <w:szCs w:val="21"/>
              </w:rPr>
              <w:t>1小时平均</w:t>
            </w:r>
          </w:p>
        </w:tc>
        <w:tc>
          <w:tcPr>
            <w:tcW w:w="915" w:type="pct"/>
            <w:vAlign w:val="center"/>
          </w:tcPr>
          <w:p>
            <w:pPr>
              <w:pStyle w:val="63"/>
              <w:rPr>
                <w:szCs w:val="21"/>
              </w:rPr>
            </w:pPr>
            <w:r>
              <w:rPr>
                <w:szCs w:val="21"/>
              </w:rPr>
              <w:t>250</w:t>
            </w:r>
          </w:p>
        </w:tc>
        <w:tc>
          <w:tcPr>
            <w:tcW w:w="1446" w:type="pct"/>
            <w:vMerge w:val="continue"/>
            <w:vAlign w:val="center"/>
          </w:tcPr>
          <w:p>
            <w:pPr>
              <w:pStyle w:val="63"/>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95" w:type="pct"/>
            <w:vAlign w:val="center"/>
          </w:tcPr>
          <w:p>
            <w:pPr>
              <w:pStyle w:val="63"/>
              <w:rPr>
                <w:szCs w:val="21"/>
              </w:rPr>
            </w:pPr>
            <w:r>
              <w:rPr>
                <w:szCs w:val="21"/>
              </w:rPr>
              <w:t>PM</w:t>
            </w:r>
            <w:r>
              <w:rPr>
                <w:szCs w:val="21"/>
                <w:vertAlign w:val="subscript"/>
              </w:rPr>
              <w:t>10</w:t>
            </w:r>
          </w:p>
        </w:tc>
        <w:tc>
          <w:tcPr>
            <w:tcW w:w="747" w:type="pct"/>
            <w:vAlign w:val="center"/>
          </w:tcPr>
          <w:p>
            <w:pPr>
              <w:pStyle w:val="63"/>
              <w:rPr>
                <w:szCs w:val="21"/>
              </w:rPr>
            </w:pPr>
            <w:r>
              <w:rPr>
                <w:szCs w:val="21"/>
              </w:rPr>
              <w:t>二类区</w:t>
            </w:r>
          </w:p>
        </w:tc>
        <w:tc>
          <w:tcPr>
            <w:tcW w:w="997" w:type="pct"/>
            <w:vAlign w:val="center"/>
          </w:tcPr>
          <w:p>
            <w:pPr>
              <w:pStyle w:val="63"/>
              <w:rPr>
                <w:szCs w:val="21"/>
              </w:rPr>
            </w:pPr>
            <w:r>
              <w:rPr>
                <w:szCs w:val="21"/>
              </w:rPr>
              <w:t>24小时平均</w:t>
            </w:r>
          </w:p>
        </w:tc>
        <w:tc>
          <w:tcPr>
            <w:tcW w:w="915" w:type="pct"/>
            <w:vAlign w:val="center"/>
          </w:tcPr>
          <w:p>
            <w:pPr>
              <w:pStyle w:val="63"/>
              <w:rPr>
                <w:szCs w:val="21"/>
              </w:rPr>
            </w:pPr>
            <w:r>
              <w:rPr>
                <w:szCs w:val="21"/>
              </w:rPr>
              <w:t>150</w:t>
            </w:r>
          </w:p>
        </w:tc>
        <w:tc>
          <w:tcPr>
            <w:tcW w:w="1446" w:type="pct"/>
            <w:vMerge w:val="continue"/>
            <w:vAlign w:val="center"/>
          </w:tcPr>
          <w:p>
            <w:pPr>
              <w:pStyle w:val="63"/>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95" w:type="pct"/>
            <w:vAlign w:val="center"/>
          </w:tcPr>
          <w:p>
            <w:pPr>
              <w:pStyle w:val="63"/>
              <w:rPr>
                <w:szCs w:val="21"/>
              </w:rPr>
            </w:pPr>
            <w:r>
              <w:rPr>
                <w:szCs w:val="21"/>
              </w:rPr>
              <w:t>氟化物</w:t>
            </w:r>
          </w:p>
        </w:tc>
        <w:tc>
          <w:tcPr>
            <w:tcW w:w="747" w:type="pct"/>
            <w:vAlign w:val="center"/>
          </w:tcPr>
          <w:p>
            <w:pPr>
              <w:pStyle w:val="63"/>
              <w:rPr>
                <w:szCs w:val="21"/>
              </w:rPr>
            </w:pPr>
            <w:r>
              <w:rPr>
                <w:szCs w:val="21"/>
              </w:rPr>
              <w:t>二类区</w:t>
            </w:r>
          </w:p>
        </w:tc>
        <w:tc>
          <w:tcPr>
            <w:tcW w:w="997" w:type="pct"/>
            <w:vAlign w:val="center"/>
          </w:tcPr>
          <w:p>
            <w:pPr>
              <w:pStyle w:val="63"/>
              <w:rPr>
                <w:szCs w:val="21"/>
              </w:rPr>
            </w:pPr>
            <w:r>
              <w:rPr>
                <w:szCs w:val="21"/>
              </w:rPr>
              <w:t>1小时平均</w:t>
            </w:r>
          </w:p>
        </w:tc>
        <w:tc>
          <w:tcPr>
            <w:tcW w:w="915" w:type="pct"/>
            <w:vAlign w:val="center"/>
          </w:tcPr>
          <w:p>
            <w:pPr>
              <w:pStyle w:val="63"/>
              <w:rPr>
                <w:szCs w:val="21"/>
              </w:rPr>
            </w:pPr>
            <w:r>
              <w:rPr>
                <w:szCs w:val="21"/>
              </w:rPr>
              <w:t>20</w:t>
            </w:r>
          </w:p>
        </w:tc>
        <w:tc>
          <w:tcPr>
            <w:tcW w:w="1446" w:type="pct"/>
            <w:vMerge w:val="continue"/>
            <w:vAlign w:val="center"/>
          </w:tcPr>
          <w:p>
            <w:pPr>
              <w:pStyle w:val="63"/>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95" w:type="pct"/>
            <w:vAlign w:val="center"/>
          </w:tcPr>
          <w:p>
            <w:pPr>
              <w:pStyle w:val="63"/>
              <w:rPr>
                <w:szCs w:val="21"/>
              </w:rPr>
            </w:pPr>
            <w:r>
              <w:rPr>
                <w:szCs w:val="21"/>
              </w:rPr>
              <w:t>镍及其化合物</w:t>
            </w:r>
          </w:p>
        </w:tc>
        <w:tc>
          <w:tcPr>
            <w:tcW w:w="747" w:type="pct"/>
            <w:vAlign w:val="center"/>
          </w:tcPr>
          <w:p>
            <w:pPr>
              <w:pStyle w:val="63"/>
              <w:rPr>
                <w:szCs w:val="21"/>
              </w:rPr>
            </w:pPr>
            <w:r>
              <w:rPr>
                <w:szCs w:val="21"/>
              </w:rPr>
              <w:t>二类区</w:t>
            </w:r>
          </w:p>
        </w:tc>
        <w:tc>
          <w:tcPr>
            <w:tcW w:w="997" w:type="pct"/>
            <w:vAlign w:val="center"/>
          </w:tcPr>
          <w:p>
            <w:pPr>
              <w:pStyle w:val="63"/>
              <w:rPr>
                <w:szCs w:val="21"/>
              </w:rPr>
            </w:pPr>
            <w:r>
              <w:rPr>
                <w:szCs w:val="21"/>
              </w:rPr>
              <w:t>日平均</w:t>
            </w:r>
          </w:p>
        </w:tc>
        <w:tc>
          <w:tcPr>
            <w:tcW w:w="915" w:type="pct"/>
            <w:vAlign w:val="center"/>
          </w:tcPr>
          <w:p>
            <w:pPr>
              <w:pStyle w:val="63"/>
              <w:rPr>
                <w:szCs w:val="21"/>
              </w:rPr>
            </w:pPr>
            <w:r>
              <w:rPr>
                <w:szCs w:val="21"/>
              </w:rPr>
              <w:t>30</w:t>
            </w:r>
          </w:p>
        </w:tc>
        <w:tc>
          <w:tcPr>
            <w:tcW w:w="1446" w:type="pct"/>
            <w:vMerge w:val="restart"/>
            <w:vAlign w:val="center"/>
          </w:tcPr>
          <w:p>
            <w:pPr>
              <w:pStyle w:val="63"/>
              <w:rPr>
                <w:szCs w:val="21"/>
              </w:rPr>
            </w:pPr>
            <w:r>
              <w:rPr>
                <w:szCs w:val="21"/>
              </w:rPr>
              <w:t>《大气污染物综合排放标准详解》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95" w:type="pct"/>
            <w:vAlign w:val="center"/>
          </w:tcPr>
          <w:p>
            <w:pPr>
              <w:pStyle w:val="63"/>
              <w:rPr>
                <w:szCs w:val="21"/>
              </w:rPr>
            </w:pPr>
            <w:r>
              <w:rPr>
                <w:szCs w:val="21"/>
              </w:rPr>
              <w:t>非甲烷总烃</w:t>
            </w:r>
          </w:p>
        </w:tc>
        <w:tc>
          <w:tcPr>
            <w:tcW w:w="747" w:type="pct"/>
            <w:vAlign w:val="center"/>
          </w:tcPr>
          <w:p>
            <w:pPr>
              <w:pStyle w:val="63"/>
              <w:rPr>
                <w:szCs w:val="21"/>
              </w:rPr>
            </w:pPr>
            <w:r>
              <w:rPr>
                <w:szCs w:val="21"/>
              </w:rPr>
              <w:t>二类区</w:t>
            </w:r>
          </w:p>
        </w:tc>
        <w:tc>
          <w:tcPr>
            <w:tcW w:w="997" w:type="pct"/>
            <w:vAlign w:val="center"/>
          </w:tcPr>
          <w:p>
            <w:pPr>
              <w:pStyle w:val="63"/>
              <w:rPr>
                <w:szCs w:val="21"/>
              </w:rPr>
            </w:pPr>
            <w:r>
              <w:rPr>
                <w:szCs w:val="21"/>
              </w:rPr>
              <w:t>1小时平均</w:t>
            </w:r>
          </w:p>
        </w:tc>
        <w:tc>
          <w:tcPr>
            <w:tcW w:w="915" w:type="pct"/>
            <w:vAlign w:val="center"/>
          </w:tcPr>
          <w:p>
            <w:pPr>
              <w:pStyle w:val="63"/>
              <w:rPr>
                <w:szCs w:val="21"/>
              </w:rPr>
            </w:pPr>
            <w:r>
              <w:rPr>
                <w:szCs w:val="21"/>
              </w:rPr>
              <w:t>2000</w:t>
            </w:r>
          </w:p>
        </w:tc>
        <w:tc>
          <w:tcPr>
            <w:tcW w:w="1446" w:type="pct"/>
            <w:vMerge w:val="continue"/>
            <w:vAlign w:val="center"/>
          </w:tcPr>
          <w:p>
            <w:pPr>
              <w:pStyle w:val="63"/>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95" w:type="pct"/>
            <w:vAlign w:val="center"/>
          </w:tcPr>
          <w:p>
            <w:pPr>
              <w:pStyle w:val="63"/>
              <w:rPr>
                <w:szCs w:val="21"/>
              </w:rPr>
            </w:pPr>
            <w:r>
              <w:rPr>
                <w:szCs w:val="21"/>
              </w:rPr>
              <w:t>HCl</w:t>
            </w:r>
          </w:p>
        </w:tc>
        <w:tc>
          <w:tcPr>
            <w:tcW w:w="747" w:type="pct"/>
            <w:vAlign w:val="center"/>
          </w:tcPr>
          <w:p>
            <w:pPr>
              <w:pStyle w:val="63"/>
              <w:rPr>
                <w:szCs w:val="21"/>
              </w:rPr>
            </w:pPr>
            <w:r>
              <w:rPr>
                <w:szCs w:val="21"/>
              </w:rPr>
              <w:t>二类区</w:t>
            </w:r>
          </w:p>
        </w:tc>
        <w:tc>
          <w:tcPr>
            <w:tcW w:w="997" w:type="pct"/>
            <w:vAlign w:val="center"/>
          </w:tcPr>
          <w:p>
            <w:pPr>
              <w:pStyle w:val="63"/>
              <w:rPr>
                <w:szCs w:val="21"/>
              </w:rPr>
            </w:pPr>
            <w:r>
              <w:rPr>
                <w:szCs w:val="21"/>
              </w:rPr>
              <w:t>1小时平均</w:t>
            </w:r>
          </w:p>
        </w:tc>
        <w:tc>
          <w:tcPr>
            <w:tcW w:w="915" w:type="pct"/>
            <w:vAlign w:val="center"/>
          </w:tcPr>
          <w:p>
            <w:pPr>
              <w:pStyle w:val="63"/>
              <w:rPr>
                <w:szCs w:val="21"/>
              </w:rPr>
            </w:pPr>
            <w:r>
              <w:rPr>
                <w:szCs w:val="21"/>
              </w:rPr>
              <w:t>50</w:t>
            </w:r>
          </w:p>
        </w:tc>
        <w:tc>
          <w:tcPr>
            <w:tcW w:w="1446" w:type="pct"/>
            <w:vMerge w:val="restart"/>
            <w:vAlign w:val="center"/>
          </w:tcPr>
          <w:p>
            <w:pPr>
              <w:pStyle w:val="63"/>
              <w:rPr>
                <w:szCs w:val="21"/>
              </w:rPr>
            </w:pPr>
            <w:r>
              <w:rPr>
                <w:szCs w:val="21"/>
              </w:rPr>
              <w:t>HJ2.2-2018附录D</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95" w:type="pct"/>
            <w:vAlign w:val="center"/>
          </w:tcPr>
          <w:p>
            <w:pPr>
              <w:pStyle w:val="63"/>
              <w:rPr>
                <w:szCs w:val="21"/>
              </w:rPr>
            </w:pPr>
            <w:r>
              <w:rPr>
                <w:szCs w:val="21"/>
              </w:rPr>
              <w:t>硫酸雾</w:t>
            </w:r>
          </w:p>
        </w:tc>
        <w:tc>
          <w:tcPr>
            <w:tcW w:w="747" w:type="pct"/>
            <w:vAlign w:val="center"/>
          </w:tcPr>
          <w:p>
            <w:pPr>
              <w:pStyle w:val="63"/>
              <w:rPr>
                <w:szCs w:val="21"/>
              </w:rPr>
            </w:pPr>
            <w:r>
              <w:rPr>
                <w:szCs w:val="21"/>
              </w:rPr>
              <w:t>二类区</w:t>
            </w:r>
          </w:p>
        </w:tc>
        <w:tc>
          <w:tcPr>
            <w:tcW w:w="997" w:type="pct"/>
            <w:vAlign w:val="center"/>
          </w:tcPr>
          <w:p>
            <w:pPr>
              <w:pStyle w:val="63"/>
              <w:rPr>
                <w:szCs w:val="21"/>
              </w:rPr>
            </w:pPr>
            <w:r>
              <w:rPr>
                <w:szCs w:val="21"/>
              </w:rPr>
              <w:t>1小时平均</w:t>
            </w:r>
          </w:p>
        </w:tc>
        <w:tc>
          <w:tcPr>
            <w:tcW w:w="915" w:type="pct"/>
            <w:vAlign w:val="center"/>
          </w:tcPr>
          <w:p>
            <w:pPr>
              <w:pStyle w:val="63"/>
              <w:rPr>
                <w:szCs w:val="21"/>
              </w:rPr>
            </w:pPr>
            <w:r>
              <w:rPr>
                <w:szCs w:val="21"/>
              </w:rPr>
              <w:t>300</w:t>
            </w:r>
          </w:p>
        </w:tc>
        <w:tc>
          <w:tcPr>
            <w:tcW w:w="1446" w:type="pct"/>
            <w:vMerge w:val="continue"/>
            <w:vAlign w:val="center"/>
          </w:tcPr>
          <w:p>
            <w:pPr>
              <w:pStyle w:val="63"/>
              <w:rPr>
                <w:szCs w:val="21"/>
              </w:rPr>
            </w:pPr>
          </w:p>
        </w:tc>
      </w:tr>
    </w:tbl>
    <w:p>
      <w:pPr>
        <w:spacing w:line="360" w:lineRule="auto"/>
        <w:ind w:firstLine="480" w:firstLineChars="200"/>
        <w:rPr>
          <w:rFonts w:ascii="Times New Roman" w:hAnsi="Times New Roman" w:cs="Times New Roman"/>
        </w:rPr>
      </w:pPr>
      <w:r>
        <w:rPr>
          <w:rFonts w:ascii="Times New Roman" w:hAnsi="Times New Roman" w:cs="Times New Roman"/>
        </w:rPr>
        <w:t>具体评价因子和评价标准筛选结果见下表。</w:t>
      </w:r>
    </w:p>
    <w:p>
      <w:pPr>
        <w:pStyle w:val="6"/>
        <w:rPr>
          <w:rFonts w:ascii="Times New Roman" w:hAnsi="Times New Roman" w:cs="Times New Roman"/>
        </w:rPr>
      </w:pPr>
      <w:r>
        <w:rPr>
          <w:rFonts w:ascii="Times New Roman" w:hAnsi="Times New Roman" w:cs="Times New Roman"/>
        </w:rPr>
        <w:t>表2.6-2  估算模型参数表</w:t>
      </w:r>
    </w:p>
    <w:tbl>
      <w:tblPr>
        <w:tblStyle w:val="35"/>
        <w:tblW w:w="8527" w:type="dxa"/>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2115"/>
        <w:gridCol w:w="2661"/>
        <w:gridCol w:w="3751"/>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54" w:hRule="atLeast"/>
        </w:trPr>
        <w:tc>
          <w:tcPr>
            <w:tcW w:w="4776" w:type="dxa"/>
            <w:gridSpan w:val="2"/>
            <w:tcBorders>
              <w:top w:val="single" w:color="auto" w:sz="12" w:space="0"/>
              <w:left w:val="single" w:color="auto" w:sz="12" w:space="0"/>
            </w:tcBorders>
            <w:vAlign w:val="center"/>
          </w:tcPr>
          <w:p>
            <w:pPr>
              <w:pStyle w:val="63"/>
            </w:pPr>
            <w:r>
              <w:t>参数</w:t>
            </w:r>
          </w:p>
        </w:tc>
        <w:tc>
          <w:tcPr>
            <w:tcW w:w="3751" w:type="dxa"/>
            <w:tcBorders>
              <w:top w:val="single" w:color="auto" w:sz="12" w:space="0"/>
              <w:right w:val="single" w:color="auto" w:sz="12" w:space="0"/>
            </w:tcBorders>
            <w:vAlign w:val="center"/>
          </w:tcPr>
          <w:p>
            <w:pPr>
              <w:pStyle w:val="63"/>
            </w:pPr>
            <w:r>
              <w:t>取值</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54" w:hRule="atLeast"/>
        </w:trPr>
        <w:tc>
          <w:tcPr>
            <w:tcW w:w="2115" w:type="dxa"/>
            <w:vMerge w:val="restart"/>
            <w:tcBorders>
              <w:left w:val="single" w:color="auto" w:sz="12" w:space="0"/>
            </w:tcBorders>
            <w:vAlign w:val="center"/>
          </w:tcPr>
          <w:p>
            <w:pPr>
              <w:pStyle w:val="63"/>
            </w:pPr>
            <w:r>
              <w:t>城市/农村选项</w:t>
            </w:r>
          </w:p>
        </w:tc>
        <w:tc>
          <w:tcPr>
            <w:tcW w:w="2661" w:type="dxa"/>
            <w:vAlign w:val="center"/>
          </w:tcPr>
          <w:p>
            <w:pPr>
              <w:pStyle w:val="63"/>
            </w:pPr>
            <w:r>
              <w:t>城市/农村</w:t>
            </w:r>
          </w:p>
        </w:tc>
        <w:tc>
          <w:tcPr>
            <w:tcW w:w="3751" w:type="dxa"/>
            <w:tcBorders>
              <w:right w:val="single" w:color="auto" w:sz="12" w:space="0"/>
            </w:tcBorders>
            <w:vAlign w:val="center"/>
          </w:tcPr>
          <w:p>
            <w:pPr>
              <w:pStyle w:val="63"/>
            </w:pPr>
            <w:r>
              <w:t>城市</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54" w:hRule="atLeast"/>
        </w:trPr>
        <w:tc>
          <w:tcPr>
            <w:tcW w:w="2115" w:type="dxa"/>
            <w:vMerge w:val="continue"/>
            <w:tcBorders>
              <w:left w:val="single" w:color="auto" w:sz="12" w:space="0"/>
            </w:tcBorders>
            <w:vAlign w:val="center"/>
          </w:tcPr>
          <w:p>
            <w:pPr>
              <w:pStyle w:val="63"/>
            </w:pPr>
          </w:p>
        </w:tc>
        <w:tc>
          <w:tcPr>
            <w:tcW w:w="2661" w:type="dxa"/>
            <w:vAlign w:val="center"/>
          </w:tcPr>
          <w:p>
            <w:pPr>
              <w:pStyle w:val="63"/>
            </w:pPr>
            <w:r>
              <w:t>人口数(城市人口数)</w:t>
            </w:r>
          </w:p>
        </w:tc>
        <w:tc>
          <w:tcPr>
            <w:tcW w:w="3751" w:type="dxa"/>
            <w:tcBorders>
              <w:right w:val="single" w:color="auto" w:sz="12" w:space="0"/>
            </w:tcBorders>
            <w:vAlign w:val="center"/>
          </w:tcPr>
          <w:p>
            <w:pPr>
              <w:pStyle w:val="63"/>
            </w:pPr>
            <w:r>
              <w:t>50000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54" w:hRule="atLeast"/>
        </w:trPr>
        <w:tc>
          <w:tcPr>
            <w:tcW w:w="4776" w:type="dxa"/>
            <w:gridSpan w:val="2"/>
            <w:tcBorders>
              <w:left w:val="single" w:color="auto" w:sz="12" w:space="0"/>
            </w:tcBorders>
            <w:vAlign w:val="center"/>
          </w:tcPr>
          <w:p>
            <w:pPr>
              <w:pStyle w:val="63"/>
            </w:pPr>
            <w:r>
              <w:t>最高环境温度</w:t>
            </w:r>
          </w:p>
        </w:tc>
        <w:tc>
          <w:tcPr>
            <w:tcW w:w="3751" w:type="dxa"/>
            <w:tcBorders>
              <w:right w:val="single" w:color="auto" w:sz="12" w:space="0"/>
            </w:tcBorders>
            <w:vAlign w:val="center"/>
          </w:tcPr>
          <w:p>
            <w:pPr>
              <w:pStyle w:val="63"/>
            </w:pPr>
            <w:r>
              <w:t>41.3</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54" w:hRule="atLeast"/>
        </w:trPr>
        <w:tc>
          <w:tcPr>
            <w:tcW w:w="4776" w:type="dxa"/>
            <w:gridSpan w:val="2"/>
            <w:tcBorders>
              <w:left w:val="single" w:color="auto" w:sz="12" w:space="0"/>
            </w:tcBorders>
            <w:vAlign w:val="center"/>
          </w:tcPr>
          <w:p>
            <w:pPr>
              <w:pStyle w:val="63"/>
            </w:pPr>
            <w:r>
              <w:t>最低环境温度</w:t>
            </w:r>
          </w:p>
        </w:tc>
        <w:tc>
          <w:tcPr>
            <w:tcW w:w="3751" w:type="dxa"/>
            <w:tcBorders>
              <w:right w:val="single" w:color="auto" w:sz="12" w:space="0"/>
            </w:tcBorders>
            <w:vAlign w:val="center"/>
          </w:tcPr>
          <w:p>
            <w:pPr>
              <w:pStyle w:val="63"/>
            </w:pPr>
            <w:r>
              <w:t>-7.9</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54" w:hRule="atLeast"/>
        </w:trPr>
        <w:tc>
          <w:tcPr>
            <w:tcW w:w="4776" w:type="dxa"/>
            <w:gridSpan w:val="2"/>
            <w:tcBorders>
              <w:left w:val="single" w:color="auto" w:sz="12" w:space="0"/>
            </w:tcBorders>
            <w:vAlign w:val="center"/>
          </w:tcPr>
          <w:p>
            <w:pPr>
              <w:pStyle w:val="63"/>
            </w:pPr>
            <w:r>
              <w:t>土地利用类型</w:t>
            </w:r>
          </w:p>
        </w:tc>
        <w:tc>
          <w:tcPr>
            <w:tcW w:w="3751" w:type="dxa"/>
            <w:tcBorders>
              <w:right w:val="single" w:color="auto" w:sz="12" w:space="0"/>
            </w:tcBorders>
            <w:vAlign w:val="center"/>
          </w:tcPr>
          <w:p>
            <w:pPr>
              <w:pStyle w:val="63"/>
            </w:pPr>
            <w:r>
              <w:t>农田</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54" w:hRule="atLeast"/>
        </w:trPr>
        <w:tc>
          <w:tcPr>
            <w:tcW w:w="4776" w:type="dxa"/>
            <w:gridSpan w:val="2"/>
            <w:tcBorders>
              <w:left w:val="single" w:color="auto" w:sz="12" w:space="0"/>
            </w:tcBorders>
            <w:vAlign w:val="center"/>
          </w:tcPr>
          <w:p>
            <w:pPr>
              <w:pStyle w:val="63"/>
            </w:pPr>
            <w:r>
              <w:t>区域湿度条件</w:t>
            </w:r>
          </w:p>
        </w:tc>
        <w:tc>
          <w:tcPr>
            <w:tcW w:w="3751" w:type="dxa"/>
            <w:tcBorders>
              <w:right w:val="single" w:color="auto" w:sz="12" w:space="0"/>
            </w:tcBorders>
            <w:vAlign w:val="center"/>
          </w:tcPr>
          <w:p>
            <w:pPr>
              <w:pStyle w:val="63"/>
            </w:pPr>
            <w:r>
              <w:t>潮湿</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54" w:hRule="atLeast"/>
        </w:trPr>
        <w:tc>
          <w:tcPr>
            <w:tcW w:w="2115" w:type="dxa"/>
            <w:vMerge w:val="restart"/>
            <w:tcBorders>
              <w:left w:val="single" w:color="auto" w:sz="12" w:space="0"/>
            </w:tcBorders>
            <w:vAlign w:val="center"/>
          </w:tcPr>
          <w:p>
            <w:pPr>
              <w:pStyle w:val="63"/>
            </w:pPr>
            <w:r>
              <w:t>是否考虑地形</w:t>
            </w:r>
          </w:p>
        </w:tc>
        <w:tc>
          <w:tcPr>
            <w:tcW w:w="2661" w:type="dxa"/>
            <w:vAlign w:val="center"/>
          </w:tcPr>
          <w:p>
            <w:pPr>
              <w:pStyle w:val="63"/>
            </w:pPr>
            <w:r>
              <w:t>考虑地形</w:t>
            </w:r>
          </w:p>
        </w:tc>
        <w:tc>
          <w:tcPr>
            <w:tcW w:w="3751" w:type="dxa"/>
            <w:tcBorders>
              <w:right w:val="single" w:color="auto" w:sz="12" w:space="0"/>
            </w:tcBorders>
            <w:vAlign w:val="center"/>
          </w:tcPr>
          <w:p>
            <w:pPr>
              <w:pStyle w:val="63"/>
            </w:pPr>
            <w:r>
              <w:t>是</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54" w:hRule="atLeast"/>
        </w:trPr>
        <w:tc>
          <w:tcPr>
            <w:tcW w:w="2115" w:type="dxa"/>
            <w:vMerge w:val="continue"/>
            <w:tcBorders>
              <w:left w:val="single" w:color="auto" w:sz="12" w:space="0"/>
            </w:tcBorders>
            <w:vAlign w:val="center"/>
          </w:tcPr>
          <w:p>
            <w:pPr>
              <w:pStyle w:val="63"/>
            </w:pPr>
          </w:p>
        </w:tc>
        <w:tc>
          <w:tcPr>
            <w:tcW w:w="2661" w:type="dxa"/>
            <w:vAlign w:val="center"/>
          </w:tcPr>
          <w:p>
            <w:pPr>
              <w:pStyle w:val="63"/>
            </w:pPr>
            <w:r>
              <w:t>地形数据分辨率(m)</w:t>
            </w:r>
          </w:p>
        </w:tc>
        <w:tc>
          <w:tcPr>
            <w:tcW w:w="3751" w:type="dxa"/>
            <w:tcBorders>
              <w:right w:val="single" w:color="auto" w:sz="12" w:space="0"/>
            </w:tcBorders>
            <w:vAlign w:val="center"/>
          </w:tcPr>
          <w:p>
            <w:pPr>
              <w:pStyle w:val="63"/>
            </w:pPr>
            <w:r>
              <w:t>90</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54" w:hRule="atLeast"/>
        </w:trPr>
        <w:tc>
          <w:tcPr>
            <w:tcW w:w="2115" w:type="dxa"/>
            <w:vMerge w:val="restart"/>
            <w:tcBorders>
              <w:left w:val="single" w:color="auto" w:sz="12" w:space="0"/>
            </w:tcBorders>
            <w:vAlign w:val="center"/>
          </w:tcPr>
          <w:p>
            <w:pPr>
              <w:pStyle w:val="63"/>
            </w:pPr>
            <w:r>
              <w:t>是否考虑岸线熏烟</w:t>
            </w:r>
          </w:p>
        </w:tc>
        <w:tc>
          <w:tcPr>
            <w:tcW w:w="2661" w:type="dxa"/>
            <w:vAlign w:val="center"/>
          </w:tcPr>
          <w:p>
            <w:pPr>
              <w:pStyle w:val="63"/>
            </w:pPr>
            <w:r>
              <w:t>考虑岸线熏烟</w:t>
            </w:r>
          </w:p>
        </w:tc>
        <w:tc>
          <w:tcPr>
            <w:tcW w:w="3751" w:type="dxa"/>
            <w:tcBorders>
              <w:right w:val="single" w:color="auto" w:sz="12" w:space="0"/>
            </w:tcBorders>
            <w:vAlign w:val="center"/>
          </w:tcPr>
          <w:p>
            <w:pPr>
              <w:pStyle w:val="63"/>
            </w:pPr>
            <w:r>
              <w:t>否</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54" w:hRule="atLeast"/>
        </w:trPr>
        <w:tc>
          <w:tcPr>
            <w:tcW w:w="2115" w:type="dxa"/>
            <w:vMerge w:val="continue"/>
            <w:tcBorders>
              <w:left w:val="single" w:color="auto" w:sz="12" w:space="0"/>
            </w:tcBorders>
            <w:vAlign w:val="center"/>
          </w:tcPr>
          <w:p>
            <w:pPr>
              <w:pStyle w:val="63"/>
            </w:pPr>
          </w:p>
        </w:tc>
        <w:tc>
          <w:tcPr>
            <w:tcW w:w="2661" w:type="dxa"/>
            <w:vAlign w:val="center"/>
          </w:tcPr>
          <w:p>
            <w:pPr>
              <w:pStyle w:val="63"/>
            </w:pPr>
            <w:r>
              <w:t>岸线距离/m</w:t>
            </w:r>
          </w:p>
        </w:tc>
        <w:tc>
          <w:tcPr>
            <w:tcW w:w="3751" w:type="dxa"/>
            <w:tcBorders>
              <w:right w:val="single" w:color="auto" w:sz="12" w:space="0"/>
            </w:tcBorders>
            <w:vAlign w:val="center"/>
          </w:tcPr>
          <w:p>
            <w:pPr>
              <w:pStyle w:val="63"/>
            </w:pPr>
            <w:r>
              <w:t>/</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54" w:hRule="atLeast"/>
        </w:trPr>
        <w:tc>
          <w:tcPr>
            <w:tcW w:w="2115" w:type="dxa"/>
            <w:vMerge w:val="continue"/>
            <w:tcBorders>
              <w:left w:val="single" w:color="auto" w:sz="12" w:space="0"/>
            </w:tcBorders>
            <w:vAlign w:val="center"/>
          </w:tcPr>
          <w:p>
            <w:pPr>
              <w:pStyle w:val="63"/>
            </w:pPr>
          </w:p>
        </w:tc>
        <w:tc>
          <w:tcPr>
            <w:tcW w:w="2661" w:type="dxa"/>
            <w:vAlign w:val="center"/>
          </w:tcPr>
          <w:p>
            <w:pPr>
              <w:pStyle w:val="63"/>
            </w:pPr>
            <w:r>
              <w:t>岸线方向/°</w:t>
            </w:r>
          </w:p>
        </w:tc>
        <w:tc>
          <w:tcPr>
            <w:tcW w:w="3751" w:type="dxa"/>
            <w:tcBorders>
              <w:right w:val="single" w:color="auto" w:sz="12" w:space="0"/>
            </w:tcBorders>
            <w:vAlign w:val="center"/>
          </w:tcPr>
          <w:p>
            <w:pPr>
              <w:pStyle w:val="63"/>
            </w:pPr>
            <w:r>
              <w:t>/</w:t>
            </w:r>
          </w:p>
        </w:tc>
      </w:tr>
    </w:tbl>
    <w:p>
      <w:pPr>
        <w:spacing w:line="360" w:lineRule="auto"/>
        <w:ind w:firstLine="480" w:firstLineChars="200"/>
        <w:rPr>
          <w:rFonts w:ascii="Times New Roman" w:hAnsi="Times New Roman" w:cs="Times New Roman"/>
        </w:rPr>
        <w:sectPr>
          <w:footerReference r:id="rId4" w:type="default"/>
          <w:pgSz w:w="11906" w:h="16838"/>
          <w:pgMar w:top="1440" w:right="1800" w:bottom="1440" w:left="1800" w:header="851" w:footer="992" w:gutter="0"/>
          <w:cols w:space="425" w:num="1"/>
          <w:docGrid w:type="lines" w:linePitch="312" w:charSpace="0"/>
        </w:sectPr>
      </w:pPr>
      <w:r>
        <w:rPr>
          <w:rFonts w:ascii="Times New Roman" w:hAnsi="Times New Roman" w:cs="Times New Roman"/>
        </w:rPr>
        <w:t>本次环评选取SO</w:t>
      </w:r>
      <w:r>
        <w:rPr>
          <w:rFonts w:ascii="Times New Roman" w:hAnsi="Times New Roman" w:cs="Times New Roman"/>
          <w:vertAlign w:val="subscript"/>
        </w:rPr>
        <w:t>2</w:t>
      </w:r>
      <w:r>
        <w:rPr>
          <w:rFonts w:ascii="Times New Roman" w:hAnsi="Times New Roman" w:cs="Times New Roman"/>
        </w:rPr>
        <w:t>、NOx、HCl、镍及其化合物、氟化物、硫酸雾、硫化氢、非甲烷总烃作为评价因子，污染源参数见表2.6-3-表2.6-4。大气污染物落地浓度估算见表2.6-5。</w:t>
      </w:r>
    </w:p>
    <w:p>
      <w:pPr>
        <w:pStyle w:val="6"/>
        <w:rPr>
          <w:rFonts w:ascii="Times New Roman" w:hAnsi="Times New Roman" w:cs="Times New Roman"/>
          <w:u w:val="single"/>
        </w:rPr>
      </w:pPr>
      <w:r>
        <w:rPr>
          <w:rFonts w:ascii="Times New Roman" w:hAnsi="Times New Roman" w:cs="Times New Roman"/>
          <w:u w:val="single"/>
        </w:rPr>
        <w:t>表2.6-3  本项目点源污染源正常排放参数表</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983"/>
        <w:gridCol w:w="1415"/>
        <w:gridCol w:w="1307"/>
        <w:gridCol w:w="808"/>
        <w:gridCol w:w="802"/>
        <w:gridCol w:w="680"/>
        <w:gridCol w:w="802"/>
        <w:gridCol w:w="802"/>
        <w:gridCol w:w="927"/>
        <w:gridCol w:w="964"/>
        <w:gridCol w:w="927"/>
        <w:gridCol w:w="987"/>
        <w:gridCol w:w="927"/>
        <w:gridCol w:w="930"/>
        <w:gridCol w:w="913"/>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47" w:type="pct"/>
            <w:vMerge w:val="restart"/>
            <w:vAlign w:val="center"/>
          </w:tcPr>
          <w:p>
            <w:pPr>
              <w:pStyle w:val="63"/>
              <w:rPr>
                <w:u w:val="single"/>
              </w:rPr>
            </w:pPr>
            <w:r>
              <w:rPr>
                <w:u w:val="single"/>
              </w:rPr>
              <w:t>污染源名称</w:t>
            </w:r>
          </w:p>
        </w:tc>
        <w:tc>
          <w:tcPr>
            <w:tcW w:w="960" w:type="pct"/>
            <w:gridSpan w:val="2"/>
            <w:vAlign w:val="center"/>
          </w:tcPr>
          <w:p>
            <w:pPr>
              <w:pStyle w:val="63"/>
              <w:rPr>
                <w:u w:val="single"/>
              </w:rPr>
            </w:pPr>
            <w:r>
              <w:rPr>
                <w:u w:val="single"/>
              </w:rPr>
              <w:t>排气筒底部中心坐标(°)</w:t>
            </w:r>
          </w:p>
        </w:tc>
        <w:tc>
          <w:tcPr>
            <w:tcW w:w="285" w:type="pct"/>
            <w:vMerge w:val="restart"/>
            <w:vAlign w:val="center"/>
          </w:tcPr>
          <w:p>
            <w:pPr>
              <w:pStyle w:val="63"/>
              <w:rPr>
                <w:u w:val="single"/>
              </w:rPr>
            </w:pPr>
            <w:r>
              <w:rPr>
                <w:u w:val="single"/>
              </w:rPr>
              <w:t>排气筒底部海拔高度(m)</w:t>
            </w:r>
          </w:p>
        </w:tc>
        <w:tc>
          <w:tcPr>
            <w:tcW w:w="1089" w:type="pct"/>
            <w:gridSpan w:val="4"/>
            <w:vAlign w:val="center"/>
          </w:tcPr>
          <w:p>
            <w:pPr>
              <w:pStyle w:val="63"/>
              <w:rPr>
                <w:u w:val="single"/>
              </w:rPr>
            </w:pPr>
            <w:r>
              <w:rPr>
                <w:u w:val="single"/>
              </w:rPr>
              <w:t>排气筒参数</w:t>
            </w:r>
          </w:p>
        </w:tc>
        <w:tc>
          <w:tcPr>
            <w:tcW w:w="2319" w:type="pct"/>
            <w:gridSpan w:val="7"/>
            <w:vAlign w:val="center"/>
          </w:tcPr>
          <w:p>
            <w:pPr>
              <w:pStyle w:val="63"/>
              <w:rPr>
                <w:u w:val="single"/>
              </w:rPr>
            </w:pPr>
            <w:r>
              <w:rPr>
                <w:u w:val="single"/>
              </w:rPr>
              <w:t>污染物排放速率(kg/h)</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47" w:type="pct"/>
            <w:vMerge w:val="continue"/>
            <w:vAlign w:val="center"/>
          </w:tcPr>
          <w:p>
            <w:pPr>
              <w:pStyle w:val="63"/>
              <w:rPr>
                <w:u w:val="single"/>
              </w:rPr>
            </w:pPr>
          </w:p>
        </w:tc>
        <w:tc>
          <w:tcPr>
            <w:tcW w:w="499" w:type="pct"/>
            <w:vAlign w:val="center"/>
          </w:tcPr>
          <w:p>
            <w:pPr>
              <w:pStyle w:val="63"/>
              <w:rPr>
                <w:u w:val="single"/>
              </w:rPr>
            </w:pPr>
            <w:r>
              <w:rPr>
                <w:u w:val="single"/>
              </w:rPr>
              <w:t>经度</w:t>
            </w:r>
          </w:p>
        </w:tc>
        <w:tc>
          <w:tcPr>
            <w:tcW w:w="461" w:type="pct"/>
            <w:vAlign w:val="center"/>
          </w:tcPr>
          <w:p>
            <w:pPr>
              <w:pStyle w:val="63"/>
              <w:rPr>
                <w:u w:val="single"/>
              </w:rPr>
            </w:pPr>
            <w:r>
              <w:rPr>
                <w:u w:val="single"/>
              </w:rPr>
              <w:t>纬度</w:t>
            </w:r>
          </w:p>
        </w:tc>
        <w:tc>
          <w:tcPr>
            <w:tcW w:w="285" w:type="pct"/>
            <w:vMerge w:val="continue"/>
            <w:vAlign w:val="center"/>
          </w:tcPr>
          <w:p>
            <w:pPr>
              <w:pStyle w:val="63"/>
              <w:rPr>
                <w:u w:val="single"/>
              </w:rPr>
            </w:pPr>
          </w:p>
        </w:tc>
        <w:tc>
          <w:tcPr>
            <w:tcW w:w="283" w:type="pct"/>
            <w:vAlign w:val="center"/>
          </w:tcPr>
          <w:p>
            <w:pPr>
              <w:pStyle w:val="63"/>
              <w:rPr>
                <w:u w:val="single"/>
              </w:rPr>
            </w:pPr>
            <w:r>
              <w:rPr>
                <w:u w:val="single"/>
              </w:rPr>
              <w:t>高度(m)</w:t>
            </w:r>
          </w:p>
        </w:tc>
        <w:tc>
          <w:tcPr>
            <w:tcW w:w="240" w:type="pct"/>
            <w:vAlign w:val="center"/>
          </w:tcPr>
          <w:p>
            <w:pPr>
              <w:pStyle w:val="63"/>
              <w:rPr>
                <w:u w:val="single"/>
              </w:rPr>
            </w:pPr>
            <w:r>
              <w:rPr>
                <w:u w:val="single"/>
              </w:rPr>
              <w:t>内径(m)</w:t>
            </w:r>
          </w:p>
        </w:tc>
        <w:tc>
          <w:tcPr>
            <w:tcW w:w="283" w:type="pct"/>
            <w:vAlign w:val="center"/>
          </w:tcPr>
          <w:p>
            <w:pPr>
              <w:pStyle w:val="63"/>
              <w:rPr>
                <w:u w:val="single"/>
              </w:rPr>
            </w:pPr>
            <w:r>
              <w:rPr>
                <w:u w:val="single"/>
              </w:rPr>
              <w:t>温度(</w:t>
            </w:r>
            <w:r>
              <w:rPr>
                <w:rFonts w:hint="eastAsia" w:ascii="宋体" w:hAnsi="宋体" w:eastAsia="宋体" w:cs="宋体"/>
                <w:u w:val="single"/>
              </w:rPr>
              <w:t>℃</w:t>
            </w:r>
            <w:r>
              <w:rPr>
                <w:u w:val="single"/>
              </w:rPr>
              <w:t>)</w:t>
            </w:r>
          </w:p>
        </w:tc>
        <w:tc>
          <w:tcPr>
            <w:tcW w:w="283" w:type="pct"/>
            <w:vAlign w:val="center"/>
          </w:tcPr>
          <w:p>
            <w:pPr>
              <w:pStyle w:val="63"/>
              <w:rPr>
                <w:u w:val="single"/>
              </w:rPr>
            </w:pPr>
            <w:r>
              <w:rPr>
                <w:u w:val="single"/>
              </w:rPr>
              <w:t>流速(m/s)</w:t>
            </w:r>
          </w:p>
        </w:tc>
        <w:tc>
          <w:tcPr>
            <w:tcW w:w="327" w:type="pct"/>
            <w:vAlign w:val="center"/>
          </w:tcPr>
          <w:p>
            <w:pPr>
              <w:pStyle w:val="63"/>
              <w:rPr>
                <w:u w:val="single"/>
              </w:rPr>
            </w:pPr>
            <w:r>
              <w:rPr>
                <w:u w:val="single"/>
              </w:rPr>
              <w:t>NOx</w:t>
            </w:r>
          </w:p>
        </w:tc>
        <w:tc>
          <w:tcPr>
            <w:tcW w:w="340" w:type="pct"/>
            <w:vAlign w:val="center"/>
          </w:tcPr>
          <w:p>
            <w:pPr>
              <w:pStyle w:val="63"/>
              <w:rPr>
                <w:u w:val="single"/>
              </w:rPr>
            </w:pPr>
            <w:r>
              <w:rPr>
                <w:u w:val="single"/>
              </w:rPr>
              <w:t>Ni</w:t>
            </w:r>
          </w:p>
        </w:tc>
        <w:tc>
          <w:tcPr>
            <w:tcW w:w="327" w:type="pct"/>
            <w:vAlign w:val="center"/>
          </w:tcPr>
          <w:p>
            <w:pPr>
              <w:pStyle w:val="63"/>
              <w:rPr>
                <w:u w:val="single"/>
              </w:rPr>
            </w:pPr>
            <w:r>
              <w:rPr>
                <w:u w:val="single"/>
              </w:rPr>
              <w:t>氟化物</w:t>
            </w:r>
          </w:p>
        </w:tc>
        <w:tc>
          <w:tcPr>
            <w:tcW w:w="348" w:type="pct"/>
            <w:vAlign w:val="center"/>
          </w:tcPr>
          <w:p>
            <w:pPr>
              <w:pStyle w:val="63"/>
              <w:rPr>
                <w:u w:val="single"/>
              </w:rPr>
            </w:pPr>
            <w:r>
              <w:rPr>
                <w:u w:val="single"/>
              </w:rPr>
              <w:t>NMHC</w:t>
            </w:r>
          </w:p>
        </w:tc>
        <w:tc>
          <w:tcPr>
            <w:tcW w:w="327" w:type="pct"/>
            <w:vAlign w:val="center"/>
          </w:tcPr>
          <w:p>
            <w:pPr>
              <w:pStyle w:val="63"/>
              <w:rPr>
                <w:u w:val="single"/>
              </w:rPr>
            </w:pPr>
            <w:r>
              <w:rPr>
                <w:u w:val="single"/>
              </w:rPr>
              <w:t>SO</w:t>
            </w:r>
            <w:r>
              <w:rPr>
                <w:u w:val="single"/>
                <w:vertAlign w:val="subscript"/>
              </w:rPr>
              <w:t>2</w:t>
            </w:r>
          </w:p>
        </w:tc>
        <w:tc>
          <w:tcPr>
            <w:tcW w:w="328" w:type="pct"/>
            <w:vAlign w:val="center"/>
          </w:tcPr>
          <w:p>
            <w:pPr>
              <w:pStyle w:val="63"/>
              <w:rPr>
                <w:u w:val="single"/>
              </w:rPr>
            </w:pPr>
            <w:r>
              <w:rPr>
                <w:u w:val="single"/>
              </w:rPr>
              <w:t>硫酸雾</w:t>
            </w:r>
          </w:p>
        </w:tc>
        <w:tc>
          <w:tcPr>
            <w:tcW w:w="322" w:type="pct"/>
            <w:vAlign w:val="center"/>
          </w:tcPr>
          <w:p>
            <w:pPr>
              <w:pStyle w:val="63"/>
              <w:rPr>
                <w:u w:val="single"/>
              </w:rPr>
            </w:pPr>
            <w:r>
              <w:rPr>
                <w:u w:val="single"/>
              </w:rPr>
              <w:t>PM</w:t>
            </w:r>
            <w:r>
              <w:rPr>
                <w:u w:val="single"/>
                <w:vertAlign w:val="subscript"/>
              </w:rPr>
              <w:t>10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47" w:type="pct"/>
            <w:vAlign w:val="center"/>
          </w:tcPr>
          <w:p>
            <w:pPr>
              <w:pStyle w:val="63"/>
              <w:rPr>
                <w:u w:val="single"/>
              </w:rPr>
            </w:pPr>
            <w:r>
              <w:rPr>
                <w:u w:val="single"/>
              </w:rPr>
              <w:t>P1预处理车间</w:t>
            </w:r>
          </w:p>
        </w:tc>
        <w:tc>
          <w:tcPr>
            <w:tcW w:w="499" w:type="pct"/>
            <w:vAlign w:val="center"/>
          </w:tcPr>
          <w:p>
            <w:pPr>
              <w:pStyle w:val="63"/>
              <w:rPr>
                <w:u w:val="single"/>
              </w:rPr>
            </w:pPr>
            <w:r>
              <w:rPr>
                <w:u w:val="single"/>
              </w:rPr>
              <w:t>112.803659</w:t>
            </w:r>
          </w:p>
        </w:tc>
        <w:tc>
          <w:tcPr>
            <w:tcW w:w="461" w:type="pct"/>
            <w:vAlign w:val="center"/>
          </w:tcPr>
          <w:p>
            <w:pPr>
              <w:pStyle w:val="63"/>
              <w:rPr>
                <w:u w:val="single"/>
              </w:rPr>
            </w:pPr>
            <w:r>
              <w:rPr>
                <w:u w:val="single"/>
              </w:rPr>
              <w:t>27.012894</w:t>
            </w:r>
          </w:p>
        </w:tc>
        <w:tc>
          <w:tcPr>
            <w:tcW w:w="285" w:type="pct"/>
            <w:vAlign w:val="center"/>
          </w:tcPr>
          <w:p>
            <w:pPr>
              <w:pStyle w:val="63"/>
              <w:rPr>
                <w:u w:val="single"/>
              </w:rPr>
            </w:pPr>
            <w:r>
              <w:rPr>
                <w:u w:val="single"/>
              </w:rPr>
              <w:t>92.00</w:t>
            </w:r>
          </w:p>
        </w:tc>
        <w:tc>
          <w:tcPr>
            <w:tcW w:w="283" w:type="pct"/>
            <w:vAlign w:val="center"/>
          </w:tcPr>
          <w:p>
            <w:pPr>
              <w:pStyle w:val="63"/>
              <w:rPr>
                <w:u w:val="single"/>
              </w:rPr>
            </w:pPr>
            <w:r>
              <w:rPr>
                <w:u w:val="single"/>
              </w:rPr>
              <w:t>30.00</w:t>
            </w:r>
          </w:p>
        </w:tc>
        <w:tc>
          <w:tcPr>
            <w:tcW w:w="240" w:type="pct"/>
            <w:vAlign w:val="center"/>
          </w:tcPr>
          <w:p>
            <w:pPr>
              <w:pStyle w:val="63"/>
              <w:rPr>
                <w:u w:val="single"/>
              </w:rPr>
            </w:pPr>
            <w:r>
              <w:rPr>
                <w:u w:val="single"/>
              </w:rPr>
              <w:t>1.20</w:t>
            </w:r>
          </w:p>
        </w:tc>
        <w:tc>
          <w:tcPr>
            <w:tcW w:w="283" w:type="pct"/>
            <w:vAlign w:val="center"/>
          </w:tcPr>
          <w:p>
            <w:pPr>
              <w:pStyle w:val="63"/>
              <w:rPr>
                <w:u w:val="single"/>
              </w:rPr>
            </w:pPr>
            <w:r>
              <w:rPr>
                <w:u w:val="single"/>
              </w:rPr>
              <w:t>25.00</w:t>
            </w:r>
          </w:p>
        </w:tc>
        <w:tc>
          <w:tcPr>
            <w:tcW w:w="283" w:type="pct"/>
            <w:vAlign w:val="center"/>
          </w:tcPr>
          <w:p>
            <w:pPr>
              <w:pStyle w:val="63"/>
              <w:rPr>
                <w:u w:val="single"/>
              </w:rPr>
            </w:pPr>
            <w:r>
              <w:rPr>
                <w:u w:val="single"/>
              </w:rPr>
              <w:t>11.05</w:t>
            </w:r>
          </w:p>
        </w:tc>
        <w:tc>
          <w:tcPr>
            <w:tcW w:w="327" w:type="pct"/>
            <w:vAlign w:val="center"/>
          </w:tcPr>
          <w:p>
            <w:pPr>
              <w:pStyle w:val="63"/>
              <w:rPr>
                <w:u w:val="single"/>
              </w:rPr>
            </w:pPr>
            <w:r>
              <w:rPr>
                <w:u w:val="single"/>
              </w:rPr>
              <w:t>0.0750</w:t>
            </w:r>
          </w:p>
        </w:tc>
        <w:tc>
          <w:tcPr>
            <w:tcW w:w="340" w:type="pct"/>
            <w:vAlign w:val="center"/>
          </w:tcPr>
          <w:p>
            <w:pPr>
              <w:pStyle w:val="63"/>
              <w:rPr>
                <w:u w:val="single"/>
              </w:rPr>
            </w:pPr>
            <w:r>
              <w:rPr>
                <w:u w:val="single"/>
              </w:rPr>
              <w:t>0.00004</w:t>
            </w:r>
          </w:p>
        </w:tc>
        <w:tc>
          <w:tcPr>
            <w:tcW w:w="327" w:type="pct"/>
            <w:vAlign w:val="center"/>
          </w:tcPr>
          <w:p>
            <w:pPr>
              <w:pStyle w:val="63"/>
              <w:rPr>
                <w:u w:val="single"/>
              </w:rPr>
            </w:pPr>
            <w:r>
              <w:rPr>
                <w:u w:val="single"/>
              </w:rPr>
              <w:t>0.1486</w:t>
            </w:r>
          </w:p>
        </w:tc>
        <w:tc>
          <w:tcPr>
            <w:tcW w:w="348" w:type="pct"/>
            <w:vAlign w:val="center"/>
          </w:tcPr>
          <w:p>
            <w:pPr>
              <w:pStyle w:val="63"/>
              <w:rPr>
                <w:u w:val="single"/>
              </w:rPr>
            </w:pPr>
            <w:r>
              <w:rPr>
                <w:u w:val="single"/>
              </w:rPr>
              <w:t>1.4798</w:t>
            </w:r>
          </w:p>
        </w:tc>
        <w:tc>
          <w:tcPr>
            <w:tcW w:w="327" w:type="pct"/>
            <w:vAlign w:val="center"/>
          </w:tcPr>
          <w:p>
            <w:pPr>
              <w:pStyle w:val="63"/>
              <w:rPr>
                <w:u w:val="single"/>
              </w:rPr>
            </w:pPr>
            <w:r>
              <w:rPr>
                <w:u w:val="single"/>
              </w:rPr>
              <w:t>0.0004</w:t>
            </w:r>
          </w:p>
        </w:tc>
        <w:tc>
          <w:tcPr>
            <w:tcW w:w="328" w:type="pct"/>
            <w:vAlign w:val="center"/>
          </w:tcPr>
          <w:p>
            <w:pPr>
              <w:pStyle w:val="63"/>
              <w:rPr>
                <w:u w:val="single"/>
              </w:rPr>
            </w:pPr>
            <w:r>
              <w:rPr>
                <w:u w:val="single"/>
              </w:rPr>
              <w:t>-</w:t>
            </w:r>
          </w:p>
        </w:tc>
        <w:tc>
          <w:tcPr>
            <w:tcW w:w="322" w:type="pct"/>
            <w:vAlign w:val="center"/>
          </w:tcPr>
          <w:p>
            <w:pPr>
              <w:pStyle w:val="63"/>
              <w:rPr>
                <w:u w:val="single"/>
              </w:rPr>
            </w:pPr>
            <w:r>
              <w:rPr>
                <w:u w:val="single"/>
              </w:rPr>
              <w:t>0.0017</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47" w:type="pct"/>
            <w:vAlign w:val="center"/>
          </w:tcPr>
          <w:p>
            <w:pPr>
              <w:pStyle w:val="63"/>
              <w:rPr>
                <w:u w:val="single"/>
              </w:rPr>
            </w:pPr>
            <w:r>
              <w:rPr>
                <w:u w:val="single"/>
              </w:rPr>
              <w:t>P2浸出车间</w:t>
            </w:r>
          </w:p>
        </w:tc>
        <w:tc>
          <w:tcPr>
            <w:tcW w:w="499" w:type="pct"/>
            <w:vAlign w:val="center"/>
          </w:tcPr>
          <w:p>
            <w:pPr>
              <w:pStyle w:val="63"/>
              <w:rPr>
                <w:u w:val="single"/>
              </w:rPr>
            </w:pPr>
            <w:r>
              <w:rPr>
                <w:u w:val="single"/>
              </w:rPr>
              <w:t>112.805589</w:t>
            </w:r>
          </w:p>
        </w:tc>
        <w:tc>
          <w:tcPr>
            <w:tcW w:w="461" w:type="pct"/>
            <w:vAlign w:val="center"/>
          </w:tcPr>
          <w:p>
            <w:pPr>
              <w:pStyle w:val="63"/>
              <w:rPr>
                <w:u w:val="single"/>
              </w:rPr>
            </w:pPr>
            <w:r>
              <w:rPr>
                <w:u w:val="single"/>
              </w:rPr>
              <w:t>27.01626</w:t>
            </w:r>
          </w:p>
        </w:tc>
        <w:tc>
          <w:tcPr>
            <w:tcW w:w="285" w:type="pct"/>
            <w:vAlign w:val="center"/>
          </w:tcPr>
          <w:p>
            <w:pPr>
              <w:pStyle w:val="63"/>
              <w:rPr>
                <w:u w:val="single"/>
              </w:rPr>
            </w:pPr>
            <w:r>
              <w:rPr>
                <w:u w:val="single"/>
              </w:rPr>
              <w:t>79.00</w:t>
            </w:r>
          </w:p>
        </w:tc>
        <w:tc>
          <w:tcPr>
            <w:tcW w:w="283" w:type="pct"/>
            <w:vAlign w:val="center"/>
          </w:tcPr>
          <w:p>
            <w:pPr>
              <w:pStyle w:val="63"/>
              <w:rPr>
                <w:u w:val="single"/>
              </w:rPr>
            </w:pPr>
            <w:r>
              <w:rPr>
                <w:u w:val="single"/>
              </w:rPr>
              <w:t>20.00</w:t>
            </w:r>
          </w:p>
        </w:tc>
        <w:tc>
          <w:tcPr>
            <w:tcW w:w="240" w:type="pct"/>
            <w:vAlign w:val="center"/>
          </w:tcPr>
          <w:p>
            <w:pPr>
              <w:pStyle w:val="63"/>
              <w:rPr>
                <w:u w:val="single"/>
              </w:rPr>
            </w:pPr>
            <w:r>
              <w:rPr>
                <w:u w:val="single"/>
              </w:rPr>
              <w:t>0.80</w:t>
            </w:r>
          </w:p>
        </w:tc>
        <w:tc>
          <w:tcPr>
            <w:tcW w:w="283" w:type="pct"/>
            <w:vAlign w:val="center"/>
          </w:tcPr>
          <w:p>
            <w:pPr>
              <w:pStyle w:val="63"/>
              <w:rPr>
                <w:u w:val="single"/>
              </w:rPr>
            </w:pPr>
            <w:r>
              <w:rPr>
                <w:u w:val="single"/>
              </w:rPr>
              <w:t>25.00</w:t>
            </w:r>
          </w:p>
        </w:tc>
        <w:tc>
          <w:tcPr>
            <w:tcW w:w="283" w:type="pct"/>
            <w:vAlign w:val="center"/>
          </w:tcPr>
          <w:p>
            <w:pPr>
              <w:pStyle w:val="63"/>
              <w:rPr>
                <w:u w:val="single"/>
              </w:rPr>
            </w:pPr>
            <w:r>
              <w:rPr>
                <w:u w:val="single"/>
              </w:rPr>
              <w:t>11.00</w:t>
            </w:r>
          </w:p>
        </w:tc>
        <w:tc>
          <w:tcPr>
            <w:tcW w:w="327" w:type="pct"/>
            <w:vAlign w:val="center"/>
          </w:tcPr>
          <w:p>
            <w:pPr>
              <w:pStyle w:val="63"/>
              <w:rPr>
                <w:u w:val="single"/>
              </w:rPr>
            </w:pPr>
            <w:r>
              <w:rPr>
                <w:u w:val="single"/>
              </w:rPr>
              <w:t>-</w:t>
            </w:r>
          </w:p>
        </w:tc>
        <w:tc>
          <w:tcPr>
            <w:tcW w:w="340" w:type="pct"/>
            <w:vAlign w:val="center"/>
          </w:tcPr>
          <w:p>
            <w:pPr>
              <w:pStyle w:val="63"/>
              <w:rPr>
                <w:u w:val="single"/>
              </w:rPr>
            </w:pPr>
            <w:r>
              <w:rPr>
                <w:u w:val="single"/>
              </w:rPr>
              <w:t>-</w:t>
            </w:r>
          </w:p>
        </w:tc>
        <w:tc>
          <w:tcPr>
            <w:tcW w:w="327" w:type="pct"/>
            <w:vAlign w:val="center"/>
          </w:tcPr>
          <w:p>
            <w:pPr>
              <w:pStyle w:val="63"/>
              <w:rPr>
                <w:u w:val="single"/>
              </w:rPr>
            </w:pPr>
            <w:r>
              <w:rPr>
                <w:u w:val="single"/>
              </w:rPr>
              <w:t>-</w:t>
            </w:r>
          </w:p>
        </w:tc>
        <w:tc>
          <w:tcPr>
            <w:tcW w:w="348" w:type="pct"/>
            <w:vAlign w:val="center"/>
          </w:tcPr>
          <w:p>
            <w:pPr>
              <w:pStyle w:val="63"/>
              <w:rPr>
                <w:u w:val="single"/>
              </w:rPr>
            </w:pPr>
            <w:r>
              <w:rPr>
                <w:u w:val="single"/>
              </w:rPr>
              <w:t>-</w:t>
            </w:r>
          </w:p>
        </w:tc>
        <w:tc>
          <w:tcPr>
            <w:tcW w:w="327" w:type="pct"/>
            <w:vAlign w:val="center"/>
          </w:tcPr>
          <w:p>
            <w:pPr>
              <w:pStyle w:val="63"/>
              <w:rPr>
                <w:u w:val="single"/>
              </w:rPr>
            </w:pPr>
            <w:r>
              <w:rPr>
                <w:u w:val="single"/>
              </w:rPr>
              <w:t>-</w:t>
            </w:r>
          </w:p>
        </w:tc>
        <w:tc>
          <w:tcPr>
            <w:tcW w:w="328" w:type="pct"/>
            <w:vAlign w:val="center"/>
          </w:tcPr>
          <w:p>
            <w:pPr>
              <w:pStyle w:val="63"/>
              <w:rPr>
                <w:u w:val="single"/>
              </w:rPr>
            </w:pPr>
            <w:r>
              <w:rPr>
                <w:u w:val="single"/>
              </w:rPr>
              <w:t>0.4020</w:t>
            </w:r>
          </w:p>
        </w:tc>
        <w:tc>
          <w:tcPr>
            <w:tcW w:w="322" w:type="pct"/>
            <w:vAlign w:val="center"/>
          </w:tcPr>
          <w:p>
            <w:pPr>
              <w:pStyle w:val="63"/>
              <w:rPr>
                <w:u w:val="single"/>
              </w:rPr>
            </w:pPr>
            <w:r>
              <w:rPr>
                <w:u w:val="single"/>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47" w:type="pct"/>
            <w:vAlign w:val="center"/>
          </w:tcPr>
          <w:p>
            <w:pPr>
              <w:pStyle w:val="63"/>
              <w:rPr>
                <w:u w:val="single"/>
              </w:rPr>
            </w:pPr>
            <w:r>
              <w:rPr>
                <w:u w:val="single"/>
              </w:rPr>
              <w:t>P3萃取车间</w:t>
            </w:r>
          </w:p>
        </w:tc>
        <w:tc>
          <w:tcPr>
            <w:tcW w:w="499" w:type="pct"/>
            <w:vAlign w:val="center"/>
          </w:tcPr>
          <w:p>
            <w:pPr>
              <w:pStyle w:val="63"/>
              <w:rPr>
                <w:u w:val="single"/>
              </w:rPr>
            </w:pPr>
            <w:r>
              <w:rPr>
                <w:u w:val="single"/>
              </w:rPr>
              <w:t>112.805643</w:t>
            </w:r>
          </w:p>
        </w:tc>
        <w:tc>
          <w:tcPr>
            <w:tcW w:w="461" w:type="pct"/>
            <w:vAlign w:val="center"/>
          </w:tcPr>
          <w:p>
            <w:pPr>
              <w:pStyle w:val="63"/>
              <w:rPr>
                <w:u w:val="single"/>
              </w:rPr>
            </w:pPr>
            <w:r>
              <w:rPr>
                <w:u w:val="single"/>
              </w:rPr>
              <w:t>27.015925</w:t>
            </w:r>
          </w:p>
        </w:tc>
        <w:tc>
          <w:tcPr>
            <w:tcW w:w="285" w:type="pct"/>
            <w:vAlign w:val="center"/>
          </w:tcPr>
          <w:p>
            <w:pPr>
              <w:pStyle w:val="63"/>
              <w:rPr>
                <w:u w:val="single"/>
              </w:rPr>
            </w:pPr>
            <w:r>
              <w:rPr>
                <w:u w:val="single"/>
              </w:rPr>
              <w:t>79.00</w:t>
            </w:r>
          </w:p>
        </w:tc>
        <w:tc>
          <w:tcPr>
            <w:tcW w:w="283" w:type="pct"/>
            <w:vAlign w:val="center"/>
          </w:tcPr>
          <w:p>
            <w:pPr>
              <w:pStyle w:val="63"/>
              <w:rPr>
                <w:u w:val="single"/>
              </w:rPr>
            </w:pPr>
            <w:r>
              <w:rPr>
                <w:u w:val="single"/>
              </w:rPr>
              <w:t>15.00</w:t>
            </w:r>
          </w:p>
        </w:tc>
        <w:tc>
          <w:tcPr>
            <w:tcW w:w="240" w:type="pct"/>
            <w:vAlign w:val="center"/>
          </w:tcPr>
          <w:p>
            <w:pPr>
              <w:pStyle w:val="63"/>
              <w:rPr>
                <w:u w:val="single"/>
              </w:rPr>
            </w:pPr>
            <w:r>
              <w:rPr>
                <w:u w:val="single"/>
              </w:rPr>
              <w:t>0.80</w:t>
            </w:r>
          </w:p>
        </w:tc>
        <w:tc>
          <w:tcPr>
            <w:tcW w:w="283" w:type="pct"/>
            <w:vAlign w:val="center"/>
          </w:tcPr>
          <w:p>
            <w:pPr>
              <w:pStyle w:val="63"/>
              <w:rPr>
                <w:u w:val="single"/>
              </w:rPr>
            </w:pPr>
            <w:r>
              <w:rPr>
                <w:u w:val="single"/>
              </w:rPr>
              <w:t>25.00</w:t>
            </w:r>
          </w:p>
        </w:tc>
        <w:tc>
          <w:tcPr>
            <w:tcW w:w="283" w:type="pct"/>
            <w:vAlign w:val="center"/>
          </w:tcPr>
          <w:p>
            <w:pPr>
              <w:pStyle w:val="63"/>
              <w:rPr>
                <w:u w:val="single"/>
              </w:rPr>
            </w:pPr>
            <w:r>
              <w:rPr>
                <w:u w:val="single"/>
              </w:rPr>
              <w:t>11.00</w:t>
            </w:r>
          </w:p>
        </w:tc>
        <w:tc>
          <w:tcPr>
            <w:tcW w:w="327" w:type="pct"/>
            <w:vAlign w:val="center"/>
          </w:tcPr>
          <w:p>
            <w:pPr>
              <w:pStyle w:val="63"/>
              <w:rPr>
                <w:u w:val="single"/>
              </w:rPr>
            </w:pPr>
            <w:r>
              <w:rPr>
                <w:u w:val="single"/>
              </w:rPr>
              <w:t>-</w:t>
            </w:r>
          </w:p>
        </w:tc>
        <w:tc>
          <w:tcPr>
            <w:tcW w:w="340" w:type="pct"/>
            <w:vAlign w:val="center"/>
          </w:tcPr>
          <w:p>
            <w:pPr>
              <w:pStyle w:val="63"/>
              <w:rPr>
                <w:u w:val="single"/>
              </w:rPr>
            </w:pPr>
            <w:r>
              <w:rPr>
                <w:u w:val="single"/>
              </w:rPr>
              <w:t>-</w:t>
            </w:r>
          </w:p>
        </w:tc>
        <w:tc>
          <w:tcPr>
            <w:tcW w:w="327" w:type="pct"/>
            <w:vAlign w:val="center"/>
          </w:tcPr>
          <w:p>
            <w:pPr>
              <w:pStyle w:val="63"/>
              <w:rPr>
                <w:u w:val="single"/>
              </w:rPr>
            </w:pPr>
            <w:r>
              <w:rPr>
                <w:u w:val="single"/>
              </w:rPr>
              <w:t>-</w:t>
            </w:r>
          </w:p>
        </w:tc>
        <w:tc>
          <w:tcPr>
            <w:tcW w:w="348" w:type="pct"/>
            <w:vAlign w:val="center"/>
          </w:tcPr>
          <w:p>
            <w:pPr>
              <w:pStyle w:val="63"/>
              <w:rPr>
                <w:u w:val="single"/>
              </w:rPr>
            </w:pPr>
            <w:r>
              <w:rPr>
                <w:u w:val="single"/>
              </w:rPr>
              <w:t>0.3150</w:t>
            </w:r>
          </w:p>
        </w:tc>
        <w:tc>
          <w:tcPr>
            <w:tcW w:w="327" w:type="pct"/>
            <w:vAlign w:val="center"/>
          </w:tcPr>
          <w:p>
            <w:pPr>
              <w:pStyle w:val="63"/>
              <w:rPr>
                <w:u w:val="single"/>
              </w:rPr>
            </w:pPr>
            <w:r>
              <w:rPr>
                <w:u w:val="single"/>
              </w:rPr>
              <w:t>-</w:t>
            </w:r>
          </w:p>
        </w:tc>
        <w:tc>
          <w:tcPr>
            <w:tcW w:w="328" w:type="pct"/>
            <w:vAlign w:val="center"/>
          </w:tcPr>
          <w:p>
            <w:pPr>
              <w:pStyle w:val="63"/>
              <w:rPr>
                <w:u w:val="single"/>
              </w:rPr>
            </w:pPr>
            <w:r>
              <w:rPr>
                <w:u w:val="single"/>
              </w:rPr>
              <w:t>0.0480</w:t>
            </w:r>
          </w:p>
        </w:tc>
        <w:tc>
          <w:tcPr>
            <w:tcW w:w="322" w:type="pct"/>
            <w:vAlign w:val="center"/>
          </w:tcPr>
          <w:p>
            <w:pPr>
              <w:pStyle w:val="63"/>
              <w:rPr>
                <w:u w:val="single"/>
              </w:rPr>
            </w:pPr>
            <w:r>
              <w:rPr>
                <w:u w:val="single"/>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47" w:type="pct"/>
            <w:vAlign w:val="center"/>
          </w:tcPr>
          <w:p>
            <w:pPr>
              <w:pStyle w:val="63"/>
              <w:rPr>
                <w:u w:val="single"/>
              </w:rPr>
            </w:pPr>
            <w:r>
              <w:rPr>
                <w:u w:val="single"/>
              </w:rPr>
              <w:t>P4锅炉</w:t>
            </w:r>
          </w:p>
        </w:tc>
        <w:tc>
          <w:tcPr>
            <w:tcW w:w="499" w:type="pct"/>
            <w:vAlign w:val="center"/>
          </w:tcPr>
          <w:p>
            <w:pPr>
              <w:pStyle w:val="63"/>
              <w:rPr>
                <w:u w:val="single"/>
              </w:rPr>
            </w:pPr>
            <w:r>
              <w:rPr>
                <w:u w:val="single"/>
              </w:rPr>
              <w:t>112.803472</w:t>
            </w:r>
          </w:p>
        </w:tc>
        <w:tc>
          <w:tcPr>
            <w:tcW w:w="461" w:type="pct"/>
            <w:vAlign w:val="center"/>
          </w:tcPr>
          <w:p>
            <w:pPr>
              <w:pStyle w:val="63"/>
              <w:rPr>
                <w:u w:val="single"/>
              </w:rPr>
            </w:pPr>
            <w:r>
              <w:rPr>
                <w:u w:val="single"/>
              </w:rPr>
              <w:t>27.01351</w:t>
            </w:r>
          </w:p>
        </w:tc>
        <w:tc>
          <w:tcPr>
            <w:tcW w:w="285" w:type="pct"/>
            <w:vAlign w:val="center"/>
          </w:tcPr>
          <w:p>
            <w:pPr>
              <w:pStyle w:val="63"/>
              <w:rPr>
                <w:u w:val="single"/>
              </w:rPr>
            </w:pPr>
            <w:r>
              <w:rPr>
                <w:u w:val="single"/>
              </w:rPr>
              <w:t>84.00</w:t>
            </w:r>
          </w:p>
        </w:tc>
        <w:tc>
          <w:tcPr>
            <w:tcW w:w="283" w:type="pct"/>
            <w:vAlign w:val="center"/>
          </w:tcPr>
          <w:p>
            <w:pPr>
              <w:pStyle w:val="63"/>
              <w:rPr>
                <w:u w:val="single"/>
              </w:rPr>
            </w:pPr>
            <w:r>
              <w:rPr>
                <w:u w:val="single"/>
              </w:rPr>
              <w:t>40.00</w:t>
            </w:r>
          </w:p>
        </w:tc>
        <w:tc>
          <w:tcPr>
            <w:tcW w:w="240" w:type="pct"/>
            <w:vAlign w:val="center"/>
          </w:tcPr>
          <w:p>
            <w:pPr>
              <w:pStyle w:val="63"/>
              <w:rPr>
                <w:u w:val="single"/>
              </w:rPr>
            </w:pPr>
            <w:r>
              <w:rPr>
                <w:u w:val="single"/>
              </w:rPr>
              <w:t>0.80</w:t>
            </w:r>
          </w:p>
        </w:tc>
        <w:tc>
          <w:tcPr>
            <w:tcW w:w="283" w:type="pct"/>
            <w:vAlign w:val="center"/>
          </w:tcPr>
          <w:p>
            <w:pPr>
              <w:pStyle w:val="63"/>
              <w:rPr>
                <w:u w:val="single"/>
              </w:rPr>
            </w:pPr>
            <w:r>
              <w:rPr>
                <w:u w:val="single"/>
              </w:rPr>
              <w:t>75.00</w:t>
            </w:r>
          </w:p>
        </w:tc>
        <w:tc>
          <w:tcPr>
            <w:tcW w:w="283" w:type="pct"/>
            <w:vAlign w:val="center"/>
          </w:tcPr>
          <w:p>
            <w:pPr>
              <w:pStyle w:val="63"/>
              <w:rPr>
                <w:u w:val="single"/>
              </w:rPr>
            </w:pPr>
            <w:r>
              <w:rPr>
                <w:u w:val="single"/>
              </w:rPr>
              <w:t>11.00</w:t>
            </w:r>
          </w:p>
        </w:tc>
        <w:tc>
          <w:tcPr>
            <w:tcW w:w="327" w:type="pct"/>
            <w:vAlign w:val="center"/>
          </w:tcPr>
          <w:p>
            <w:pPr>
              <w:pStyle w:val="63"/>
              <w:rPr>
                <w:u w:val="single"/>
              </w:rPr>
            </w:pPr>
            <w:r>
              <w:rPr>
                <w:u w:val="single"/>
              </w:rPr>
              <w:t>1.9200</w:t>
            </w:r>
          </w:p>
        </w:tc>
        <w:tc>
          <w:tcPr>
            <w:tcW w:w="340" w:type="pct"/>
            <w:vAlign w:val="center"/>
          </w:tcPr>
          <w:p>
            <w:pPr>
              <w:pStyle w:val="63"/>
              <w:rPr>
                <w:u w:val="single"/>
              </w:rPr>
            </w:pPr>
            <w:r>
              <w:rPr>
                <w:u w:val="single"/>
              </w:rPr>
              <w:t>-</w:t>
            </w:r>
          </w:p>
        </w:tc>
        <w:tc>
          <w:tcPr>
            <w:tcW w:w="327" w:type="pct"/>
            <w:vAlign w:val="center"/>
          </w:tcPr>
          <w:p>
            <w:pPr>
              <w:pStyle w:val="63"/>
              <w:rPr>
                <w:u w:val="single"/>
              </w:rPr>
            </w:pPr>
            <w:r>
              <w:rPr>
                <w:u w:val="single"/>
              </w:rPr>
              <w:t>-</w:t>
            </w:r>
          </w:p>
        </w:tc>
        <w:tc>
          <w:tcPr>
            <w:tcW w:w="348" w:type="pct"/>
            <w:vAlign w:val="center"/>
          </w:tcPr>
          <w:p>
            <w:pPr>
              <w:pStyle w:val="63"/>
              <w:rPr>
                <w:u w:val="single"/>
              </w:rPr>
            </w:pPr>
            <w:r>
              <w:rPr>
                <w:u w:val="single"/>
              </w:rPr>
              <w:t>-</w:t>
            </w:r>
          </w:p>
        </w:tc>
        <w:tc>
          <w:tcPr>
            <w:tcW w:w="327" w:type="pct"/>
            <w:vAlign w:val="center"/>
          </w:tcPr>
          <w:p>
            <w:pPr>
              <w:pStyle w:val="63"/>
              <w:rPr>
                <w:u w:val="single"/>
              </w:rPr>
            </w:pPr>
            <w:r>
              <w:rPr>
                <w:u w:val="single"/>
              </w:rPr>
              <w:t>0.1470</w:t>
            </w:r>
          </w:p>
        </w:tc>
        <w:tc>
          <w:tcPr>
            <w:tcW w:w="328" w:type="pct"/>
            <w:vAlign w:val="center"/>
          </w:tcPr>
          <w:p>
            <w:pPr>
              <w:pStyle w:val="63"/>
              <w:rPr>
                <w:u w:val="single"/>
              </w:rPr>
            </w:pPr>
            <w:r>
              <w:rPr>
                <w:u w:val="single"/>
              </w:rPr>
              <w:t>-</w:t>
            </w:r>
          </w:p>
        </w:tc>
        <w:tc>
          <w:tcPr>
            <w:tcW w:w="322" w:type="pct"/>
            <w:vAlign w:val="center"/>
          </w:tcPr>
          <w:p>
            <w:pPr>
              <w:pStyle w:val="63"/>
              <w:rPr>
                <w:u w:val="single"/>
              </w:rPr>
            </w:pPr>
            <w:r>
              <w:rPr>
                <w:u w:val="single"/>
              </w:rPr>
              <w:t>0.0700</w:t>
            </w:r>
          </w:p>
        </w:tc>
      </w:tr>
    </w:tbl>
    <w:p>
      <w:pPr>
        <w:pStyle w:val="6"/>
        <w:rPr>
          <w:rFonts w:ascii="Times New Roman" w:hAnsi="Times New Roman" w:cs="Times New Roman"/>
          <w:u w:val="single"/>
        </w:rPr>
      </w:pPr>
      <w:r>
        <w:rPr>
          <w:rFonts w:ascii="Times New Roman" w:hAnsi="Times New Roman" w:cs="Times New Roman"/>
          <w:u w:val="single"/>
        </w:rPr>
        <w:t>表2.6-4  本项目面源排放参数表</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1242"/>
        <w:gridCol w:w="2370"/>
        <w:gridCol w:w="2458"/>
        <w:gridCol w:w="1528"/>
        <w:gridCol w:w="1760"/>
        <w:gridCol w:w="1528"/>
        <w:gridCol w:w="1528"/>
        <w:gridCol w:w="1760"/>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438" w:type="pct"/>
            <w:vMerge w:val="restart"/>
            <w:vAlign w:val="center"/>
          </w:tcPr>
          <w:p>
            <w:pPr>
              <w:pStyle w:val="63"/>
              <w:rPr>
                <w:u w:val="single"/>
              </w:rPr>
            </w:pPr>
            <w:r>
              <w:rPr>
                <w:u w:val="single"/>
              </w:rPr>
              <w:t>污染源名称</w:t>
            </w:r>
          </w:p>
        </w:tc>
        <w:tc>
          <w:tcPr>
            <w:tcW w:w="1703" w:type="pct"/>
            <w:gridSpan w:val="2"/>
            <w:vAlign w:val="center"/>
          </w:tcPr>
          <w:p>
            <w:pPr>
              <w:pStyle w:val="63"/>
              <w:rPr>
                <w:u w:val="single"/>
              </w:rPr>
            </w:pPr>
            <w:r>
              <w:rPr>
                <w:u w:val="single"/>
              </w:rPr>
              <w:t>坐标(°)</w:t>
            </w:r>
          </w:p>
        </w:tc>
        <w:tc>
          <w:tcPr>
            <w:tcW w:w="539" w:type="pct"/>
            <w:vMerge w:val="restart"/>
            <w:vAlign w:val="center"/>
          </w:tcPr>
          <w:p>
            <w:pPr>
              <w:pStyle w:val="63"/>
              <w:rPr>
                <w:u w:val="single"/>
              </w:rPr>
            </w:pPr>
            <w:r>
              <w:rPr>
                <w:u w:val="single"/>
              </w:rPr>
              <w:t>海拔高度(m)</w:t>
            </w:r>
          </w:p>
        </w:tc>
        <w:tc>
          <w:tcPr>
            <w:tcW w:w="1699" w:type="pct"/>
            <w:gridSpan w:val="3"/>
            <w:vAlign w:val="center"/>
          </w:tcPr>
          <w:p>
            <w:pPr>
              <w:pStyle w:val="63"/>
              <w:rPr>
                <w:u w:val="single"/>
              </w:rPr>
            </w:pPr>
            <w:r>
              <w:rPr>
                <w:u w:val="single"/>
              </w:rPr>
              <w:t>矩形面源</w:t>
            </w:r>
          </w:p>
        </w:tc>
        <w:tc>
          <w:tcPr>
            <w:tcW w:w="621" w:type="pct"/>
            <w:vAlign w:val="center"/>
          </w:tcPr>
          <w:p>
            <w:pPr>
              <w:pStyle w:val="63"/>
              <w:rPr>
                <w:u w:val="single"/>
              </w:rPr>
            </w:pPr>
            <w:r>
              <w:rPr>
                <w:u w:val="single"/>
              </w:rPr>
              <w:t>污染物排放速率(kg/h)</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438" w:type="pct"/>
            <w:vMerge w:val="continue"/>
            <w:vAlign w:val="center"/>
          </w:tcPr>
          <w:p>
            <w:pPr>
              <w:pStyle w:val="63"/>
              <w:rPr>
                <w:u w:val="single"/>
              </w:rPr>
            </w:pPr>
          </w:p>
        </w:tc>
        <w:tc>
          <w:tcPr>
            <w:tcW w:w="836" w:type="pct"/>
            <w:vAlign w:val="center"/>
          </w:tcPr>
          <w:p>
            <w:pPr>
              <w:pStyle w:val="63"/>
              <w:rPr>
                <w:u w:val="single"/>
              </w:rPr>
            </w:pPr>
            <w:r>
              <w:rPr>
                <w:u w:val="single"/>
              </w:rPr>
              <w:t>经度</w:t>
            </w:r>
          </w:p>
        </w:tc>
        <w:tc>
          <w:tcPr>
            <w:tcW w:w="867" w:type="pct"/>
            <w:vAlign w:val="center"/>
          </w:tcPr>
          <w:p>
            <w:pPr>
              <w:pStyle w:val="63"/>
              <w:rPr>
                <w:u w:val="single"/>
              </w:rPr>
            </w:pPr>
            <w:r>
              <w:rPr>
                <w:u w:val="single"/>
              </w:rPr>
              <w:t>纬度</w:t>
            </w:r>
          </w:p>
        </w:tc>
        <w:tc>
          <w:tcPr>
            <w:tcW w:w="539" w:type="pct"/>
            <w:vMerge w:val="continue"/>
            <w:vAlign w:val="center"/>
          </w:tcPr>
          <w:p>
            <w:pPr>
              <w:pStyle w:val="63"/>
              <w:rPr>
                <w:u w:val="single"/>
              </w:rPr>
            </w:pPr>
          </w:p>
        </w:tc>
        <w:tc>
          <w:tcPr>
            <w:tcW w:w="621" w:type="pct"/>
            <w:vAlign w:val="center"/>
          </w:tcPr>
          <w:p>
            <w:pPr>
              <w:pStyle w:val="63"/>
              <w:rPr>
                <w:u w:val="single"/>
              </w:rPr>
            </w:pPr>
            <w:r>
              <w:rPr>
                <w:u w:val="single"/>
              </w:rPr>
              <w:t>长度(m)</w:t>
            </w:r>
          </w:p>
        </w:tc>
        <w:tc>
          <w:tcPr>
            <w:tcW w:w="539" w:type="pct"/>
            <w:vAlign w:val="center"/>
          </w:tcPr>
          <w:p>
            <w:pPr>
              <w:pStyle w:val="63"/>
              <w:rPr>
                <w:u w:val="single"/>
              </w:rPr>
            </w:pPr>
            <w:r>
              <w:rPr>
                <w:u w:val="single"/>
              </w:rPr>
              <w:t>宽度(m)</w:t>
            </w:r>
          </w:p>
        </w:tc>
        <w:tc>
          <w:tcPr>
            <w:tcW w:w="539" w:type="pct"/>
            <w:vAlign w:val="center"/>
          </w:tcPr>
          <w:p>
            <w:pPr>
              <w:pStyle w:val="63"/>
              <w:rPr>
                <w:u w:val="single"/>
              </w:rPr>
            </w:pPr>
            <w:r>
              <w:rPr>
                <w:u w:val="single"/>
              </w:rPr>
              <w:t>有效高度(m)</w:t>
            </w:r>
          </w:p>
        </w:tc>
        <w:tc>
          <w:tcPr>
            <w:tcW w:w="621" w:type="pct"/>
            <w:vAlign w:val="center"/>
          </w:tcPr>
          <w:p>
            <w:pPr>
              <w:pStyle w:val="63"/>
              <w:rPr>
                <w:u w:val="single"/>
              </w:rPr>
            </w:pPr>
            <w:r>
              <w:rPr>
                <w:u w:val="single"/>
              </w:rPr>
              <w:t>硫酸</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438" w:type="pct"/>
            <w:vAlign w:val="center"/>
          </w:tcPr>
          <w:p>
            <w:pPr>
              <w:pStyle w:val="63"/>
              <w:rPr>
                <w:u w:val="single"/>
              </w:rPr>
            </w:pPr>
            <w:r>
              <w:rPr>
                <w:u w:val="single"/>
              </w:rPr>
              <w:t>浸出车间</w:t>
            </w:r>
          </w:p>
        </w:tc>
        <w:tc>
          <w:tcPr>
            <w:tcW w:w="836" w:type="pct"/>
            <w:vAlign w:val="center"/>
          </w:tcPr>
          <w:p>
            <w:pPr>
              <w:pStyle w:val="63"/>
              <w:rPr>
                <w:u w:val="single"/>
              </w:rPr>
            </w:pPr>
            <w:r>
              <w:rPr>
                <w:u w:val="single"/>
              </w:rPr>
              <w:t>112.804819</w:t>
            </w:r>
          </w:p>
        </w:tc>
        <w:tc>
          <w:tcPr>
            <w:tcW w:w="867" w:type="pct"/>
            <w:vAlign w:val="center"/>
          </w:tcPr>
          <w:p>
            <w:pPr>
              <w:pStyle w:val="63"/>
              <w:rPr>
                <w:u w:val="single"/>
              </w:rPr>
            </w:pPr>
            <w:r>
              <w:rPr>
                <w:u w:val="single"/>
              </w:rPr>
              <w:t>27.016211</w:t>
            </w:r>
          </w:p>
        </w:tc>
        <w:tc>
          <w:tcPr>
            <w:tcW w:w="539" w:type="pct"/>
            <w:vAlign w:val="center"/>
          </w:tcPr>
          <w:p>
            <w:pPr>
              <w:pStyle w:val="63"/>
              <w:rPr>
                <w:u w:val="single"/>
              </w:rPr>
            </w:pPr>
            <w:r>
              <w:rPr>
                <w:u w:val="single"/>
              </w:rPr>
              <w:t>79.00</w:t>
            </w:r>
          </w:p>
        </w:tc>
        <w:tc>
          <w:tcPr>
            <w:tcW w:w="621" w:type="pct"/>
            <w:vAlign w:val="center"/>
          </w:tcPr>
          <w:p>
            <w:pPr>
              <w:pStyle w:val="63"/>
              <w:rPr>
                <w:u w:val="single"/>
              </w:rPr>
            </w:pPr>
            <w:r>
              <w:rPr>
                <w:u w:val="single"/>
              </w:rPr>
              <w:t>100.00</w:t>
            </w:r>
          </w:p>
        </w:tc>
        <w:tc>
          <w:tcPr>
            <w:tcW w:w="539" w:type="pct"/>
            <w:vAlign w:val="center"/>
          </w:tcPr>
          <w:p>
            <w:pPr>
              <w:pStyle w:val="63"/>
              <w:rPr>
                <w:u w:val="single"/>
              </w:rPr>
            </w:pPr>
            <w:r>
              <w:rPr>
                <w:u w:val="single"/>
              </w:rPr>
              <w:t>40.00</w:t>
            </w:r>
          </w:p>
        </w:tc>
        <w:tc>
          <w:tcPr>
            <w:tcW w:w="539" w:type="pct"/>
            <w:vAlign w:val="center"/>
          </w:tcPr>
          <w:p>
            <w:pPr>
              <w:pStyle w:val="63"/>
              <w:rPr>
                <w:u w:val="single"/>
              </w:rPr>
            </w:pPr>
            <w:r>
              <w:rPr>
                <w:u w:val="single"/>
              </w:rPr>
              <w:t>10.00</w:t>
            </w:r>
          </w:p>
        </w:tc>
        <w:tc>
          <w:tcPr>
            <w:tcW w:w="621" w:type="pct"/>
            <w:vAlign w:val="center"/>
          </w:tcPr>
          <w:p>
            <w:pPr>
              <w:pStyle w:val="63"/>
              <w:rPr>
                <w:u w:val="single"/>
              </w:rPr>
            </w:pPr>
            <w:r>
              <w:rPr>
                <w:u w:val="single"/>
              </w:rPr>
              <w:t>0.0100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438" w:type="pct"/>
            <w:vAlign w:val="center"/>
          </w:tcPr>
          <w:p>
            <w:pPr>
              <w:pStyle w:val="63"/>
              <w:rPr>
                <w:u w:val="single"/>
              </w:rPr>
            </w:pPr>
            <w:r>
              <w:rPr>
                <w:u w:val="single"/>
              </w:rPr>
              <w:t>罐区</w:t>
            </w:r>
          </w:p>
        </w:tc>
        <w:tc>
          <w:tcPr>
            <w:tcW w:w="836" w:type="pct"/>
            <w:vAlign w:val="center"/>
          </w:tcPr>
          <w:p>
            <w:pPr>
              <w:pStyle w:val="63"/>
              <w:rPr>
                <w:u w:val="single"/>
              </w:rPr>
            </w:pPr>
            <w:r>
              <w:rPr>
                <w:u w:val="single"/>
              </w:rPr>
              <w:t>112.805616</w:t>
            </w:r>
          </w:p>
        </w:tc>
        <w:tc>
          <w:tcPr>
            <w:tcW w:w="867" w:type="pct"/>
            <w:vAlign w:val="center"/>
          </w:tcPr>
          <w:p>
            <w:pPr>
              <w:pStyle w:val="63"/>
              <w:rPr>
                <w:u w:val="single"/>
              </w:rPr>
            </w:pPr>
            <w:r>
              <w:rPr>
                <w:u w:val="single"/>
              </w:rPr>
              <w:t>27.016675</w:t>
            </w:r>
          </w:p>
        </w:tc>
        <w:tc>
          <w:tcPr>
            <w:tcW w:w="539" w:type="pct"/>
            <w:vAlign w:val="center"/>
          </w:tcPr>
          <w:p>
            <w:pPr>
              <w:pStyle w:val="63"/>
              <w:rPr>
                <w:u w:val="single"/>
              </w:rPr>
            </w:pPr>
            <w:r>
              <w:rPr>
                <w:u w:val="single"/>
              </w:rPr>
              <w:t>79.00</w:t>
            </w:r>
          </w:p>
        </w:tc>
        <w:tc>
          <w:tcPr>
            <w:tcW w:w="621" w:type="pct"/>
            <w:vAlign w:val="center"/>
          </w:tcPr>
          <w:p>
            <w:pPr>
              <w:pStyle w:val="63"/>
              <w:rPr>
                <w:u w:val="single"/>
              </w:rPr>
            </w:pPr>
            <w:r>
              <w:rPr>
                <w:u w:val="single"/>
              </w:rPr>
              <w:t>15.00</w:t>
            </w:r>
          </w:p>
        </w:tc>
        <w:tc>
          <w:tcPr>
            <w:tcW w:w="539" w:type="pct"/>
            <w:vAlign w:val="center"/>
          </w:tcPr>
          <w:p>
            <w:pPr>
              <w:pStyle w:val="63"/>
              <w:rPr>
                <w:u w:val="single"/>
              </w:rPr>
            </w:pPr>
            <w:r>
              <w:rPr>
                <w:u w:val="single"/>
              </w:rPr>
              <w:t>15.00</w:t>
            </w:r>
          </w:p>
        </w:tc>
        <w:tc>
          <w:tcPr>
            <w:tcW w:w="539" w:type="pct"/>
            <w:vAlign w:val="center"/>
          </w:tcPr>
          <w:p>
            <w:pPr>
              <w:pStyle w:val="63"/>
              <w:rPr>
                <w:u w:val="single"/>
              </w:rPr>
            </w:pPr>
            <w:r>
              <w:rPr>
                <w:u w:val="single"/>
              </w:rPr>
              <w:t>10.00</w:t>
            </w:r>
          </w:p>
        </w:tc>
        <w:tc>
          <w:tcPr>
            <w:tcW w:w="621" w:type="pct"/>
            <w:vAlign w:val="center"/>
          </w:tcPr>
          <w:p>
            <w:pPr>
              <w:pStyle w:val="63"/>
              <w:rPr>
                <w:u w:val="single"/>
              </w:rPr>
            </w:pPr>
            <w:r>
              <w:rPr>
                <w:u w:val="single"/>
              </w:rPr>
              <w:t>0.0800</w:t>
            </w:r>
          </w:p>
        </w:tc>
      </w:tr>
    </w:tbl>
    <w:p>
      <w:pPr>
        <w:rPr>
          <w:rFonts w:ascii="Times New Roman" w:hAnsi="Times New Roman" w:cs="Times New Roman"/>
          <w:u w:val="single"/>
        </w:rPr>
        <w:sectPr>
          <w:pgSz w:w="16838" w:h="11906" w:orient="landscape"/>
          <w:pgMar w:top="1800" w:right="1440" w:bottom="1800" w:left="1440" w:header="851" w:footer="992" w:gutter="0"/>
          <w:cols w:space="425" w:num="1"/>
          <w:docGrid w:type="lines" w:linePitch="326" w:charSpace="0"/>
        </w:sectPr>
      </w:pPr>
    </w:p>
    <w:p>
      <w:pPr>
        <w:pStyle w:val="6"/>
        <w:rPr>
          <w:rFonts w:ascii="Times New Roman" w:hAnsi="Times New Roman" w:cs="Times New Roman"/>
          <w:u w:val="single"/>
        </w:rPr>
      </w:pPr>
      <w:r>
        <w:rPr>
          <w:rFonts w:ascii="Times New Roman" w:hAnsi="Times New Roman" w:cs="Times New Roman"/>
          <w:u w:val="single"/>
        </w:rPr>
        <w:t>表2.6-5  各污染物最大地面浓度占标率及D10%</w:t>
      </w:r>
    </w:p>
    <w:tbl>
      <w:tblPr>
        <w:tblStyle w:val="35"/>
        <w:tblW w:w="8527" w:type="dxa"/>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1668"/>
        <w:gridCol w:w="1174"/>
        <w:gridCol w:w="1421"/>
        <w:gridCol w:w="1421"/>
        <w:gridCol w:w="1421"/>
        <w:gridCol w:w="1422"/>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68" w:type="dxa"/>
            <w:vAlign w:val="center"/>
          </w:tcPr>
          <w:p>
            <w:pPr>
              <w:pStyle w:val="63"/>
              <w:rPr>
                <w:u w:val="single"/>
              </w:rPr>
            </w:pPr>
            <w:r>
              <w:rPr>
                <w:u w:val="single"/>
              </w:rPr>
              <w:t>污染源名称</w:t>
            </w:r>
          </w:p>
        </w:tc>
        <w:tc>
          <w:tcPr>
            <w:tcW w:w="1174" w:type="dxa"/>
            <w:vAlign w:val="center"/>
          </w:tcPr>
          <w:p>
            <w:pPr>
              <w:pStyle w:val="63"/>
              <w:rPr>
                <w:u w:val="single"/>
              </w:rPr>
            </w:pPr>
            <w:r>
              <w:rPr>
                <w:u w:val="single"/>
              </w:rPr>
              <w:t>评价因子</w:t>
            </w:r>
          </w:p>
        </w:tc>
        <w:tc>
          <w:tcPr>
            <w:tcW w:w="1421" w:type="dxa"/>
            <w:vAlign w:val="center"/>
          </w:tcPr>
          <w:p>
            <w:pPr>
              <w:pStyle w:val="63"/>
              <w:rPr>
                <w:u w:val="single"/>
              </w:rPr>
            </w:pPr>
            <w:r>
              <w:rPr>
                <w:u w:val="single"/>
              </w:rPr>
              <w:t>评价标准(μg/m³)</w:t>
            </w:r>
          </w:p>
        </w:tc>
        <w:tc>
          <w:tcPr>
            <w:tcW w:w="1421" w:type="dxa"/>
            <w:vAlign w:val="center"/>
          </w:tcPr>
          <w:p>
            <w:pPr>
              <w:pStyle w:val="63"/>
              <w:rPr>
                <w:u w:val="single"/>
              </w:rPr>
            </w:pPr>
            <w:r>
              <w:rPr>
                <w:u w:val="single"/>
              </w:rPr>
              <w:t>Cmax(μg/m³)</w:t>
            </w:r>
          </w:p>
        </w:tc>
        <w:tc>
          <w:tcPr>
            <w:tcW w:w="1421" w:type="dxa"/>
            <w:vAlign w:val="center"/>
          </w:tcPr>
          <w:p>
            <w:pPr>
              <w:pStyle w:val="63"/>
              <w:rPr>
                <w:u w:val="single"/>
              </w:rPr>
            </w:pPr>
            <w:r>
              <w:rPr>
                <w:u w:val="single"/>
              </w:rPr>
              <w:t>Pmax(%)</w:t>
            </w:r>
          </w:p>
        </w:tc>
        <w:tc>
          <w:tcPr>
            <w:tcW w:w="1422" w:type="dxa"/>
            <w:vAlign w:val="center"/>
          </w:tcPr>
          <w:p>
            <w:pPr>
              <w:pStyle w:val="63"/>
              <w:rPr>
                <w:u w:val="single"/>
              </w:rPr>
            </w:pPr>
            <w:r>
              <w:rPr>
                <w:u w:val="single"/>
              </w:rPr>
              <w:t>D10%(m)</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68" w:type="dxa"/>
            <w:vAlign w:val="center"/>
          </w:tcPr>
          <w:p>
            <w:pPr>
              <w:pStyle w:val="63"/>
              <w:rPr>
                <w:u w:val="single"/>
              </w:rPr>
            </w:pPr>
            <w:r>
              <w:rPr>
                <w:u w:val="single"/>
              </w:rPr>
              <w:t>P1预处理车间</w:t>
            </w:r>
          </w:p>
        </w:tc>
        <w:tc>
          <w:tcPr>
            <w:tcW w:w="1174" w:type="dxa"/>
            <w:vAlign w:val="center"/>
          </w:tcPr>
          <w:p>
            <w:pPr>
              <w:pStyle w:val="63"/>
              <w:rPr>
                <w:u w:val="single"/>
              </w:rPr>
            </w:pPr>
            <w:r>
              <w:rPr>
                <w:u w:val="single"/>
              </w:rPr>
              <w:t>PM</w:t>
            </w:r>
            <w:r>
              <w:rPr>
                <w:u w:val="single"/>
                <w:vertAlign w:val="subscript"/>
              </w:rPr>
              <w:t>10</w:t>
            </w:r>
          </w:p>
        </w:tc>
        <w:tc>
          <w:tcPr>
            <w:tcW w:w="1421" w:type="dxa"/>
            <w:vAlign w:val="center"/>
          </w:tcPr>
          <w:p>
            <w:pPr>
              <w:pStyle w:val="63"/>
              <w:rPr>
                <w:u w:val="single"/>
              </w:rPr>
            </w:pPr>
            <w:r>
              <w:rPr>
                <w:u w:val="single"/>
              </w:rPr>
              <w:t>450.0</w:t>
            </w:r>
          </w:p>
        </w:tc>
        <w:tc>
          <w:tcPr>
            <w:tcW w:w="1421" w:type="dxa"/>
            <w:vAlign w:val="center"/>
          </w:tcPr>
          <w:p>
            <w:pPr>
              <w:pStyle w:val="63"/>
              <w:rPr>
                <w:u w:val="single"/>
              </w:rPr>
            </w:pPr>
            <w:r>
              <w:rPr>
                <w:u w:val="single"/>
              </w:rPr>
              <w:t>0.10</w:t>
            </w:r>
          </w:p>
        </w:tc>
        <w:tc>
          <w:tcPr>
            <w:tcW w:w="1421" w:type="dxa"/>
            <w:vAlign w:val="center"/>
          </w:tcPr>
          <w:p>
            <w:pPr>
              <w:pStyle w:val="63"/>
              <w:rPr>
                <w:u w:val="single"/>
              </w:rPr>
            </w:pPr>
            <w:r>
              <w:rPr>
                <w:u w:val="single"/>
              </w:rPr>
              <w:t>0.02</w:t>
            </w:r>
          </w:p>
        </w:tc>
        <w:tc>
          <w:tcPr>
            <w:tcW w:w="1422" w:type="dxa"/>
            <w:vAlign w:val="center"/>
          </w:tcPr>
          <w:p>
            <w:pPr>
              <w:pStyle w:val="63"/>
              <w:rPr>
                <w:u w:val="single"/>
              </w:rPr>
            </w:pPr>
            <w:r>
              <w:rPr>
                <w:u w:val="single"/>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68" w:type="dxa"/>
            <w:vAlign w:val="center"/>
          </w:tcPr>
          <w:p>
            <w:pPr>
              <w:pStyle w:val="63"/>
              <w:rPr>
                <w:u w:val="single"/>
              </w:rPr>
            </w:pPr>
            <w:r>
              <w:rPr>
                <w:u w:val="single"/>
              </w:rPr>
              <w:t>P1预处理车间</w:t>
            </w:r>
          </w:p>
        </w:tc>
        <w:tc>
          <w:tcPr>
            <w:tcW w:w="1174" w:type="dxa"/>
            <w:vAlign w:val="center"/>
          </w:tcPr>
          <w:p>
            <w:pPr>
              <w:pStyle w:val="63"/>
              <w:rPr>
                <w:u w:val="single"/>
              </w:rPr>
            </w:pPr>
            <w:r>
              <w:rPr>
                <w:u w:val="single"/>
              </w:rPr>
              <w:t>NMHC</w:t>
            </w:r>
          </w:p>
        </w:tc>
        <w:tc>
          <w:tcPr>
            <w:tcW w:w="1421" w:type="dxa"/>
            <w:vAlign w:val="center"/>
          </w:tcPr>
          <w:p>
            <w:pPr>
              <w:pStyle w:val="63"/>
              <w:rPr>
                <w:u w:val="single"/>
              </w:rPr>
            </w:pPr>
            <w:r>
              <w:rPr>
                <w:u w:val="single"/>
              </w:rPr>
              <w:t>2000.0</w:t>
            </w:r>
          </w:p>
        </w:tc>
        <w:tc>
          <w:tcPr>
            <w:tcW w:w="1421" w:type="dxa"/>
            <w:vAlign w:val="center"/>
          </w:tcPr>
          <w:p>
            <w:pPr>
              <w:pStyle w:val="63"/>
              <w:rPr>
                <w:u w:val="single"/>
              </w:rPr>
            </w:pPr>
            <w:r>
              <w:rPr>
                <w:u w:val="single"/>
              </w:rPr>
              <w:t>85.16</w:t>
            </w:r>
          </w:p>
        </w:tc>
        <w:tc>
          <w:tcPr>
            <w:tcW w:w="1421" w:type="dxa"/>
            <w:vAlign w:val="center"/>
          </w:tcPr>
          <w:p>
            <w:pPr>
              <w:pStyle w:val="63"/>
              <w:rPr>
                <w:u w:val="single"/>
              </w:rPr>
            </w:pPr>
            <w:r>
              <w:rPr>
                <w:u w:val="single"/>
              </w:rPr>
              <w:t>4.26</w:t>
            </w:r>
          </w:p>
        </w:tc>
        <w:tc>
          <w:tcPr>
            <w:tcW w:w="1422" w:type="dxa"/>
            <w:vAlign w:val="center"/>
          </w:tcPr>
          <w:p>
            <w:pPr>
              <w:pStyle w:val="63"/>
              <w:rPr>
                <w:u w:val="single"/>
              </w:rPr>
            </w:pPr>
            <w:r>
              <w:rPr>
                <w:u w:val="single"/>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68" w:type="dxa"/>
            <w:vAlign w:val="center"/>
          </w:tcPr>
          <w:p>
            <w:pPr>
              <w:pStyle w:val="63"/>
              <w:rPr>
                <w:u w:val="single"/>
              </w:rPr>
            </w:pPr>
            <w:r>
              <w:rPr>
                <w:u w:val="single"/>
              </w:rPr>
              <w:t>P1预处理车间</w:t>
            </w:r>
          </w:p>
        </w:tc>
        <w:tc>
          <w:tcPr>
            <w:tcW w:w="1174" w:type="dxa"/>
            <w:vAlign w:val="center"/>
          </w:tcPr>
          <w:p>
            <w:pPr>
              <w:pStyle w:val="63"/>
              <w:rPr>
                <w:u w:val="single"/>
              </w:rPr>
            </w:pPr>
            <w:r>
              <w:rPr>
                <w:u w:val="single"/>
              </w:rPr>
              <w:t>Ni</w:t>
            </w:r>
          </w:p>
        </w:tc>
        <w:tc>
          <w:tcPr>
            <w:tcW w:w="1421" w:type="dxa"/>
            <w:vAlign w:val="center"/>
          </w:tcPr>
          <w:p>
            <w:pPr>
              <w:pStyle w:val="63"/>
              <w:rPr>
                <w:u w:val="single"/>
              </w:rPr>
            </w:pPr>
            <w:r>
              <w:rPr>
                <w:u w:val="single"/>
              </w:rPr>
              <w:t>30.0</w:t>
            </w:r>
          </w:p>
        </w:tc>
        <w:tc>
          <w:tcPr>
            <w:tcW w:w="1421" w:type="dxa"/>
            <w:vAlign w:val="center"/>
          </w:tcPr>
          <w:p>
            <w:pPr>
              <w:pStyle w:val="63"/>
              <w:rPr>
                <w:u w:val="single"/>
              </w:rPr>
            </w:pPr>
            <w:r>
              <w:rPr>
                <w:u w:val="single"/>
              </w:rPr>
              <w:t>0.00</w:t>
            </w:r>
          </w:p>
        </w:tc>
        <w:tc>
          <w:tcPr>
            <w:tcW w:w="1421" w:type="dxa"/>
            <w:vAlign w:val="center"/>
          </w:tcPr>
          <w:p>
            <w:pPr>
              <w:pStyle w:val="63"/>
              <w:rPr>
                <w:u w:val="single"/>
              </w:rPr>
            </w:pPr>
            <w:r>
              <w:rPr>
                <w:u w:val="single"/>
              </w:rPr>
              <w:t>0.01</w:t>
            </w:r>
          </w:p>
        </w:tc>
        <w:tc>
          <w:tcPr>
            <w:tcW w:w="1422" w:type="dxa"/>
            <w:vAlign w:val="center"/>
          </w:tcPr>
          <w:p>
            <w:pPr>
              <w:pStyle w:val="63"/>
              <w:rPr>
                <w:u w:val="single"/>
              </w:rPr>
            </w:pPr>
            <w:r>
              <w:rPr>
                <w:u w:val="single"/>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68" w:type="dxa"/>
            <w:vAlign w:val="center"/>
          </w:tcPr>
          <w:p>
            <w:pPr>
              <w:pStyle w:val="63"/>
              <w:rPr>
                <w:u w:val="single"/>
              </w:rPr>
            </w:pPr>
            <w:r>
              <w:rPr>
                <w:u w:val="single"/>
              </w:rPr>
              <w:t>P1预处理车间</w:t>
            </w:r>
          </w:p>
        </w:tc>
        <w:tc>
          <w:tcPr>
            <w:tcW w:w="1174" w:type="dxa"/>
            <w:vAlign w:val="center"/>
          </w:tcPr>
          <w:p>
            <w:pPr>
              <w:pStyle w:val="63"/>
              <w:rPr>
                <w:u w:val="single"/>
              </w:rPr>
            </w:pPr>
            <w:r>
              <w:rPr>
                <w:u w:val="single"/>
              </w:rPr>
              <w:t>SO</w:t>
            </w:r>
            <w:r>
              <w:rPr>
                <w:u w:val="single"/>
                <w:vertAlign w:val="subscript"/>
              </w:rPr>
              <w:t>2</w:t>
            </w:r>
          </w:p>
        </w:tc>
        <w:tc>
          <w:tcPr>
            <w:tcW w:w="1421" w:type="dxa"/>
            <w:vAlign w:val="center"/>
          </w:tcPr>
          <w:p>
            <w:pPr>
              <w:pStyle w:val="63"/>
              <w:rPr>
                <w:u w:val="single"/>
              </w:rPr>
            </w:pPr>
            <w:r>
              <w:rPr>
                <w:u w:val="single"/>
              </w:rPr>
              <w:t>500.0</w:t>
            </w:r>
          </w:p>
        </w:tc>
        <w:tc>
          <w:tcPr>
            <w:tcW w:w="1421" w:type="dxa"/>
            <w:vAlign w:val="center"/>
          </w:tcPr>
          <w:p>
            <w:pPr>
              <w:pStyle w:val="63"/>
              <w:rPr>
                <w:u w:val="single"/>
              </w:rPr>
            </w:pPr>
            <w:r>
              <w:rPr>
                <w:u w:val="single"/>
              </w:rPr>
              <w:t>0.02</w:t>
            </w:r>
          </w:p>
        </w:tc>
        <w:tc>
          <w:tcPr>
            <w:tcW w:w="1421" w:type="dxa"/>
            <w:vAlign w:val="center"/>
          </w:tcPr>
          <w:p>
            <w:pPr>
              <w:pStyle w:val="63"/>
              <w:rPr>
                <w:u w:val="single"/>
              </w:rPr>
            </w:pPr>
            <w:r>
              <w:rPr>
                <w:u w:val="single"/>
              </w:rPr>
              <w:t>0.00</w:t>
            </w:r>
          </w:p>
        </w:tc>
        <w:tc>
          <w:tcPr>
            <w:tcW w:w="1422" w:type="dxa"/>
            <w:vAlign w:val="center"/>
          </w:tcPr>
          <w:p>
            <w:pPr>
              <w:pStyle w:val="63"/>
              <w:rPr>
                <w:u w:val="single"/>
              </w:rPr>
            </w:pPr>
            <w:r>
              <w:rPr>
                <w:u w:val="single"/>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68" w:type="dxa"/>
            <w:vAlign w:val="center"/>
          </w:tcPr>
          <w:p>
            <w:pPr>
              <w:pStyle w:val="63"/>
              <w:rPr>
                <w:u w:val="single"/>
              </w:rPr>
            </w:pPr>
            <w:r>
              <w:rPr>
                <w:u w:val="single"/>
              </w:rPr>
              <w:t>P1预处理车间</w:t>
            </w:r>
          </w:p>
        </w:tc>
        <w:tc>
          <w:tcPr>
            <w:tcW w:w="1174" w:type="dxa"/>
            <w:vAlign w:val="center"/>
          </w:tcPr>
          <w:p>
            <w:pPr>
              <w:pStyle w:val="63"/>
              <w:rPr>
                <w:u w:val="single"/>
              </w:rPr>
            </w:pPr>
            <w:r>
              <w:rPr>
                <w:u w:val="single"/>
              </w:rPr>
              <w:t>NOx</w:t>
            </w:r>
          </w:p>
        </w:tc>
        <w:tc>
          <w:tcPr>
            <w:tcW w:w="1421" w:type="dxa"/>
            <w:vAlign w:val="center"/>
          </w:tcPr>
          <w:p>
            <w:pPr>
              <w:pStyle w:val="63"/>
              <w:rPr>
                <w:u w:val="single"/>
              </w:rPr>
            </w:pPr>
            <w:r>
              <w:rPr>
                <w:u w:val="single"/>
              </w:rPr>
              <w:t>250.0</w:t>
            </w:r>
          </w:p>
        </w:tc>
        <w:tc>
          <w:tcPr>
            <w:tcW w:w="1421" w:type="dxa"/>
            <w:vAlign w:val="center"/>
          </w:tcPr>
          <w:p>
            <w:pPr>
              <w:pStyle w:val="63"/>
              <w:rPr>
                <w:u w:val="single"/>
              </w:rPr>
            </w:pPr>
            <w:r>
              <w:rPr>
                <w:u w:val="single"/>
              </w:rPr>
              <w:t>4.32</w:t>
            </w:r>
          </w:p>
        </w:tc>
        <w:tc>
          <w:tcPr>
            <w:tcW w:w="1421" w:type="dxa"/>
            <w:vAlign w:val="center"/>
          </w:tcPr>
          <w:p>
            <w:pPr>
              <w:pStyle w:val="63"/>
              <w:rPr>
                <w:u w:val="single"/>
              </w:rPr>
            </w:pPr>
            <w:r>
              <w:rPr>
                <w:u w:val="single"/>
              </w:rPr>
              <w:t>1.73</w:t>
            </w:r>
          </w:p>
        </w:tc>
        <w:tc>
          <w:tcPr>
            <w:tcW w:w="1422" w:type="dxa"/>
            <w:vAlign w:val="center"/>
          </w:tcPr>
          <w:p>
            <w:pPr>
              <w:pStyle w:val="63"/>
              <w:rPr>
                <w:u w:val="single"/>
              </w:rPr>
            </w:pPr>
            <w:r>
              <w:rPr>
                <w:u w:val="single"/>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68" w:type="dxa"/>
            <w:vAlign w:val="center"/>
          </w:tcPr>
          <w:p>
            <w:pPr>
              <w:pStyle w:val="63"/>
              <w:rPr>
                <w:u w:val="single"/>
              </w:rPr>
            </w:pPr>
            <w:r>
              <w:rPr>
                <w:u w:val="single"/>
              </w:rPr>
              <w:t>P1预处理车间</w:t>
            </w:r>
          </w:p>
        </w:tc>
        <w:tc>
          <w:tcPr>
            <w:tcW w:w="1174" w:type="dxa"/>
            <w:vAlign w:val="center"/>
          </w:tcPr>
          <w:p>
            <w:pPr>
              <w:pStyle w:val="63"/>
              <w:rPr>
                <w:u w:val="single"/>
              </w:rPr>
            </w:pPr>
            <w:r>
              <w:rPr>
                <w:u w:val="single"/>
              </w:rPr>
              <w:t>氟化物</w:t>
            </w:r>
          </w:p>
        </w:tc>
        <w:tc>
          <w:tcPr>
            <w:tcW w:w="1421" w:type="dxa"/>
            <w:vAlign w:val="center"/>
          </w:tcPr>
          <w:p>
            <w:pPr>
              <w:pStyle w:val="63"/>
              <w:rPr>
                <w:u w:val="single"/>
              </w:rPr>
            </w:pPr>
            <w:r>
              <w:rPr>
                <w:u w:val="single"/>
              </w:rPr>
              <w:t>20.0</w:t>
            </w:r>
          </w:p>
        </w:tc>
        <w:tc>
          <w:tcPr>
            <w:tcW w:w="1421" w:type="dxa"/>
            <w:vAlign w:val="center"/>
          </w:tcPr>
          <w:p>
            <w:pPr>
              <w:pStyle w:val="63"/>
              <w:rPr>
                <w:u w:val="single"/>
              </w:rPr>
            </w:pPr>
            <w:r>
              <w:rPr>
                <w:u w:val="single"/>
              </w:rPr>
              <w:t>8.55</w:t>
            </w:r>
          </w:p>
        </w:tc>
        <w:tc>
          <w:tcPr>
            <w:tcW w:w="1421" w:type="dxa"/>
            <w:vAlign w:val="center"/>
          </w:tcPr>
          <w:p>
            <w:pPr>
              <w:pStyle w:val="63"/>
              <w:rPr>
                <w:u w:val="single"/>
              </w:rPr>
            </w:pPr>
            <w:r>
              <w:rPr>
                <w:u w:val="single"/>
              </w:rPr>
              <w:t>42.76</w:t>
            </w:r>
          </w:p>
        </w:tc>
        <w:tc>
          <w:tcPr>
            <w:tcW w:w="1422" w:type="dxa"/>
            <w:vAlign w:val="center"/>
          </w:tcPr>
          <w:p>
            <w:pPr>
              <w:pStyle w:val="63"/>
              <w:rPr>
                <w:u w:val="single"/>
              </w:rPr>
            </w:pPr>
            <w:r>
              <w:rPr>
                <w:u w:val="single"/>
              </w:rPr>
              <w:t>1600.0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68" w:type="dxa"/>
            <w:vAlign w:val="center"/>
          </w:tcPr>
          <w:p>
            <w:pPr>
              <w:pStyle w:val="63"/>
              <w:rPr>
                <w:u w:val="single"/>
              </w:rPr>
            </w:pPr>
            <w:r>
              <w:rPr>
                <w:u w:val="single"/>
              </w:rPr>
              <w:t>P2浸出车间</w:t>
            </w:r>
          </w:p>
        </w:tc>
        <w:tc>
          <w:tcPr>
            <w:tcW w:w="1174" w:type="dxa"/>
            <w:vAlign w:val="center"/>
          </w:tcPr>
          <w:p>
            <w:pPr>
              <w:pStyle w:val="63"/>
              <w:rPr>
                <w:u w:val="single"/>
              </w:rPr>
            </w:pPr>
            <w:r>
              <w:rPr>
                <w:u w:val="single"/>
              </w:rPr>
              <w:t>硫酸</w:t>
            </w:r>
          </w:p>
        </w:tc>
        <w:tc>
          <w:tcPr>
            <w:tcW w:w="1421" w:type="dxa"/>
            <w:vAlign w:val="center"/>
          </w:tcPr>
          <w:p>
            <w:pPr>
              <w:pStyle w:val="63"/>
              <w:rPr>
                <w:u w:val="single"/>
              </w:rPr>
            </w:pPr>
            <w:r>
              <w:rPr>
                <w:u w:val="single"/>
              </w:rPr>
              <w:t>300.0</w:t>
            </w:r>
          </w:p>
        </w:tc>
        <w:tc>
          <w:tcPr>
            <w:tcW w:w="1421" w:type="dxa"/>
            <w:vAlign w:val="center"/>
          </w:tcPr>
          <w:p>
            <w:pPr>
              <w:pStyle w:val="63"/>
              <w:rPr>
                <w:u w:val="single"/>
              </w:rPr>
            </w:pPr>
            <w:r>
              <w:rPr>
                <w:u w:val="single"/>
              </w:rPr>
              <w:t>53.54</w:t>
            </w:r>
          </w:p>
        </w:tc>
        <w:tc>
          <w:tcPr>
            <w:tcW w:w="1421" w:type="dxa"/>
            <w:vAlign w:val="center"/>
          </w:tcPr>
          <w:p>
            <w:pPr>
              <w:pStyle w:val="63"/>
              <w:rPr>
                <w:u w:val="single"/>
              </w:rPr>
            </w:pPr>
            <w:r>
              <w:rPr>
                <w:u w:val="single"/>
              </w:rPr>
              <w:t>17.85</w:t>
            </w:r>
          </w:p>
        </w:tc>
        <w:tc>
          <w:tcPr>
            <w:tcW w:w="1422" w:type="dxa"/>
            <w:vAlign w:val="center"/>
          </w:tcPr>
          <w:p>
            <w:pPr>
              <w:pStyle w:val="63"/>
              <w:rPr>
                <w:u w:val="single"/>
              </w:rPr>
            </w:pPr>
            <w:r>
              <w:rPr>
                <w:u w:val="single"/>
              </w:rPr>
              <w:t>450.0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68" w:type="dxa"/>
            <w:vAlign w:val="center"/>
          </w:tcPr>
          <w:p>
            <w:pPr>
              <w:pStyle w:val="63"/>
              <w:rPr>
                <w:u w:val="single"/>
              </w:rPr>
            </w:pPr>
            <w:r>
              <w:rPr>
                <w:u w:val="single"/>
              </w:rPr>
              <w:t>P3萃取车间</w:t>
            </w:r>
          </w:p>
        </w:tc>
        <w:tc>
          <w:tcPr>
            <w:tcW w:w="1174" w:type="dxa"/>
            <w:vAlign w:val="center"/>
          </w:tcPr>
          <w:p>
            <w:pPr>
              <w:pStyle w:val="63"/>
              <w:rPr>
                <w:u w:val="single"/>
              </w:rPr>
            </w:pPr>
            <w:r>
              <w:rPr>
                <w:u w:val="single"/>
              </w:rPr>
              <w:t>硫酸</w:t>
            </w:r>
          </w:p>
        </w:tc>
        <w:tc>
          <w:tcPr>
            <w:tcW w:w="1421" w:type="dxa"/>
            <w:vAlign w:val="center"/>
          </w:tcPr>
          <w:p>
            <w:pPr>
              <w:pStyle w:val="63"/>
              <w:rPr>
                <w:u w:val="single"/>
              </w:rPr>
            </w:pPr>
            <w:r>
              <w:rPr>
                <w:u w:val="single"/>
              </w:rPr>
              <w:t>300.0</w:t>
            </w:r>
          </w:p>
        </w:tc>
        <w:tc>
          <w:tcPr>
            <w:tcW w:w="1421" w:type="dxa"/>
            <w:vAlign w:val="center"/>
          </w:tcPr>
          <w:p>
            <w:pPr>
              <w:pStyle w:val="63"/>
              <w:rPr>
                <w:u w:val="single"/>
              </w:rPr>
            </w:pPr>
            <w:r>
              <w:rPr>
                <w:u w:val="single"/>
              </w:rPr>
              <w:t>11.67</w:t>
            </w:r>
          </w:p>
        </w:tc>
        <w:tc>
          <w:tcPr>
            <w:tcW w:w="1421" w:type="dxa"/>
            <w:vAlign w:val="center"/>
          </w:tcPr>
          <w:p>
            <w:pPr>
              <w:pStyle w:val="63"/>
              <w:rPr>
                <w:u w:val="single"/>
              </w:rPr>
            </w:pPr>
            <w:r>
              <w:rPr>
                <w:u w:val="single"/>
              </w:rPr>
              <w:t>3.89</w:t>
            </w:r>
          </w:p>
        </w:tc>
        <w:tc>
          <w:tcPr>
            <w:tcW w:w="1422" w:type="dxa"/>
            <w:vAlign w:val="center"/>
          </w:tcPr>
          <w:p>
            <w:pPr>
              <w:pStyle w:val="63"/>
              <w:rPr>
                <w:u w:val="single"/>
              </w:rPr>
            </w:pPr>
            <w:r>
              <w:rPr>
                <w:u w:val="single"/>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68" w:type="dxa"/>
            <w:vAlign w:val="center"/>
          </w:tcPr>
          <w:p>
            <w:pPr>
              <w:pStyle w:val="63"/>
              <w:rPr>
                <w:u w:val="single"/>
              </w:rPr>
            </w:pPr>
            <w:r>
              <w:rPr>
                <w:u w:val="single"/>
              </w:rPr>
              <w:t>P3萃取车间</w:t>
            </w:r>
          </w:p>
        </w:tc>
        <w:tc>
          <w:tcPr>
            <w:tcW w:w="1174" w:type="dxa"/>
            <w:vAlign w:val="center"/>
          </w:tcPr>
          <w:p>
            <w:pPr>
              <w:pStyle w:val="63"/>
              <w:rPr>
                <w:u w:val="single"/>
              </w:rPr>
            </w:pPr>
            <w:r>
              <w:rPr>
                <w:u w:val="single"/>
              </w:rPr>
              <w:t>NMHC</w:t>
            </w:r>
          </w:p>
        </w:tc>
        <w:tc>
          <w:tcPr>
            <w:tcW w:w="1421" w:type="dxa"/>
            <w:vAlign w:val="center"/>
          </w:tcPr>
          <w:p>
            <w:pPr>
              <w:pStyle w:val="63"/>
              <w:rPr>
                <w:u w:val="single"/>
              </w:rPr>
            </w:pPr>
            <w:r>
              <w:rPr>
                <w:u w:val="single"/>
              </w:rPr>
              <w:t>2000.0</w:t>
            </w:r>
          </w:p>
        </w:tc>
        <w:tc>
          <w:tcPr>
            <w:tcW w:w="1421" w:type="dxa"/>
            <w:vAlign w:val="center"/>
          </w:tcPr>
          <w:p>
            <w:pPr>
              <w:pStyle w:val="63"/>
              <w:rPr>
                <w:u w:val="single"/>
              </w:rPr>
            </w:pPr>
            <w:r>
              <w:rPr>
                <w:u w:val="single"/>
              </w:rPr>
              <w:t>76.56</w:t>
            </w:r>
          </w:p>
        </w:tc>
        <w:tc>
          <w:tcPr>
            <w:tcW w:w="1421" w:type="dxa"/>
            <w:vAlign w:val="center"/>
          </w:tcPr>
          <w:p>
            <w:pPr>
              <w:pStyle w:val="63"/>
              <w:rPr>
                <w:u w:val="single"/>
              </w:rPr>
            </w:pPr>
            <w:r>
              <w:rPr>
                <w:u w:val="single"/>
              </w:rPr>
              <w:t>3.83</w:t>
            </w:r>
          </w:p>
        </w:tc>
        <w:tc>
          <w:tcPr>
            <w:tcW w:w="1422" w:type="dxa"/>
            <w:vAlign w:val="center"/>
          </w:tcPr>
          <w:p>
            <w:pPr>
              <w:pStyle w:val="63"/>
              <w:rPr>
                <w:u w:val="single"/>
              </w:rPr>
            </w:pPr>
            <w:r>
              <w:rPr>
                <w:u w:val="single"/>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68" w:type="dxa"/>
            <w:vAlign w:val="center"/>
          </w:tcPr>
          <w:p>
            <w:pPr>
              <w:pStyle w:val="63"/>
              <w:rPr>
                <w:u w:val="single"/>
              </w:rPr>
            </w:pPr>
            <w:r>
              <w:rPr>
                <w:u w:val="single"/>
              </w:rPr>
              <w:t>P4锅炉</w:t>
            </w:r>
          </w:p>
        </w:tc>
        <w:tc>
          <w:tcPr>
            <w:tcW w:w="1174" w:type="dxa"/>
            <w:vAlign w:val="center"/>
          </w:tcPr>
          <w:p>
            <w:pPr>
              <w:pStyle w:val="63"/>
              <w:rPr>
                <w:u w:val="single"/>
              </w:rPr>
            </w:pPr>
            <w:r>
              <w:rPr>
                <w:u w:val="single"/>
              </w:rPr>
              <w:t>PM</w:t>
            </w:r>
            <w:r>
              <w:rPr>
                <w:u w:val="single"/>
                <w:vertAlign w:val="subscript"/>
              </w:rPr>
              <w:t>10</w:t>
            </w:r>
          </w:p>
        </w:tc>
        <w:tc>
          <w:tcPr>
            <w:tcW w:w="1421" w:type="dxa"/>
            <w:vAlign w:val="center"/>
          </w:tcPr>
          <w:p>
            <w:pPr>
              <w:pStyle w:val="63"/>
              <w:rPr>
                <w:u w:val="single"/>
              </w:rPr>
            </w:pPr>
            <w:r>
              <w:rPr>
                <w:u w:val="single"/>
              </w:rPr>
              <w:t>450.0</w:t>
            </w:r>
          </w:p>
        </w:tc>
        <w:tc>
          <w:tcPr>
            <w:tcW w:w="1421" w:type="dxa"/>
            <w:vAlign w:val="center"/>
          </w:tcPr>
          <w:p>
            <w:pPr>
              <w:pStyle w:val="63"/>
              <w:rPr>
                <w:u w:val="single"/>
              </w:rPr>
            </w:pPr>
            <w:r>
              <w:rPr>
                <w:u w:val="single"/>
              </w:rPr>
              <w:t>0.44</w:t>
            </w:r>
          </w:p>
        </w:tc>
        <w:tc>
          <w:tcPr>
            <w:tcW w:w="1421" w:type="dxa"/>
            <w:vAlign w:val="center"/>
          </w:tcPr>
          <w:p>
            <w:pPr>
              <w:pStyle w:val="63"/>
              <w:rPr>
                <w:u w:val="single"/>
              </w:rPr>
            </w:pPr>
            <w:r>
              <w:rPr>
                <w:u w:val="single"/>
              </w:rPr>
              <w:t>0.10</w:t>
            </w:r>
          </w:p>
        </w:tc>
        <w:tc>
          <w:tcPr>
            <w:tcW w:w="1422" w:type="dxa"/>
            <w:vAlign w:val="center"/>
          </w:tcPr>
          <w:p>
            <w:pPr>
              <w:pStyle w:val="63"/>
              <w:rPr>
                <w:u w:val="single"/>
              </w:rPr>
            </w:pPr>
            <w:r>
              <w:rPr>
                <w:u w:val="single"/>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68" w:type="dxa"/>
            <w:vAlign w:val="center"/>
          </w:tcPr>
          <w:p>
            <w:pPr>
              <w:pStyle w:val="63"/>
              <w:rPr>
                <w:u w:val="single"/>
              </w:rPr>
            </w:pPr>
            <w:r>
              <w:rPr>
                <w:u w:val="single"/>
              </w:rPr>
              <w:t>P4锅炉</w:t>
            </w:r>
          </w:p>
        </w:tc>
        <w:tc>
          <w:tcPr>
            <w:tcW w:w="1174" w:type="dxa"/>
            <w:vAlign w:val="center"/>
          </w:tcPr>
          <w:p>
            <w:pPr>
              <w:pStyle w:val="63"/>
              <w:rPr>
                <w:u w:val="single"/>
              </w:rPr>
            </w:pPr>
            <w:r>
              <w:rPr>
                <w:u w:val="single"/>
              </w:rPr>
              <w:t>SO</w:t>
            </w:r>
            <w:r>
              <w:rPr>
                <w:u w:val="single"/>
                <w:vertAlign w:val="subscript"/>
              </w:rPr>
              <w:t>2</w:t>
            </w:r>
          </w:p>
        </w:tc>
        <w:tc>
          <w:tcPr>
            <w:tcW w:w="1421" w:type="dxa"/>
            <w:vAlign w:val="center"/>
          </w:tcPr>
          <w:p>
            <w:pPr>
              <w:pStyle w:val="63"/>
              <w:rPr>
                <w:u w:val="single"/>
              </w:rPr>
            </w:pPr>
            <w:r>
              <w:rPr>
                <w:u w:val="single"/>
              </w:rPr>
              <w:t>500.0</w:t>
            </w:r>
          </w:p>
        </w:tc>
        <w:tc>
          <w:tcPr>
            <w:tcW w:w="1421" w:type="dxa"/>
            <w:vAlign w:val="center"/>
          </w:tcPr>
          <w:p>
            <w:pPr>
              <w:pStyle w:val="63"/>
              <w:rPr>
                <w:u w:val="single"/>
              </w:rPr>
            </w:pPr>
            <w:r>
              <w:rPr>
                <w:u w:val="single"/>
              </w:rPr>
              <w:t>0.92</w:t>
            </w:r>
          </w:p>
        </w:tc>
        <w:tc>
          <w:tcPr>
            <w:tcW w:w="1421" w:type="dxa"/>
            <w:vAlign w:val="center"/>
          </w:tcPr>
          <w:p>
            <w:pPr>
              <w:pStyle w:val="63"/>
              <w:rPr>
                <w:u w:val="single"/>
              </w:rPr>
            </w:pPr>
            <w:r>
              <w:rPr>
                <w:u w:val="single"/>
              </w:rPr>
              <w:t>0.18</w:t>
            </w:r>
          </w:p>
        </w:tc>
        <w:tc>
          <w:tcPr>
            <w:tcW w:w="1422" w:type="dxa"/>
            <w:vAlign w:val="center"/>
          </w:tcPr>
          <w:p>
            <w:pPr>
              <w:pStyle w:val="63"/>
              <w:rPr>
                <w:u w:val="single"/>
              </w:rPr>
            </w:pPr>
            <w:r>
              <w:rPr>
                <w:u w:val="single"/>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68" w:type="dxa"/>
            <w:vAlign w:val="center"/>
          </w:tcPr>
          <w:p>
            <w:pPr>
              <w:pStyle w:val="63"/>
              <w:rPr>
                <w:u w:val="single"/>
              </w:rPr>
            </w:pPr>
            <w:r>
              <w:rPr>
                <w:u w:val="single"/>
              </w:rPr>
              <w:t>P4锅炉</w:t>
            </w:r>
          </w:p>
        </w:tc>
        <w:tc>
          <w:tcPr>
            <w:tcW w:w="1174" w:type="dxa"/>
            <w:vAlign w:val="center"/>
          </w:tcPr>
          <w:p>
            <w:pPr>
              <w:pStyle w:val="63"/>
              <w:rPr>
                <w:u w:val="single"/>
              </w:rPr>
            </w:pPr>
            <w:r>
              <w:rPr>
                <w:u w:val="single"/>
              </w:rPr>
              <w:t>NOx</w:t>
            </w:r>
          </w:p>
        </w:tc>
        <w:tc>
          <w:tcPr>
            <w:tcW w:w="1421" w:type="dxa"/>
            <w:vAlign w:val="center"/>
          </w:tcPr>
          <w:p>
            <w:pPr>
              <w:pStyle w:val="63"/>
              <w:rPr>
                <w:u w:val="single"/>
              </w:rPr>
            </w:pPr>
            <w:r>
              <w:rPr>
                <w:u w:val="single"/>
              </w:rPr>
              <w:t>250.0</w:t>
            </w:r>
          </w:p>
        </w:tc>
        <w:tc>
          <w:tcPr>
            <w:tcW w:w="1421" w:type="dxa"/>
            <w:vAlign w:val="center"/>
          </w:tcPr>
          <w:p>
            <w:pPr>
              <w:pStyle w:val="63"/>
              <w:rPr>
                <w:u w:val="single"/>
              </w:rPr>
            </w:pPr>
            <w:r>
              <w:rPr>
                <w:u w:val="single"/>
              </w:rPr>
              <w:t>12.05</w:t>
            </w:r>
          </w:p>
        </w:tc>
        <w:tc>
          <w:tcPr>
            <w:tcW w:w="1421" w:type="dxa"/>
            <w:vAlign w:val="center"/>
          </w:tcPr>
          <w:p>
            <w:pPr>
              <w:pStyle w:val="63"/>
              <w:rPr>
                <w:u w:val="single"/>
              </w:rPr>
            </w:pPr>
            <w:r>
              <w:rPr>
                <w:u w:val="single"/>
              </w:rPr>
              <w:t>4.82</w:t>
            </w:r>
          </w:p>
        </w:tc>
        <w:tc>
          <w:tcPr>
            <w:tcW w:w="1422" w:type="dxa"/>
            <w:vAlign w:val="center"/>
          </w:tcPr>
          <w:p>
            <w:pPr>
              <w:pStyle w:val="63"/>
              <w:rPr>
                <w:u w:val="single"/>
              </w:rPr>
            </w:pPr>
            <w:r>
              <w:rPr>
                <w:u w:val="single"/>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68" w:type="dxa"/>
            <w:vAlign w:val="center"/>
          </w:tcPr>
          <w:p>
            <w:pPr>
              <w:pStyle w:val="63"/>
              <w:rPr>
                <w:u w:val="single"/>
              </w:rPr>
            </w:pPr>
            <w:r>
              <w:rPr>
                <w:u w:val="single"/>
              </w:rPr>
              <w:t>浸出车间</w:t>
            </w:r>
          </w:p>
        </w:tc>
        <w:tc>
          <w:tcPr>
            <w:tcW w:w="1174" w:type="dxa"/>
            <w:vAlign w:val="center"/>
          </w:tcPr>
          <w:p>
            <w:pPr>
              <w:pStyle w:val="63"/>
              <w:rPr>
                <w:u w:val="single"/>
              </w:rPr>
            </w:pPr>
            <w:r>
              <w:rPr>
                <w:u w:val="single"/>
              </w:rPr>
              <w:t>硫酸</w:t>
            </w:r>
          </w:p>
        </w:tc>
        <w:tc>
          <w:tcPr>
            <w:tcW w:w="1421" w:type="dxa"/>
            <w:vAlign w:val="center"/>
          </w:tcPr>
          <w:p>
            <w:pPr>
              <w:pStyle w:val="63"/>
              <w:rPr>
                <w:u w:val="single"/>
              </w:rPr>
            </w:pPr>
            <w:r>
              <w:rPr>
                <w:u w:val="single"/>
              </w:rPr>
              <w:t>300.0</w:t>
            </w:r>
          </w:p>
        </w:tc>
        <w:tc>
          <w:tcPr>
            <w:tcW w:w="1421" w:type="dxa"/>
            <w:vAlign w:val="center"/>
          </w:tcPr>
          <w:p>
            <w:pPr>
              <w:pStyle w:val="63"/>
              <w:rPr>
                <w:u w:val="single"/>
              </w:rPr>
            </w:pPr>
            <w:r>
              <w:rPr>
                <w:u w:val="single"/>
              </w:rPr>
              <w:t>7.29</w:t>
            </w:r>
          </w:p>
        </w:tc>
        <w:tc>
          <w:tcPr>
            <w:tcW w:w="1421" w:type="dxa"/>
            <w:vAlign w:val="center"/>
          </w:tcPr>
          <w:p>
            <w:pPr>
              <w:pStyle w:val="63"/>
              <w:rPr>
                <w:u w:val="single"/>
              </w:rPr>
            </w:pPr>
            <w:r>
              <w:rPr>
                <w:u w:val="single"/>
              </w:rPr>
              <w:t>2.43</w:t>
            </w:r>
          </w:p>
        </w:tc>
        <w:tc>
          <w:tcPr>
            <w:tcW w:w="1422" w:type="dxa"/>
            <w:vAlign w:val="center"/>
          </w:tcPr>
          <w:p>
            <w:pPr>
              <w:pStyle w:val="63"/>
              <w:rPr>
                <w:u w:val="single"/>
              </w:rPr>
            </w:pPr>
            <w:r>
              <w:rPr>
                <w:u w:val="single"/>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1668" w:type="dxa"/>
            <w:vAlign w:val="center"/>
          </w:tcPr>
          <w:p>
            <w:pPr>
              <w:pStyle w:val="63"/>
              <w:rPr>
                <w:u w:val="single"/>
              </w:rPr>
            </w:pPr>
            <w:r>
              <w:rPr>
                <w:u w:val="single"/>
              </w:rPr>
              <w:t>罐区</w:t>
            </w:r>
          </w:p>
        </w:tc>
        <w:tc>
          <w:tcPr>
            <w:tcW w:w="1174" w:type="dxa"/>
            <w:vAlign w:val="center"/>
          </w:tcPr>
          <w:p>
            <w:pPr>
              <w:pStyle w:val="63"/>
              <w:rPr>
                <w:u w:val="single"/>
              </w:rPr>
            </w:pPr>
            <w:r>
              <w:rPr>
                <w:u w:val="single"/>
              </w:rPr>
              <w:t>硫酸</w:t>
            </w:r>
          </w:p>
        </w:tc>
        <w:tc>
          <w:tcPr>
            <w:tcW w:w="1421" w:type="dxa"/>
            <w:vAlign w:val="center"/>
          </w:tcPr>
          <w:p>
            <w:pPr>
              <w:jc w:val="center"/>
              <w:rPr>
                <w:rFonts w:ascii="Times New Roman" w:hAnsi="Times New Roman" w:cs="Times New Roman"/>
                <w:sz w:val="21"/>
                <w:u w:val="single"/>
              </w:rPr>
            </w:pPr>
            <w:r>
              <w:rPr>
                <w:rFonts w:ascii="Times New Roman" w:hAnsi="Times New Roman" w:cs="Times New Roman"/>
                <w:sz w:val="21"/>
                <w:u w:val="single"/>
              </w:rPr>
              <w:t>300.0</w:t>
            </w:r>
          </w:p>
        </w:tc>
        <w:tc>
          <w:tcPr>
            <w:tcW w:w="1421" w:type="dxa"/>
            <w:vAlign w:val="center"/>
          </w:tcPr>
          <w:p>
            <w:pPr>
              <w:jc w:val="center"/>
              <w:rPr>
                <w:rFonts w:ascii="Times New Roman" w:hAnsi="Times New Roman" w:cs="Times New Roman"/>
                <w:sz w:val="21"/>
                <w:u w:val="single"/>
              </w:rPr>
            </w:pPr>
            <w:r>
              <w:rPr>
                <w:rFonts w:ascii="Times New Roman" w:hAnsi="Times New Roman" w:cs="Times New Roman"/>
                <w:sz w:val="21"/>
                <w:u w:val="single"/>
              </w:rPr>
              <w:t>120.56</w:t>
            </w:r>
          </w:p>
        </w:tc>
        <w:tc>
          <w:tcPr>
            <w:tcW w:w="1421" w:type="dxa"/>
            <w:vAlign w:val="center"/>
          </w:tcPr>
          <w:p>
            <w:pPr>
              <w:jc w:val="center"/>
              <w:rPr>
                <w:rFonts w:ascii="Times New Roman" w:hAnsi="Times New Roman" w:cs="Times New Roman"/>
                <w:sz w:val="21"/>
                <w:u w:val="single"/>
              </w:rPr>
            </w:pPr>
            <w:r>
              <w:rPr>
                <w:rFonts w:ascii="Times New Roman" w:hAnsi="Times New Roman" w:cs="Times New Roman"/>
                <w:sz w:val="21"/>
                <w:u w:val="single"/>
              </w:rPr>
              <w:t>40.19</w:t>
            </w:r>
          </w:p>
        </w:tc>
        <w:tc>
          <w:tcPr>
            <w:tcW w:w="1422" w:type="dxa"/>
            <w:vAlign w:val="center"/>
          </w:tcPr>
          <w:p>
            <w:pPr>
              <w:jc w:val="center"/>
              <w:rPr>
                <w:rFonts w:ascii="Times New Roman" w:hAnsi="Times New Roman" w:cs="Times New Roman"/>
                <w:sz w:val="21"/>
                <w:u w:val="single"/>
              </w:rPr>
            </w:pPr>
            <w:r>
              <w:rPr>
                <w:rFonts w:ascii="Times New Roman" w:hAnsi="Times New Roman" w:cs="Times New Roman"/>
                <w:sz w:val="21"/>
                <w:u w:val="single"/>
              </w:rPr>
              <w:t>250.0</w:t>
            </w:r>
          </w:p>
        </w:tc>
      </w:tr>
    </w:tbl>
    <w:p>
      <w:pPr>
        <w:spacing w:line="360" w:lineRule="auto"/>
        <w:ind w:firstLine="480" w:firstLineChars="200"/>
        <w:rPr>
          <w:rFonts w:ascii="Times New Roman" w:hAnsi="Times New Roman" w:cs="Times New Roman"/>
          <w:u w:val="single"/>
        </w:rPr>
      </w:pPr>
      <w:r>
        <w:rPr>
          <w:rFonts w:ascii="Times New Roman" w:hAnsi="Times New Roman" w:cs="Times New Roman"/>
          <w:u w:val="single"/>
        </w:rPr>
        <w:t>评价等级按下表的分级进行划分。</w:t>
      </w:r>
    </w:p>
    <w:p>
      <w:pPr>
        <w:pStyle w:val="6"/>
        <w:rPr>
          <w:rFonts w:ascii="Times New Roman" w:hAnsi="Times New Roman" w:cs="Times New Roman"/>
          <w:u w:val="single"/>
        </w:rPr>
      </w:pPr>
      <w:r>
        <w:rPr>
          <w:rFonts w:ascii="Times New Roman" w:hAnsi="Times New Roman" w:cs="Times New Roman"/>
          <w:u w:val="single"/>
        </w:rPr>
        <w:t>表2.6-6  评价工作级别一览表</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523"/>
        <w:gridCol w:w="59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80" w:type="pct"/>
            <w:vAlign w:val="center"/>
          </w:tcPr>
          <w:p>
            <w:pPr>
              <w:pStyle w:val="63"/>
              <w:rPr>
                <w:u w:val="single"/>
              </w:rPr>
            </w:pPr>
            <w:r>
              <w:rPr>
                <w:u w:val="single"/>
              </w:rPr>
              <w:t>评价工作等级</w:t>
            </w:r>
          </w:p>
        </w:tc>
        <w:tc>
          <w:tcPr>
            <w:tcW w:w="3520" w:type="pct"/>
            <w:vAlign w:val="center"/>
          </w:tcPr>
          <w:p>
            <w:pPr>
              <w:pStyle w:val="63"/>
              <w:rPr>
                <w:u w:val="single"/>
              </w:rPr>
            </w:pPr>
            <w:r>
              <w:rPr>
                <w:u w:val="single"/>
              </w:rPr>
              <w:t>评价工作分级判据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80" w:type="pct"/>
            <w:vAlign w:val="center"/>
          </w:tcPr>
          <w:p>
            <w:pPr>
              <w:pStyle w:val="63"/>
              <w:rPr>
                <w:u w:val="single"/>
              </w:rPr>
            </w:pPr>
            <w:r>
              <w:rPr>
                <w:u w:val="single"/>
              </w:rPr>
              <w:t>一级</w:t>
            </w:r>
          </w:p>
        </w:tc>
        <w:tc>
          <w:tcPr>
            <w:tcW w:w="3520" w:type="pct"/>
            <w:vAlign w:val="center"/>
          </w:tcPr>
          <w:p>
            <w:pPr>
              <w:pStyle w:val="63"/>
              <w:rPr>
                <w:u w:val="single"/>
              </w:rPr>
            </w:pPr>
            <w:r>
              <w:rPr>
                <w:u w:val="single"/>
              </w:rPr>
              <w:t>Pmax≥10%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80" w:type="pct"/>
            <w:vAlign w:val="center"/>
          </w:tcPr>
          <w:p>
            <w:pPr>
              <w:pStyle w:val="63"/>
              <w:rPr>
                <w:u w:val="single"/>
              </w:rPr>
            </w:pPr>
            <w:r>
              <w:rPr>
                <w:u w:val="single"/>
              </w:rPr>
              <w:t>二级</w:t>
            </w:r>
          </w:p>
        </w:tc>
        <w:tc>
          <w:tcPr>
            <w:tcW w:w="3520" w:type="pct"/>
            <w:vAlign w:val="center"/>
          </w:tcPr>
          <w:p>
            <w:pPr>
              <w:pStyle w:val="63"/>
              <w:rPr>
                <w:u w:val="single"/>
              </w:rPr>
            </w:pPr>
            <w:r>
              <w:rPr>
                <w:u w:val="single"/>
              </w:rPr>
              <w:t>1%≤Pmax＜10%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80" w:type="pct"/>
            <w:vAlign w:val="center"/>
          </w:tcPr>
          <w:p>
            <w:pPr>
              <w:pStyle w:val="63"/>
              <w:rPr>
                <w:u w:val="single"/>
              </w:rPr>
            </w:pPr>
            <w:r>
              <w:rPr>
                <w:u w:val="single"/>
              </w:rPr>
              <w:t>三级</w:t>
            </w:r>
          </w:p>
        </w:tc>
        <w:tc>
          <w:tcPr>
            <w:tcW w:w="3520" w:type="pct"/>
            <w:vAlign w:val="center"/>
          </w:tcPr>
          <w:p>
            <w:pPr>
              <w:pStyle w:val="63"/>
              <w:rPr>
                <w:u w:val="single"/>
              </w:rPr>
            </w:pPr>
            <w:r>
              <w:rPr>
                <w:u w:val="single"/>
              </w:rPr>
              <w:t>Pmax＜1%</w:t>
            </w:r>
          </w:p>
        </w:tc>
      </w:tr>
    </w:tbl>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根据估算，</w:t>
      </w:r>
      <w:r>
        <w:rPr>
          <w:rFonts w:hint="eastAsia" w:ascii="Times New Roman" w:hAnsi="Times New Roman" w:cs="Times New Roman"/>
          <w:u w:val="single"/>
        </w:rPr>
        <w:t>本项目Pmax最大值出现为P1预处理车间排放的氟化物Pmax值为42.76%，Cmax为8.551973</w:t>
      </w:r>
      <w:r>
        <w:rPr>
          <w:u w:val="single"/>
        </w:rPr>
        <w:t>μg/m</w:t>
      </w:r>
      <w:r>
        <w:rPr>
          <w:rFonts w:hint="eastAsia"/>
          <w:u w:val="single"/>
          <w:vertAlign w:val="superscript"/>
        </w:rPr>
        <w:t>3</w:t>
      </w:r>
      <w:r>
        <w:rPr>
          <w:rFonts w:hint="eastAsia" w:ascii="Times New Roman" w:hAnsi="Times New Roman" w:cs="Times New Roman"/>
          <w:u w:val="single"/>
        </w:rPr>
        <w:t>，D10%为1600.0m</w:t>
      </w:r>
      <w:r>
        <w:rPr>
          <w:rFonts w:ascii="Times New Roman" w:hAnsi="Times New Roman" w:cs="Times New Roman"/>
          <w:u w:val="single"/>
        </w:rPr>
        <w:t>，最大占标率Pmax＞10%，根据表2.6-6大气环境影响评价等级判据表可知，本项目大气环境影响评价等级为一级。</w:t>
      </w:r>
    </w:p>
    <w:p>
      <w:pPr>
        <w:pStyle w:val="5"/>
        <w:ind w:firstLine="482"/>
        <w:rPr>
          <w:rFonts w:ascii="Times New Roman" w:hAnsi="Times New Roman" w:cs="Times New Roman" w:eastAsiaTheme="minorEastAsia"/>
        </w:rPr>
      </w:pPr>
      <w:r>
        <w:rPr>
          <w:rFonts w:ascii="Times New Roman" w:hAnsi="Times New Roman" w:cs="Times New Roman" w:eastAsiaTheme="minorEastAsia"/>
        </w:rPr>
        <w:t>2.6.1.2 地表水</w:t>
      </w:r>
    </w:p>
    <w:p>
      <w:pPr>
        <w:spacing w:line="360" w:lineRule="auto"/>
        <w:ind w:firstLine="480" w:firstLineChars="200"/>
        <w:rPr>
          <w:rFonts w:ascii="Times New Roman" w:hAnsi="Times New Roman" w:cs="Times New Roman"/>
        </w:rPr>
      </w:pPr>
      <w:r>
        <w:rPr>
          <w:rFonts w:ascii="Times New Roman" w:hAnsi="Times New Roman" w:cs="Times New Roman"/>
        </w:rPr>
        <w:t>根据《环境影响评价技术导则—地表水环境》（HJ/T2.3－2018），建设项目地表水环境影响评价等级按照影响类型、排放方式、排放量或影响情况、受纳水体环境质量现状、水环境保护目标等综合确定。直接排放建设项目评价等级分为一级、二级和三级A，根据废水排放量、水污染物污染当量数确定。本项目地表水评价级别判据见下表。</w:t>
      </w:r>
    </w:p>
    <w:p>
      <w:pPr>
        <w:pStyle w:val="6"/>
        <w:rPr>
          <w:rFonts w:ascii="Times New Roman" w:hAnsi="Times New Roman" w:cs="Times New Roman"/>
        </w:rPr>
      </w:pPr>
      <w:r>
        <w:rPr>
          <w:rFonts w:ascii="Times New Roman" w:hAnsi="Times New Roman" w:cs="Times New Roman"/>
        </w:rPr>
        <w:t>表2.6-7  地表水评价级别判据</w:t>
      </w:r>
    </w:p>
    <w:tbl>
      <w:tblPr>
        <w:tblStyle w:val="35"/>
        <w:tblW w:w="8640" w:type="dxa"/>
        <w:tblInd w:w="10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52"/>
        <w:gridCol w:w="1685"/>
        <w:gridCol w:w="57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2" w:type="dxa"/>
            <w:vMerge w:val="restart"/>
            <w:vAlign w:val="center"/>
          </w:tcPr>
          <w:p>
            <w:pPr>
              <w:pStyle w:val="63"/>
            </w:pPr>
            <w:r>
              <w:t>评价等级</w:t>
            </w:r>
          </w:p>
        </w:tc>
        <w:tc>
          <w:tcPr>
            <w:tcW w:w="7388" w:type="dxa"/>
            <w:gridSpan w:val="2"/>
            <w:vAlign w:val="center"/>
          </w:tcPr>
          <w:p>
            <w:pPr>
              <w:pStyle w:val="63"/>
            </w:pPr>
            <w:r>
              <w:t>受纳水体情况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2" w:type="dxa"/>
            <w:vMerge w:val="continue"/>
            <w:vAlign w:val="center"/>
          </w:tcPr>
          <w:p>
            <w:pPr>
              <w:pStyle w:val="63"/>
            </w:pPr>
          </w:p>
        </w:tc>
        <w:tc>
          <w:tcPr>
            <w:tcW w:w="1685" w:type="dxa"/>
            <w:vAlign w:val="center"/>
          </w:tcPr>
          <w:p>
            <w:pPr>
              <w:pStyle w:val="63"/>
            </w:pPr>
            <w:r>
              <w:t>排放方式</w:t>
            </w:r>
          </w:p>
        </w:tc>
        <w:tc>
          <w:tcPr>
            <w:tcW w:w="5703" w:type="dxa"/>
            <w:vAlign w:val="center"/>
          </w:tcPr>
          <w:p>
            <w:pPr>
              <w:pStyle w:val="63"/>
            </w:pPr>
            <w:r>
              <w:t>废水排放量Q/（m</w:t>
            </w:r>
            <w:r>
              <w:rPr>
                <w:vertAlign w:val="superscript"/>
              </w:rPr>
              <w:t>3</w:t>
            </w:r>
            <w:r>
              <w:t>/d）水污染物当量数W/（无量纲）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2" w:type="dxa"/>
            <w:vAlign w:val="center"/>
          </w:tcPr>
          <w:p>
            <w:pPr>
              <w:pStyle w:val="63"/>
            </w:pPr>
            <w:r>
              <w:t>一级</w:t>
            </w:r>
          </w:p>
        </w:tc>
        <w:tc>
          <w:tcPr>
            <w:tcW w:w="1685" w:type="dxa"/>
            <w:vAlign w:val="center"/>
          </w:tcPr>
          <w:p>
            <w:pPr>
              <w:pStyle w:val="63"/>
            </w:pPr>
            <w:r>
              <w:t>直接排放</w:t>
            </w:r>
          </w:p>
        </w:tc>
        <w:tc>
          <w:tcPr>
            <w:tcW w:w="5703" w:type="dxa"/>
            <w:vAlign w:val="center"/>
          </w:tcPr>
          <w:p>
            <w:pPr>
              <w:pStyle w:val="63"/>
            </w:pPr>
            <w:r>
              <w:t>Q≥20000或W≥600000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2" w:type="dxa"/>
            <w:vAlign w:val="center"/>
          </w:tcPr>
          <w:p>
            <w:pPr>
              <w:pStyle w:val="63"/>
            </w:pPr>
            <w:r>
              <w:t>二级</w:t>
            </w:r>
          </w:p>
        </w:tc>
        <w:tc>
          <w:tcPr>
            <w:tcW w:w="1685" w:type="dxa"/>
            <w:vAlign w:val="center"/>
          </w:tcPr>
          <w:p>
            <w:pPr>
              <w:pStyle w:val="63"/>
            </w:pPr>
            <w:r>
              <w:t>直接排放</w:t>
            </w:r>
          </w:p>
        </w:tc>
        <w:tc>
          <w:tcPr>
            <w:tcW w:w="5703" w:type="dxa"/>
            <w:vAlign w:val="center"/>
          </w:tcPr>
          <w:p>
            <w:pPr>
              <w:pStyle w:val="63"/>
            </w:pPr>
            <w: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2" w:type="dxa"/>
            <w:vAlign w:val="center"/>
          </w:tcPr>
          <w:p>
            <w:pPr>
              <w:pStyle w:val="63"/>
            </w:pPr>
            <w:r>
              <w:t>三级A</w:t>
            </w:r>
          </w:p>
        </w:tc>
        <w:tc>
          <w:tcPr>
            <w:tcW w:w="1685" w:type="dxa"/>
            <w:vAlign w:val="center"/>
          </w:tcPr>
          <w:p>
            <w:pPr>
              <w:pStyle w:val="63"/>
            </w:pPr>
            <w:r>
              <w:t>直接排放</w:t>
            </w:r>
          </w:p>
        </w:tc>
        <w:tc>
          <w:tcPr>
            <w:tcW w:w="5703" w:type="dxa"/>
            <w:vAlign w:val="center"/>
          </w:tcPr>
          <w:p>
            <w:pPr>
              <w:pStyle w:val="63"/>
            </w:pPr>
            <w:r>
              <w:t>Q&lt;200且W&lt;6000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2" w:type="dxa"/>
            <w:vAlign w:val="center"/>
          </w:tcPr>
          <w:p>
            <w:pPr>
              <w:pStyle w:val="63"/>
            </w:pPr>
            <w:r>
              <w:t>三级B</w:t>
            </w:r>
          </w:p>
        </w:tc>
        <w:tc>
          <w:tcPr>
            <w:tcW w:w="1685" w:type="dxa"/>
            <w:vAlign w:val="center"/>
          </w:tcPr>
          <w:p>
            <w:pPr>
              <w:pStyle w:val="63"/>
            </w:pPr>
            <w:r>
              <w:t>间接排放</w:t>
            </w:r>
          </w:p>
        </w:tc>
        <w:tc>
          <w:tcPr>
            <w:tcW w:w="5703"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40" w:type="dxa"/>
            <w:gridSpan w:val="3"/>
            <w:vAlign w:val="center"/>
          </w:tcPr>
          <w:p>
            <w:pPr>
              <w:pStyle w:val="63"/>
              <w:jc w:val="both"/>
            </w:pPr>
            <w:r>
              <w:t>注1：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三级B。</w:t>
            </w:r>
          </w:p>
          <w:p>
            <w:pPr>
              <w:pStyle w:val="63"/>
              <w:jc w:val="both"/>
            </w:pPr>
            <w:r>
              <w:t>注2：废水排放量按行业排放标准中规定的废水种类统计，没有相关行业排放标准要求的通过工程分析合理确定，应统数从大到小排序，取最大当量数作为建设项目评价等级确定的依据。计含热量大的冷却水的排放量，可不统计间接冷却水、循环水以及其他含污染物极少的清净下水的排放量。</w:t>
            </w:r>
          </w:p>
          <w:p>
            <w:pPr>
              <w:pStyle w:val="63"/>
              <w:jc w:val="both"/>
            </w:pPr>
            <w:r>
              <w:t>注3：厂区存在堆积物（露天堆放的原料、燃料、废渣等以及垃圾堆放场）、降尘污染的，应将初期雨污水纳入废水排放量，相应的主要污染物纳入水污染当量计算。</w:t>
            </w:r>
          </w:p>
          <w:p>
            <w:pPr>
              <w:pStyle w:val="63"/>
              <w:jc w:val="both"/>
            </w:pPr>
            <w:r>
              <w:t>注4：建设项目直接排放第一类污染物的，其评价等级为一级；建设项目直接排放的污染物为受纳水体超标因子的，评价等级不低于二级。</w:t>
            </w:r>
          </w:p>
          <w:p>
            <w:pPr>
              <w:pStyle w:val="63"/>
              <w:jc w:val="both"/>
            </w:pPr>
            <w:r>
              <w:t>注5：直接排放受纳水体影响范围涉及饮用水水源保护区、饮用水取水口、重点保护与珍稀水生生物的栖息地、重要水的特征生生物的自然产卵场等保护目标时，评价等级不低于二级。</w:t>
            </w:r>
          </w:p>
          <w:p>
            <w:pPr>
              <w:pStyle w:val="63"/>
              <w:jc w:val="both"/>
            </w:pPr>
            <w:r>
              <w:t>注6：建设项目向河流、湖库排放温排水引起受纳水体水温变化超过水环境质量标准要求，且评价范围有水温敏感目标段、入冲刻时，评价等级为一级。</w:t>
            </w:r>
          </w:p>
          <w:p>
            <w:pPr>
              <w:pStyle w:val="63"/>
              <w:jc w:val="both"/>
            </w:pPr>
            <w:r>
              <w:t>注7：建设项目利用海水作为调节温度介质，排水量≥500万m3/d，评价等级为一级；排水量&lt;500万m3/d，评价等级为二级。</w:t>
            </w:r>
          </w:p>
          <w:p>
            <w:pPr>
              <w:pStyle w:val="63"/>
              <w:jc w:val="both"/>
            </w:pPr>
            <w:r>
              <w:t>注8：仅涉及清净下水排放的，如其排放水质满足受纳水体水环境质量标准要求的，评价等级为三级A。</w:t>
            </w:r>
          </w:p>
          <w:p>
            <w:pPr>
              <w:pStyle w:val="63"/>
              <w:jc w:val="both"/>
            </w:pPr>
            <w:r>
              <w:t>注9：依托现有排放口，且对外环境未新增排放污染物的直接排放建设项目，评价等级参照间接排放，定为三级B。</w:t>
            </w:r>
          </w:p>
          <w:p>
            <w:pPr>
              <w:pStyle w:val="63"/>
              <w:jc w:val="both"/>
            </w:pPr>
            <w:r>
              <w:t>注10：建设项目生产工艺中有废水产生，但作为回水利用，不排放到外环境的，按三级B评价。</w:t>
            </w:r>
          </w:p>
        </w:tc>
      </w:tr>
    </w:tbl>
    <w:p>
      <w:pPr>
        <w:spacing w:line="360" w:lineRule="auto"/>
        <w:ind w:firstLine="480" w:firstLineChars="200"/>
        <w:rPr>
          <w:rFonts w:ascii="Times New Roman" w:hAnsi="Times New Roman" w:cs="Times New Roman"/>
        </w:rPr>
      </w:pPr>
      <w:r>
        <w:rPr>
          <w:rFonts w:ascii="Times New Roman" w:hAnsi="Times New Roman" w:cs="Times New Roman"/>
        </w:rPr>
        <w:t>本项目生产废水经厂内处理后全部回用，不外排；生活污水经化粪池处理满足《污水综合排放标准》（GB8978-1996）中“三级”标准后经市政污水管网排入</w:t>
      </w:r>
      <w:bookmarkStart w:id="102" w:name="_Hlk100340945"/>
      <w:r>
        <w:rPr>
          <w:rFonts w:ascii="Times New Roman" w:hAnsi="Times New Roman" w:cs="Times New Roman"/>
        </w:rPr>
        <w:t>园区污水处理厂</w:t>
      </w:r>
      <w:bookmarkEnd w:id="102"/>
      <w:r>
        <w:rPr>
          <w:rFonts w:ascii="Times New Roman" w:hAnsi="Times New Roman" w:cs="Times New Roman"/>
        </w:rPr>
        <w:t>。因此项目废水排放均为“间接排放”。</w:t>
      </w:r>
    </w:p>
    <w:p>
      <w:pPr>
        <w:spacing w:line="360" w:lineRule="auto"/>
        <w:ind w:firstLine="480" w:firstLineChars="200"/>
        <w:rPr>
          <w:rFonts w:ascii="Times New Roman" w:hAnsi="Times New Roman" w:cs="Times New Roman"/>
        </w:rPr>
      </w:pPr>
      <w:r>
        <w:rPr>
          <w:rFonts w:ascii="Times New Roman" w:hAnsi="Times New Roman" w:cs="Times New Roman"/>
        </w:rPr>
        <w:t>根据上表可知，本项目地表水环境影响评价工作等级为“三级B”。</w:t>
      </w:r>
    </w:p>
    <w:p>
      <w:pPr>
        <w:pStyle w:val="5"/>
        <w:ind w:firstLine="482"/>
        <w:rPr>
          <w:rFonts w:ascii="Times New Roman" w:hAnsi="Times New Roman" w:cs="Times New Roman" w:eastAsiaTheme="minorEastAsia"/>
        </w:rPr>
      </w:pPr>
      <w:r>
        <w:rPr>
          <w:rFonts w:ascii="Times New Roman" w:hAnsi="Times New Roman" w:cs="Times New Roman" w:eastAsiaTheme="minorEastAsia"/>
        </w:rPr>
        <w:t>2.6.1.3 地下水环境</w:t>
      </w:r>
    </w:p>
    <w:p>
      <w:pPr>
        <w:spacing w:line="360" w:lineRule="auto"/>
        <w:ind w:firstLine="480" w:firstLineChars="200"/>
        <w:rPr>
          <w:rFonts w:ascii="Times New Roman" w:hAnsi="Times New Roman" w:cs="Times New Roman"/>
        </w:rPr>
      </w:pPr>
      <w:r>
        <w:rPr>
          <w:rFonts w:ascii="Times New Roman" w:hAnsi="Times New Roman" w:cs="Times New Roman"/>
        </w:rPr>
        <w:t>本项目为锂电池回收项目，该项目属于《环境影响评价技术导则地下水环境》（HJ610-2016）附录A地下水环境影响评价行业分类表中“U城镇基础设施及房地产——155、废旧资源（含生物质）加工、再生利用——废电子电器产品、废电池、废汽车、废电机、废五金、废塑料、废油、废船、废轮胎等加工、再生利用”，地下水环境影响评价类别危险废物为“</w:t>
      </w:r>
      <w:r>
        <w:rPr>
          <w:rFonts w:ascii="Times New Roman" w:hAnsi="Times New Roman" w:cs="Times New Roman"/>
        </w:rPr>
        <w:fldChar w:fldCharType="begin"/>
      </w:r>
      <w:r>
        <w:rPr>
          <w:rFonts w:ascii="Times New Roman" w:hAnsi="Times New Roman" w:cs="Times New Roman"/>
        </w:rPr>
        <w:instrText xml:space="preserve"> = 1 \* ROMAN </w:instrText>
      </w:r>
      <w:r>
        <w:rPr>
          <w:rFonts w:ascii="Times New Roman" w:hAnsi="Times New Roman" w:cs="Times New Roman"/>
        </w:rPr>
        <w:fldChar w:fldCharType="separate"/>
      </w:r>
      <w:r>
        <w:rPr>
          <w:rFonts w:ascii="Times New Roman" w:hAnsi="Times New Roman" w:cs="Times New Roman"/>
        </w:rPr>
        <w:t>I</w:t>
      </w:r>
      <w:r>
        <w:rPr>
          <w:rFonts w:ascii="Times New Roman" w:hAnsi="Times New Roman" w:cs="Times New Roman"/>
        </w:rPr>
        <w:fldChar w:fldCharType="end"/>
      </w:r>
      <w:r>
        <w:rPr>
          <w:rFonts w:ascii="Times New Roman" w:hAnsi="Times New Roman" w:cs="Times New Roman"/>
        </w:rPr>
        <w:t>类”，其余为“</w:t>
      </w:r>
      <w:r>
        <w:rPr>
          <w:rFonts w:ascii="Times New Roman" w:hAnsi="Times New Roman" w:cs="Times New Roman"/>
        </w:rPr>
        <w:fldChar w:fldCharType="begin"/>
      </w:r>
      <w:r>
        <w:rPr>
          <w:rFonts w:ascii="Times New Roman" w:hAnsi="Times New Roman" w:cs="Times New Roman"/>
        </w:rPr>
        <w:instrText xml:space="preserve"> = 3 \* ROMAN </w:instrText>
      </w:r>
      <w:r>
        <w:rPr>
          <w:rFonts w:ascii="Times New Roman" w:hAnsi="Times New Roman" w:cs="Times New Roman"/>
        </w:rPr>
        <w:fldChar w:fldCharType="separate"/>
      </w:r>
      <w:r>
        <w:rPr>
          <w:rFonts w:ascii="Times New Roman" w:hAnsi="Times New Roman" w:cs="Times New Roman"/>
        </w:rPr>
        <w:t>III</w:t>
      </w:r>
      <w:r>
        <w:rPr>
          <w:rFonts w:ascii="Times New Roman" w:hAnsi="Times New Roman" w:cs="Times New Roman"/>
        </w:rPr>
        <w:fldChar w:fldCharType="end"/>
      </w:r>
      <w:r>
        <w:rPr>
          <w:rFonts w:ascii="Times New Roman" w:hAnsi="Times New Roman" w:cs="Times New Roman"/>
        </w:rPr>
        <w:t>类”。本项目原料废锂电池其不属于危险废物。因此，项目地下水环境影响评价类别为“</w:t>
      </w:r>
      <w:r>
        <w:rPr>
          <w:rFonts w:ascii="Times New Roman" w:hAnsi="Times New Roman" w:cs="Times New Roman"/>
        </w:rPr>
        <w:fldChar w:fldCharType="begin"/>
      </w:r>
      <w:r>
        <w:rPr>
          <w:rFonts w:ascii="Times New Roman" w:hAnsi="Times New Roman" w:cs="Times New Roman"/>
        </w:rPr>
        <w:instrText xml:space="preserve"> = 3 \* ROMAN </w:instrText>
      </w:r>
      <w:r>
        <w:rPr>
          <w:rFonts w:ascii="Times New Roman" w:hAnsi="Times New Roman" w:cs="Times New Roman"/>
        </w:rPr>
        <w:fldChar w:fldCharType="separate"/>
      </w:r>
      <w:r>
        <w:rPr>
          <w:rFonts w:ascii="Times New Roman" w:hAnsi="Times New Roman" w:cs="Times New Roman"/>
        </w:rPr>
        <w:t>III</w:t>
      </w:r>
      <w:r>
        <w:rPr>
          <w:rFonts w:ascii="Times New Roman" w:hAnsi="Times New Roman" w:cs="Times New Roman"/>
        </w:rPr>
        <w:fldChar w:fldCharType="end"/>
      </w:r>
      <w:r>
        <w:rPr>
          <w:rFonts w:ascii="Times New Roman" w:hAnsi="Times New Roman" w:cs="Times New Roman"/>
        </w:rPr>
        <w:t>类”。</w:t>
      </w:r>
    </w:p>
    <w:p>
      <w:pPr>
        <w:spacing w:line="360" w:lineRule="auto"/>
        <w:ind w:firstLine="480" w:firstLineChars="200"/>
        <w:rPr>
          <w:rFonts w:ascii="Times New Roman" w:hAnsi="Times New Roman" w:cs="Times New Roman"/>
        </w:rPr>
      </w:pPr>
      <w:r>
        <w:rPr>
          <w:rFonts w:ascii="Times New Roman" w:hAnsi="Times New Roman" w:cs="Times New Roman"/>
        </w:rPr>
        <w:t>根据《环境影响评价技术导则地下水环境》（HJ610-2016），地下水环境敏感程度分级表见下表。</w:t>
      </w:r>
    </w:p>
    <w:p>
      <w:pPr>
        <w:pStyle w:val="6"/>
        <w:rPr>
          <w:rFonts w:ascii="Times New Roman" w:hAnsi="Times New Roman" w:cs="Times New Roman"/>
        </w:rPr>
      </w:pPr>
      <w:r>
        <w:rPr>
          <w:rFonts w:ascii="Times New Roman" w:hAnsi="Times New Roman" w:cs="Times New Roman"/>
        </w:rPr>
        <w:t>表2.6-8  地下水环境敏感程度分级表</w:t>
      </w:r>
    </w:p>
    <w:tbl>
      <w:tblPr>
        <w:tblStyle w:val="35"/>
        <w:tblW w:w="0" w:type="auto"/>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202"/>
        <w:gridCol w:w="732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202" w:type="dxa"/>
            <w:vAlign w:val="center"/>
          </w:tcPr>
          <w:p>
            <w:pPr>
              <w:pStyle w:val="63"/>
            </w:pPr>
            <w:r>
              <w:t>敏感程度</w:t>
            </w:r>
          </w:p>
        </w:tc>
        <w:tc>
          <w:tcPr>
            <w:tcW w:w="7320" w:type="dxa"/>
            <w:vAlign w:val="center"/>
          </w:tcPr>
          <w:p>
            <w:pPr>
              <w:pStyle w:val="63"/>
            </w:pPr>
            <w:r>
              <w:t>地下水环境敏感特征</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202" w:type="dxa"/>
            <w:vAlign w:val="center"/>
          </w:tcPr>
          <w:p>
            <w:pPr>
              <w:pStyle w:val="63"/>
            </w:pPr>
            <w:r>
              <w:t>敏感</w:t>
            </w:r>
          </w:p>
        </w:tc>
        <w:tc>
          <w:tcPr>
            <w:tcW w:w="7320" w:type="dxa"/>
            <w:vAlign w:val="center"/>
          </w:tcPr>
          <w:p>
            <w:pPr>
              <w:pStyle w:val="63"/>
            </w:pPr>
            <w: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202" w:type="dxa"/>
            <w:vAlign w:val="center"/>
          </w:tcPr>
          <w:p>
            <w:pPr>
              <w:pStyle w:val="63"/>
            </w:pPr>
            <w:r>
              <w:t>较敏感</w:t>
            </w:r>
          </w:p>
        </w:tc>
        <w:tc>
          <w:tcPr>
            <w:tcW w:w="7320" w:type="dxa"/>
            <w:vAlign w:val="center"/>
          </w:tcPr>
          <w:p>
            <w:pPr>
              <w:pStyle w:val="63"/>
            </w:pPr>
            <w: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202" w:type="dxa"/>
            <w:vAlign w:val="center"/>
          </w:tcPr>
          <w:p>
            <w:pPr>
              <w:pStyle w:val="63"/>
            </w:pPr>
            <w:r>
              <w:t>不敏感</w:t>
            </w:r>
          </w:p>
        </w:tc>
        <w:tc>
          <w:tcPr>
            <w:tcW w:w="7320" w:type="dxa"/>
            <w:vAlign w:val="center"/>
          </w:tcPr>
          <w:p>
            <w:pPr>
              <w:pStyle w:val="63"/>
            </w:pPr>
            <w:r>
              <w:t>上述地区之外的其它地区。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8522" w:type="dxa"/>
            <w:gridSpan w:val="2"/>
            <w:vAlign w:val="center"/>
          </w:tcPr>
          <w:p>
            <w:pPr>
              <w:pStyle w:val="63"/>
            </w:pPr>
            <w:r>
              <w:t>注：a“环境敏感区”是指《建设项目环境影响评价分类管理名录》中所界定的涉及地下水的环境敏感区。</w:t>
            </w:r>
          </w:p>
        </w:tc>
      </w:tr>
    </w:tbl>
    <w:p>
      <w:pPr>
        <w:spacing w:line="360" w:lineRule="auto"/>
        <w:ind w:firstLine="480" w:firstLineChars="200"/>
        <w:rPr>
          <w:rFonts w:ascii="Times New Roman" w:hAnsi="Times New Roman" w:cs="Times New Roman"/>
        </w:rPr>
      </w:pPr>
      <w:r>
        <w:rPr>
          <w:rFonts w:ascii="Times New Roman" w:hAnsi="Times New Roman" w:cs="Times New Roman"/>
        </w:rPr>
        <w:t>本项目位于湖南衡东经济开发区，根据现场勘查，本项目不涉及“集中式饮用水水源地和热水、温泉、矿泉水等”地下水“敏感性”区域，也不涉及“集中式饮用水水源准保护区以外的径流补给区、分散式饮用水源地、特殊地下水资源保护区以外的分布区”等地下水“较敏感性”区域，项目居民生活饮用水为自来水，因此本项目所在区域地下水环境敏感程度为“不敏感”。</w:t>
      </w:r>
    </w:p>
    <w:p>
      <w:pPr>
        <w:spacing w:line="360" w:lineRule="auto"/>
        <w:ind w:firstLine="480" w:firstLineChars="200"/>
        <w:rPr>
          <w:rFonts w:ascii="Times New Roman" w:hAnsi="Times New Roman" w:cs="Times New Roman"/>
        </w:rPr>
      </w:pPr>
      <w:r>
        <w:rPr>
          <w:rFonts w:ascii="Times New Roman" w:hAnsi="Times New Roman" w:cs="Times New Roman"/>
        </w:rPr>
        <w:t>根据《环境影响评价技术导则  地下水环境》（HJ610-2016），建设项目地下水环境影响评价工作等级划分见下表。</w:t>
      </w:r>
    </w:p>
    <w:p>
      <w:pPr>
        <w:pStyle w:val="6"/>
        <w:rPr>
          <w:rFonts w:ascii="Times New Roman" w:hAnsi="Times New Roman" w:cs="Times New Roman"/>
        </w:rPr>
      </w:pPr>
      <w:r>
        <w:rPr>
          <w:rFonts w:ascii="Times New Roman" w:hAnsi="Times New Roman" w:cs="Times New Roman"/>
        </w:rPr>
        <w:t>表2.6-9  地下水环境评价工作等级分级表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pPr>
              <w:pStyle w:val="63"/>
            </w:pPr>
            <w:r>
              <w:t>项目类别</w:t>
            </w:r>
          </w:p>
          <w:p>
            <w:pPr>
              <w:pStyle w:val="63"/>
            </w:pPr>
            <w:r>
              <w:t>环境敏感程度</w:t>
            </w:r>
          </w:p>
        </w:tc>
        <w:tc>
          <w:tcPr>
            <w:tcW w:w="1250" w:type="pct"/>
            <w:vAlign w:val="center"/>
          </w:tcPr>
          <w:p>
            <w:pPr>
              <w:pStyle w:val="63"/>
            </w:pPr>
            <w:r>
              <w:rPr>
                <w:rFonts w:hint="eastAsia" w:ascii="宋体" w:hAnsi="宋体" w:eastAsia="宋体" w:cs="宋体"/>
              </w:rPr>
              <w:t>Ⅰ</w:t>
            </w:r>
            <w:r>
              <w:t>类项目</w:t>
            </w:r>
          </w:p>
        </w:tc>
        <w:tc>
          <w:tcPr>
            <w:tcW w:w="1250" w:type="pct"/>
            <w:vAlign w:val="center"/>
          </w:tcPr>
          <w:p>
            <w:pPr>
              <w:pStyle w:val="63"/>
            </w:pPr>
            <w:r>
              <w:rPr>
                <w:rFonts w:hint="eastAsia" w:ascii="宋体" w:hAnsi="宋体" w:eastAsia="宋体" w:cs="宋体"/>
              </w:rPr>
              <w:t>Ⅱ</w:t>
            </w:r>
            <w:r>
              <w:t>类项目</w:t>
            </w:r>
          </w:p>
        </w:tc>
        <w:tc>
          <w:tcPr>
            <w:tcW w:w="1250" w:type="pct"/>
            <w:vAlign w:val="center"/>
          </w:tcPr>
          <w:p>
            <w:pPr>
              <w:pStyle w:val="63"/>
            </w:pPr>
            <w:r>
              <w:rPr>
                <w:rFonts w:hint="eastAsia" w:ascii="宋体" w:hAnsi="宋体" w:eastAsia="宋体" w:cs="宋体"/>
              </w:rPr>
              <w:t>Ⅲ</w:t>
            </w:r>
            <w:r>
              <w:t>类项目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pPr>
              <w:pStyle w:val="63"/>
            </w:pPr>
            <w:r>
              <w:t>敏感</w:t>
            </w:r>
          </w:p>
        </w:tc>
        <w:tc>
          <w:tcPr>
            <w:tcW w:w="1250" w:type="pct"/>
            <w:vAlign w:val="center"/>
          </w:tcPr>
          <w:p>
            <w:pPr>
              <w:pStyle w:val="63"/>
            </w:pPr>
            <w:r>
              <w:t>一</w:t>
            </w:r>
          </w:p>
        </w:tc>
        <w:tc>
          <w:tcPr>
            <w:tcW w:w="1250" w:type="pct"/>
            <w:vAlign w:val="center"/>
          </w:tcPr>
          <w:p>
            <w:pPr>
              <w:pStyle w:val="63"/>
            </w:pPr>
            <w:r>
              <w:t>一</w:t>
            </w:r>
          </w:p>
        </w:tc>
        <w:tc>
          <w:tcPr>
            <w:tcW w:w="1250" w:type="pct"/>
            <w:vAlign w:val="center"/>
          </w:tcPr>
          <w:p>
            <w:pPr>
              <w:pStyle w:val="63"/>
            </w:pPr>
            <w:r>
              <w:t>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pPr>
              <w:pStyle w:val="63"/>
            </w:pPr>
            <w:r>
              <w:t>较敏感</w:t>
            </w:r>
          </w:p>
        </w:tc>
        <w:tc>
          <w:tcPr>
            <w:tcW w:w="1250" w:type="pct"/>
            <w:vAlign w:val="center"/>
          </w:tcPr>
          <w:p>
            <w:pPr>
              <w:pStyle w:val="63"/>
            </w:pPr>
            <w:r>
              <w:t>一</w:t>
            </w:r>
          </w:p>
        </w:tc>
        <w:tc>
          <w:tcPr>
            <w:tcW w:w="1250" w:type="pct"/>
            <w:vAlign w:val="center"/>
          </w:tcPr>
          <w:p>
            <w:pPr>
              <w:pStyle w:val="63"/>
            </w:pPr>
            <w:r>
              <w:t>二</w:t>
            </w:r>
          </w:p>
        </w:tc>
        <w:tc>
          <w:tcPr>
            <w:tcW w:w="1250" w:type="pct"/>
            <w:vAlign w:val="center"/>
          </w:tcPr>
          <w:p>
            <w:pPr>
              <w:pStyle w:val="63"/>
            </w:pPr>
            <w:r>
              <w:t>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pPr>
              <w:pStyle w:val="63"/>
            </w:pPr>
            <w:r>
              <w:t>不敏感</w:t>
            </w:r>
          </w:p>
        </w:tc>
        <w:tc>
          <w:tcPr>
            <w:tcW w:w="1250" w:type="pct"/>
            <w:vAlign w:val="center"/>
          </w:tcPr>
          <w:p>
            <w:pPr>
              <w:pStyle w:val="63"/>
            </w:pPr>
            <w:r>
              <w:t>二</w:t>
            </w:r>
          </w:p>
        </w:tc>
        <w:tc>
          <w:tcPr>
            <w:tcW w:w="1250" w:type="pct"/>
            <w:vAlign w:val="center"/>
          </w:tcPr>
          <w:p>
            <w:pPr>
              <w:pStyle w:val="63"/>
            </w:pPr>
            <w:r>
              <w:t>三</w:t>
            </w:r>
          </w:p>
        </w:tc>
        <w:tc>
          <w:tcPr>
            <w:tcW w:w="1250" w:type="pct"/>
            <w:vAlign w:val="center"/>
          </w:tcPr>
          <w:p>
            <w:pPr>
              <w:pStyle w:val="63"/>
            </w:pPr>
            <w:r>
              <w:t>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pPr>
              <w:pStyle w:val="63"/>
            </w:pPr>
            <w:r>
              <w:t>本项目综合回收利用厂区</w:t>
            </w:r>
          </w:p>
        </w:tc>
        <w:tc>
          <w:tcPr>
            <w:tcW w:w="3750" w:type="pct"/>
            <w:gridSpan w:val="3"/>
            <w:vAlign w:val="center"/>
          </w:tcPr>
          <w:p>
            <w:pPr>
              <w:pStyle w:val="63"/>
            </w:pPr>
            <w: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pPr>
              <w:pStyle w:val="63"/>
            </w:pPr>
            <w:r>
              <w:t>本项目梯次利用厂区</w:t>
            </w:r>
          </w:p>
        </w:tc>
        <w:tc>
          <w:tcPr>
            <w:tcW w:w="3750" w:type="pct"/>
            <w:gridSpan w:val="3"/>
            <w:vAlign w:val="center"/>
          </w:tcPr>
          <w:p>
            <w:pPr>
              <w:pStyle w:val="63"/>
            </w:pPr>
            <w:r>
              <w:t>三级</w:t>
            </w:r>
          </w:p>
        </w:tc>
      </w:tr>
    </w:tbl>
    <w:p>
      <w:pPr>
        <w:spacing w:line="360" w:lineRule="auto"/>
        <w:ind w:firstLine="480" w:firstLineChars="200"/>
        <w:rPr>
          <w:rFonts w:ascii="Times New Roman" w:hAnsi="Times New Roman" w:cs="Times New Roman"/>
        </w:rPr>
      </w:pPr>
      <w:r>
        <w:rPr>
          <w:rFonts w:ascii="Times New Roman" w:hAnsi="Times New Roman" w:cs="Times New Roman"/>
        </w:rPr>
        <w:t>综上述所，本项目地下水环境影响行业类别为“</w:t>
      </w:r>
      <w:r>
        <w:rPr>
          <w:rFonts w:ascii="Times New Roman" w:hAnsi="Times New Roman" w:cs="Times New Roman"/>
        </w:rPr>
        <w:fldChar w:fldCharType="begin"/>
      </w:r>
      <w:r>
        <w:rPr>
          <w:rFonts w:ascii="Times New Roman" w:hAnsi="Times New Roman" w:cs="Times New Roman"/>
        </w:rPr>
        <w:instrText xml:space="preserve"> = 3 \* ROMAN </w:instrText>
      </w:r>
      <w:r>
        <w:rPr>
          <w:rFonts w:ascii="Times New Roman" w:hAnsi="Times New Roman" w:cs="Times New Roman"/>
        </w:rPr>
        <w:fldChar w:fldCharType="separate"/>
      </w:r>
      <w:r>
        <w:rPr>
          <w:rFonts w:ascii="Times New Roman" w:hAnsi="Times New Roman" w:cs="Times New Roman"/>
        </w:rPr>
        <w:t>III</w:t>
      </w:r>
      <w:r>
        <w:rPr>
          <w:rFonts w:ascii="Times New Roman" w:hAnsi="Times New Roman" w:cs="Times New Roman"/>
        </w:rPr>
        <w:fldChar w:fldCharType="end"/>
      </w:r>
      <w:r>
        <w:rPr>
          <w:rFonts w:ascii="Times New Roman" w:hAnsi="Times New Roman" w:cs="Times New Roman"/>
        </w:rPr>
        <w:t>类”项目，地下水环境影响敏感程度为不敏感，地下水环境影响评价等级为“三级”。</w:t>
      </w:r>
    </w:p>
    <w:p>
      <w:pPr>
        <w:pStyle w:val="5"/>
        <w:ind w:firstLine="482"/>
        <w:rPr>
          <w:rFonts w:ascii="Times New Roman" w:hAnsi="Times New Roman" w:cs="Times New Roman" w:eastAsiaTheme="minorEastAsia"/>
        </w:rPr>
      </w:pPr>
      <w:r>
        <w:rPr>
          <w:rFonts w:ascii="Times New Roman" w:hAnsi="Times New Roman" w:cs="Times New Roman" w:eastAsiaTheme="minorEastAsia"/>
        </w:rPr>
        <w:t>2.6.1.4 声环境</w:t>
      </w:r>
    </w:p>
    <w:p>
      <w:pPr>
        <w:spacing w:line="360" w:lineRule="auto"/>
        <w:ind w:firstLine="480" w:firstLineChars="200"/>
        <w:rPr>
          <w:rFonts w:ascii="Times New Roman" w:hAnsi="Times New Roman" w:cs="Times New Roman"/>
        </w:rPr>
      </w:pPr>
      <w:r>
        <w:rPr>
          <w:rFonts w:ascii="Times New Roman" w:hAnsi="Times New Roman" w:cs="Times New Roman"/>
        </w:rPr>
        <w:t>本项目位于《声环境质量标准》GB3096-2008中3类区，主要声源为机械设备噪声等，建设项目建设前后评价范围内敏感目标噪声级增高量小于3dB（A），且受影响人口数量变化不大。根据《环境影响评价技术导则-声环境》（HJ/T2.4-20</w:t>
      </w:r>
      <w:r>
        <w:rPr>
          <w:rFonts w:hint="eastAsia" w:ascii="Times New Roman" w:hAnsi="Times New Roman" w:cs="Times New Roman"/>
        </w:rPr>
        <w:t>21</w:t>
      </w:r>
      <w:r>
        <w:rPr>
          <w:rFonts w:ascii="Times New Roman" w:hAnsi="Times New Roman" w:cs="Times New Roman"/>
        </w:rPr>
        <w:t>）关于评价等级划分的规定，本项目声环境影响评价工作等级为三级。</w:t>
      </w:r>
    </w:p>
    <w:p>
      <w:pPr>
        <w:pStyle w:val="6"/>
        <w:rPr>
          <w:rFonts w:ascii="Times New Roman" w:hAnsi="Times New Roman" w:cs="Times New Roman"/>
        </w:rPr>
      </w:pPr>
      <w:r>
        <w:rPr>
          <w:rFonts w:ascii="Times New Roman" w:hAnsi="Times New Roman" w:cs="Times New Roman"/>
        </w:rPr>
        <w:t>表2.6-10  环境噪声影响评价工作等级判定依据表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80"/>
        <w:gridCol w:w="1614"/>
        <w:gridCol w:w="2693"/>
        <w:gridCol w:w="20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279" w:type="pct"/>
            <w:vAlign w:val="center"/>
          </w:tcPr>
          <w:p>
            <w:pPr>
              <w:pStyle w:val="63"/>
              <w:rPr>
                <w:lang w:val="en-GB"/>
              </w:rPr>
            </w:pPr>
            <w:r>
              <w:rPr>
                <w:lang w:val="en-GB"/>
              </w:rPr>
              <w:t>评价等级</w:t>
            </w:r>
          </w:p>
        </w:tc>
        <w:tc>
          <w:tcPr>
            <w:tcW w:w="947" w:type="pct"/>
            <w:vAlign w:val="center"/>
          </w:tcPr>
          <w:p>
            <w:pPr>
              <w:pStyle w:val="63"/>
              <w:rPr>
                <w:lang w:val="en-GB"/>
              </w:rPr>
            </w:pPr>
            <w:r>
              <w:rPr>
                <w:lang w:val="en-GB"/>
              </w:rPr>
              <w:t>声环境功能区</w:t>
            </w:r>
          </w:p>
        </w:tc>
        <w:tc>
          <w:tcPr>
            <w:tcW w:w="1580" w:type="pct"/>
            <w:vAlign w:val="center"/>
          </w:tcPr>
          <w:p>
            <w:pPr>
              <w:pStyle w:val="63"/>
              <w:rPr>
                <w:lang w:val="en-GB"/>
              </w:rPr>
            </w:pPr>
            <w:r>
              <w:rPr>
                <w:lang w:val="en-GB"/>
              </w:rPr>
              <w:t>环境敏感目标噪声级增量</w:t>
            </w:r>
          </w:p>
        </w:tc>
        <w:tc>
          <w:tcPr>
            <w:tcW w:w="1194" w:type="pct"/>
            <w:vAlign w:val="center"/>
          </w:tcPr>
          <w:p>
            <w:pPr>
              <w:pStyle w:val="63"/>
              <w:rPr>
                <w:lang w:val="en-GB"/>
              </w:rPr>
            </w:pPr>
            <w:r>
              <w:rPr>
                <w:lang w:val="en-GB"/>
              </w:rPr>
              <w:t>影响人口数量变化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9" w:type="pct"/>
            <w:vAlign w:val="center"/>
          </w:tcPr>
          <w:p>
            <w:pPr>
              <w:pStyle w:val="63"/>
              <w:rPr>
                <w:lang w:val="en-GB"/>
              </w:rPr>
            </w:pPr>
            <w:r>
              <w:rPr>
                <w:lang w:val="en-GB"/>
              </w:rPr>
              <w:t>一级</w:t>
            </w:r>
          </w:p>
        </w:tc>
        <w:tc>
          <w:tcPr>
            <w:tcW w:w="947" w:type="pct"/>
            <w:vAlign w:val="center"/>
          </w:tcPr>
          <w:p>
            <w:pPr>
              <w:pStyle w:val="63"/>
              <w:rPr>
                <w:lang w:val="en-GB"/>
              </w:rPr>
            </w:pPr>
            <w:r>
              <w:rPr>
                <w:lang w:val="en-GB"/>
              </w:rPr>
              <w:t>0类</w:t>
            </w:r>
          </w:p>
        </w:tc>
        <w:tc>
          <w:tcPr>
            <w:tcW w:w="1580" w:type="pct"/>
            <w:vAlign w:val="center"/>
          </w:tcPr>
          <w:p>
            <w:pPr>
              <w:pStyle w:val="63"/>
              <w:rPr>
                <w:lang w:val="en-GB"/>
              </w:rPr>
            </w:pPr>
            <w:r>
              <w:rPr>
                <w:lang w:val="en-GB"/>
              </w:rPr>
              <w:t>&gt;5dB（A）</w:t>
            </w:r>
          </w:p>
        </w:tc>
        <w:tc>
          <w:tcPr>
            <w:tcW w:w="1194" w:type="pct"/>
            <w:vAlign w:val="center"/>
          </w:tcPr>
          <w:p>
            <w:pPr>
              <w:pStyle w:val="63"/>
              <w:rPr>
                <w:lang w:val="en-GB"/>
              </w:rPr>
            </w:pPr>
            <w:r>
              <w:rPr>
                <w:lang w:val="en-GB"/>
              </w:rPr>
              <w:t>显著增多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9" w:type="pct"/>
            <w:vAlign w:val="center"/>
          </w:tcPr>
          <w:p>
            <w:pPr>
              <w:pStyle w:val="63"/>
              <w:rPr>
                <w:lang w:val="en-GB"/>
              </w:rPr>
            </w:pPr>
            <w:r>
              <w:rPr>
                <w:lang w:val="en-GB"/>
              </w:rPr>
              <w:t>二级</w:t>
            </w:r>
          </w:p>
        </w:tc>
        <w:tc>
          <w:tcPr>
            <w:tcW w:w="947" w:type="pct"/>
            <w:vAlign w:val="center"/>
          </w:tcPr>
          <w:p>
            <w:pPr>
              <w:pStyle w:val="63"/>
              <w:rPr>
                <w:lang w:val="en-GB"/>
              </w:rPr>
            </w:pPr>
            <w:r>
              <w:rPr>
                <w:lang w:val="en-GB"/>
              </w:rPr>
              <w:t>1类，2类</w:t>
            </w:r>
          </w:p>
        </w:tc>
        <w:tc>
          <w:tcPr>
            <w:tcW w:w="1580" w:type="pct"/>
            <w:vAlign w:val="center"/>
          </w:tcPr>
          <w:p>
            <w:pPr>
              <w:pStyle w:val="63"/>
              <w:rPr>
                <w:lang w:val="en-GB"/>
              </w:rPr>
            </w:pPr>
            <w:r>
              <w:rPr>
                <w:lang w:val="en-GB"/>
              </w:rPr>
              <w:t>≥3dB（A），≤5dB（A）</w:t>
            </w:r>
          </w:p>
        </w:tc>
        <w:tc>
          <w:tcPr>
            <w:tcW w:w="1194" w:type="pct"/>
            <w:vAlign w:val="center"/>
          </w:tcPr>
          <w:p>
            <w:pPr>
              <w:pStyle w:val="63"/>
              <w:rPr>
                <w:lang w:val="en-GB"/>
              </w:rPr>
            </w:pPr>
            <w:r>
              <w:rPr>
                <w:lang w:val="en-GB"/>
              </w:rPr>
              <w:t>较多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9" w:type="pct"/>
            <w:vAlign w:val="center"/>
          </w:tcPr>
          <w:p>
            <w:pPr>
              <w:pStyle w:val="63"/>
              <w:rPr>
                <w:lang w:val="en-GB"/>
              </w:rPr>
            </w:pPr>
            <w:r>
              <w:rPr>
                <w:lang w:val="en-GB"/>
              </w:rPr>
              <w:t>三级</w:t>
            </w:r>
          </w:p>
        </w:tc>
        <w:tc>
          <w:tcPr>
            <w:tcW w:w="947" w:type="pct"/>
            <w:vAlign w:val="center"/>
          </w:tcPr>
          <w:p>
            <w:pPr>
              <w:pStyle w:val="63"/>
              <w:rPr>
                <w:lang w:val="en-GB"/>
              </w:rPr>
            </w:pPr>
            <w:r>
              <w:rPr>
                <w:lang w:val="en-GB"/>
              </w:rPr>
              <w:t>3类，4类</w:t>
            </w:r>
          </w:p>
        </w:tc>
        <w:tc>
          <w:tcPr>
            <w:tcW w:w="1580" w:type="pct"/>
            <w:vAlign w:val="center"/>
          </w:tcPr>
          <w:p>
            <w:pPr>
              <w:pStyle w:val="63"/>
              <w:rPr>
                <w:lang w:val="en-GB"/>
              </w:rPr>
            </w:pPr>
            <w:r>
              <w:rPr>
                <w:lang w:val="en-GB"/>
              </w:rPr>
              <w:t>&lt;3dB（A）</w:t>
            </w:r>
          </w:p>
        </w:tc>
        <w:tc>
          <w:tcPr>
            <w:tcW w:w="1194" w:type="pct"/>
            <w:vAlign w:val="center"/>
          </w:tcPr>
          <w:p>
            <w:pPr>
              <w:pStyle w:val="63"/>
              <w:rPr>
                <w:lang w:val="en-GB"/>
              </w:rPr>
            </w:pPr>
            <w:r>
              <w:rPr>
                <w:lang w:val="en-GB"/>
              </w:rPr>
              <w:t>不大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9" w:type="pct"/>
            <w:vAlign w:val="center"/>
          </w:tcPr>
          <w:p>
            <w:pPr>
              <w:pStyle w:val="63"/>
              <w:rPr>
                <w:lang w:val="en-GB"/>
              </w:rPr>
            </w:pPr>
            <w:r>
              <w:rPr>
                <w:lang w:val="en-GB"/>
              </w:rPr>
              <w:t>本项目</w:t>
            </w:r>
          </w:p>
        </w:tc>
        <w:tc>
          <w:tcPr>
            <w:tcW w:w="947" w:type="pct"/>
            <w:vAlign w:val="center"/>
          </w:tcPr>
          <w:p>
            <w:pPr>
              <w:pStyle w:val="63"/>
              <w:rPr>
                <w:lang w:val="en-GB"/>
              </w:rPr>
            </w:pPr>
            <w:r>
              <w:rPr>
                <w:lang w:val="en-GB"/>
              </w:rPr>
              <w:t>3类</w:t>
            </w:r>
          </w:p>
        </w:tc>
        <w:tc>
          <w:tcPr>
            <w:tcW w:w="1580" w:type="pct"/>
            <w:vAlign w:val="center"/>
          </w:tcPr>
          <w:p>
            <w:pPr>
              <w:pStyle w:val="63"/>
              <w:rPr>
                <w:lang w:val="en-GB"/>
              </w:rPr>
            </w:pPr>
            <w:r>
              <w:rPr>
                <w:lang w:val="en-GB"/>
              </w:rPr>
              <w:t>&lt;3dB</w:t>
            </w:r>
          </w:p>
        </w:tc>
        <w:tc>
          <w:tcPr>
            <w:tcW w:w="1194" w:type="pct"/>
            <w:vAlign w:val="center"/>
          </w:tcPr>
          <w:p>
            <w:pPr>
              <w:pStyle w:val="63"/>
              <w:rPr>
                <w:lang w:val="en-GB"/>
              </w:rPr>
            </w:pPr>
            <w:r>
              <w:rPr>
                <w:lang w:val="en-GB"/>
              </w:rPr>
              <w:t>不大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9" w:type="pct"/>
            <w:vAlign w:val="center"/>
          </w:tcPr>
          <w:p>
            <w:pPr>
              <w:pStyle w:val="63"/>
            </w:pPr>
            <w:r>
              <w:t>本项目综合回收利用厂区</w:t>
            </w:r>
          </w:p>
        </w:tc>
        <w:tc>
          <w:tcPr>
            <w:tcW w:w="3721" w:type="pct"/>
            <w:gridSpan w:val="3"/>
            <w:vAlign w:val="center"/>
          </w:tcPr>
          <w:p>
            <w:pPr>
              <w:pStyle w:val="63"/>
              <w:rPr>
                <w:lang w:val="en-GB"/>
              </w:rPr>
            </w:pPr>
            <w:r>
              <w:rPr>
                <w:lang w:val="en-GB"/>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9" w:type="pct"/>
            <w:vAlign w:val="center"/>
          </w:tcPr>
          <w:p>
            <w:pPr>
              <w:pStyle w:val="63"/>
            </w:pPr>
            <w:r>
              <w:t>本项目梯次利用厂区</w:t>
            </w:r>
          </w:p>
        </w:tc>
        <w:tc>
          <w:tcPr>
            <w:tcW w:w="3721" w:type="pct"/>
            <w:gridSpan w:val="3"/>
            <w:vAlign w:val="center"/>
          </w:tcPr>
          <w:p>
            <w:pPr>
              <w:pStyle w:val="63"/>
              <w:rPr>
                <w:lang w:val="en-GB"/>
              </w:rPr>
            </w:pPr>
            <w:r>
              <w:rPr>
                <w:lang w:val="en-GB"/>
              </w:rPr>
              <w:t>三级</w:t>
            </w:r>
          </w:p>
        </w:tc>
      </w:tr>
    </w:tbl>
    <w:p>
      <w:pPr>
        <w:pStyle w:val="5"/>
        <w:ind w:firstLine="482"/>
        <w:rPr>
          <w:rFonts w:ascii="Times New Roman" w:hAnsi="Times New Roman" w:cs="Times New Roman" w:eastAsiaTheme="minorEastAsia"/>
        </w:rPr>
      </w:pPr>
      <w:r>
        <w:rPr>
          <w:rFonts w:ascii="Times New Roman" w:hAnsi="Times New Roman" w:cs="Times New Roman" w:eastAsiaTheme="minorEastAsia"/>
        </w:rPr>
        <w:t>2.6.1.5 生态环境</w:t>
      </w:r>
    </w:p>
    <w:p>
      <w:pPr>
        <w:spacing w:line="360" w:lineRule="auto"/>
        <w:ind w:firstLine="480" w:firstLineChars="200"/>
        <w:rPr>
          <w:rFonts w:ascii="Times New Roman" w:hAnsi="Times New Roman" w:cs="Times New Roman"/>
        </w:rPr>
      </w:pPr>
      <w:r>
        <w:rPr>
          <w:rFonts w:ascii="Times New Roman" w:hAnsi="Times New Roman" w:cs="Times New Roman"/>
        </w:rPr>
        <w:t xml:space="preserve">根据《环境影响评价技术导则 生态影响》（HJ19-2022）， 依据建设项目影响区域的生态敏感性和影响程度，评价等级划分为一级、二级和三级。 </w:t>
      </w:r>
    </w:p>
    <w:p>
      <w:pPr>
        <w:spacing w:line="360" w:lineRule="auto"/>
        <w:ind w:firstLine="480" w:firstLineChars="200"/>
        <w:rPr>
          <w:rFonts w:ascii="Times New Roman" w:hAnsi="Times New Roman" w:cs="Times New Roman"/>
        </w:rPr>
      </w:pPr>
      <w:r>
        <w:rPr>
          <w:rFonts w:ascii="Times New Roman" w:hAnsi="Times New Roman" w:cs="Times New Roman"/>
        </w:rPr>
        <w:t>6.1.2 按以下原则确定评价等级：</w:t>
      </w:r>
    </w:p>
    <w:p>
      <w:pPr>
        <w:spacing w:line="360" w:lineRule="auto"/>
        <w:ind w:firstLine="480" w:firstLineChars="200"/>
        <w:rPr>
          <w:rFonts w:ascii="Times New Roman" w:hAnsi="Times New Roman" w:cs="Times New Roman"/>
        </w:rPr>
      </w:pPr>
      <w:r>
        <w:rPr>
          <w:rFonts w:ascii="Times New Roman" w:hAnsi="Times New Roman" w:cs="Times New Roman"/>
        </w:rPr>
        <w:t xml:space="preserve"> a） 涉及国家公园、自然保护区、世界自然遗产、重要</w:t>
      </w:r>
      <w:r>
        <w:rPr>
          <w:rFonts w:hint="eastAsia" w:ascii="Times New Roman" w:hAnsi="Times New Roman" w:cs="Times New Roman"/>
          <w:lang w:eastAsia="zh-CN"/>
        </w:rPr>
        <w:t>环境</w:t>
      </w:r>
      <w:r>
        <w:rPr>
          <w:rFonts w:ascii="Times New Roman" w:hAnsi="Times New Roman" w:cs="Times New Roman"/>
        </w:rPr>
        <w:t xml:space="preserve">时，评价等级为一级； </w:t>
      </w:r>
    </w:p>
    <w:p>
      <w:pPr>
        <w:spacing w:line="360" w:lineRule="auto"/>
        <w:ind w:firstLine="480" w:firstLineChars="200"/>
        <w:rPr>
          <w:rFonts w:ascii="Times New Roman" w:hAnsi="Times New Roman" w:cs="Times New Roman"/>
        </w:rPr>
      </w:pPr>
      <w:r>
        <w:rPr>
          <w:rFonts w:ascii="Times New Roman" w:hAnsi="Times New Roman" w:cs="Times New Roman"/>
        </w:rPr>
        <w:t xml:space="preserve">b） 涉及自然公园时，评价等级为二级； </w:t>
      </w:r>
    </w:p>
    <w:p>
      <w:pPr>
        <w:spacing w:line="360" w:lineRule="auto"/>
        <w:ind w:firstLine="480" w:firstLineChars="200"/>
        <w:rPr>
          <w:rFonts w:ascii="Times New Roman" w:hAnsi="Times New Roman" w:cs="Times New Roman"/>
        </w:rPr>
      </w:pPr>
      <w:r>
        <w:rPr>
          <w:rFonts w:ascii="Times New Roman" w:hAnsi="Times New Roman" w:cs="Times New Roman"/>
        </w:rPr>
        <w:t xml:space="preserve">c） 涉及生态保护红线时，评价等级不低于二级； </w:t>
      </w:r>
    </w:p>
    <w:p>
      <w:pPr>
        <w:spacing w:line="360" w:lineRule="auto"/>
        <w:ind w:firstLine="480" w:firstLineChars="200"/>
        <w:rPr>
          <w:rFonts w:ascii="Times New Roman" w:hAnsi="Times New Roman" w:cs="Times New Roman"/>
        </w:rPr>
      </w:pPr>
      <w:r>
        <w:rPr>
          <w:rFonts w:ascii="Times New Roman" w:hAnsi="Times New Roman" w:cs="Times New Roman"/>
        </w:rPr>
        <w:t xml:space="preserve">d） 根据 HJ 2.3 判断属于水文要素影响型且地表水评价等级不低于二级的建设项目，生态影响评 价等级不低于二级； </w:t>
      </w:r>
    </w:p>
    <w:p>
      <w:pPr>
        <w:spacing w:line="360" w:lineRule="auto"/>
        <w:ind w:firstLine="480" w:firstLineChars="200"/>
        <w:rPr>
          <w:rFonts w:ascii="Times New Roman" w:hAnsi="Times New Roman" w:cs="Times New Roman"/>
        </w:rPr>
      </w:pPr>
      <w:r>
        <w:rPr>
          <w:rFonts w:ascii="Times New Roman" w:hAnsi="Times New Roman" w:cs="Times New Roman"/>
        </w:rPr>
        <w:t xml:space="preserve">e） 根据 HJ 610、HJ 964 判断地下水水位或土壤影响范围内分布有天然林、公益林、湿地等生态 保护目标的建设项目，生态影响评价等级不低于二级； </w:t>
      </w:r>
    </w:p>
    <w:p>
      <w:pPr>
        <w:spacing w:line="360" w:lineRule="auto"/>
        <w:ind w:firstLine="480" w:firstLineChars="200"/>
        <w:rPr>
          <w:rFonts w:ascii="Times New Roman" w:hAnsi="Times New Roman" w:cs="Times New Roman"/>
        </w:rPr>
      </w:pPr>
      <w:r>
        <w:rPr>
          <w:rFonts w:ascii="Times New Roman" w:hAnsi="Times New Roman" w:cs="Times New Roman"/>
        </w:rPr>
        <w:t xml:space="preserve">f） 当工程占地规模大于 20 km2 时（包括永久和临时占用陆域和水域），评价等级不低于二级；改 扩建项目的占地范围以新增占地（包括陆域和水域）确定； </w:t>
      </w:r>
    </w:p>
    <w:p>
      <w:pPr>
        <w:spacing w:line="360" w:lineRule="auto"/>
        <w:ind w:firstLine="480" w:firstLineChars="200"/>
        <w:rPr>
          <w:rFonts w:ascii="Times New Roman" w:hAnsi="Times New Roman" w:cs="Times New Roman"/>
        </w:rPr>
      </w:pPr>
      <w:r>
        <w:rPr>
          <w:rFonts w:ascii="Times New Roman" w:hAnsi="Times New Roman" w:cs="Times New Roman"/>
        </w:rPr>
        <w:t>g） 除本条 a）、b）、c）、d）、e）、f）以外的情况，评价等级为三级；</w:t>
      </w:r>
    </w:p>
    <w:p>
      <w:pPr>
        <w:spacing w:line="360" w:lineRule="auto"/>
        <w:ind w:firstLine="480" w:firstLineChars="200"/>
        <w:rPr>
          <w:rFonts w:ascii="Times New Roman" w:hAnsi="Times New Roman" w:cs="Times New Roman"/>
        </w:rPr>
      </w:pPr>
      <w:r>
        <w:rPr>
          <w:rFonts w:ascii="Times New Roman" w:hAnsi="Times New Roman" w:cs="Times New Roman"/>
        </w:rPr>
        <w:t xml:space="preserve">h） 当评价等级判定同时符合上述多种情况时，应采用其中最高的评价等级。 6.1.3 建设项目涉及经论证对保护生物多样性具有重要意义的区域时，可适当上调评价等级。 </w:t>
      </w:r>
    </w:p>
    <w:p>
      <w:pPr>
        <w:spacing w:line="360" w:lineRule="auto"/>
        <w:ind w:firstLine="480" w:firstLineChars="200"/>
        <w:rPr>
          <w:rFonts w:ascii="Times New Roman" w:hAnsi="Times New Roman" w:cs="Times New Roman"/>
        </w:rPr>
      </w:pPr>
      <w:r>
        <w:rPr>
          <w:rFonts w:ascii="Times New Roman" w:hAnsi="Times New Roman" w:cs="Times New Roman"/>
        </w:rPr>
        <w:t xml:space="preserve">6.1.4 建设项目同时涉及陆生、水生生态影响时，可针对陆生生态、水生生态分别判定评价等级。 </w:t>
      </w:r>
    </w:p>
    <w:p>
      <w:pPr>
        <w:spacing w:line="360" w:lineRule="auto"/>
        <w:ind w:firstLine="480" w:firstLineChars="200"/>
        <w:rPr>
          <w:rFonts w:ascii="Times New Roman" w:hAnsi="Times New Roman" w:cs="Times New Roman"/>
        </w:rPr>
      </w:pPr>
      <w:r>
        <w:rPr>
          <w:rFonts w:ascii="Times New Roman" w:hAnsi="Times New Roman" w:cs="Times New Roman"/>
        </w:rPr>
        <w:t xml:space="preserve">6.1.5 在矿山开采可能导致矿区土地利用类型明显改变，或拦河闸坝建设可能明显改变水文情势等情况下，评价等级应上调一级。 </w:t>
      </w:r>
    </w:p>
    <w:p>
      <w:pPr>
        <w:spacing w:line="360" w:lineRule="auto"/>
        <w:ind w:firstLine="480" w:firstLineChars="200"/>
        <w:rPr>
          <w:rFonts w:ascii="Times New Roman" w:hAnsi="Times New Roman" w:cs="Times New Roman"/>
        </w:rPr>
      </w:pPr>
      <w:r>
        <w:rPr>
          <w:rFonts w:ascii="Times New Roman" w:hAnsi="Times New Roman" w:cs="Times New Roman"/>
        </w:rPr>
        <w:t xml:space="preserve">6.1.6 线性工程可分段确定评价等级。线性工程地下穿越或地表跨越生态敏感区，在生态敏感区范围 内无永久、临时占地时，评价等级可下调一级。 </w:t>
      </w:r>
    </w:p>
    <w:p>
      <w:pPr>
        <w:spacing w:line="360" w:lineRule="auto"/>
        <w:ind w:firstLine="480" w:firstLineChars="200"/>
        <w:rPr>
          <w:rFonts w:ascii="Times New Roman" w:hAnsi="Times New Roman" w:cs="Times New Roman"/>
        </w:rPr>
      </w:pPr>
      <w:r>
        <w:rPr>
          <w:rFonts w:ascii="Times New Roman" w:hAnsi="Times New Roman" w:cs="Times New Roman"/>
        </w:rPr>
        <w:t xml:space="preserve">6.1.7 涉海工程评价等级判定参照 GB/T 19485。 </w:t>
      </w:r>
    </w:p>
    <w:p>
      <w:pPr>
        <w:spacing w:line="360" w:lineRule="auto"/>
        <w:ind w:firstLine="480" w:firstLineChars="200"/>
        <w:rPr>
          <w:rFonts w:ascii="Times New Roman" w:hAnsi="Times New Roman" w:cs="Times New Roman"/>
        </w:rPr>
      </w:pPr>
      <w:r>
        <w:rPr>
          <w:rFonts w:ascii="Times New Roman" w:hAnsi="Times New Roman" w:cs="Times New Roman"/>
        </w:rPr>
        <w:t>6.1.8 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p>
      <w:pPr>
        <w:spacing w:line="360" w:lineRule="auto"/>
        <w:ind w:firstLine="480" w:firstLineChars="200"/>
        <w:rPr>
          <w:rFonts w:ascii="Times New Roman" w:hAnsi="Times New Roman" w:cs="Times New Roman"/>
        </w:rPr>
      </w:pPr>
      <w:r>
        <w:rPr>
          <w:rFonts w:ascii="Times New Roman" w:hAnsi="Times New Roman" w:cs="Times New Roman"/>
        </w:rPr>
        <w:t>本项目位于已经批准规划环评的衡东经济开发区内并符合规划环评要求，不涉及生态敏感区的污染影响类建设项目，不确定评价等级，直接进行生态影响简单分析。</w:t>
      </w:r>
    </w:p>
    <w:p>
      <w:pPr>
        <w:pStyle w:val="5"/>
        <w:ind w:firstLine="482"/>
        <w:rPr>
          <w:rFonts w:ascii="Times New Roman" w:hAnsi="Times New Roman" w:cs="Times New Roman" w:eastAsiaTheme="minorEastAsia"/>
        </w:rPr>
      </w:pPr>
      <w:r>
        <w:rPr>
          <w:rFonts w:ascii="Times New Roman" w:hAnsi="Times New Roman" w:cs="Times New Roman" w:eastAsiaTheme="minorEastAsia"/>
        </w:rPr>
        <w:t>2.6.6.6 土壤环境</w:t>
      </w:r>
    </w:p>
    <w:p>
      <w:pPr>
        <w:spacing w:line="360" w:lineRule="auto"/>
        <w:ind w:firstLine="480" w:firstLineChars="200"/>
        <w:rPr>
          <w:rFonts w:ascii="Times New Roman" w:hAnsi="Times New Roman" w:cs="Times New Roman"/>
        </w:rPr>
      </w:pPr>
      <w:r>
        <w:rPr>
          <w:rFonts w:ascii="Times New Roman" w:hAnsi="Times New Roman" w:cs="Times New Roman"/>
        </w:rPr>
        <w:t>本项目为锂电池回收项目。根据《环境影响评价技术导则-土壤环境（试行）》（HJ964-2018），对照附录A“土壤环境影响评价项目分类”，本项目属于“环境和公共设施管理业——一般工业固体废物处置及综合利用（除采取填埋和焚烧方式以外的）；废旧资源加工、再生利用”项目，属于其中的“</w:t>
      </w:r>
      <w:r>
        <w:rPr>
          <w:rFonts w:ascii="Times New Roman" w:hAnsi="Times New Roman" w:cs="Times New Roman"/>
        </w:rPr>
        <w:fldChar w:fldCharType="begin"/>
      </w:r>
      <w:r>
        <w:rPr>
          <w:rFonts w:ascii="Times New Roman" w:hAnsi="Times New Roman" w:cs="Times New Roman"/>
        </w:rPr>
        <w:instrText xml:space="preserve"> = 3 \* ROMAN </w:instrText>
      </w:r>
      <w:r>
        <w:rPr>
          <w:rFonts w:ascii="Times New Roman" w:hAnsi="Times New Roman" w:cs="Times New Roman"/>
        </w:rPr>
        <w:fldChar w:fldCharType="separate"/>
      </w:r>
      <w:r>
        <w:rPr>
          <w:rFonts w:ascii="Times New Roman" w:hAnsi="Times New Roman" w:cs="Times New Roman"/>
        </w:rPr>
        <w:t>III</w:t>
      </w:r>
      <w:r>
        <w:rPr>
          <w:rFonts w:ascii="Times New Roman" w:hAnsi="Times New Roman" w:cs="Times New Roman"/>
        </w:rPr>
        <w:fldChar w:fldCharType="end"/>
      </w:r>
      <w:r>
        <w:rPr>
          <w:rFonts w:ascii="Times New Roman" w:hAnsi="Times New Roman" w:cs="Times New Roman"/>
        </w:rPr>
        <w:t>类”项目。</w:t>
      </w:r>
    </w:p>
    <w:p>
      <w:pPr>
        <w:spacing w:line="360" w:lineRule="auto"/>
        <w:ind w:firstLine="480" w:firstLineChars="200"/>
        <w:rPr>
          <w:rFonts w:ascii="Times New Roman" w:hAnsi="Times New Roman" w:cs="Times New Roman"/>
        </w:rPr>
      </w:pPr>
      <w:r>
        <w:rPr>
          <w:rFonts w:ascii="Times New Roman" w:hAnsi="Times New Roman" w:cs="Times New Roman"/>
        </w:rPr>
        <w:t>本项目综合回收利用厂区用地面积为53333m</w:t>
      </w:r>
      <w:r>
        <w:rPr>
          <w:rFonts w:ascii="Times New Roman" w:hAnsi="Times New Roman" w:cs="Times New Roman"/>
          <w:vertAlign w:val="superscript"/>
        </w:rPr>
        <w:t>2</w:t>
      </w:r>
      <w:r>
        <w:rPr>
          <w:rFonts w:ascii="Times New Roman" w:hAnsi="Times New Roman" w:cs="Times New Roman"/>
        </w:rPr>
        <w:t>（5-50hm</w:t>
      </w:r>
      <w:r>
        <w:rPr>
          <w:rFonts w:ascii="Times New Roman" w:hAnsi="Times New Roman" w:cs="Times New Roman"/>
          <w:vertAlign w:val="superscript"/>
        </w:rPr>
        <w:t>2</w:t>
      </w:r>
      <w:r>
        <w:rPr>
          <w:rFonts w:ascii="Times New Roman" w:hAnsi="Times New Roman" w:cs="Times New Roman"/>
        </w:rPr>
        <w:t>），属于中型，该厂区位于湖南衡东经济开发区内，用地类型为工业用地，项目东侧存在农田，土壤环境敏感程度为“敏感”，本项目土壤环境影响评价工作等级为“三级”。</w:t>
      </w:r>
    </w:p>
    <w:p>
      <w:pPr>
        <w:spacing w:line="360" w:lineRule="auto"/>
        <w:ind w:firstLine="480" w:firstLineChars="200"/>
        <w:rPr>
          <w:rFonts w:ascii="Times New Roman" w:hAnsi="Times New Roman" w:cs="Times New Roman"/>
        </w:rPr>
      </w:pPr>
      <w:r>
        <w:rPr>
          <w:rFonts w:ascii="Times New Roman" w:hAnsi="Times New Roman" w:cs="Times New Roman"/>
        </w:rPr>
        <w:t>本项目梯次利用厂区，仅进行电池包的拆卸、分选、重组工艺，根据《环境影响评价技术导则-土壤环境（试行）》（HJ964-2018），属于</w:t>
      </w:r>
      <w:r>
        <w:rPr>
          <w:rFonts w:hint="eastAsia" w:ascii="宋体" w:hAnsi="宋体" w:eastAsia="宋体" w:cs="宋体"/>
        </w:rPr>
        <w:t>Ⅳ</w:t>
      </w:r>
      <w:r>
        <w:rPr>
          <w:rFonts w:ascii="Times New Roman" w:hAnsi="Times New Roman" w:cs="Times New Roman"/>
        </w:rPr>
        <w:t>类项目，可不开展土壤环境影响评价。</w:t>
      </w:r>
    </w:p>
    <w:p>
      <w:pPr>
        <w:pStyle w:val="6"/>
        <w:rPr>
          <w:rFonts w:ascii="Times New Roman" w:hAnsi="Times New Roman" w:cs="Times New Roman"/>
        </w:rPr>
      </w:pPr>
      <w:r>
        <w:rPr>
          <w:rFonts w:ascii="Times New Roman" w:hAnsi="Times New Roman" w:cs="Times New Roman"/>
        </w:rPr>
        <w:t>表2.6-11  污染影响型评价工作等级划分表</w:t>
      </w:r>
    </w:p>
    <w:tbl>
      <w:tblPr>
        <w:tblStyle w:val="35"/>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00"/>
        <w:gridCol w:w="991"/>
        <w:gridCol w:w="709"/>
        <w:gridCol w:w="849"/>
        <w:gridCol w:w="850"/>
        <w:gridCol w:w="849"/>
        <w:gridCol w:w="850"/>
        <w:gridCol w:w="849"/>
        <w:gridCol w:w="709"/>
        <w:gridCol w:w="7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1" w:type="dxa"/>
            <w:vAlign w:val="center"/>
          </w:tcPr>
          <w:p>
            <w:pPr>
              <w:pStyle w:val="63"/>
            </w:pPr>
            <w:r>
              <w:t>占地规模</w:t>
            </w:r>
          </w:p>
        </w:tc>
        <w:tc>
          <w:tcPr>
            <w:tcW w:w="2551" w:type="dxa"/>
            <w:gridSpan w:val="3"/>
            <w:vAlign w:val="center"/>
          </w:tcPr>
          <w:p>
            <w:pPr>
              <w:pStyle w:val="63"/>
            </w:pPr>
            <w:r>
              <w:fldChar w:fldCharType="begin"/>
            </w:r>
            <w:r>
              <w:instrText xml:space="preserve"> = 1 \* ROMAN </w:instrText>
            </w:r>
            <w:r>
              <w:fldChar w:fldCharType="separate"/>
            </w:r>
            <w:r>
              <w:t>I</w:t>
            </w:r>
            <w:r>
              <w:fldChar w:fldCharType="end"/>
            </w:r>
            <w:r>
              <w:t>类</w:t>
            </w:r>
          </w:p>
        </w:tc>
        <w:tc>
          <w:tcPr>
            <w:tcW w:w="2552" w:type="dxa"/>
            <w:gridSpan w:val="3"/>
            <w:vAlign w:val="center"/>
          </w:tcPr>
          <w:p>
            <w:pPr>
              <w:pStyle w:val="63"/>
            </w:pPr>
            <w:r>
              <w:fldChar w:fldCharType="begin"/>
            </w:r>
            <w:r>
              <w:instrText xml:space="preserve"> = 2 \* ROMAN </w:instrText>
            </w:r>
            <w:r>
              <w:fldChar w:fldCharType="separate"/>
            </w:r>
            <w:r>
              <w:t>II</w:t>
            </w:r>
            <w:r>
              <w:fldChar w:fldCharType="end"/>
            </w:r>
            <w:r>
              <w:t>类</w:t>
            </w:r>
          </w:p>
        </w:tc>
        <w:tc>
          <w:tcPr>
            <w:tcW w:w="2324" w:type="dxa"/>
            <w:gridSpan w:val="3"/>
            <w:vAlign w:val="center"/>
          </w:tcPr>
          <w:p>
            <w:pPr>
              <w:pStyle w:val="63"/>
            </w:pPr>
            <w:r>
              <w:fldChar w:fldCharType="begin"/>
            </w:r>
            <w:r>
              <w:instrText xml:space="preserve"> = 3 \* ROMAN </w:instrText>
            </w:r>
            <w:r>
              <w:fldChar w:fldCharType="separate"/>
            </w:r>
            <w:r>
              <w:t>III</w:t>
            </w:r>
            <w:r>
              <w:fldChar w:fldCharType="end"/>
            </w:r>
            <w:r>
              <w:t>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1" w:type="dxa"/>
            <w:vAlign w:val="center"/>
          </w:tcPr>
          <w:p>
            <w:pPr>
              <w:pStyle w:val="63"/>
            </w:pPr>
            <w:r>
              <w:t>敏感程度</w:t>
            </w:r>
          </w:p>
        </w:tc>
        <w:tc>
          <w:tcPr>
            <w:tcW w:w="992" w:type="dxa"/>
            <w:vAlign w:val="center"/>
          </w:tcPr>
          <w:p>
            <w:pPr>
              <w:pStyle w:val="63"/>
            </w:pPr>
            <w:r>
              <w:t>大</w:t>
            </w:r>
          </w:p>
        </w:tc>
        <w:tc>
          <w:tcPr>
            <w:tcW w:w="709" w:type="dxa"/>
            <w:vAlign w:val="center"/>
          </w:tcPr>
          <w:p>
            <w:pPr>
              <w:pStyle w:val="63"/>
            </w:pPr>
            <w:r>
              <w:t>中</w:t>
            </w:r>
          </w:p>
        </w:tc>
        <w:tc>
          <w:tcPr>
            <w:tcW w:w="850" w:type="dxa"/>
            <w:vAlign w:val="center"/>
          </w:tcPr>
          <w:p>
            <w:pPr>
              <w:pStyle w:val="63"/>
            </w:pPr>
            <w:r>
              <w:t>小</w:t>
            </w:r>
          </w:p>
        </w:tc>
        <w:tc>
          <w:tcPr>
            <w:tcW w:w="851" w:type="dxa"/>
            <w:vAlign w:val="center"/>
          </w:tcPr>
          <w:p>
            <w:pPr>
              <w:pStyle w:val="63"/>
            </w:pPr>
            <w:r>
              <w:t>大</w:t>
            </w:r>
          </w:p>
        </w:tc>
        <w:tc>
          <w:tcPr>
            <w:tcW w:w="850" w:type="dxa"/>
            <w:vAlign w:val="center"/>
          </w:tcPr>
          <w:p>
            <w:pPr>
              <w:pStyle w:val="63"/>
            </w:pPr>
            <w:r>
              <w:t>中</w:t>
            </w:r>
          </w:p>
        </w:tc>
        <w:tc>
          <w:tcPr>
            <w:tcW w:w="851" w:type="dxa"/>
            <w:vAlign w:val="center"/>
          </w:tcPr>
          <w:p>
            <w:pPr>
              <w:pStyle w:val="63"/>
            </w:pPr>
            <w:r>
              <w:t>小</w:t>
            </w:r>
          </w:p>
        </w:tc>
        <w:tc>
          <w:tcPr>
            <w:tcW w:w="850" w:type="dxa"/>
            <w:vAlign w:val="center"/>
          </w:tcPr>
          <w:p>
            <w:pPr>
              <w:pStyle w:val="63"/>
            </w:pPr>
            <w:r>
              <w:t>大</w:t>
            </w:r>
          </w:p>
        </w:tc>
        <w:tc>
          <w:tcPr>
            <w:tcW w:w="709" w:type="dxa"/>
            <w:vAlign w:val="center"/>
          </w:tcPr>
          <w:p>
            <w:pPr>
              <w:pStyle w:val="63"/>
            </w:pPr>
            <w:r>
              <w:t>中</w:t>
            </w:r>
          </w:p>
        </w:tc>
        <w:tc>
          <w:tcPr>
            <w:tcW w:w="765" w:type="dxa"/>
            <w:vAlign w:val="center"/>
          </w:tcPr>
          <w:p>
            <w:pPr>
              <w:pStyle w:val="63"/>
            </w:pPr>
            <w:r>
              <w:t>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1" w:type="dxa"/>
            <w:vAlign w:val="center"/>
          </w:tcPr>
          <w:p>
            <w:pPr>
              <w:pStyle w:val="63"/>
            </w:pPr>
            <w:r>
              <w:t>敏感</w:t>
            </w:r>
          </w:p>
        </w:tc>
        <w:tc>
          <w:tcPr>
            <w:tcW w:w="992" w:type="dxa"/>
            <w:vAlign w:val="center"/>
          </w:tcPr>
          <w:p>
            <w:pPr>
              <w:pStyle w:val="63"/>
            </w:pPr>
            <w:r>
              <w:t>一级</w:t>
            </w:r>
          </w:p>
        </w:tc>
        <w:tc>
          <w:tcPr>
            <w:tcW w:w="709" w:type="dxa"/>
            <w:vAlign w:val="center"/>
          </w:tcPr>
          <w:p>
            <w:pPr>
              <w:pStyle w:val="63"/>
            </w:pPr>
            <w:r>
              <w:t>一级</w:t>
            </w:r>
          </w:p>
        </w:tc>
        <w:tc>
          <w:tcPr>
            <w:tcW w:w="850" w:type="dxa"/>
            <w:vAlign w:val="center"/>
          </w:tcPr>
          <w:p>
            <w:pPr>
              <w:pStyle w:val="63"/>
            </w:pPr>
            <w:r>
              <w:t>一级</w:t>
            </w:r>
          </w:p>
        </w:tc>
        <w:tc>
          <w:tcPr>
            <w:tcW w:w="851" w:type="dxa"/>
            <w:vAlign w:val="center"/>
          </w:tcPr>
          <w:p>
            <w:pPr>
              <w:pStyle w:val="63"/>
            </w:pPr>
            <w:r>
              <w:t>二级</w:t>
            </w:r>
          </w:p>
        </w:tc>
        <w:tc>
          <w:tcPr>
            <w:tcW w:w="850" w:type="dxa"/>
            <w:vAlign w:val="center"/>
          </w:tcPr>
          <w:p>
            <w:pPr>
              <w:pStyle w:val="63"/>
            </w:pPr>
            <w:r>
              <w:t>二级</w:t>
            </w:r>
          </w:p>
        </w:tc>
        <w:tc>
          <w:tcPr>
            <w:tcW w:w="851" w:type="dxa"/>
            <w:vAlign w:val="center"/>
          </w:tcPr>
          <w:p>
            <w:pPr>
              <w:pStyle w:val="63"/>
            </w:pPr>
            <w:r>
              <w:t>二级</w:t>
            </w:r>
          </w:p>
        </w:tc>
        <w:tc>
          <w:tcPr>
            <w:tcW w:w="850" w:type="dxa"/>
            <w:vAlign w:val="center"/>
          </w:tcPr>
          <w:p>
            <w:pPr>
              <w:pStyle w:val="63"/>
            </w:pPr>
            <w:r>
              <w:t>三级</w:t>
            </w:r>
          </w:p>
        </w:tc>
        <w:tc>
          <w:tcPr>
            <w:tcW w:w="709" w:type="dxa"/>
            <w:vAlign w:val="center"/>
          </w:tcPr>
          <w:p>
            <w:pPr>
              <w:pStyle w:val="63"/>
            </w:pPr>
            <w:r>
              <w:t>三级</w:t>
            </w:r>
          </w:p>
        </w:tc>
        <w:tc>
          <w:tcPr>
            <w:tcW w:w="765" w:type="dxa"/>
            <w:vAlign w:val="center"/>
          </w:tcPr>
          <w:p>
            <w:pPr>
              <w:pStyle w:val="63"/>
            </w:pPr>
            <w: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1" w:type="dxa"/>
            <w:vAlign w:val="center"/>
          </w:tcPr>
          <w:p>
            <w:pPr>
              <w:pStyle w:val="63"/>
            </w:pPr>
            <w:r>
              <w:t>较敏感</w:t>
            </w:r>
          </w:p>
        </w:tc>
        <w:tc>
          <w:tcPr>
            <w:tcW w:w="992" w:type="dxa"/>
            <w:vAlign w:val="center"/>
          </w:tcPr>
          <w:p>
            <w:pPr>
              <w:pStyle w:val="63"/>
            </w:pPr>
            <w:r>
              <w:t>一级</w:t>
            </w:r>
          </w:p>
        </w:tc>
        <w:tc>
          <w:tcPr>
            <w:tcW w:w="709" w:type="dxa"/>
            <w:vAlign w:val="center"/>
          </w:tcPr>
          <w:p>
            <w:pPr>
              <w:pStyle w:val="63"/>
            </w:pPr>
            <w:r>
              <w:t>一级</w:t>
            </w:r>
          </w:p>
        </w:tc>
        <w:tc>
          <w:tcPr>
            <w:tcW w:w="850" w:type="dxa"/>
            <w:vAlign w:val="center"/>
          </w:tcPr>
          <w:p>
            <w:pPr>
              <w:pStyle w:val="63"/>
            </w:pPr>
            <w:r>
              <w:t>二级</w:t>
            </w:r>
          </w:p>
        </w:tc>
        <w:tc>
          <w:tcPr>
            <w:tcW w:w="851" w:type="dxa"/>
            <w:vAlign w:val="center"/>
          </w:tcPr>
          <w:p>
            <w:pPr>
              <w:pStyle w:val="63"/>
            </w:pPr>
            <w:r>
              <w:t>二级</w:t>
            </w:r>
          </w:p>
        </w:tc>
        <w:tc>
          <w:tcPr>
            <w:tcW w:w="850" w:type="dxa"/>
            <w:vAlign w:val="center"/>
          </w:tcPr>
          <w:p>
            <w:pPr>
              <w:pStyle w:val="63"/>
            </w:pPr>
            <w:r>
              <w:t>二级</w:t>
            </w:r>
          </w:p>
        </w:tc>
        <w:tc>
          <w:tcPr>
            <w:tcW w:w="851" w:type="dxa"/>
            <w:vAlign w:val="center"/>
          </w:tcPr>
          <w:p>
            <w:pPr>
              <w:pStyle w:val="63"/>
            </w:pPr>
            <w:r>
              <w:t>三级</w:t>
            </w:r>
          </w:p>
        </w:tc>
        <w:tc>
          <w:tcPr>
            <w:tcW w:w="850" w:type="dxa"/>
            <w:vAlign w:val="center"/>
          </w:tcPr>
          <w:p>
            <w:pPr>
              <w:pStyle w:val="63"/>
            </w:pPr>
            <w:r>
              <w:t>三级</w:t>
            </w:r>
          </w:p>
        </w:tc>
        <w:tc>
          <w:tcPr>
            <w:tcW w:w="709" w:type="dxa"/>
            <w:vAlign w:val="center"/>
          </w:tcPr>
          <w:p>
            <w:pPr>
              <w:pStyle w:val="63"/>
            </w:pPr>
            <w:r>
              <w:t>三级</w:t>
            </w:r>
          </w:p>
        </w:tc>
        <w:tc>
          <w:tcPr>
            <w:tcW w:w="765"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01" w:type="dxa"/>
            <w:vAlign w:val="center"/>
          </w:tcPr>
          <w:p>
            <w:pPr>
              <w:pStyle w:val="63"/>
            </w:pPr>
            <w:r>
              <w:t>不敏感</w:t>
            </w:r>
          </w:p>
        </w:tc>
        <w:tc>
          <w:tcPr>
            <w:tcW w:w="992" w:type="dxa"/>
            <w:vAlign w:val="center"/>
          </w:tcPr>
          <w:p>
            <w:pPr>
              <w:pStyle w:val="63"/>
            </w:pPr>
            <w:r>
              <w:t>一级</w:t>
            </w:r>
          </w:p>
        </w:tc>
        <w:tc>
          <w:tcPr>
            <w:tcW w:w="709" w:type="dxa"/>
            <w:vAlign w:val="center"/>
          </w:tcPr>
          <w:p>
            <w:pPr>
              <w:pStyle w:val="63"/>
            </w:pPr>
            <w:r>
              <w:t>二级</w:t>
            </w:r>
          </w:p>
        </w:tc>
        <w:tc>
          <w:tcPr>
            <w:tcW w:w="850" w:type="dxa"/>
            <w:vAlign w:val="center"/>
          </w:tcPr>
          <w:p>
            <w:pPr>
              <w:pStyle w:val="63"/>
            </w:pPr>
            <w:r>
              <w:t>二级</w:t>
            </w:r>
          </w:p>
        </w:tc>
        <w:tc>
          <w:tcPr>
            <w:tcW w:w="851" w:type="dxa"/>
            <w:vAlign w:val="center"/>
          </w:tcPr>
          <w:p>
            <w:pPr>
              <w:pStyle w:val="63"/>
            </w:pPr>
            <w:r>
              <w:t>二级</w:t>
            </w:r>
          </w:p>
        </w:tc>
        <w:tc>
          <w:tcPr>
            <w:tcW w:w="850" w:type="dxa"/>
            <w:vAlign w:val="center"/>
          </w:tcPr>
          <w:p>
            <w:pPr>
              <w:pStyle w:val="63"/>
            </w:pPr>
            <w:r>
              <w:t>三级</w:t>
            </w:r>
          </w:p>
        </w:tc>
        <w:tc>
          <w:tcPr>
            <w:tcW w:w="851" w:type="dxa"/>
            <w:vAlign w:val="center"/>
          </w:tcPr>
          <w:p>
            <w:pPr>
              <w:pStyle w:val="63"/>
            </w:pPr>
            <w:r>
              <w:t>三级</w:t>
            </w:r>
          </w:p>
        </w:tc>
        <w:tc>
          <w:tcPr>
            <w:tcW w:w="850" w:type="dxa"/>
            <w:vAlign w:val="center"/>
          </w:tcPr>
          <w:p>
            <w:pPr>
              <w:pStyle w:val="63"/>
            </w:pPr>
            <w:r>
              <w:t>三级</w:t>
            </w:r>
          </w:p>
        </w:tc>
        <w:tc>
          <w:tcPr>
            <w:tcW w:w="709" w:type="dxa"/>
            <w:vAlign w:val="center"/>
          </w:tcPr>
          <w:p>
            <w:pPr>
              <w:pStyle w:val="63"/>
            </w:pPr>
            <w:r>
              <w:t>--</w:t>
            </w:r>
          </w:p>
        </w:tc>
        <w:tc>
          <w:tcPr>
            <w:tcW w:w="765" w:type="dxa"/>
            <w:vAlign w:val="center"/>
          </w:tcPr>
          <w:p>
            <w:pPr>
              <w:pStyle w:val="63"/>
            </w:pPr>
            <w:r>
              <w:t>--</w:t>
            </w:r>
          </w:p>
        </w:tc>
      </w:tr>
    </w:tbl>
    <w:p>
      <w:pPr>
        <w:pStyle w:val="5"/>
        <w:ind w:firstLine="482"/>
        <w:rPr>
          <w:rFonts w:ascii="Times New Roman" w:hAnsi="Times New Roman" w:cs="Times New Roman" w:eastAsiaTheme="minorEastAsia"/>
          <w:u w:val="single"/>
        </w:rPr>
      </w:pPr>
      <w:r>
        <w:rPr>
          <w:rFonts w:ascii="Times New Roman" w:hAnsi="Times New Roman" w:cs="Times New Roman" w:eastAsiaTheme="minorEastAsia"/>
          <w:u w:val="single"/>
        </w:rPr>
        <w:t>2.6.6.7 环境风险</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本项目涉及的风险物质主要为硫酸、磺化煤油，项目Q=577.44804（Q</w:t>
      </w:r>
      <w:r>
        <w:rPr>
          <w:rFonts w:hint="eastAsia" w:ascii="Times New Roman" w:hAnsi="Times New Roman" w:cs="Times New Roman"/>
          <w:u w:val="single"/>
        </w:rPr>
        <w:t>＞</w:t>
      </w:r>
      <w:r>
        <w:rPr>
          <w:rFonts w:ascii="Times New Roman" w:hAnsi="Times New Roman" w:cs="Times New Roman"/>
          <w:u w:val="single"/>
        </w:rPr>
        <w:t>100），M=20，为M2（10＜M2≤20），危险物质及工艺系统危险性等级为P</w:t>
      </w:r>
      <w:r>
        <w:rPr>
          <w:rFonts w:hint="eastAsia" w:ascii="Times New Roman" w:hAnsi="Times New Roman" w:cs="Times New Roman"/>
          <w:u w:val="single"/>
        </w:rPr>
        <w:t>1</w:t>
      </w:r>
      <w:r>
        <w:rPr>
          <w:rFonts w:ascii="Times New Roman" w:hAnsi="Times New Roman" w:cs="Times New Roman"/>
          <w:u w:val="single"/>
        </w:rPr>
        <w:t>级。项目大气环境敏感程度为E1、地表水环境敏感程度为E2、地下水环境敏感程度为E3。根据项目风险潜势判定表可知，本项目环境空气环境风险潜势为</w:t>
      </w:r>
      <w:r>
        <w:rPr>
          <w:u w:val="single"/>
        </w:rPr>
        <w:t>IV+</w:t>
      </w:r>
      <w:r>
        <w:rPr>
          <w:rFonts w:ascii="Times New Roman" w:hAnsi="Times New Roman" w:cs="Times New Roman"/>
          <w:u w:val="single"/>
        </w:rPr>
        <w:t>，地表水环境风险潜势为</w:t>
      </w:r>
      <w:r>
        <w:rPr>
          <w:u w:val="single"/>
        </w:rPr>
        <w:t>IV</w:t>
      </w:r>
      <w:r>
        <w:rPr>
          <w:rFonts w:hint="eastAsia"/>
          <w:u w:val="single"/>
        </w:rPr>
        <w:t>，</w:t>
      </w:r>
      <w:r>
        <w:rPr>
          <w:rFonts w:ascii="Times New Roman" w:hAnsi="Times New Roman" w:cs="Times New Roman"/>
          <w:u w:val="single"/>
        </w:rPr>
        <w:t>地下水环境风险潜势为III。根据导则要求，建设项目环境风险潜势综合等级取各要素等级的相对高值，即项目环境风险潜势综合等级为</w:t>
      </w:r>
      <w:r>
        <w:rPr>
          <w:u w:val="single"/>
        </w:rPr>
        <w:t>IV+</w:t>
      </w:r>
      <w:r>
        <w:rPr>
          <w:rFonts w:ascii="Times New Roman" w:hAnsi="Times New Roman" w:cs="Times New Roman"/>
          <w:u w:val="single"/>
        </w:rPr>
        <w:t>。</w:t>
      </w:r>
    </w:p>
    <w:p>
      <w:pPr>
        <w:pStyle w:val="6"/>
        <w:rPr>
          <w:rFonts w:ascii="Times New Roman" w:hAnsi="Times New Roman" w:cs="Times New Roman"/>
          <w:u w:val="single"/>
        </w:rPr>
      </w:pPr>
      <w:r>
        <w:rPr>
          <w:rFonts w:ascii="Times New Roman" w:hAnsi="Times New Roman" w:cs="Times New Roman"/>
          <w:u w:val="single"/>
        </w:rPr>
        <w:t>表2.6-12  风险评价等级一览表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841"/>
        <w:gridCol w:w="2841"/>
        <w:gridCol w:w="28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7" w:type="pct"/>
            <w:tcBorders>
              <w:top w:val="single" w:color="auto" w:sz="12" w:space="0"/>
              <w:left w:val="single" w:color="auto" w:sz="12" w:space="0"/>
              <w:bottom w:val="single" w:color="auto" w:sz="4" w:space="0"/>
              <w:right w:val="single" w:color="auto" w:sz="4" w:space="0"/>
            </w:tcBorders>
            <w:vAlign w:val="center"/>
          </w:tcPr>
          <w:p>
            <w:pPr>
              <w:pStyle w:val="63"/>
              <w:rPr>
                <w:szCs w:val="24"/>
                <w:u w:val="single"/>
              </w:rPr>
            </w:pPr>
            <w:r>
              <w:rPr>
                <w:u w:val="single"/>
              </w:rPr>
              <w:t>类型</w:t>
            </w:r>
          </w:p>
        </w:tc>
        <w:tc>
          <w:tcPr>
            <w:tcW w:w="1667" w:type="pct"/>
            <w:tcBorders>
              <w:top w:val="single" w:color="auto" w:sz="12" w:space="0"/>
              <w:left w:val="single" w:color="auto" w:sz="4" w:space="0"/>
              <w:bottom w:val="single" w:color="auto" w:sz="4" w:space="0"/>
              <w:right w:val="single" w:color="auto" w:sz="4" w:space="0"/>
            </w:tcBorders>
            <w:vAlign w:val="center"/>
          </w:tcPr>
          <w:p>
            <w:pPr>
              <w:pStyle w:val="63"/>
              <w:rPr>
                <w:szCs w:val="24"/>
                <w:u w:val="single"/>
              </w:rPr>
            </w:pPr>
            <w:r>
              <w:rPr>
                <w:u w:val="single"/>
              </w:rPr>
              <w:t>环境风险潜势</w:t>
            </w:r>
          </w:p>
        </w:tc>
        <w:tc>
          <w:tcPr>
            <w:tcW w:w="1667" w:type="pct"/>
            <w:tcBorders>
              <w:top w:val="single" w:color="auto" w:sz="12" w:space="0"/>
              <w:left w:val="single" w:color="auto" w:sz="4" w:space="0"/>
              <w:bottom w:val="single" w:color="auto" w:sz="4" w:space="0"/>
              <w:right w:val="single" w:color="auto" w:sz="12" w:space="0"/>
            </w:tcBorders>
            <w:vAlign w:val="center"/>
          </w:tcPr>
          <w:p>
            <w:pPr>
              <w:pStyle w:val="63"/>
              <w:rPr>
                <w:szCs w:val="24"/>
                <w:u w:val="single"/>
              </w:rPr>
            </w:pPr>
            <w:r>
              <w:rPr>
                <w:u w:val="single"/>
              </w:rPr>
              <w:t>评价工作等级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7" w:type="pct"/>
            <w:tcBorders>
              <w:top w:val="single" w:color="auto" w:sz="4" w:space="0"/>
              <w:left w:val="single" w:color="auto" w:sz="12" w:space="0"/>
              <w:bottom w:val="single" w:color="auto" w:sz="4" w:space="0"/>
              <w:right w:val="single" w:color="auto" w:sz="4" w:space="0"/>
            </w:tcBorders>
            <w:vAlign w:val="center"/>
          </w:tcPr>
          <w:p>
            <w:pPr>
              <w:pStyle w:val="63"/>
              <w:rPr>
                <w:szCs w:val="24"/>
                <w:u w:val="single"/>
              </w:rPr>
            </w:pPr>
            <w:r>
              <w:rPr>
                <w:u w:val="single"/>
              </w:rPr>
              <w:t>大气环境</w:t>
            </w:r>
          </w:p>
        </w:tc>
        <w:tc>
          <w:tcPr>
            <w:tcW w:w="1667" w:type="pct"/>
            <w:tcBorders>
              <w:top w:val="single" w:color="auto" w:sz="4" w:space="0"/>
              <w:left w:val="single" w:color="auto" w:sz="4" w:space="0"/>
              <w:bottom w:val="single" w:color="auto" w:sz="4" w:space="0"/>
              <w:right w:val="single" w:color="auto" w:sz="4" w:space="0"/>
            </w:tcBorders>
            <w:vAlign w:val="center"/>
          </w:tcPr>
          <w:p>
            <w:pPr>
              <w:pStyle w:val="63"/>
              <w:rPr>
                <w:szCs w:val="24"/>
                <w:u w:val="single"/>
              </w:rPr>
            </w:pPr>
            <w:r>
              <w:rPr>
                <w:u w:val="single"/>
              </w:rPr>
              <w:t>IV+</w:t>
            </w:r>
          </w:p>
        </w:tc>
        <w:tc>
          <w:tcPr>
            <w:tcW w:w="1667" w:type="pct"/>
            <w:tcBorders>
              <w:top w:val="single" w:color="auto" w:sz="4" w:space="0"/>
              <w:left w:val="single" w:color="auto" w:sz="4" w:space="0"/>
              <w:bottom w:val="single" w:color="auto" w:sz="4" w:space="0"/>
              <w:right w:val="single" w:color="auto" w:sz="12" w:space="0"/>
            </w:tcBorders>
            <w:vAlign w:val="center"/>
          </w:tcPr>
          <w:p>
            <w:pPr>
              <w:pStyle w:val="63"/>
              <w:rPr>
                <w:szCs w:val="24"/>
                <w:u w:val="single"/>
              </w:rPr>
            </w:pPr>
            <w:r>
              <w:rPr>
                <w:u w:val="single"/>
              </w:rPr>
              <w:t>一级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7" w:type="pct"/>
            <w:tcBorders>
              <w:top w:val="single" w:color="auto" w:sz="4" w:space="0"/>
              <w:left w:val="single" w:color="auto" w:sz="12" w:space="0"/>
              <w:bottom w:val="single" w:color="auto" w:sz="4" w:space="0"/>
              <w:right w:val="single" w:color="auto" w:sz="4" w:space="0"/>
            </w:tcBorders>
            <w:vAlign w:val="center"/>
          </w:tcPr>
          <w:p>
            <w:pPr>
              <w:pStyle w:val="63"/>
              <w:rPr>
                <w:szCs w:val="24"/>
                <w:u w:val="single"/>
              </w:rPr>
            </w:pPr>
            <w:r>
              <w:rPr>
                <w:u w:val="single"/>
              </w:rPr>
              <w:t>地表水环境</w:t>
            </w:r>
          </w:p>
        </w:tc>
        <w:tc>
          <w:tcPr>
            <w:tcW w:w="1667" w:type="pct"/>
            <w:tcBorders>
              <w:top w:val="single" w:color="auto" w:sz="4" w:space="0"/>
              <w:left w:val="single" w:color="auto" w:sz="4" w:space="0"/>
              <w:bottom w:val="single" w:color="auto" w:sz="4" w:space="0"/>
              <w:right w:val="single" w:color="auto" w:sz="4" w:space="0"/>
            </w:tcBorders>
            <w:vAlign w:val="center"/>
          </w:tcPr>
          <w:p>
            <w:pPr>
              <w:pStyle w:val="63"/>
              <w:rPr>
                <w:szCs w:val="24"/>
                <w:u w:val="single"/>
              </w:rPr>
            </w:pPr>
            <w:r>
              <w:rPr>
                <w:u w:val="single"/>
              </w:rPr>
              <w:t>IV</w:t>
            </w:r>
          </w:p>
        </w:tc>
        <w:tc>
          <w:tcPr>
            <w:tcW w:w="1667" w:type="pct"/>
            <w:tcBorders>
              <w:top w:val="single" w:color="auto" w:sz="4" w:space="0"/>
              <w:left w:val="single" w:color="auto" w:sz="4" w:space="0"/>
              <w:bottom w:val="single" w:color="auto" w:sz="4" w:space="0"/>
              <w:right w:val="single" w:color="auto" w:sz="12" w:space="0"/>
            </w:tcBorders>
            <w:vAlign w:val="center"/>
          </w:tcPr>
          <w:p>
            <w:pPr>
              <w:pStyle w:val="63"/>
              <w:rPr>
                <w:szCs w:val="24"/>
                <w:u w:val="single"/>
              </w:rPr>
            </w:pPr>
            <w:r>
              <w:rPr>
                <w:u w:val="single"/>
              </w:rPr>
              <w:t>一级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7" w:type="pct"/>
            <w:tcBorders>
              <w:top w:val="single" w:color="auto" w:sz="4" w:space="0"/>
              <w:left w:val="single" w:color="auto" w:sz="12" w:space="0"/>
              <w:bottom w:val="single" w:color="auto" w:sz="12" w:space="0"/>
              <w:right w:val="single" w:color="auto" w:sz="4" w:space="0"/>
            </w:tcBorders>
            <w:vAlign w:val="center"/>
          </w:tcPr>
          <w:p>
            <w:pPr>
              <w:pStyle w:val="63"/>
              <w:rPr>
                <w:szCs w:val="24"/>
                <w:u w:val="single"/>
              </w:rPr>
            </w:pPr>
            <w:r>
              <w:rPr>
                <w:u w:val="single"/>
              </w:rPr>
              <w:t>地下水环境</w:t>
            </w:r>
          </w:p>
        </w:tc>
        <w:tc>
          <w:tcPr>
            <w:tcW w:w="1667" w:type="pct"/>
            <w:tcBorders>
              <w:top w:val="single" w:color="auto" w:sz="4" w:space="0"/>
              <w:left w:val="single" w:color="auto" w:sz="4" w:space="0"/>
              <w:bottom w:val="single" w:color="auto" w:sz="12" w:space="0"/>
              <w:right w:val="single" w:color="auto" w:sz="4" w:space="0"/>
            </w:tcBorders>
            <w:vAlign w:val="center"/>
          </w:tcPr>
          <w:p>
            <w:pPr>
              <w:pStyle w:val="63"/>
              <w:rPr>
                <w:szCs w:val="24"/>
                <w:u w:val="single"/>
              </w:rPr>
            </w:pPr>
            <w:r>
              <w:rPr>
                <w:u w:val="single"/>
              </w:rPr>
              <w:t>III</w:t>
            </w:r>
          </w:p>
        </w:tc>
        <w:tc>
          <w:tcPr>
            <w:tcW w:w="1667" w:type="pct"/>
            <w:tcBorders>
              <w:top w:val="single" w:color="auto" w:sz="4" w:space="0"/>
              <w:left w:val="single" w:color="auto" w:sz="4" w:space="0"/>
              <w:bottom w:val="single" w:color="auto" w:sz="12" w:space="0"/>
              <w:right w:val="single" w:color="auto" w:sz="12" w:space="0"/>
            </w:tcBorders>
            <w:vAlign w:val="center"/>
          </w:tcPr>
          <w:p>
            <w:pPr>
              <w:pStyle w:val="63"/>
              <w:rPr>
                <w:szCs w:val="24"/>
                <w:u w:val="single"/>
              </w:rPr>
            </w:pPr>
            <w:r>
              <w:rPr>
                <w:u w:val="single"/>
              </w:rPr>
              <w:t>二级</w:t>
            </w:r>
          </w:p>
        </w:tc>
      </w:tr>
    </w:tbl>
    <w:p>
      <w:pPr>
        <w:pStyle w:val="4"/>
        <w:rPr>
          <w:rFonts w:ascii="Times New Roman" w:hAnsi="Times New Roman" w:cs="Times New Roman"/>
        </w:rPr>
      </w:pPr>
      <w:bookmarkStart w:id="103" w:name="_Toc144236747"/>
      <w:bookmarkStart w:id="104" w:name="_Toc144276877"/>
      <w:bookmarkStart w:id="105" w:name="_Toc147847997"/>
      <w:r>
        <w:rPr>
          <w:rFonts w:ascii="Times New Roman" w:hAnsi="Times New Roman" w:cs="Times New Roman"/>
        </w:rPr>
        <w:t>2.6.2 评价范围</w:t>
      </w:r>
      <w:bookmarkEnd w:id="103"/>
      <w:bookmarkEnd w:id="104"/>
      <w:bookmarkEnd w:id="105"/>
    </w:p>
    <w:p>
      <w:pPr>
        <w:pStyle w:val="5"/>
        <w:ind w:firstLine="482"/>
        <w:rPr>
          <w:rFonts w:ascii="Times New Roman" w:hAnsi="Times New Roman" w:cs="Times New Roman" w:eastAsiaTheme="minorEastAsia"/>
        </w:rPr>
      </w:pPr>
      <w:r>
        <w:rPr>
          <w:rFonts w:ascii="Times New Roman" w:hAnsi="Times New Roman" w:cs="Times New Roman" w:eastAsiaTheme="minorEastAsia"/>
        </w:rPr>
        <w:t>2.6.2.1 环境空气</w:t>
      </w:r>
    </w:p>
    <w:p>
      <w:pPr>
        <w:spacing w:line="360" w:lineRule="auto"/>
        <w:ind w:firstLine="480" w:firstLineChars="200"/>
        <w:rPr>
          <w:rFonts w:ascii="Times New Roman" w:hAnsi="Times New Roman" w:cs="Times New Roman"/>
        </w:rPr>
      </w:pPr>
      <w:r>
        <w:rPr>
          <w:rFonts w:ascii="Times New Roman" w:hAnsi="Times New Roman" w:cs="Times New Roman"/>
        </w:rPr>
        <w:t>根据《环境影响评价技术导则-大气环境》(HJ2.2-2018) 中5.4节评价范围的确定方法，一级评价项目根据建设项目排放污染物的最远影响距离（D10%）确定大气环境影响评价范围，当D10%小于2.5km时，评价范围边长取5km。因此，本评价范围以项目厂址为中心，5000m×5000m的矩形区域。</w:t>
      </w:r>
    </w:p>
    <w:p>
      <w:pPr>
        <w:pStyle w:val="5"/>
        <w:ind w:firstLine="482"/>
        <w:rPr>
          <w:rFonts w:ascii="Times New Roman" w:hAnsi="Times New Roman" w:cs="Times New Roman" w:eastAsiaTheme="minorEastAsia"/>
        </w:rPr>
      </w:pPr>
      <w:r>
        <w:rPr>
          <w:rFonts w:ascii="Times New Roman" w:hAnsi="Times New Roman" w:cs="Times New Roman" w:eastAsiaTheme="minorEastAsia"/>
        </w:rPr>
        <w:t>2.6.2.2 地表水环境</w:t>
      </w:r>
    </w:p>
    <w:p>
      <w:pPr>
        <w:spacing w:line="360" w:lineRule="auto"/>
        <w:ind w:firstLine="480" w:firstLineChars="200"/>
        <w:rPr>
          <w:rFonts w:ascii="Times New Roman" w:hAnsi="Times New Roman" w:cs="Times New Roman"/>
        </w:rPr>
      </w:pPr>
      <w:r>
        <w:rPr>
          <w:rFonts w:ascii="Times New Roman" w:hAnsi="Times New Roman" w:cs="Times New Roman"/>
        </w:rPr>
        <w:t>根据《环境影响评价技术导则地表水环境》（HJ2.3-2018），本项目地表水环境影响评价等级为“三级B”，评价范围为“涉及地表水环境风险的，应覆盖环境风险影响范围所及的水环境保护目标水域”，因此本项目地表水环境评价范围为园区污水处理厂上游100m至下游2000m。</w:t>
      </w:r>
    </w:p>
    <w:p>
      <w:pPr>
        <w:pStyle w:val="5"/>
        <w:ind w:firstLine="482"/>
        <w:rPr>
          <w:rFonts w:ascii="Times New Roman" w:hAnsi="Times New Roman" w:cs="Times New Roman" w:eastAsiaTheme="minorEastAsia"/>
          <w:u w:val="single"/>
        </w:rPr>
      </w:pPr>
      <w:r>
        <w:rPr>
          <w:rFonts w:ascii="Times New Roman" w:hAnsi="Times New Roman" w:cs="Times New Roman" w:eastAsiaTheme="minorEastAsia"/>
          <w:u w:val="single"/>
        </w:rPr>
        <w:t>2.6.2.3 地下水</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根据《环境影响评价技术导则地下水环境》（HJ610-2016）中的查表法，地下水环境影响评价等级为“三级”，调查评价范围应为6-20km</w:t>
      </w:r>
      <w:r>
        <w:rPr>
          <w:rFonts w:ascii="Times New Roman" w:hAnsi="Times New Roman" w:cs="Times New Roman"/>
          <w:u w:val="single"/>
          <w:vertAlign w:val="superscript"/>
        </w:rPr>
        <w:t>2</w:t>
      </w:r>
      <w:r>
        <w:rPr>
          <w:rFonts w:ascii="Times New Roman" w:hAnsi="Times New Roman" w:cs="Times New Roman"/>
          <w:u w:val="single"/>
        </w:rPr>
        <w:t>。本项目地下水环境影响评价工作等级为“三级”，因此确定本项目地下水环境影响评价范围为以项目厂址为中心，周边6km</w:t>
      </w:r>
      <w:r>
        <w:rPr>
          <w:rFonts w:ascii="Times New Roman" w:hAnsi="Times New Roman" w:cs="Times New Roman"/>
          <w:u w:val="single"/>
          <w:vertAlign w:val="superscript"/>
        </w:rPr>
        <w:t>2</w:t>
      </w:r>
      <w:r>
        <w:rPr>
          <w:rFonts w:ascii="Times New Roman" w:hAnsi="Times New Roman" w:cs="Times New Roman"/>
          <w:u w:val="single"/>
        </w:rPr>
        <w:t>的范围。</w:t>
      </w:r>
    </w:p>
    <w:p>
      <w:pPr>
        <w:pStyle w:val="5"/>
        <w:ind w:firstLine="482"/>
        <w:rPr>
          <w:rFonts w:ascii="Times New Roman" w:hAnsi="Times New Roman" w:cs="Times New Roman" w:eastAsiaTheme="minorEastAsia"/>
        </w:rPr>
      </w:pPr>
      <w:r>
        <w:rPr>
          <w:rFonts w:ascii="Times New Roman" w:hAnsi="Times New Roman" w:cs="Times New Roman" w:eastAsiaTheme="minorEastAsia"/>
        </w:rPr>
        <w:t>2.6.2.4 声环境</w:t>
      </w:r>
    </w:p>
    <w:p>
      <w:pPr>
        <w:spacing w:line="360" w:lineRule="auto"/>
        <w:ind w:firstLine="480" w:firstLineChars="200"/>
        <w:rPr>
          <w:rFonts w:ascii="Times New Roman" w:hAnsi="Times New Roman" w:cs="Times New Roman"/>
        </w:rPr>
      </w:pPr>
      <w:r>
        <w:rPr>
          <w:rFonts w:ascii="Times New Roman" w:hAnsi="Times New Roman" w:cs="Times New Roman"/>
        </w:rPr>
        <w:t>根据《环境影响评价技术导则声环境》（HJ2.4-2009），本项目声评价等级为“三级”，声环境影响评价范围为项目厂界外200m的区域。</w:t>
      </w:r>
    </w:p>
    <w:p>
      <w:pPr>
        <w:pStyle w:val="5"/>
        <w:ind w:firstLine="482"/>
        <w:rPr>
          <w:rFonts w:ascii="Times New Roman" w:hAnsi="Times New Roman" w:cs="Times New Roman" w:eastAsiaTheme="minorEastAsia"/>
        </w:rPr>
      </w:pPr>
      <w:r>
        <w:rPr>
          <w:rFonts w:ascii="Times New Roman" w:hAnsi="Times New Roman" w:cs="Times New Roman" w:eastAsiaTheme="minorEastAsia"/>
        </w:rPr>
        <w:t>2.6.2.5 生态环境</w:t>
      </w:r>
    </w:p>
    <w:p>
      <w:pPr>
        <w:pStyle w:val="10"/>
        <w:ind w:firstLine="480"/>
        <w:rPr>
          <w:rFonts w:ascii="Times New Roman" w:hAnsi="Times New Roman" w:cs="Times New Roman"/>
        </w:rPr>
      </w:pPr>
      <w:r>
        <w:rPr>
          <w:rFonts w:ascii="Times New Roman" w:hAnsi="Times New Roman" w:cs="Times New Roman"/>
          <w:color w:val="000000"/>
          <w:kern w:val="0"/>
          <w:lang w:bidi="ar"/>
        </w:rPr>
        <w:t>《环境影响评价技术导则 生态影响》（HJ19-2022）</w:t>
      </w:r>
      <w:r>
        <w:rPr>
          <w:rFonts w:ascii="Times New Roman" w:hAnsi="Times New Roman" w:cs="Times New Roman"/>
        </w:rPr>
        <w:t>可知，本项目</w:t>
      </w:r>
      <w:r>
        <w:rPr>
          <w:rFonts w:ascii="Times New Roman" w:hAnsi="Times New Roman" w:cs="Times New Roman"/>
          <w:color w:val="000000"/>
          <w:kern w:val="0"/>
          <w:lang w:bidi="ar"/>
        </w:rPr>
        <w:t>直接进行生态影响简单分析，不设置生态评价范围。</w:t>
      </w:r>
    </w:p>
    <w:p>
      <w:pPr>
        <w:pStyle w:val="5"/>
        <w:ind w:firstLine="482"/>
        <w:rPr>
          <w:rFonts w:ascii="Times New Roman" w:hAnsi="Times New Roman" w:cs="Times New Roman" w:eastAsiaTheme="minorEastAsia"/>
        </w:rPr>
      </w:pPr>
      <w:r>
        <w:rPr>
          <w:rFonts w:ascii="Times New Roman" w:hAnsi="Times New Roman" w:cs="Times New Roman" w:eastAsiaTheme="minorEastAsia"/>
        </w:rPr>
        <w:t>2.6.2.6 土壤环境</w:t>
      </w:r>
    </w:p>
    <w:p>
      <w:pPr>
        <w:spacing w:line="360" w:lineRule="auto"/>
        <w:ind w:firstLine="480" w:firstLineChars="200"/>
        <w:rPr>
          <w:rFonts w:ascii="Times New Roman" w:hAnsi="Times New Roman" w:cs="Times New Roman"/>
        </w:rPr>
      </w:pPr>
      <w:r>
        <w:rPr>
          <w:rFonts w:ascii="Times New Roman" w:hAnsi="Times New Roman" w:cs="Times New Roman"/>
        </w:rPr>
        <w:t>根据《环境影响评价技术导则土壤环境（试行）》（HJ964-2018），本项目土壤环境影响评价等级为“三级”，因此本项目土壤环境影响评价范围为厂界外50m。</w:t>
      </w:r>
    </w:p>
    <w:p>
      <w:pPr>
        <w:pStyle w:val="5"/>
        <w:ind w:firstLine="482"/>
        <w:rPr>
          <w:rFonts w:ascii="Times New Roman" w:hAnsi="Times New Roman" w:cs="Times New Roman" w:eastAsiaTheme="minorEastAsia"/>
        </w:rPr>
      </w:pPr>
      <w:r>
        <w:rPr>
          <w:rFonts w:ascii="Times New Roman" w:hAnsi="Times New Roman" w:cs="Times New Roman" w:eastAsiaTheme="minorEastAsia"/>
        </w:rPr>
        <w:t>2.6.2.7 环境风险</w:t>
      </w:r>
    </w:p>
    <w:p>
      <w:pPr>
        <w:spacing w:line="360" w:lineRule="auto"/>
        <w:ind w:firstLine="480" w:firstLineChars="200"/>
        <w:rPr>
          <w:rFonts w:ascii="Times New Roman" w:hAnsi="Times New Roman" w:cs="Times New Roman"/>
        </w:rPr>
      </w:pPr>
      <w:r>
        <w:rPr>
          <w:rFonts w:ascii="Times New Roman" w:hAnsi="Times New Roman" w:cs="Times New Roman"/>
        </w:rPr>
        <w:t>本项目风险评价工作等级为“一级”。根据《建设项目环境风险评价技术导则》（HJ169-2018），本项目大气环境风险评价范围为项目周边5km的区域；地表水环境风险评价范围与地表水环境评价范围一致；地下水环境风险评价范围与地下水环境评价范围一致。</w:t>
      </w:r>
    </w:p>
    <w:p>
      <w:pPr>
        <w:pStyle w:val="5"/>
        <w:ind w:firstLine="482"/>
        <w:rPr>
          <w:rFonts w:ascii="Times New Roman" w:hAnsi="Times New Roman" w:cs="Times New Roman" w:eastAsiaTheme="minorEastAsia"/>
        </w:rPr>
      </w:pPr>
      <w:r>
        <w:rPr>
          <w:rFonts w:ascii="Times New Roman" w:hAnsi="Times New Roman" w:cs="Times New Roman" w:eastAsiaTheme="minorEastAsia"/>
        </w:rPr>
        <w:t>2.6.2.8 评价范围汇总</w:t>
      </w:r>
    </w:p>
    <w:p>
      <w:pPr>
        <w:pStyle w:val="6"/>
        <w:rPr>
          <w:rFonts w:ascii="Times New Roman" w:hAnsi="Times New Roman" w:cs="Times New Roman"/>
        </w:rPr>
      </w:pPr>
      <w:r>
        <w:rPr>
          <w:rFonts w:ascii="Times New Roman" w:hAnsi="Times New Roman" w:cs="Times New Roman"/>
        </w:rPr>
        <w:t>表2.6-13  环境影响评价等级和范围一览表</w:t>
      </w:r>
    </w:p>
    <w:tbl>
      <w:tblPr>
        <w:tblStyle w:val="35"/>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849"/>
        <w:gridCol w:w="1492"/>
        <w:gridCol w:w="1365"/>
        <w:gridCol w:w="463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blHeader/>
        </w:trPr>
        <w:tc>
          <w:tcPr>
            <w:tcW w:w="1404" w:type="pct"/>
            <w:gridSpan w:val="2"/>
            <w:vAlign w:val="center"/>
          </w:tcPr>
          <w:p>
            <w:pPr>
              <w:pStyle w:val="63"/>
            </w:pPr>
            <w:r>
              <w:t>内容</w:t>
            </w:r>
          </w:p>
        </w:tc>
        <w:tc>
          <w:tcPr>
            <w:tcW w:w="819" w:type="pct"/>
            <w:vAlign w:val="center"/>
          </w:tcPr>
          <w:p>
            <w:pPr>
              <w:pStyle w:val="63"/>
            </w:pPr>
            <w:r>
              <w:t>评价等级</w:t>
            </w:r>
          </w:p>
        </w:tc>
        <w:tc>
          <w:tcPr>
            <w:tcW w:w="2777" w:type="pct"/>
            <w:vAlign w:val="center"/>
          </w:tcPr>
          <w:p>
            <w:pPr>
              <w:pStyle w:val="63"/>
            </w:pPr>
            <w:r>
              <w:t>评价范围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404" w:type="pct"/>
            <w:gridSpan w:val="2"/>
            <w:vAlign w:val="center"/>
          </w:tcPr>
          <w:p>
            <w:pPr>
              <w:pStyle w:val="63"/>
            </w:pPr>
            <w:r>
              <w:t>环境空气</w:t>
            </w:r>
          </w:p>
        </w:tc>
        <w:tc>
          <w:tcPr>
            <w:tcW w:w="819" w:type="pct"/>
            <w:vAlign w:val="center"/>
          </w:tcPr>
          <w:p>
            <w:pPr>
              <w:pStyle w:val="63"/>
            </w:pPr>
            <w:r>
              <w:t>一级</w:t>
            </w:r>
          </w:p>
        </w:tc>
        <w:tc>
          <w:tcPr>
            <w:tcW w:w="2777" w:type="pct"/>
            <w:vAlign w:val="center"/>
          </w:tcPr>
          <w:p>
            <w:pPr>
              <w:pStyle w:val="63"/>
            </w:pPr>
            <w:r>
              <w:t>以项目厂址为中心，边长为5km的矩形区域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404" w:type="pct"/>
            <w:gridSpan w:val="2"/>
            <w:vAlign w:val="center"/>
          </w:tcPr>
          <w:p>
            <w:pPr>
              <w:pStyle w:val="63"/>
            </w:pPr>
            <w:r>
              <w:t>地表水环境</w:t>
            </w:r>
          </w:p>
        </w:tc>
        <w:tc>
          <w:tcPr>
            <w:tcW w:w="819" w:type="pct"/>
            <w:vAlign w:val="center"/>
          </w:tcPr>
          <w:p>
            <w:pPr>
              <w:pStyle w:val="63"/>
            </w:pPr>
            <w:r>
              <w:t>三级B</w:t>
            </w:r>
          </w:p>
        </w:tc>
        <w:tc>
          <w:tcPr>
            <w:tcW w:w="2777" w:type="pct"/>
            <w:vAlign w:val="center"/>
          </w:tcPr>
          <w:p>
            <w:pPr>
              <w:pStyle w:val="63"/>
            </w:pPr>
            <w:r>
              <w:t>园区污水处理厂排放口上游100m至下游2000m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404" w:type="pct"/>
            <w:gridSpan w:val="2"/>
            <w:vAlign w:val="center"/>
          </w:tcPr>
          <w:p>
            <w:pPr>
              <w:pStyle w:val="63"/>
            </w:pPr>
            <w:r>
              <w:t>地下水环境</w:t>
            </w:r>
          </w:p>
        </w:tc>
        <w:tc>
          <w:tcPr>
            <w:tcW w:w="819" w:type="pct"/>
            <w:vAlign w:val="center"/>
          </w:tcPr>
          <w:p>
            <w:pPr>
              <w:pStyle w:val="63"/>
            </w:pPr>
            <w:r>
              <w:t>三级</w:t>
            </w:r>
          </w:p>
        </w:tc>
        <w:tc>
          <w:tcPr>
            <w:tcW w:w="2777" w:type="pct"/>
            <w:vAlign w:val="center"/>
          </w:tcPr>
          <w:p>
            <w:pPr>
              <w:pStyle w:val="63"/>
            </w:pPr>
            <w:r>
              <w:t>以项目厂址为中心，周边6km</w:t>
            </w:r>
            <w:r>
              <w:rPr>
                <w:vertAlign w:val="superscript"/>
              </w:rPr>
              <w:t>2</w:t>
            </w:r>
            <w:r>
              <w:t>的范围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404" w:type="pct"/>
            <w:gridSpan w:val="2"/>
            <w:vAlign w:val="center"/>
          </w:tcPr>
          <w:p>
            <w:pPr>
              <w:pStyle w:val="63"/>
            </w:pPr>
            <w:r>
              <w:t>声环境</w:t>
            </w:r>
          </w:p>
        </w:tc>
        <w:tc>
          <w:tcPr>
            <w:tcW w:w="819" w:type="pct"/>
            <w:vAlign w:val="center"/>
          </w:tcPr>
          <w:p>
            <w:pPr>
              <w:pStyle w:val="63"/>
            </w:pPr>
            <w:r>
              <w:t>三级</w:t>
            </w:r>
          </w:p>
        </w:tc>
        <w:tc>
          <w:tcPr>
            <w:tcW w:w="2777" w:type="pct"/>
            <w:vAlign w:val="center"/>
          </w:tcPr>
          <w:p>
            <w:pPr>
              <w:pStyle w:val="63"/>
            </w:pPr>
            <w:r>
              <w:t>本项目厂界外200m内的区域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404" w:type="pct"/>
            <w:gridSpan w:val="2"/>
            <w:vAlign w:val="center"/>
          </w:tcPr>
          <w:p>
            <w:pPr>
              <w:pStyle w:val="63"/>
            </w:pPr>
            <w:r>
              <w:t>生态</w:t>
            </w:r>
          </w:p>
        </w:tc>
        <w:tc>
          <w:tcPr>
            <w:tcW w:w="819" w:type="pct"/>
            <w:vAlign w:val="center"/>
          </w:tcPr>
          <w:p>
            <w:pPr>
              <w:pStyle w:val="63"/>
            </w:pPr>
            <w:r>
              <w:t>简单分析</w:t>
            </w:r>
          </w:p>
        </w:tc>
        <w:tc>
          <w:tcPr>
            <w:tcW w:w="2777" w:type="pct"/>
            <w:vAlign w:val="center"/>
          </w:tcPr>
          <w:p>
            <w:pPr>
              <w:pStyle w:val="63"/>
            </w:pPr>
            <w: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404" w:type="pct"/>
            <w:gridSpan w:val="2"/>
            <w:vAlign w:val="center"/>
          </w:tcPr>
          <w:p>
            <w:pPr>
              <w:pStyle w:val="63"/>
            </w:pPr>
            <w:r>
              <w:t>土壤环境</w:t>
            </w:r>
          </w:p>
        </w:tc>
        <w:tc>
          <w:tcPr>
            <w:tcW w:w="819" w:type="pct"/>
            <w:vAlign w:val="center"/>
          </w:tcPr>
          <w:p>
            <w:pPr>
              <w:pStyle w:val="63"/>
            </w:pPr>
            <w:r>
              <w:t>三级</w:t>
            </w:r>
          </w:p>
        </w:tc>
        <w:tc>
          <w:tcPr>
            <w:tcW w:w="2777" w:type="pct"/>
            <w:vAlign w:val="center"/>
          </w:tcPr>
          <w:p>
            <w:pPr>
              <w:pStyle w:val="63"/>
            </w:pPr>
            <w:r>
              <w:t>本项目厂界外50m内的区域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9" w:type="pct"/>
            <w:vMerge w:val="restart"/>
            <w:vAlign w:val="center"/>
          </w:tcPr>
          <w:p>
            <w:pPr>
              <w:pStyle w:val="63"/>
            </w:pPr>
            <w:r>
              <w:t>环境风险</w:t>
            </w:r>
          </w:p>
        </w:tc>
        <w:tc>
          <w:tcPr>
            <w:tcW w:w="895" w:type="pct"/>
            <w:vAlign w:val="center"/>
          </w:tcPr>
          <w:p>
            <w:pPr>
              <w:pStyle w:val="63"/>
            </w:pPr>
            <w:r>
              <w:t>大气</w:t>
            </w:r>
          </w:p>
        </w:tc>
        <w:tc>
          <w:tcPr>
            <w:tcW w:w="819" w:type="pct"/>
            <w:vAlign w:val="center"/>
          </w:tcPr>
          <w:p>
            <w:pPr>
              <w:pStyle w:val="63"/>
            </w:pPr>
            <w:r>
              <w:t>一级</w:t>
            </w:r>
          </w:p>
        </w:tc>
        <w:tc>
          <w:tcPr>
            <w:tcW w:w="2777" w:type="pct"/>
            <w:vAlign w:val="center"/>
          </w:tcPr>
          <w:p>
            <w:pPr>
              <w:pStyle w:val="63"/>
            </w:pPr>
            <w:r>
              <w:t>项目周边5km的区域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9" w:type="pct"/>
            <w:vMerge w:val="continue"/>
            <w:vAlign w:val="center"/>
          </w:tcPr>
          <w:p>
            <w:pPr>
              <w:pStyle w:val="63"/>
            </w:pPr>
          </w:p>
        </w:tc>
        <w:tc>
          <w:tcPr>
            <w:tcW w:w="895" w:type="pct"/>
            <w:vAlign w:val="center"/>
          </w:tcPr>
          <w:p>
            <w:pPr>
              <w:pStyle w:val="63"/>
            </w:pPr>
            <w:r>
              <w:t>地表水</w:t>
            </w:r>
          </w:p>
        </w:tc>
        <w:tc>
          <w:tcPr>
            <w:tcW w:w="819" w:type="pct"/>
            <w:vAlign w:val="center"/>
          </w:tcPr>
          <w:p>
            <w:pPr>
              <w:pStyle w:val="63"/>
            </w:pPr>
            <w:r>
              <w:t>二级</w:t>
            </w:r>
          </w:p>
        </w:tc>
        <w:tc>
          <w:tcPr>
            <w:tcW w:w="2777" w:type="pct"/>
            <w:vAlign w:val="center"/>
          </w:tcPr>
          <w:p>
            <w:pPr>
              <w:pStyle w:val="63"/>
            </w:pPr>
            <w:r>
              <w:t>园区污水处理厂排放口上游100m至下游2000m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9" w:type="pct"/>
            <w:vMerge w:val="continue"/>
            <w:vAlign w:val="center"/>
          </w:tcPr>
          <w:p>
            <w:pPr>
              <w:pStyle w:val="63"/>
            </w:pPr>
          </w:p>
        </w:tc>
        <w:tc>
          <w:tcPr>
            <w:tcW w:w="895" w:type="pct"/>
            <w:vAlign w:val="center"/>
          </w:tcPr>
          <w:p>
            <w:pPr>
              <w:pStyle w:val="63"/>
            </w:pPr>
            <w:r>
              <w:t>地下水</w:t>
            </w:r>
          </w:p>
        </w:tc>
        <w:tc>
          <w:tcPr>
            <w:tcW w:w="819" w:type="pct"/>
            <w:vAlign w:val="center"/>
          </w:tcPr>
          <w:p>
            <w:pPr>
              <w:pStyle w:val="63"/>
            </w:pPr>
            <w:r>
              <w:t>二级</w:t>
            </w:r>
          </w:p>
        </w:tc>
        <w:tc>
          <w:tcPr>
            <w:tcW w:w="2777" w:type="pct"/>
            <w:vAlign w:val="center"/>
          </w:tcPr>
          <w:p>
            <w:pPr>
              <w:pStyle w:val="63"/>
            </w:pPr>
            <w:r>
              <w:t>以本项目厂址为中心，周边6km</w:t>
            </w:r>
            <w:r>
              <w:rPr>
                <w:vertAlign w:val="superscript"/>
              </w:rPr>
              <w:t>2</w:t>
            </w:r>
            <w:r>
              <w:t>评价范围</w:t>
            </w:r>
          </w:p>
        </w:tc>
      </w:tr>
      <w:bookmarkEnd w:id="66"/>
      <w:bookmarkEnd w:id="67"/>
      <w:bookmarkEnd w:id="68"/>
      <w:bookmarkEnd w:id="69"/>
      <w:bookmarkEnd w:id="70"/>
      <w:bookmarkEnd w:id="71"/>
      <w:bookmarkEnd w:id="72"/>
      <w:bookmarkEnd w:id="73"/>
      <w:bookmarkEnd w:id="74"/>
    </w:tbl>
    <w:p>
      <w:pPr>
        <w:pStyle w:val="3"/>
        <w:rPr>
          <w:rFonts w:ascii="Times New Roman" w:hAnsi="Times New Roman" w:cs="Times New Roman" w:eastAsiaTheme="minorEastAsia"/>
        </w:rPr>
      </w:pPr>
      <w:bookmarkStart w:id="106" w:name="_Toc102658197"/>
      <w:bookmarkStart w:id="107" w:name="_Toc144276878"/>
      <w:bookmarkStart w:id="108" w:name="_Toc147847998"/>
      <w:bookmarkStart w:id="109" w:name="_Toc144236748"/>
      <w:bookmarkStart w:id="110" w:name="_Toc3207233"/>
      <w:r>
        <w:rPr>
          <w:rFonts w:ascii="Times New Roman" w:hAnsi="Times New Roman" w:cs="Times New Roman" w:eastAsiaTheme="minorEastAsia"/>
        </w:rPr>
        <w:t>2.7 环境保护目标</w:t>
      </w:r>
      <w:bookmarkEnd w:id="106"/>
      <w:bookmarkEnd w:id="107"/>
      <w:bookmarkEnd w:id="108"/>
      <w:bookmarkEnd w:id="109"/>
      <w:bookmarkEnd w:id="110"/>
    </w:p>
    <w:p>
      <w:pPr>
        <w:spacing w:line="360" w:lineRule="auto"/>
        <w:ind w:firstLine="480" w:firstLineChars="200"/>
        <w:rPr>
          <w:rFonts w:ascii="Times New Roman" w:hAnsi="Times New Roman" w:cs="Times New Roman"/>
        </w:rPr>
      </w:pPr>
      <w:r>
        <w:rPr>
          <w:rFonts w:ascii="Times New Roman" w:hAnsi="Times New Roman" w:cs="Times New Roman"/>
        </w:rPr>
        <w:t>本工程不涉及生态红线，不在自然保护区、风景名胜区内，评价区域内没有珍稀动植物资源、自然保护区等敏感目标，根据项目性质及周边环境特征，确定本工程主要环境保护目标为项目及周边的敏感点的生态环境、水环境、声环境、大气环境等。具体环境保护目标见下表所示。</w:t>
      </w:r>
    </w:p>
    <w:p>
      <w:pPr>
        <w:spacing w:line="360" w:lineRule="auto"/>
        <w:ind w:firstLine="480" w:firstLineChars="200"/>
        <w:rPr>
          <w:rFonts w:ascii="Times New Roman" w:hAnsi="Times New Roman" w:cs="Times New Roman"/>
        </w:rPr>
        <w:sectPr>
          <w:pgSz w:w="11906" w:h="16838"/>
          <w:pgMar w:top="1440" w:right="1800" w:bottom="1440" w:left="1800" w:header="851" w:footer="992" w:gutter="0"/>
          <w:cols w:space="425" w:num="1"/>
          <w:docGrid w:type="lines" w:linePitch="312" w:charSpace="0"/>
        </w:sectPr>
      </w:pPr>
    </w:p>
    <w:p>
      <w:pPr>
        <w:pStyle w:val="6"/>
        <w:rPr>
          <w:rFonts w:ascii="Times New Roman" w:hAnsi="Times New Roman" w:cs="Times New Roman"/>
        </w:rPr>
      </w:pPr>
      <w:r>
        <w:rPr>
          <w:rFonts w:ascii="Times New Roman" w:hAnsi="Times New Roman" w:cs="Times New Roman"/>
        </w:rPr>
        <w:t xml:space="preserve">表2.7-1  </w:t>
      </w:r>
      <w:r>
        <w:rPr>
          <w:rFonts w:hint="eastAsia" w:ascii="Times New Roman" w:hAnsi="Times New Roman" w:cs="Times New Roman"/>
        </w:rPr>
        <w:t>综合利用厂区</w:t>
      </w:r>
      <w:r>
        <w:rPr>
          <w:rFonts w:ascii="Times New Roman" w:hAnsi="Times New Roman" w:cs="Times New Roman"/>
        </w:rPr>
        <w:t>主要大气环境保护目标</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99"/>
        <w:gridCol w:w="1661"/>
        <w:gridCol w:w="2166"/>
        <w:gridCol w:w="2169"/>
        <w:gridCol w:w="1417"/>
        <w:gridCol w:w="1276"/>
        <w:gridCol w:w="1134"/>
        <w:gridCol w:w="1987"/>
        <w:gridCol w:w="11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423" w:type="pct"/>
            <w:vAlign w:val="center"/>
          </w:tcPr>
          <w:p>
            <w:pPr>
              <w:pStyle w:val="63"/>
              <w:rPr>
                <w:u w:val="single"/>
              </w:rPr>
            </w:pPr>
            <w:r>
              <w:rPr>
                <w:u w:val="single"/>
              </w:rPr>
              <w:t>序号</w:t>
            </w:r>
          </w:p>
        </w:tc>
        <w:tc>
          <w:tcPr>
            <w:tcW w:w="586" w:type="pct"/>
            <w:vAlign w:val="center"/>
          </w:tcPr>
          <w:p>
            <w:pPr>
              <w:pStyle w:val="63"/>
              <w:rPr>
                <w:u w:val="single"/>
              </w:rPr>
            </w:pPr>
            <w:r>
              <w:rPr>
                <w:u w:val="single"/>
              </w:rPr>
              <w:t>名称</w:t>
            </w:r>
          </w:p>
        </w:tc>
        <w:tc>
          <w:tcPr>
            <w:tcW w:w="1529" w:type="pct"/>
            <w:gridSpan w:val="2"/>
            <w:vAlign w:val="center"/>
          </w:tcPr>
          <w:p>
            <w:pPr>
              <w:pStyle w:val="63"/>
              <w:rPr>
                <w:u w:val="single"/>
              </w:rPr>
            </w:pPr>
            <w:r>
              <w:rPr>
                <w:u w:val="single"/>
              </w:rPr>
              <w:t>位置坐标</w:t>
            </w:r>
          </w:p>
        </w:tc>
        <w:tc>
          <w:tcPr>
            <w:tcW w:w="500" w:type="pct"/>
            <w:vAlign w:val="center"/>
          </w:tcPr>
          <w:p>
            <w:pPr>
              <w:pStyle w:val="63"/>
              <w:rPr>
                <w:u w:val="single"/>
              </w:rPr>
            </w:pPr>
            <w:r>
              <w:rPr>
                <w:u w:val="single"/>
              </w:rPr>
              <w:t>相对综合利用厂址方位</w:t>
            </w:r>
          </w:p>
        </w:tc>
        <w:tc>
          <w:tcPr>
            <w:tcW w:w="450" w:type="pct"/>
            <w:vAlign w:val="center"/>
          </w:tcPr>
          <w:p>
            <w:pPr>
              <w:pStyle w:val="63"/>
              <w:rPr>
                <w:u w:val="single"/>
              </w:rPr>
            </w:pPr>
            <w:r>
              <w:rPr>
                <w:u w:val="single"/>
              </w:rPr>
              <w:t>相对综合利用厂址距离/m</w:t>
            </w:r>
          </w:p>
        </w:tc>
        <w:tc>
          <w:tcPr>
            <w:tcW w:w="400" w:type="pct"/>
            <w:vAlign w:val="center"/>
          </w:tcPr>
          <w:p>
            <w:pPr>
              <w:pStyle w:val="63"/>
              <w:rPr>
                <w:u w:val="single"/>
              </w:rPr>
            </w:pPr>
            <w:r>
              <w:rPr>
                <w:u w:val="single"/>
              </w:rPr>
              <w:t>阻隔、高差（m）</w:t>
            </w:r>
          </w:p>
        </w:tc>
        <w:tc>
          <w:tcPr>
            <w:tcW w:w="701" w:type="pct"/>
            <w:vAlign w:val="center"/>
          </w:tcPr>
          <w:p>
            <w:pPr>
              <w:pStyle w:val="63"/>
              <w:rPr>
                <w:u w:val="single"/>
              </w:rPr>
            </w:pPr>
            <w:r>
              <w:rPr>
                <w:u w:val="single"/>
              </w:rPr>
              <w:t>保护内容</w:t>
            </w:r>
          </w:p>
        </w:tc>
        <w:tc>
          <w:tcPr>
            <w:tcW w:w="411" w:type="pct"/>
            <w:vAlign w:val="center"/>
          </w:tcPr>
          <w:p>
            <w:pPr>
              <w:pStyle w:val="63"/>
              <w:rPr>
                <w:u w:val="single"/>
              </w:rPr>
            </w:pPr>
            <w:r>
              <w:rPr>
                <w:u w:val="single"/>
              </w:rPr>
              <w:t>环境功能区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3" w:type="pct"/>
            <w:vAlign w:val="center"/>
          </w:tcPr>
          <w:p>
            <w:pPr>
              <w:pStyle w:val="63"/>
              <w:rPr>
                <w:u w:val="single"/>
              </w:rPr>
            </w:pPr>
            <w:r>
              <w:rPr>
                <w:u w:val="single"/>
              </w:rPr>
              <w:t>1</w:t>
            </w:r>
          </w:p>
        </w:tc>
        <w:tc>
          <w:tcPr>
            <w:tcW w:w="586" w:type="pct"/>
            <w:vAlign w:val="center"/>
          </w:tcPr>
          <w:p>
            <w:pPr>
              <w:pStyle w:val="63"/>
              <w:rPr>
                <w:color w:val="000000"/>
                <w:sz w:val="22"/>
                <w:u w:val="single"/>
              </w:rPr>
            </w:pPr>
            <w:r>
              <w:rPr>
                <w:color w:val="000000"/>
                <w:sz w:val="22"/>
                <w:u w:val="single"/>
              </w:rPr>
              <w:t>彭家屋场</w:t>
            </w:r>
          </w:p>
        </w:tc>
        <w:tc>
          <w:tcPr>
            <w:tcW w:w="764" w:type="pct"/>
            <w:vAlign w:val="center"/>
          </w:tcPr>
          <w:p>
            <w:pPr>
              <w:pStyle w:val="63"/>
              <w:rPr>
                <w:color w:val="000000"/>
                <w:sz w:val="22"/>
                <w:u w:val="single"/>
              </w:rPr>
            </w:pPr>
            <w:r>
              <w:rPr>
                <w:color w:val="000000"/>
                <w:sz w:val="22"/>
                <w:u w:val="single"/>
              </w:rPr>
              <w:t>112°48′35.054″</w:t>
            </w:r>
          </w:p>
        </w:tc>
        <w:tc>
          <w:tcPr>
            <w:tcW w:w="765" w:type="pct"/>
            <w:vAlign w:val="center"/>
          </w:tcPr>
          <w:p>
            <w:pPr>
              <w:pStyle w:val="63"/>
              <w:rPr>
                <w:color w:val="000000"/>
                <w:sz w:val="22"/>
                <w:u w:val="single"/>
              </w:rPr>
            </w:pPr>
            <w:r>
              <w:rPr>
                <w:color w:val="000000"/>
                <w:sz w:val="22"/>
                <w:u w:val="single"/>
              </w:rPr>
              <w:t>27°0′49.913″</w:t>
            </w:r>
          </w:p>
        </w:tc>
        <w:tc>
          <w:tcPr>
            <w:tcW w:w="500" w:type="pct"/>
            <w:vAlign w:val="center"/>
          </w:tcPr>
          <w:p>
            <w:pPr>
              <w:pStyle w:val="63"/>
              <w:rPr>
                <w:u w:val="single"/>
              </w:rPr>
            </w:pPr>
            <w:r>
              <w:rPr>
                <w:u w:val="single"/>
              </w:rPr>
              <w:t>E</w:t>
            </w:r>
          </w:p>
        </w:tc>
        <w:tc>
          <w:tcPr>
            <w:tcW w:w="450" w:type="pct"/>
            <w:vAlign w:val="center"/>
          </w:tcPr>
          <w:p>
            <w:pPr>
              <w:pStyle w:val="63"/>
              <w:rPr>
                <w:u w:val="single"/>
              </w:rPr>
            </w:pPr>
            <w:r>
              <w:rPr>
                <w:u w:val="single"/>
              </w:rPr>
              <w:t>140</w:t>
            </w:r>
          </w:p>
        </w:tc>
        <w:tc>
          <w:tcPr>
            <w:tcW w:w="400" w:type="pct"/>
            <w:vAlign w:val="center"/>
          </w:tcPr>
          <w:p>
            <w:pPr>
              <w:pStyle w:val="63"/>
              <w:rPr>
                <w:u w:val="single"/>
              </w:rPr>
            </w:pPr>
            <w:r>
              <w:rPr>
                <w:u w:val="single"/>
              </w:rPr>
              <w:t>无/+8</w:t>
            </w:r>
          </w:p>
        </w:tc>
        <w:tc>
          <w:tcPr>
            <w:tcW w:w="701" w:type="pct"/>
            <w:vAlign w:val="center"/>
          </w:tcPr>
          <w:p>
            <w:pPr>
              <w:pStyle w:val="63"/>
              <w:rPr>
                <w:u w:val="single"/>
              </w:rPr>
            </w:pPr>
            <w:r>
              <w:rPr>
                <w:u w:val="single"/>
              </w:rPr>
              <w:t>居住区约150户</w:t>
            </w:r>
          </w:p>
        </w:tc>
        <w:tc>
          <w:tcPr>
            <w:tcW w:w="411" w:type="pct"/>
            <w:vMerge w:val="restart"/>
            <w:vAlign w:val="center"/>
          </w:tcPr>
          <w:p>
            <w:pPr>
              <w:pStyle w:val="63"/>
              <w:rPr>
                <w:u w:val="single"/>
              </w:rPr>
            </w:pPr>
            <w:r>
              <w:rPr>
                <w:u w:val="single"/>
              </w:rPr>
              <w:t>GB3095-2012二类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3" w:type="pct"/>
            <w:vAlign w:val="center"/>
          </w:tcPr>
          <w:p>
            <w:pPr>
              <w:pStyle w:val="63"/>
              <w:rPr>
                <w:u w:val="single"/>
              </w:rPr>
            </w:pPr>
            <w:r>
              <w:rPr>
                <w:u w:val="single"/>
              </w:rPr>
              <w:t>2</w:t>
            </w:r>
          </w:p>
        </w:tc>
        <w:tc>
          <w:tcPr>
            <w:tcW w:w="586" w:type="pct"/>
            <w:vAlign w:val="center"/>
          </w:tcPr>
          <w:p>
            <w:pPr>
              <w:pStyle w:val="63"/>
              <w:rPr>
                <w:color w:val="000000"/>
                <w:sz w:val="22"/>
                <w:u w:val="single"/>
              </w:rPr>
            </w:pPr>
            <w:r>
              <w:rPr>
                <w:color w:val="000000"/>
                <w:sz w:val="22"/>
                <w:u w:val="single"/>
              </w:rPr>
              <w:t>北头村</w:t>
            </w:r>
          </w:p>
        </w:tc>
        <w:tc>
          <w:tcPr>
            <w:tcW w:w="764" w:type="pct"/>
            <w:vAlign w:val="center"/>
          </w:tcPr>
          <w:p>
            <w:pPr>
              <w:pStyle w:val="63"/>
              <w:rPr>
                <w:color w:val="000000"/>
                <w:sz w:val="22"/>
                <w:u w:val="single"/>
              </w:rPr>
            </w:pPr>
            <w:r>
              <w:rPr>
                <w:color w:val="000000"/>
                <w:sz w:val="22"/>
                <w:u w:val="single"/>
              </w:rPr>
              <w:t>112°48′33.200″</w:t>
            </w:r>
          </w:p>
        </w:tc>
        <w:tc>
          <w:tcPr>
            <w:tcW w:w="765" w:type="pct"/>
            <w:vAlign w:val="center"/>
          </w:tcPr>
          <w:p>
            <w:pPr>
              <w:pStyle w:val="63"/>
              <w:rPr>
                <w:color w:val="000000"/>
                <w:sz w:val="22"/>
                <w:u w:val="single"/>
              </w:rPr>
            </w:pPr>
            <w:r>
              <w:rPr>
                <w:color w:val="000000"/>
                <w:sz w:val="22"/>
                <w:u w:val="single"/>
              </w:rPr>
              <w:t>27°1′14.169″</w:t>
            </w:r>
          </w:p>
        </w:tc>
        <w:tc>
          <w:tcPr>
            <w:tcW w:w="500" w:type="pct"/>
            <w:vAlign w:val="center"/>
          </w:tcPr>
          <w:p>
            <w:pPr>
              <w:pStyle w:val="63"/>
              <w:rPr>
                <w:u w:val="single"/>
              </w:rPr>
            </w:pPr>
            <w:r>
              <w:rPr>
                <w:u w:val="single"/>
              </w:rPr>
              <w:t>EN</w:t>
            </w:r>
          </w:p>
        </w:tc>
        <w:tc>
          <w:tcPr>
            <w:tcW w:w="450" w:type="pct"/>
            <w:vAlign w:val="center"/>
          </w:tcPr>
          <w:p>
            <w:pPr>
              <w:pStyle w:val="63"/>
              <w:rPr>
                <w:u w:val="single"/>
              </w:rPr>
            </w:pPr>
            <w:r>
              <w:rPr>
                <w:u w:val="single"/>
              </w:rPr>
              <w:t>560</w:t>
            </w:r>
          </w:p>
        </w:tc>
        <w:tc>
          <w:tcPr>
            <w:tcW w:w="400" w:type="pct"/>
            <w:vAlign w:val="center"/>
          </w:tcPr>
          <w:p>
            <w:pPr>
              <w:pStyle w:val="63"/>
              <w:rPr>
                <w:u w:val="single"/>
              </w:rPr>
            </w:pPr>
            <w:r>
              <w:rPr>
                <w:u w:val="single"/>
              </w:rPr>
              <w:t>无/-10</w:t>
            </w:r>
          </w:p>
        </w:tc>
        <w:tc>
          <w:tcPr>
            <w:tcW w:w="701" w:type="pct"/>
            <w:vAlign w:val="center"/>
          </w:tcPr>
          <w:p>
            <w:pPr>
              <w:pStyle w:val="63"/>
              <w:rPr>
                <w:u w:val="single"/>
              </w:rPr>
            </w:pPr>
            <w:r>
              <w:rPr>
                <w:u w:val="single"/>
              </w:rPr>
              <w:t>居住区约50户</w:t>
            </w:r>
          </w:p>
        </w:tc>
        <w:tc>
          <w:tcPr>
            <w:tcW w:w="411" w:type="pct"/>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3" w:type="pct"/>
            <w:vAlign w:val="center"/>
          </w:tcPr>
          <w:p>
            <w:pPr>
              <w:pStyle w:val="63"/>
              <w:rPr>
                <w:u w:val="single"/>
              </w:rPr>
            </w:pPr>
            <w:r>
              <w:rPr>
                <w:u w:val="single"/>
              </w:rPr>
              <w:t>3</w:t>
            </w:r>
          </w:p>
        </w:tc>
        <w:tc>
          <w:tcPr>
            <w:tcW w:w="586" w:type="pct"/>
            <w:vAlign w:val="center"/>
          </w:tcPr>
          <w:p>
            <w:pPr>
              <w:pStyle w:val="63"/>
              <w:rPr>
                <w:rFonts w:eastAsia="宋体"/>
                <w:color w:val="000000"/>
                <w:sz w:val="22"/>
                <w:u w:val="single"/>
              </w:rPr>
            </w:pPr>
            <w:r>
              <w:rPr>
                <w:color w:val="000000"/>
                <w:sz w:val="22"/>
                <w:u w:val="single"/>
              </w:rPr>
              <w:t>爱国医院</w:t>
            </w:r>
          </w:p>
        </w:tc>
        <w:tc>
          <w:tcPr>
            <w:tcW w:w="764" w:type="pct"/>
            <w:vAlign w:val="center"/>
          </w:tcPr>
          <w:p>
            <w:pPr>
              <w:pStyle w:val="63"/>
              <w:rPr>
                <w:rFonts w:eastAsia="宋体"/>
                <w:color w:val="000000"/>
                <w:sz w:val="22"/>
                <w:u w:val="single"/>
              </w:rPr>
            </w:pPr>
            <w:r>
              <w:rPr>
                <w:color w:val="000000"/>
                <w:sz w:val="22"/>
                <w:u w:val="single"/>
              </w:rPr>
              <w:t>112°48′41.775″</w:t>
            </w:r>
          </w:p>
        </w:tc>
        <w:tc>
          <w:tcPr>
            <w:tcW w:w="765" w:type="pct"/>
            <w:vAlign w:val="center"/>
          </w:tcPr>
          <w:p>
            <w:pPr>
              <w:pStyle w:val="63"/>
              <w:rPr>
                <w:rFonts w:eastAsia="宋体"/>
                <w:color w:val="000000"/>
                <w:sz w:val="22"/>
                <w:u w:val="single"/>
              </w:rPr>
            </w:pPr>
            <w:r>
              <w:rPr>
                <w:color w:val="000000"/>
                <w:sz w:val="22"/>
                <w:u w:val="single"/>
              </w:rPr>
              <w:t>27°0′17.469″</w:t>
            </w:r>
          </w:p>
        </w:tc>
        <w:tc>
          <w:tcPr>
            <w:tcW w:w="500" w:type="pct"/>
            <w:vAlign w:val="center"/>
          </w:tcPr>
          <w:p>
            <w:pPr>
              <w:pStyle w:val="63"/>
              <w:rPr>
                <w:u w:val="single"/>
              </w:rPr>
            </w:pPr>
            <w:r>
              <w:rPr>
                <w:u w:val="single"/>
              </w:rPr>
              <w:t>ES</w:t>
            </w:r>
          </w:p>
        </w:tc>
        <w:tc>
          <w:tcPr>
            <w:tcW w:w="450" w:type="pct"/>
            <w:vAlign w:val="center"/>
          </w:tcPr>
          <w:p>
            <w:pPr>
              <w:pStyle w:val="63"/>
              <w:rPr>
                <w:u w:val="single"/>
              </w:rPr>
            </w:pPr>
            <w:r>
              <w:rPr>
                <w:u w:val="single"/>
              </w:rPr>
              <w:t>1000</w:t>
            </w:r>
          </w:p>
        </w:tc>
        <w:tc>
          <w:tcPr>
            <w:tcW w:w="400" w:type="pct"/>
            <w:vAlign w:val="center"/>
          </w:tcPr>
          <w:p>
            <w:pPr>
              <w:pStyle w:val="63"/>
              <w:rPr>
                <w:u w:val="single"/>
              </w:rPr>
            </w:pPr>
            <w:r>
              <w:rPr>
                <w:u w:val="single"/>
              </w:rPr>
              <w:t>无/+7</w:t>
            </w:r>
          </w:p>
        </w:tc>
        <w:tc>
          <w:tcPr>
            <w:tcW w:w="701" w:type="pct"/>
            <w:vAlign w:val="center"/>
          </w:tcPr>
          <w:p>
            <w:pPr>
              <w:pStyle w:val="63"/>
              <w:rPr>
                <w:u w:val="single"/>
              </w:rPr>
            </w:pPr>
            <w:r>
              <w:rPr>
                <w:u w:val="single"/>
              </w:rPr>
              <w:t>医院约100人</w:t>
            </w:r>
          </w:p>
        </w:tc>
        <w:tc>
          <w:tcPr>
            <w:tcW w:w="411" w:type="pct"/>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3" w:type="pct"/>
            <w:vAlign w:val="center"/>
          </w:tcPr>
          <w:p>
            <w:pPr>
              <w:pStyle w:val="63"/>
              <w:rPr>
                <w:u w:val="single"/>
              </w:rPr>
            </w:pPr>
            <w:r>
              <w:rPr>
                <w:u w:val="single"/>
              </w:rPr>
              <w:t>4</w:t>
            </w:r>
          </w:p>
        </w:tc>
        <w:tc>
          <w:tcPr>
            <w:tcW w:w="586" w:type="pct"/>
            <w:vAlign w:val="center"/>
          </w:tcPr>
          <w:p>
            <w:pPr>
              <w:pStyle w:val="63"/>
              <w:rPr>
                <w:color w:val="000000"/>
                <w:sz w:val="22"/>
                <w:u w:val="single"/>
              </w:rPr>
            </w:pPr>
            <w:r>
              <w:rPr>
                <w:color w:val="000000"/>
                <w:sz w:val="22"/>
                <w:u w:val="single"/>
              </w:rPr>
              <w:t>三才村</w:t>
            </w:r>
          </w:p>
        </w:tc>
        <w:tc>
          <w:tcPr>
            <w:tcW w:w="764" w:type="pct"/>
            <w:vAlign w:val="center"/>
          </w:tcPr>
          <w:p>
            <w:pPr>
              <w:pStyle w:val="63"/>
              <w:rPr>
                <w:color w:val="000000"/>
                <w:sz w:val="22"/>
                <w:u w:val="single"/>
              </w:rPr>
            </w:pPr>
            <w:r>
              <w:rPr>
                <w:color w:val="000000"/>
                <w:sz w:val="22"/>
                <w:u w:val="single"/>
              </w:rPr>
              <w:t>112°49′14.629″</w:t>
            </w:r>
          </w:p>
        </w:tc>
        <w:tc>
          <w:tcPr>
            <w:tcW w:w="765" w:type="pct"/>
            <w:vAlign w:val="center"/>
          </w:tcPr>
          <w:p>
            <w:pPr>
              <w:pStyle w:val="63"/>
              <w:rPr>
                <w:color w:val="000000"/>
                <w:sz w:val="22"/>
                <w:u w:val="single"/>
              </w:rPr>
            </w:pPr>
            <w:r>
              <w:rPr>
                <w:color w:val="000000"/>
                <w:sz w:val="22"/>
                <w:u w:val="single"/>
              </w:rPr>
              <w:t>27°0′43.384″</w:t>
            </w:r>
          </w:p>
        </w:tc>
        <w:tc>
          <w:tcPr>
            <w:tcW w:w="500" w:type="pct"/>
            <w:vAlign w:val="center"/>
          </w:tcPr>
          <w:p>
            <w:pPr>
              <w:pStyle w:val="63"/>
              <w:rPr>
                <w:u w:val="single"/>
              </w:rPr>
            </w:pPr>
            <w:r>
              <w:rPr>
                <w:u w:val="single"/>
              </w:rPr>
              <w:t>E</w:t>
            </w:r>
          </w:p>
        </w:tc>
        <w:tc>
          <w:tcPr>
            <w:tcW w:w="450" w:type="pct"/>
            <w:vAlign w:val="center"/>
          </w:tcPr>
          <w:p>
            <w:pPr>
              <w:pStyle w:val="63"/>
              <w:rPr>
                <w:u w:val="single"/>
              </w:rPr>
            </w:pPr>
            <w:r>
              <w:rPr>
                <w:u w:val="single"/>
              </w:rPr>
              <w:t>1300</w:t>
            </w:r>
          </w:p>
        </w:tc>
        <w:tc>
          <w:tcPr>
            <w:tcW w:w="400" w:type="pct"/>
            <w:vAlign w:val="center"/>
          </w:tcPr>
          <w:p>
            <w:pPr>
              <w:pStyle w:val="63"/>
              <w:rPr>
                <w:u w:val="single"/>
              </w:rPr>
            </w:pPr>
            <w:r>
              <w:rPr>
                <w:u w:val="single"/>
              </w:rPr>
              <w:t>无/-20</w:t>
            </w:r>
          </w:p>
        </w:tc>
        <w:tc>
          <w:tcPr>
            <w:tcW w:w="701" w:type="pct"/>
            <w:vAlign w:val="center"/>
          </w:tcPr>
          <w:p>
            <w:pPr>
              <w:pStyle w:val="63"/>
              <w:rPr>
                <w:u w:val="single"/>
              </w:rPr>
            </w:pPr>
            <w:r>
              <w:rPr>
                <w:u w:val="single"/>
              </w:rPr>
              <w:t>居住区约200户</w:t>
            </w:r>
          </w:p>
        </w:tc>
        <w:tc>
          <w:tcPr>
            <w:tcW w:w="411" w:type="pct"/>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3" w:type="pct"/>
            <w:vAlign w:val="center"/>
          </w:tcPr>
          <w:p>
            <w:pPr>
              <w:pStyle w:val="63"/>
              <w:rPr>
                <w:u w:val="single"/>
              </w:rPr>
            </w:pPr>
            <w:r>
              <w:rPr>
                <w:u w:val="single"/>
              </w:rPr>
              <w:t>5</w:t>
            </w:r>
          </w:p>
        </w:tc>
        <w:tc>
          <w:tcPr>
            <w:tcW w:w="586" w:type="pct"/>
            <w:vAlign w:val="center"/>
          </w:tcPr>
          <w:p>
            <w:pPr>
              <w:pStyle w:val="63"/>
              <w:rPr>
                <w:color w:val="000000"/>
                <w:sz w:val="22"/>
                <w:u w:val="single"/>
              </w:rPr>
            </w:pPr>
            <w:r>
              <w:rPr>
                <w:color w:val="000000"/>
                <w:sz w:val="22"/>
                <w:u w:val="single"/>
              </w:rPr>
              <w:t>安置区</w:t>
            </w:r>
          </w:p>
        </w:tc>
        <w:tc>
          <w:tcPr>
            <w:tcW w:w="764" w:type="pct"/>
            <w:vAlign w:val="center"/>
          </w:tcPr>
          <w:p>
            <w:pPr>
              <w:pStyle w:val="63"/>
              <w:rPr>
                <w:color w:val="000000"/>
                <w:sz w:val="22"/>
                <w:u w:val="single"/>
              </w:rPr>
            </w:pPr>
            <w:r>
              <w:rPr>
                <w:color w:val="000000"/>
                <w:sz w:val="22"/>
                <w:u w:val="single"/>
              </w:rPr>
              <w:t>112°48′36.870″</w:t>
            </w:r>
          </w:p>
        </w:tc>
        <w:tc>
          <w:tcPr>
            <w:tcW w:w="765" w:type="pct"/>
            <w:vAlign w:val="center"/>
          </w:tcPr>
          <w:p>
            <w:pPr>
              <w:pStyle w:val="63"/>
              <w:rPr>
                <w:color w:val="000000"/>
                <w:sz w:val="22"/>
                <w:u w:val="single"/>
              </w:rPr>
            </w:pPr>
            <w:r>
              <w:rPr>
                <w:color w:val="000000"/>
                <w:sz w:val="22"/>
                <w:u w:val="single"/>
              </w:rPr>
              <w:t>27°0′4.260″</w:t>
            </w:r>
          </w:p>
        </w:tc>
        <w:tc>
          <w:tcPr>
            <w:tcW w:w="500" w:type="pct"/>
            <w:vAlign w:val="center"/>
          </w:tcPr>
          <w:p>
            <w:pPr>
              <w:pStyle w:val="63"/>
              <w:rPr>
                <w:u w:val="single"/>
              </w:rPr>
            </w:pPr>
            <w:r>
              <w:rPr>
                <w:u w:val="single"/>
              </w:rPr>
              <w:t>ES</w:t>
            </w:r>
          </w:p>
        </w:tc>
        <w:tc>
          <w:tcPr>
            <w:tcW w:w="450" w:type="pct"/>
            <w:vAlign w:val="center"/>
          </w:tcPr>
          <w:p>
            <w:pPr>
              <w:pStyle w:val="63"/>
              <w:rPr>
                <w:u w:val="single"/>
              </w:rPr>
            </w:pPr>
            <w:r>
              <w:rPr>
                <w:u w:val="single"/>
              </w:rPr>
              <w:t>1300</w:t>
            </w:r>
          </w:p>
        </w:tc>
        <w:tc>
          <w:tcPr>
            <w:tcW w:w="400" w:type="pct"/>
            <w:vAlign w:val="center"/>
          </w:tcPr>
          <w:p>
            <w:pPr>
              <w:pStyle w:val="63"/>
              <w:rPr>
                <w:u w:val="single"/>
              </w:rPr>
            </w:pPr>
            <w:r>
              <w:rPr>
                <w:u w:val="single"/>
              </w:rPr>
              <w:t>无/+4</w:t>
            </w:r>
          </w:p>
        </w:tc>
        <w:tc>
          <w:tcPr>
            <w:tcW w:w="701" w:type="pct"/>
            <w:vAlign w:val="center"/>
          </w:tcPr>
          <w:p>
            <w:pPr>
              <w:pStyle w:val="63"/>
              <w:rPr>
                <w:u w:val="single"/>
              </w:rPr>
            </w:pPr>
            <w:r>
              <w:rPr>
                <w:u w:val="single"/>
              </w:rPr>
              <w:t>居住区约250户</w:t>
            </w:r>
          </w:p>
        </w:tc>
        <w:tc>
          <w:tcPr>
            <w:tcW w:w="411" w:type="pct"/>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3" w:type="pct"/>
            <w:vAlign w:val="center"/>
          </w:tcPr>
          <w:p>
            <w:pPr>
              <w:pStyle w:val="63"/>
              <w:rPr>
                <w:u w:val="single"/>
              </w:rPr>
            </w:pPr>
            <w:r>
              <w:rPr>
                <w:u w:val="single"/>
              </w:rPr>
              <w:t>6</w:t>
            </w:r>
          </w:p>
        </w:tc>
        <w:tc>
          <w:tcPr>
            <w:tcW w:w="586" w:type="pct"/>
            <w:vAlign w:val="center"/>
          </w:tcPr>
          <w:p>
            <w:pPr>
              <w:pStyle w:val="63"/>
              <w:rPr>
                <w:color w:val="000000"/>
                <w:sz w:val="22"/>
                <w:u w:val="single"/>
              </w:rPr>
            </w:pPr>
            <w:r>
              <w:rPr>
                <w:color w:val="000000"/>
                <w:sz w:val="22"/>
                <w:u w:val="single"/>
              </w:rPr>
              <w:t>浦泉村</w:t>
            </w:r>
          </w:p>
        </w:tc>
        <w:tc>
          <w:tcPr>
            <w:tcW w:w="764" w:type="pct"/>
            <w:vAlign w:val="center"/>
          </w:tcPr>
          <w:p>
            <w:pPr>
              <w:pStyle w:val="63"/>
              <w:rPr>
                <w:color w:val="000000"/>
                <w:sz w:val="22"/>
                <w:u w:val="single"/>
              </w:rPr>
            </w:pPr>
            <w:r>
              <w:rPr>
                <w:color w:val="000000"/>
                <w:sz w:val="22"/>
                <w:u w:val="single"/>
              </w:rPr>
              <w:t>112°47′55.527″</w:t>
            </w:r>
          </w:p>
        </w:tc>
        <w:tc>
          <w:tcPr>
            <w:tcW w:w="765" w:type="pct"/>
            <w:vAlign w:val="center"/>
          </w:tcPr>
          <w:p>
            <w:pPr>
              <w:pStyle w:val="63"/>
              <w:rPr>
                <w:color w:val="000000"/>
                <w:sz w:val="22"/>
                <w:u w:val="single"/>
              </w:rPr>
            </w:pPr>
            <w:r>
              <w:rPr>
                <w:color w:val="000000"/>
                <w:sz w:val="22"/>
                <w:u w:val="single"/>
              </w:rPr>
              <w:t>26°59′55.722″</w:t>
            </w:r>
          </w:p>
        </w:tc>
        <w:tc>
          <w:tcPr>
            <w:tcW w:w="500" w:type="pct"/>
            <w:vAlign w:val="center"/>
          </w:tcPr>
          <w:p>
            <w:pPr>
              <w:pStyle w:val="63"/>
              <w:rPr>
                <w:u w:val="single"/>
              </w:rPr>
            </w:pPr>
            <w:r>
              <w:rPr>
                <w:u w:val="single"/>
              </w:rPr>
              <w:t>WS</w:t>
            </w:r>
          </w:p>
        </w:tc>
        <w:tc>
          <w:tcPr>
            <w:tcW w:w="450" w:type="pct"/>
            <w:vAlign w:val="center"/>
          </w:tcPr>
          <w:p>
            <w:pPr>
              <w:pStyle w:val="63"/>
              <w:rPr>
                <w:u w:val="single"/>
              </w:rPr>
            </w:pPr>
            <w:r>
              <w:rPr>
                <w:u w:val="single"/>
              </w:rPr>
              <w:t>1500</w:t>
            </w:r>
          </w:p>
        </w:tc>
        <w:tc>
          <w:tcPr>
            <w:tcW w:w="400" w:type="pct"/>
            <w:vAlign w:val="center"/>
          </w:tcPr>
          <w:p>
            <w:pPr>
              <w:pStyle w:val="63"/>
              <w:rPr>
                <w:u w:val="single"/>
              </w:rPr>
            </w:pPr>
            <w:r>
              <w:rPr>
                <w:u w:val="single"/>
              </w:rPr>
              <w:t>无/-10</w:t>
            </w:r>
          </w:p>
        </w:tc>
        <w:tc>
          <w:tcPr>
            <w:tcW w:w="701" w:type="pct"/>
            <w:vAlign w:val="center"/>
          </w:tcPr>
          <w:p>
            <w:pPr>
              <w:pStyle w:val="63"/>
              <w:rPr>
                <w:u w:val="single"/>
              </w:rPr>
            </w:pPr>
            <w:r>
              <w:rPr>
                <w:u w:val="single"/>
              </w:rPr>
              <w:t>居住区约50户</w:t>
            </w:r>
          </w:p>
        </w:tc>
        <w:tc>
          <w:tcPr>
            <w:tcW w:w="411" w:type="pct"/>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3" w:type="pct"/>
            <w:vAlign w:val="center"/>
          </w:tcPr>
          <w:p>
            <w:pPr>
              <w:pStyle w:val="63"/>
              <w:rPr>
                <w:u w:val="single"/>
              </w:rPr>
            </w:pPr>
            <w:r>
              <w:rPr>
                <w:u w:val="single"/>
              </w:rPr>
              <w:t>7</w:t>
            </w:r>
          </w:p>
        </w:tc>
        <w:tc>
          <w:tcPr>
            <w:tcW w:w="586" w:type="pct"/>
            <w:vAlign w:val="center"/>
          </w:tcPr>
          <w:p>
            <w:pPr>
              <w:pStyle w:val="63"/>
              <w:rPr>
                <w:color w:val="000000"/>
                <w:sz w:val="22"/>
                <w:u w:val="single"/>
              </w:rPr>
            </w:pPr>
            <w:r>
              <w:rPr>
                <w:color w:val="000000"/>
                <w:sz w:val="22"/>
                <w:u w:val="single"/>
              </w:rPr>
              <w:t>炉铺村</w:t>
            </w:r>
          </w:p>
        </w:tc>
        <w:tc>
          <w:tcPr>
            <w:tcW w:w="764" w:type="pct"/>
            <w:vAlign w:val="center"/>
          </w:tcPr>
          <w:p>
            <w:pPr>
              <w:pStyle w:val="63"/>
              <w:rPr>
                <w:color w:val="000000"/>
                <w:sz w:val="22"/>
                <w:u w:val="single"/>
              </w:rPr>
            </w:pPr>
            <w:r>
              <w:rPr>
                <w:color w:val="000000"/>
                <w:sz w:val="22"/>
                <w:u w:val="single"/>
              </w:rPr>
              <w:t>112°48′21.328″</w:t>
            </w:r>
          </w:p>
        </w:tc>
        <w:tc>
          <w:tcPr>
            <w:tcW w:w="765" w:type="pct"/>
            <w:vAlign w:val="center"/>
          </w:tcPr>
          <w:p>
            <w:pPr>
              <w:pStyle w:val="63"/>
              <w:rPr>
                <w:color w:val="000000"/>
                <w:sz w:val="22"/>
                <w:u w:val="single"/>
              </w:rPr>
            </w:pPr>
            <w:r>
              <w:rPr>
                <w:color w:val="000000"/>
                <w:sz w:val="22"/>
                <w:u w:val="single"/>
              </w:rPr>
              <w:t>26°59′52.787″</w:t>
            </w:r>
          </w:p>
        </w:tc>
        <w:tc>
          <w:tcPr>
            <w:tcW w:w="500" w:type="pct"/>
            <w:vAlign w:val="center"/>
          </w:tcPr>
          <w:p>
            <w:pPr>
              <w:pStyle w:val="63"/>
              <w:rPr>
                <w:u w:val="single"/>
              </w:rPr>
            </w:pPr>
            <w:r>
              <w:rPr>
                <w:u w:val="single"/>
              </w:rPr>
              <w:t>S</w:t>
            </w:r>
          </w:p>
        </w:tc>
        <w:tc>
          <w:tcPr>
            <w:tcW w:w="450" w:type="pct"/>
            <w:vAlign w:val="center"/>
          </w:tcPr>
          <w:p>
            <w:pPr>
              <w:pStyle w:val="63"/>
              <w:rPr>
                <w:u w:val="single"/>
              </w:rPr>
            </w:pPr>
            <w:r>
              <w:rPr>
                <w:u w:val="single"/>
              </w:rPr>
              <w:t>1500</w:t>
            </w:r>
          </w:p>
        </w:tc>
        <w:tc>
          <w:tcPr>
            <w:tcW w:w="400" w:type="pct"/>
            <w:vAlign w:val="center"/>
          </w:tcPr>
          <w:p>
            <w:pPr>
              <w:pStyle w:val="63"/>
              <w:rPr>
                <w:u w:val="single"/>
              </w:rPr>
            </w:pPr>
            <w:r>
              <w:rPr>
                <w:u w:val="single"/>
              </w:rPr>
              <w:t>无/+5</w:t>
            </w:r>
          </w:p>
        </w:tc>
        <w:tc>
          <w:tcPr>
            <w:tcW w:w="701" w:type="pct"/>
            <w:vAlign w:val="center"/>
          </w:tcPr>
          <w:p>
            <w:pPr>
              <w:pStyle w:val="63"/>
              <w:rPr>
                <w:u w:val="single"/>
              </w:rPr>
            </w:pPr>
            <w:r>
              <w:rPr>
                <w:u w:val="single"/>
              </w:rPr>
              <w:t>居住区约20户</w:t>
            </w:r>
          </w:p>
        </w:tc>
        <w:tc>
          <w:tcPr>
            <w:tcW w:w="411" w:type="pct"/>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3" w:type="pct"/>
            <w:vAlign w:val="center"/>
          </w:tcPr>
          <w:p>
            <w:pPr>
              <w:pStyle w:val="63"/>
              <w:rPr>
                <w:u w:val="single"/>
              </w:rPr>
            </w:pPr>
            <w:r>
              <w:rPr>
                <w:u w:val="single"/>
              </w:rPr>
              <w:t>8</w:t>
            </w:r>
          </w:p>
        </w:tc>
        <w:tc>
          <w:tcPr>
            <w:tcW w:w="586" w:type="pct"/>
            <w:vAlign w:val="center"/>
          </w:tcPr>
          <w:p>
            <w:pPr>
              <w:pStyle w:val="63"/>
              <w:rPr>
                <w:color w:val="000000"/>
                <w:sz w:val="22"/>
                <w:u w:val="single"/>
              </w:rPr>
            </w:pPr>
            <w:r>
              <w:rPr>
                <w:color w:val="000000"/>
                <w:sz w:val="22"/>
                <w:u w:val="single"/>
              </w:rPr>
              <w:t>新石桥村</w:t>
            </w:r>
          </w:p>
        </w:tc>
        <w:tc>
          <w:tcPr>
            <w:tcW w:w="764" w:type="pct"/>
            <w:vAlign w:val="center"/>
          </w:tcPr>
          <w:p>
            <w:pPr>
              <w:pStyle w:val="63"/>
              <w:rPr>
                <w:color w:val="000000"/>
                <w:sz w:val="22"/>
                <w:u w:val="single"/>
              </w:rPr>
            </w:pPr>
            <w:r>
              <w:rPr>
                <w:color w:val="000000"/>
                <w:sz w:val="22"/>
                <w:u w:val="single"/>
              </w:rPr>
              <w:t>112°47′11.651″</w:t>
            </w:r>
          </w:p>
        </w:tc>
        <w:tc>
          <w:tcPr>
            <w:tcW w:w="765" w:type="pct"/>
            <w:vAlign w:val="center"/>
          </w:tcPr>
          <w:p>
            <w:pPr>
              <w:pStyle w:val="63"/>
              <w:rPr>
                <w:color w:val="000000"/>
                <w:sz w:val="22"/>
                <w:u w:val="single"/>
              </w:rPr>
            </w:pPr>
            <w:r>
              <w:rPr>
                <w:color w:val="000000"/>
                <w:sz w:val="22"/>
                <w:u w:val="single"/>
              </w:rPr>
              <w:t>27°0′39.445″</w:t>
            </w:r>
          </w:p>
        </w:tc>
        <w:tc>
          <w:tcPr>
            <w:tcW w:w="500" w:type="pct"/>
            <w:vAlign w:val="center"/>
          </w:tcPr>
          <w:p>
            <w:pPr>
              <w:pStyle w:val="63"/>
              <w:rPr>
                <w:u w:val="single"/>
              </w:rPr>
            </w:pPr>
            <w:r>
              <w:rPr>
                <w:u w:val="single"/>
              </w:rPr>
              <w:t>W</w:t>
            </w:r>
          </w:p>
        </w:tc>
        <w:tc>
          <w:tcPr>
            <w:tcW w:w="450" w:type="pct"/>
            <w:vAlign w:val="center"/>
          </w:tcPr>
          <w:p>
            <w:pPr>
              <w:pStyle w:val="63"/>
              <w:rPr>
                <w:u w:val="single"/>
              </w:rPr>
            </w:pPr>
            <w:r>
              <w:rPr>
                <w:u w:val="single"/>
              </w:rPr>
              <w:t>1600</w:t>
            </w:r>
          </w:p>
        </w:tc>
        <w:tc>
          <w:tcPr>
            <w:tcW w:w="400" w:type="pct"/>
            <w:vAlign w:val="center"/>
          </w:tcPr>
          <w:p>
            <w:pPr>
              <w:pStyle w:val="63"/>
              <w:rPr>
                <w:u w:val="single"/>
              </w:rPr>
            </w:pPr>
            <w:r>
              <w:rPr>
                <w:u w:val="single"/>
              </w:rPr>
              <w:t>无/-10</w:t>
            </w:r>
          </w:p>
        </w:tc>
        <w:tc>
          <w:tcPr>
            <w:tcW w:w="701" w:type="pct"/>
            <w:vAlign w:val="center"/>
          </w:tcPr>
          <w:p>
            <w:pPr>
              <w:pStyle w:val="63"/>
              <w:rPr>
                <w:u w:val="single"/>
              </w:rPr>
            </w:pPr>
            <w:r>
              <w:rPr>
                <w:u w:val="single"/>
              </w:rPr>
              <w:t>居住区约80户</w:t>
            </w:r>
          </w:p>
        </w:tc>
        <w:tc>
          <w:tcPr>
            <w:tcW w:w="411" w:type="pct"/>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3" w:type="pct"/>
            <w:vAlign w:val="center"/>
          </w:tcPr>
          <w:p>
            <w:pPr>
              <w:pStyle w:val="63"/>
              <w:rPr>
                <w:u w:val="single"/>
              </w:rPr>
            </w:pPr>
            <w:r>
              <w:rPr>
                <w:u w:val="single"/>
              </w:rPr>
              <w:t>9</w:t>
            </w:r>
          </w:p>
        </w:tc>
        <w:tc>
          <w:tcPr>
            <w:tcW w:w="586" w:type="pct"/>
            <w:vAlign w:val="center"/>
          </w:tcPr>
          <w:p>
            <w:pPr>
              <w:pStyle w:val="63"/>
              <w:rPr>
                <w:color w:val="000000"/>
                <w:sz w:val="22"/>
                <w:u w:val="single"/>
              </w:rPr>
            </w:pPr>
            <w:r>
              <w:rPr>
                <w:color w:val="000000"/>
                <w:sz w:val="22"/>
                <w:u w:val="single"/>
              </w:rPr>
              <w:t>堰桥村</w:t>
            </w:r>
          </w:p>
        </w:tc>
        <w:tc>
          <w:tcPr>
            <w:tcW w:w="764" w:type="pct"/>
            <w:vAlign w:val="center"/>
          </w:tcPr>
          <w:p>
            <w:pPr>
              <w:pStyle w:val="63"/>
              <w:rPr>
                <w:color w:val="000000"/>
                <w:sz w:val="22"/>
                <w:u w:val="single"/>
              </w:rPr>
            </w:pPr>
            <w:r>
              <w:rPr>
                <w:color w:val="000000"/>
                <w:sz w:val="22"/>
                <w:u w:val="single"/>
              </w:rPr>
              <w:t>112°49′12.466″</w:t>
            </w:r>
          </w:p>
        </w:tc>
        <w:tc>
          <w:tcPr>
            <w:tcW w:w="765" w:type="pct"/>
            <w:vAlign w:val="center"/>
          </w:tcPr>
          <w:p>
            <w:pPr>
              <w:pStyle w:val="63"/>
              <w:rPr>
                <w:color w:val="000000"/>
                <w:sz w:val="22"/>
                <w:u w:val="single"/>
              </w:rPr>
            </w:pPr>
            <w:r>
              <w:rPr>
                <w:color w:val="000000"/>
                <w:sz w:val="22"/>
                <w:u w:val="single"/>
              </w:rPr>
              <w:t>26°59′56.031″</w:t>
            </w:r>
          </w:p>
        </w:tc>
        <w:tc>
          <w:tcPr>
            <w:tcW w:w="500" w:type="pct"/>
            <w:vAlign w:val="center"/>
          </w:tcPr>
          <w:p>
            <w:pPr>
              <w:pStyle w:val="63"/>
              <w:rPr>
                <w:u w:val="single"/>
              </w:rPr>
            </w:pPr>
            <w:r>
              <w:rPr>
                <w:u w:val="single"/>
              </w:rPr>
              <w:t>ES</w:t>
            </w:r>
          </w:p>
        </w:tc>
        <w:tc>
          <w:tcPr>
            <w:tcW w:w="450" w:type="pct"/>
            <w:vAlign w:val="center"/>
          </w:tcPr>
          <w:p>
            <w:pPr>
              <w:pStyle w:val="63"/>
              <w:rPr>
                <w:u w:val="single"/>
              </w:rPr>
            </w:pPr>
            <w:r>
              <w:rPr>
                <w:u w:val="single"/>
              </w:rPr>
              <w:t>2100</w:t>
            </w:r>
          </w:p>
        </w:tc>
        <w:tc>
          <w:tcPr>
            <w:tcW w:w="400" w:type="pct"/>
            <w:vAlign w:val="center"/>
          </w:tcPr>
          <w:p>
            <w:pPr>
              <w:pStyle w:val="63"/>
              <w:rPr>
                <w:u w:val="single"/>
              </w:rPr>
            </w:pPr>
            <w:r>
              <w:rPr>
                <w:u w:val="single"/>
              </w:rPr>
              <w:t>无/-13</w:t>
            </w:r>
          </w:p>
        </w:tc>
        <w:tc>
          <w:tcPr>
            <w:tcW w:w="701" w:type="pct"/>
            <w:vAlign w:val="center"/>
          </w:tcPr>
          <w:p>
            <w:pPr>
              <w:pStyle w:val="63"/>
              <w:rPr>
                <w:u w:val="single"/>
              </w:rPr>
            </w:pPr>
            <w:r>
              <w:rPr>
                <w:u w:val="single"/>
              </w:rPr>
              <w:t>居住区约100户</w:t>
            </w:r>
          </w:p>
        </w:tc>
        <w:tc>
          <w:tcPr>
            <w:tcW w:w="411" w:type="pct"/>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3" w:type="pct"/>
            <w:vAlign w:val="center"/>
          </w:tcPr>
          <w:p>
            <w:pPr>
              <w:pStyle w:val="63"/>
              <w:rPr>
                <w:u w:val="single"/>
              </w:rPr>
            </w:pPr>
            <w:r>
              <w:rPr>
                <w:u w:val="single"/>
              </w:rPr>
              <w:t>10</w:t>
            </w:r>
          </w:p>
        </w:tc>
        <w:tc>
          <w:tcPr>
            <w:tcW w:w="586" w:type="pct"/>
            <w:vAlign w:val="center"/>
          </w:tcPr>
          <w:p>
            <w:pPr>
              <w:pStyle w:val="63"/>
              <w:rPr>
                <w:color w:val="000000"/>
                <w:sz w:val="22"/>
                <w:u w:val="single"/>
              </w:rPr>
            </w:pPr>
            <w:r>
              <w:rPr>
                <w:color w:val="000000"/>
                <w:sz w:val="22"/>
                <w:u w:val="single"/>
              </w:rPr>
              <w:t>罗家老屋</w:t>
            </w:r>
          </w:p>
        </w:tc>
        <w:tc>
          <w:tcPr>
            <w:tcW w:w="764" w:type="pct"/>
            <w:vAlign w:val="center"/>
          </w:tcPr>
          <w:p>
            <w:pPr>
              <w:pStyle w:val="63"/>
              <w:rPr>
                <w:color w:val="000000"/>
                <w:sz w:val="22"/>
                <w:u w:val="single"/>
              </w:rPr>
            </w:pPr>
            <w:r>
              <w:rPr>
                <w:color w:val="000000"/>
                <w:sz w:val="22"/>
                <w:u w:val="single"/>
              </w:rPr>
              <w:t>112°49′24.184″</w:t>
            </w:r>
          </w:p>
        </w:tc>
        <w:tc>
          <w:tcPr>
            <w:tcW w:w="765" w:type="pct"/>
            <w:vAlign w:val="center"/>
          </w:tcPr>
          <w:p>
            <w:pPr>
              <w:pStyle w:val="63"/>
              <w:rPr>
                <w:color w:val="000000"/>
                <w:sz w:val="22"/>
                <w:u w:val="single"/>
              </w:rPr>
            </w:pPr>
            <w:r>
              <w:rPr>
                <w:color w:val="000000"/>
                <w:sz w:val="22"/>
                <w:u w:val="single"/>
              </w:rPr>
              <w:t>27°1′40.587″</w:t>
            </w:r>
          </w:p>
        </w:tc>
        <w:tc>
          <w:tcPr>
            <w:tcW w:w="500" w:type="pct"/>
            <w:vAlign w:val="center"/>
          </w:tcPr>
          <w:p>
            <w:pPr>
              <w:pStyle w:val="63"/>
              <w:rPr>
                <w:u w:val="single"/>
              </w:rPr>
            </w:pPr>
            <w:r>
              <w:rPr>
                <w:u w:val="single"/>
              </w:rPr>
              <w:t>EN</w:t>
            </w:r>
          </w:p>
        </w:tc>
        <w:tc>
          <w:tcPr>
            <w:tcW w:w="450" w:type="pct"/>
            <w:vAlign w:val="center"/>
          </w:tcPr>
          <w:p>
            <w:pPr>
              <w:pStyle w:val="63"/>
              <w:rPr>
                <w:u w:val="single"/>
              </w:rPr>
            </w:pPr>
            <w:r>
              <w:rPr>
                <w:u w:val="single"/>
              </w:rPr>
              <w:t>2100</w:t>
            </w:r>
          </w:p>
        </w:tc>
        <w:tc>
          <w:tcPr>
            <w:tcW w:w="400" w:type="pct"/>
            <w:vAlign w:val="center"/>
          </w:tcPr>
          <w:p>
            <w:pPr>
              <w:pStyle w:val="63"/>
              <w:rPr>
                <w:u w:val="single"/>
              </w:rPr>
            </w:pPr>
            <w:r>
              <w:rPr>
                <w:u w:val="single"/>
              </w:rPr>
              <w:t>无/-18</w:t>
            </w:r>
          </w:p>
        </w:tc>
        <w:tc>
          <w:tcPr>
            <w:tcW w:w="701" w:type="pct"/>
            <w:vAlign w:val="center"/>
          </w:tcPr>
          <w:p>
            <w:pPr>
              <w:pStyle w:val="63"/>
              <w:rPr>
                <w:u w:val="single"/>
              </w:rPr>
            </w:pPr>
            <w:r>
              <w:rPr>
                <w:u w:val="single"/>
              </w:rPr>
              <w:t>居住区约100户</w:t>
            </w:r>
          </w:p>
        </w:tc>
        <w:tc>
          <w:tcPr>
            <w:tcW w:w="411" w:type="pct"/>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3" w:type="pct"/>
            <w:vAlign w:val="center"/>
          </w:tcPr>
          <w:p>
            <w:pPr>
              <w:pStyle w:val="63"/>
              <w:rPr>
                <w:u w:val="single"/>
              </w:rPr>
            </w:pPr>
            <w:r>
              <w:rPr>
                <w:u w:val="single"/>
              </w:rPr>
              <w:t>11</w:t>
            </w:r>
          </w:p>
        </w:tc>
        <w:tc>
          <w:tcPr>
            <w:tcW w:w="586" w:type="pct"/>
            <w:vAlign w:val="center"/>
          </w:tcPr>
          <w:p>
            <w:pPr>
              <w:pStyle w:val="63"/>
              <w:rPr>
                <w:color w:val="000000"/>
                <w:sz w:val="22"/>
                <w:u w:val="single"/>
              </w:rPr>
            </w:pPr>
            <w:r>
              <w:rPr>
                <w:color w:val="000000"/>
                <w:sz w:val="22"/>
                <w:u w:val="single"/>
              </w:rPr>
              <w:t>龙家冲</w:t>
            </w:r>
          </w:p>
        </w:tc>
        <w:tc>
          <w:tcPr>
            <w:tcW w:w="764" w:type="pct"/>
            <w:vAlign w:val="center"/>
          </w:tcPr>
          <w:p>
            <w:pPr>
              <w:pStyle w:val="63"/>
              <w:rPr>
                <w:color w:val="000000"/>
                <w:sz w:val="22"/>
                <w:u w:val="single"/>
              </w:rPr>
            </w:pPr>
            <w:r>
              <w:rPr>
                <w:color w:val="000000"/>
                <w:sz w:val="22"/>
                <w:u w:val="single"/>
              </w:rPr>
              <w:t>112°47′13.790″</w:t>
            </w:r>
          </w:p>
        </w:tc>
        <w:tc>
          <w:tcPr>
            <w:tcW w:w="765" w:type="pct"/>
            <w:vAlign w:val="center"/>
          </w:tcPr>
          <w:p>
            <w:pPr>
              <w:pStyle w:val="63"/>
              <w:rPr>
                <w:color w:val="000000"/>
                <w:sz w:val="22"/>
                <w:u w:val="single"/>
              </w:rPr>
            </w:pPr>
            <w:r>
              <w:rPr>
                <w:color w:val="000000"/>
                <w:sz w:val="22"/>
                <w:u w:val="single"/>
              </w:rPr>
              <w:t>27°1′48.003″</w:t>
            </w:r>
          </w:p>
        </w:tc>
        <w:tc>
          <w:tcPr>
            <w:tcW w:w="500" w:type="pct"/>
            <w:vAlign w:val="center"/>
          </w:tcPr>
          <w:p>
            <w:pPr>
              <w:pStyle w:val="63"/>
              <w:rPr>
                <w:u w:val="single"/>
              </w:rPr>
            </w:pPr>
            <w:r>
              <w:rPr>
                <w:u w:val="single"/>
              </w:rPr>
              <w:t>WN</w:t>
            </w:r>
          </w:p>
        </w:tc>
        <w:tc>
          <w:tcPr>
            <w:tcW w:w="450" w:type="pct"/>
            <w:vAlign w:val="center"/>
          </w:tcPr>
          <w:p>
            <w:pPr>
              <w:pStyle w:val="63"/>
              <w:rPr>
                <w:u w:val="single"/>
              </w:rPr>
            </w:pPr>
            <w:r>
              <w:rPr>
                <w:u w:val="single"/>
              </w:rPr>
              <w:t>2200</w:t>
            </w:r>
          </w:p>
        </w:tc>
        <w:tc>
          <w:tcPr>
            <w:tcW w:w="400" w:type="pct"/>
            <w:vAlign w:val="center"/>
          </w:tcPr>
          <w:p>
            <w:pPr>
              <w:pStyle w:val="63"/>
              <w:rPr>
                <w:u w:val="single"/>
              </w:rPr>
            </w:pPr>
            <w:r>
              <w:rPr>
                <w:u w:val="single"/>
              </w:rPr>
              <w:t>有山体阻隔/-3</w:t>
            </w:r>
          </w:p>
        </w:tc>
        <w:tc>
          <w:tcPr>
            <w:tcW w:w="701" w:type="pct"/>
            <w:vAlign w:val="center"/>
          </w:tcPr>
          <w:p>
            <w:pPr>
              <w:pStyle w:val="63"/>
              <w:rPr>
                <w:u w:val="single"/>
              </w:rPr>
            </w:pPr>
            <w:r>
              <w:rPr>
                <w:u w:val="single"/>
              </w:rPr>
              <w:t>居住区约150户</w:t>
            </w:r>
          </w:p>
        </w:tc>
        <w:tc>
          <w:tcPr>
            <w:tcW w:w="411" w:type="pct"/>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3" w:type="pct"/>
            <w:vAlign w:val="center"/>
          </w:tcPr>
          <w:p>
            <w:pPr>
              <w:pStyle w:val="63"/>
              <w:rPr>
                <w:u w:val="single"/>
              </w:rPr>
            </w:pPr>
            <w:r>
              <w:rPr>
                <w:u w:val="single"/>
              </w:rPr>
              <w:t>12</w:t>
            </w:r>
          </w:p>
        </w:tc>
        <w:tc>
          <w:tcPr>
            <w:tcW w:w="586" w:type="pct"/>
            <w:vAlign w:val="center"/>
          </w:tcPr>
          <w:p>
            <w:pPr>
              <w:pStyle w:val="63"/>
              <w:rPr>
                <w:rFonts w:eastAsia="宋体"/>
                <w:color w:val="000000"/>
                <w:sz w:val="22"/>
                <w:u w:val="single"/>
              </w:rPr>
            </w:pPr>
            <w:r>
              <w:rPr>
                <w:color w:val="000000"/>
                <w:sz w:val="22"/>
                <w:u w:val="single"/>
              </w:rPr>
              <w:t>平田村</w:t>
            </w:r>
          </w:p>
        </w:tc>
        <w:tc>
          <w:tcPr>
            <w:tcW w:w="764" w:type="pct"/>
            <w:vAlign w:val="center"/>
          </w:tcPr>
          <w:p>
            <w:pPr>
              <w:pStyle w:val="63"/>
              <w:rPr>
                <w:rFonts w:eastAsia="宋体"/>
                <w:color w:val="000000"/>
                <w:sz w:val="22"/>
                <w:u w:val="single"/>
              </w:rPr>
            </w:pPr>
            <w:r>
              <w:rPr>
                <w:color w:val="000000"/>
                <w:sz w:val="22"/>
                <w:u w:val="single"/>
              </w:rPr>
              <w:t>112°49′12.906″</w:t>
            </w:r>
          </w:p>
        </w:tc>
        <w:tc>
          <w:tcPr>
            <w:tcW w:w="765" w:type="pct"/>
            <w:vAlign w:val="center"/>
          </w:tcPr>
          <w:p>
            <w:pPr>
              <w:pStyle w:val="63"/>
              <w:rPr>
                <w:rFonts w:eastAsia="宋体"/>
                <w:color w:val="000000"/>
                <w:sz w:val="22"/>
                <w:u w:val="single"/>
              </w:rPr>
            </w:pPr>
            <w:r>
              <w:rPr>
                <w:color w:val="000000"/>
                <w:sz w:val="22"/>
                <w:u w:val="single"/>
              </w:rPr>
              <w:t>27°2′3.144″</w:t>
            </w:r>
          </w:p>
        </w:tc>
        <w:tc>
          <w:tcPr>
            <w:tcW w:w="500" w:type="pct"/>
            <w:vAlign w:val="center"/>
          </w:tcPr>
          <w:p>
            <w:pPr>
              <w:pStyle w:val="63"/>
              <w:rPr>
                <w:u w:val="single"/>
              </w:rPr>
            </w:pPr>
            <w:r>
              <w:rPr>
                <w:u w:val="single"/>
              </w:rPr>
              <w:t>EN</w:t>
            </w:r>
          </w:p>
        </w:tc>
        <w:tc>
          <w:tcPr>
            <w:tcW w:w="450" w:type="pct"/>
            <w:vAlign w:val="center"/>
          </w:tcPr>
          <w:p>
            <w:pPr>
              <w:pStyle w:val="63"/>
              <w:rPr>
                <w:u w:val="single"/>
              </w:rPr>
            </w:pPr>
            <w:r>
              <w:rPr>
                <w:u w:val="single"/>
              </w:rPr>
              <w:t>2300</w:t>
            </w:r>
          </w:p>
        </w:tc>
        <w:tc>
          <w:tcPr>
            <w:tcW w:w="400" w:type="pct"/>
            <w:vAlign w:val="center"/>
          </w:tcPr>
          <w:p>
            <w:pPr>
              <w:pStyle w:val="63"/>
              <w:rPr>
                <w:u w:val="single"/>
              </w:rPr>
            </w:pPr>
            <w:r>
              <w:rPr>
                <w:u w:val="single"/>
              </w:rPr>
              <w:t>无/-21</w:t>
            </w:r>
          </w:p>
        </w:tc>
        <w:tc>
          <w:tcPr>
            <w:tcW w:w="701" w:type="pct"/>
            <w:vAlign w:val="center"/>
          </w:tcPr>
          <w:p>
            <w:pPr>
              <w:pStyle w:val="63"/>
              <w:rPr>
                <w:u w:val="single"/>
              </w:rPr>
            </w:pPr>
            <w:r>
              <w:rPr>
                <w:u w:val="single"/>
              </w:rPr>
              <w:t>居住区约200户</w:t>
            </w:r>
          </w:p>
        </w:tc>
        <w:tc>
          <w:tcPr>
            <w:tcW w:w="411" w:type="pct"/>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3" w:type="pct"/>
            <w:vAlign w:val="center"/>
          </w:tcPr>
          <w:p>
            <w:pPr>
              <w:pStyle w:val="63"/>
              <w:rPr>
                <w:u w:val="single"/>
              </w:rPr>
            </w:pPr>
            <w:r>
              <w:rPr>
                <w:u w:val="single"/>
              </w:rPr>
              <w:t>13</w:t>
            </w:r>
          </w:p>
        </w:tc>
        <w:tc>
          <w:tcPr>
            <w:tcW w:w="586" w:type="pct"/>
            <w:vAlign w:val="center"/>
          </w:tcPr>
          <w:p>
            <w:pPr>
              <w:pStyle w:val="63"/>
              <w:rPr>
                <w:rFonts w:eastAsia="宋体"/>
                <w:color w:val="000000"/>
                <w:sz w:val="22"/>
                <w:u w:val="single"/>
              </w:rPr>
            </w:pPr>
            <w:r>
              <w:rPr>
                <w:color w:val="000000"/>
                <w:sz w:val="22"/>
                <w:u w:val="single"/>
              </w:rPr>
              <w:t>大浦镇</w:t>
            </w:r>
          </w:p>
        </w:tc>
        <w:tc>
          <w:tcPr>
            <w:tcW w:w="764" w:type="pct"/>
            <w:vAlign w:val="center"/>
          </w:tcPr>
          <w:p>
            <w:pPr>
              <w:pStyle w:val="63"/>
              <w:rPr>
                <w:rFonts w:eastAsia="宋体"/>
                <w:color w:val="000000"/>
                <w:sz w:val="22"/>
                <w:u w:val="single"/>
              </w:rPr>
            </w:pPr>
            <w:r>
              <w:rPr>
                <w:color w:val="000000"/>
                <w:sz w:val="22"/>
                <w:u w:val="single"/>
              </w:rPr>
              <w:t>112°46′56.047″</w:t>
            </w:r>
          </w:p>
        </w:tc>
        <w:tc>
          <w:tcPr>
            <w:tcW w:w="765" w:type="pct"/>
            <w:vAlign w:val="center"/>
          </w:tcPr>
          <w:p>
            <w:pPr>
              <w:pStyle w:val="63"/>
              <w:rPr>
                <w:rFonts w:eastAsia="宋体"/>
                <w:color w:val="000000"/>
                <w:sz w:val="22"/>
                <w:u w:val="single"/>
              </w:rPr>
            </w:pPr>
            <w:r>
              <w:rPr>
                <w:color w:val="000000"/>
                <w:sz w:val="22"/>
                <w:u w:val="single"/>
              </w:rPr>
              <w:t>26°59′45.526″</w:t>
            </w:r>
          </w:p>
        </w:tc>
        <w:tc>
          <w:tcPr>
            <w:tcW w:w="500" w:type="pct"/>
            <w:vAlign w:val="center"/>
          </w:tcPr>
          <w:p>
            <w:pPr>
              <w:pStyle w:val="63"/>
              <w:rPr>
                <w:u w:val="single"/>
              </w:rPr>
            </w:pPr>
            <w:r>
              <w:rPr>
                <w:u w:val="single"/>
              </w:rPr>
              <w:t>WS</w:t>
            </w:r>
          </w:p>
        </w:tc>
        <w:tc>
          <w:tcPr>
            <w:tcW w:w="450" w:type="pct"/>
            <w:vAlign w:val="center"/>
          </w:tcPr>
          <w:p>
            <w:pPr>
              <w:pStyle w:val="63"/>
              <w:rPr>
                <w:u w:val="single"/>
              </w:rPr>
            </w:pPr>
            <w:r>
              <w:rPr>
                <w:u w:val="single"/>
              </w:rPr>
              <w:t>2600</w:t>
            </w:r>
          </w:p>
        </w:tc>
        <w:tc>
          <w:tcPr>
            <w:tcW w:w="400" w:type="pct"/>
            <w:vAlign w:val="center"/>
          </w:tcPr>
          <w:p>
            <w:pPr>
              <w:pStyle w:val="63"/>
              <w:rPr>
                <w:u w:val="single"/>
              </w:rPr>
            </w:pPr>
            <w:r>
              <w:rPr>
                <w:u w:val="single"/>
              </w:rPr>
              <w:t>无/-15</w:t>
            </w:r>
          </w:p>
        </w:tc>
        <w:tc>
          <w:tcPr>
            <w:tcW w:w="701" w:type="pct"/>
            <w:vAlign w:val="center"/>
          </w:tcPr>
          <w:p>
            <w:pPr>
              <w:pStyle w:val="63"/>
              <w:rPr>
                <w:u w:val="single"/>
              </w:rPr>
            </w:pPr>
            <w:r>
              <w:rPr>
                <w:u w:val="single"/>
              </w:rPr>
              <w:t>居住区约50000人</w:t>
            </w:r>
          </w:p>
        </w:tc>
        <w:tc>
          <w:tcPr>
            <w:tcW w:w="411" w:type="pct"/>
            <w:vMerge w:val="continue"/>
            <w:vAlign w:val="center"/>
          </w:tcPr>
          <w:p>
            <w:pPr>
              <w:pStyle w:val="63"/>
              <w:rPr>
                <w:u w:val="single"/>
              </w:rPr>
            </w:pPr>
          </w:p>
        </w:tc>
      </w:tr>
    </w:tbl>
    <w:p>
      <w:pPr>
        <w:pStyle w:val="6"/>
        <w:rPr>
          <w:rFonts w:ascii="Times New Roman" w:hAnsi="Times New Roman" w:cs="Times New Roman"/>
        </w:rPr>
      </w:pPr>
      <w:r>
        <w:rPr>
          <w:rFonts w:ascii="Times New Roman" w:hAnsi="Times New Roman" w:cs="Times New Roman"/>
        </w:rPr>
        <w:t>表2.7-</w:t>
      </w:r>
      <w:r>
        <w:rPr>
          <w:rFonts w:hint="eastAsia" w:ascii="Times New Roman" w:hAnsi="Times New Roman" w:cs="Times New Roman"/>
        </w:rPr>
        <w:t>2</w:t>
      </w:r>
      <w:r>
        <w:rPr>
          <w:rFonts w:ascii="Times New Roman" w:hAnsi="Times New Roman" w:cs="Times New Roman"/>
        </w:rPr>
        <w:t xml:space="preserve">  </w:t>
      </w:r>
      <w:r>
        <w:rPr>
          <w:rFonts w:hint="eastAsia" w:ascii="Times New Roman" w:hAnsi="Times New Roman" w:cs="Times New Roman"/>
        </w:rPr>
        <w:t>梯次利用厂区</w:t>
      </w:r>
      <w:r>
        <w:rPr>
          <w:rFonts w:ascii="Times New Roman" w:hAnsi="Times New Roman" w:cs="Times New Roman"/>
        </w:rPr>
        <w:t>主要大气环境保护目标</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99"/>
        <w:gridCol w:w="1661"/>
        <w:gridCol w:w="2166"/>
        <w:gridCol w:w="2169"/>
        <w:gridCol w:w="1417"/>
        <w:gridCol w:w="1276"/>
        <w:gridCol w:w="1134"/>
        <w:gridCol w:w="1987"/>
        <w:gridCol w:w="11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423" w:type="pct"/>
            <w:vAlign w:val="center"/>
          </w:tcPr>
          <w:p>
            <w:pPr>
              <w:pStyle w:val="63"/>
              <w:rPr>
                <w:u w:val="single"/>
              </w:rPr>
            </w:pPr>
            <w:r>
              <w:rPr>
                <w:u w:val="single"/>
              </w:rPr>
              <w:t>序号</w:t>
            </w:r>
          </w:p>
        </w:tc>
        <w:tc>
          <w:tcPr>
            <w:tcW w:w="586" w:type="pct"/>
            <w:vAlign w:val="center"/>
          </w:tcPr>
          <w:p>
            <w:pPr>
              <w:pStyle w:val="63"/>
              <w:rPr>
                <w:u w:val="single"/>
              </w:rPr>
            </w:pPr>
            <w:r>
              <w:rPr>
                <w:u w:val="single"/>
              </w:rPr>
              <w:t>名称</w:t>
            </w:r>
          </w:p>
        </w:tc>
        <w:tc>
          <w:tcPr>
            <w:tcW w:w="1529" w:type="pct"/>
            <w:gridSpan w:val="2"/>
            <w:vAlign w:val="center"/>
          </w:tcPr>
          <w:p>
            <w:pPr>
              <w:pStyle w:val="63"/>
              <w:rPr>
                <w:u w:val="single"/>
              </w:rPr>
            </w:pPr>
            <w:r>
              <w:rPr>
                <w:u w:val="single"/>
              </w:rPr>
              <w:t>位置坐标</w:t>
            </w:r>
          </w:p>
        </w:tc>
        <w:tc>
          <w:tcPr>
            <w:tcW w:w="500" w:type="pct"/>
            <w:vAlign w:val="center"/>
          </w:tcPr>
          <w:p>
            <w:pPr>
              <w:pStyle w:val="63"/>
              <w:rPr>
                <w:u w:val="single"/>
              </w:rPr>
            </w:pPr>
            <w:r>
              <w:rPr>
                <w:u w:val="single"/>
              </w:rPr>
              <w:t>相对</w:t>
            </w:r>
            <w:r>
              <w:rPr>
                <w:rFonts w:hint="eastAsia"/>
                <w:u w:val="single"/>
              </w:rPr>
              <w:t>梯次利用</w:t>
            </w:r>
            <w:r>
              <w:rPr>
                <w:u w:val="single"/>
              </w:rPr>
              <w:t>厂址方位</w:t>
            </w:r>
          </w:p>
        </w:tc>
        <w:tc>
          <w:tcPr>
            <w:tcW w:w="450" w:type="pct"/>
            <w:vAlign w:val="center"/>
          </w:tcPr>
          <w:p>
            <w:pPr>
              <w:pStyle w:val="63"/>
              <w:rPr>
                <w:u w:val="single"/>
              </w:rPr>
            </w:pPr>
            <w:r>
              <w:rPr>
                <w:u w:val="single"/>
              </w:rPr>
              <w:t>相对综合利用厂址距离/m</w:t>
            </w:r>
          </w:p>
        </w:tc>
        <w:tc>
          <w:tcPr>
            <w:tcW w:w="400" w:type="pct"/>
            <w:vAlign w:val="center"/>
          </w:tcPr>
          <w:p>
            <w:pPr>
              <w:pStyle w:val="63"/>
              <w:rPr>
                <w:u w:val="single"/>
              </w:rPr>
            </w:pPr>
            <w:r>
              <w:rPr>
                <w:u w:val="single"/>
              </w:rPr>
              <w:t>阻隔、高差（m）</w:t>
            </w:r>
          </w:p>
        </w:tc>
        <w:tc>
          <w:tcPr>
            <w:tcW w:w="701" w:type="pct"/>
            <w:vAlign w:val="center"/>
          </w:tcPr>
          <w:p>
            <w:pPr>
              <w:pStyle w:val="63"/>
              <w:rPr>
                <w:u w:val="single"/>
              </w:rPr>
            </w:pPr>
            <w:r>
              <w:rPr>
                <w:u w:val="single"/>
              </w:rPr>
              <w:t>保护内容</w:t>
            </w:r>
          </w:p>
        </w:tc>
        <w:tc>
          <w:tcPr>
            <w:tcW w:w="411" w:type="pct"/>
            <w:vAlign w:val="center"/>
          </w:tcPr>
          <w:p>
            <w:pPr>
              <w:pStyle w:val="63"/>
              <w:rPr>
                <w:u w:val="single"/>
              </w:rPr>
            </w:pPr>
            <w:r>
              <w:rPr>
                <w:u w:val="single"/>
              </w:rPr>
              <w:t>环境功能区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3" w:type="pct"/>
            <w:vAlign w:val="center"/>
          </w:tcPr>
          <w:p>
            <w:pPr>
              <w:pStyle w:val="63"/>
              <w:rPr>
                <w:u w:val="single"/>
              </w:rPr>
            </w:pPr>
            <w:r>
              <w:rPr>
                <w:u w:val="single"/>
              </w:rPr>
              <w:t>1</w:t>
            </w:r>
          </w:p>
        </w:tc>
        <w:tc>
          <w:tcPr>
            <w:tcW w:w="586" w:type="pct"/>
            <w:vAlign w:val="center"/>
          </w:tcPr>
          <w:p>
            <w:pPr>
              <w:pStyle w:val="63"/>
              <w:rPr>
                <w:color w:val="000000"/>
                <w:sz w:val="22"/>
                <w:u w:val="single"/>
              </w:rPr>
            </w:pPr>
            <w:r>
              <w:rPr>
                <w:color w:val="000000"/>
                <w:sz w:val="22"/>
                <w:u w:val="single"/>
              </w:rPr>
              <w:t>安置区</w:t>
            </w:r>
          </w:p>
        </w:tc>
        <w:tc>
          <w:tcPr>
            <w:tcW w:w="764" w:type="pct"/>
            <w:vAlign w:val="center"/>
          </w:tcPr>
          <w:p>
            <w:pPr>
              <w:pStyle w:val="63"/>
              <w:rPr>
                <w:color w:val="000000"/>
                <w:sz w:val="22"/>
                <w:u w:val="single"/>
              </w:rPr>
            </w:pPr>
            <w:r>
              <w:rPr>
                <w:color w:val="000000"/>
                <w:sz w:val="22"/>
                <w:u w:val="single"/>
              </w:rPr>
              <w:t>112°48′36.870″</w:t>
            </w:r>
          </w:p>
        </w:tc>
        <w:tc>
          <w:tcPr>
            <w:tcW w:w="765" w:type="pct"/>
            <w:vAlign w:val="center"/>
          </w:tcPr>
          <w:p>
            <w:pPr>
              <w:pStyle w:val="63"/>
              <w:rPr>
                <w:color w:val="000000"/>
                <w:sz w:val="22"/>
                <w:u w:val="single"/>
              </w:rPr>
            </w:pPr>
            <w:r>
              <w:rPr>
                <w:color w:val="000000"/>
                <w:sz w:val="22"/>
                <w:u w:val="single"/>
              </w:rPr>
              <w:t>27°0′4.260″</w:t>
            </w:r>
          </w:p>
        </w:tc>
        <w:tc>
          <w:tcPr>
            <w:tcW w:w="500" w:type="pct"/>
            <w:vAlign w:val="center"/>
          </w:tcPr>
          <w:p>
            <w:pPr>
              <w:pStyle w:val="63"/>
              <w:rPr>
                <w:u w:val="single"/>
              </w:rPr>
            </w:pPr>
            <w:r>
              <w:rPr>
                <w:rFonts w:hint="eastAsia"/>
                <w:u w:val="single"/>
              </w:rPr>
              <w:t>N</w:t>
            </w:r>
          </w:p>
        </w:tc>
        <w:tc>
          <w:tcPr>
            <w:tcW w:w="450" w:type="pct"/>
            <w:vAlign w:val="center"/>
          </w:tcPr>
          <w:p>
            <w:pPr>
              <w:pStyle w:val="63"/>
              <w:rPr>
                <w:u w:val="single"/>
              </w:rPr>
            </w:pPr>
            <w:r>
              <w:rPr>
                <w:u w:val="single"/>
              </w:rPr>
              <w:t>0</w:t>
            </w:r>
          </w:p>
        </w:tc>
        <w:tc>
          <w:tcPr>
            <w:tcW w:w="400" w:type="pct"/>
            <w:vAlign w:val="center"/>
          </w:tcPr>
          <w:p>
            <w:pPr>
              <w:pStyle w:val="63"/>
              <w:rPr>
                <w:u w:val="single"/>
              </w:rPr>
            </w:pPr>
            <w:r>
              <w:rPr>
                <w:u w:val="single"/>
              </w:rPr>
              <w:t>无/+4</w:t>
            </w:r>
          </w:p>
        </w:tc>
        <w:tc>
          <w:tcPr>
            <w:tcW w:w="701" w:type="pct"/>
            <w:vAlign w:val="center"/>
          </w:tcPr>
          <w:p>
            <w:pPr>
              <w:pStyle w:val="63"/>
              <w:rPr>
                <w:u w:val="single"/>
              </w:rPr>
            </w:pPr>
            <w:r>
              <w:rPr>
                <w:u w:val="single"/>
              </w:rPr>
              <w:t>居住区约250户</w:t>
            </w:r>
          </w:p>
        </w:tc>
        <w:tc>
          <w:tcPr>
            <w:tcW w:w="411" w:type="pct"/>
            <w:vMerge w:val="restart"/>
            <w:vAlign w:val="center"/>
          </w:tcPr>
          <w:p>
            <w:pPr>
              <w:pStyle w:val="63"/>
              <w:rPr>
                <w:u w:val="single"/>
              </w:rPr>
            </w:pPr>
            <w:r>
              <w:rPr>
                <w:u w:val="single"/>
              </w:rPr>
              <w:t>GB3095-2012二类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3" w:type="pct"/>
            <w:vAlign w:val="center"/>
          </w:tcPr>
          <w:p>
            <w:pPr>
              <w:pStyle w:val="63"/>
              <w:rPr>
                <w:u w:val="single"/>
              </w:rPr>
            </w:pPr>
            <w:r>
              <w:rPr>
                <w:u w:val="single"/>
              </w:rPr>
              <w:t>2</w:t>
            </w:r>
          </w:p>
        </w:tc>
        <w:tc>
          <w:tcPr>
            <w:tcW w:w="586" w:type="pct"/>
            <w:vAlign w:val="center"/>
          </w:tcPr>
          <w:p>
            <w:pPr>
              <w:pStyle w:val="63"/>
              <w:rPr>
                <w:color w:val="000000"/>
                <w:sz w:val="22"/>
                <w:u w:val="single"/>
              </w:rPr>
            </w:pPr>
            <w:r>
              <w:rPr>
                <w:color w:val="000000"/>
                <w:sz w:val="22"/>
                <w:u w:val="single"/>
              </w:rPr>
              <w:t>炉铺村</w:t>
            </w:r>
          </w:p>
        </w:tc>
        <w:tc>
          <w:tcPr>
            <w:tcW w:w="764" w:type="pct"/>
            <w:vAlign w:val="center"/>
          </w:tcPr>
          <w:p>
            <w:pPr>
              <w:pStyle w:val="63"/>
              <w:rPr>
                <w:color w:val="000000"/>
                <w:sz w:val="22"/>
                <w:u w:val="single"/>
              </w:rPr>
            </w:pPr>
            <w:r>
              <w:rPr>
                <w:color w:val="000000"/>
                <w:sz w:val="22"/>
                <w:u w:val="single"/>
              </w:rPr>
              <w:t>112°48′21.328″</w:t>
            </w:r>
          </w:p>
        </w:tc>
        <w:tc>
          <w:tcPr>
            <w:tcW w:w="765" w:type="pct"/>
            <w:vAlign w:val="center"/>
          </w:tcPr>
          <w:p>
            <w:pPr>
              <w:pStyle w:val="63"/>
              <w:rPr>
                <w:color w:val="000000"/>
                <w:sz w:val="22"/>
                <w:u w:val="single"/>
              </w:rPr>
            </w:pPr>
            <w:r>
              <w:rPr>
                <w:color w:val="000000"/>
                <w:sz w:val="22"/>
                <w:u w:val="single"/>
              </w:rPr>
              <w:t>26°59′52.787″</w:t>
            </w:r>
          </w:p>
        </w:tc>
        <w:tc>
          <w:tcPr>
            <w:tcW w:w="500" w:type="pct"/>
            <w:vAlign w:val="center"/>
          </w:tcPr>
          <w:p>
            <w:pPr>
              <w:pStyle w:val="63"/>
              <w:rPr>
                <w:u w:val="single"/>
              </w:rPr>
            </w:pPr>
            <w:r>
              <w:rPr>
                <w:rFonts w:hint="eastAsia"/>
                <w:u w:val="single"/>
              </w:rPr>
              <w:t>W</w:t>
            </w:r>
          </w:p>
        </w:tc>
        <w:tc>
          <w:tcPr>
            <w:tcW w:w="450" w:type="pct"/>
            <w:vAlign w:val="center"/>
          </w:tcPr>
          <w:p>
            <w:pPr>
              <w:pStyle w:val="63"/>
              <w:rPr>
                <w:u w:val="single"/>
              </w:rPr>
            </w:pPr>
            <w:r>
              <w:rPr>
                <w:rFonts w:hint="eastAsia"/>
                <w:u w:val="single"/>
              </w:rPr>
              <w:t>390</w:t>
            </w:r>
          </w:p>
        </w:tc>
        <w:tc>
          <w:tcPr>
            <w:tcW w:w="400" w:type="pct"/>
            <w:vAlign w:val="center"/>
          </w:tcPr>
          <w:p>
            <w:pPr>
              <w:pStyle w:val="63"/>
              <w:rPr>
                <w:u w:val="single"/>
              </w:rPr>
            </w:pPr>
            <w:r>
              <w:rPr>
                <w:u w:val="single"/>
              </w:rPr>
              <w:t>无/+5</w:t>
            </w:r>
          </w:p>
        </w:tc>
        <w:tc>
          <w:tcPr>
            <w:tcW w:w="701" w:type="pct"/>
            <w:vAlign w:val="center"/>
          </w:tcPr>
          <w:p>
            <w:pPr>
              <w:pStyle w:val="63"/>
              <w:rPr>
                <w:u w:val="single"/>
              </w:rPr>
            </w:pPr>
            <w:r>
              <w:rPr>
                <w:u w:val="single"/>
              </w:rPr>
              <w:t>居住区约20户</w:t>
            </w:r>
          </w:p>
        </w:tc>
        <w:tc>
          <w:tcPr>
            <w:tcW w:w="411" w:type="pct"/>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3" w:type="pct"/>
            <w:vAlign w:val="center"/>
          </w:tcPr>
          <w:p>
            <w:pPr>
              <w:pStyle w:val="63"/>
              <w:rPr>
                <w:u w:val="single"/>
              </w:rPr>
            </w:pPr>
            <w:r>
              <w:rPr>
                <w:u w:val="single"/>
              </w:rPr>
              <w:t>3</w:t>
            </w:r>
          </w:p>
        </w:tc>
        <w:tc>
          <w:tcPr>
            <w:tcW w:w="586" w:type="pct"/>
            <w:vAlign w:val="center"/>
          </w:tcPr>
          <w:p>
            <w:pPr>
              <w:pStyle w:val="63"/>
              <w:rPr>
                <w:color w:val="000000"/>
                <w:sz w:val="22"/>
                <w:u w:val="single"/>
              </w:rPr>
            </w:pPr>
            <w:r>
              <w:rPr>
                <w:color w:val="000000"/>
                <w:sz w:val="22"/>
                <w:u w:val="single"/>
              </w:rPr>
              <w:t>爱国医院</w:t>
            </w:r>
          </w:p>
        </w:tc>
        <w:tc>
          <w:tcPr>
            <w:tcW w:w="764" w:type="pct"/>
            <w:vAlign w:val="center"/>
          </w:tcPr>
          <w:p>
            <w:pPr>
              <w:pStyle w:val="63"/>
              <w:rPr>
                <w:color w:val="000000"/>
                <w:sz w:val="22"/>
                <w:u w:val="single"/>
              </w:rPr>
            </w:pPr>
            <w:r>
              <w:rPr>
                <w:color w:val="000000"/>
                <w:sz w:val="22"/>
                <w:u w:val="single"/>
              </w:rPr>
              <w:t>112°48′41.775″</w:t>
            </w:r>
          </w:p>
        </w:tc>
        <w:tc>
          <w:tcPr>
            <w:tcW w:w="765" w:type="pct"/>
            <w:vAlign w:val="center"/>
          </w:tcPr>
          <w:p>
            <w:pPr>
              <w:pStyle w:val="63"/>
              <w:rPr>
                <w:color w:val="000000"/>
                <w:sz w:val="22"/>
                <w:u w:val="single"/>
              </w:rPr>
            </w:pPr>
            <w:r>
              <w:rPr>
                <w:color w:val="000000"/>
                <w:sz w:val="22"/>
                <w:u w:val="single"/>
              </w:rPr>
              <w:t>27°0′17.469″</w:t>
            </w:r>
          </w:p>
        </w:tc>
        <w:tc>
          <w:tcPr>
            <w:tcW w:w="500" w:type="pct"/>
            <w:vAlign w:val="center"/>
          </w:tcPr>
          <w:p>
            <w:pPr>
              <w:pStyle w:val="63"/>
              <w:rPr>
                <w:u w:val="single"/>
              </w:rPr>
            </w:pPr>
            <w:r>
              <w:rPr>
                <w:rFonts w:hint="eastAsia"/>
                <w:u w:val="single"/>
              </w:rPr>
              <w:t>N</w:t>
            </w:r>
          </w:p>
        </w:tc>
        <w:tc>
          <w:tcPr>
            <w:tcW w:w="450" w:type="pct"/>
            <w:vAlign w:val="center"/>
          </w:tcPr>
          <w:p>
            <w:pPr>
              <w:pStyle w:val="63"/>
              <w:rPr>
                <w:u w:val="single"/>
              </w:rPr>
            </w:pPr>
            <w:r>
              <w:rPr>
                <w:rFonts w:hint="eastAsia"/>
                <w:u w:val="single"/>
              </w:rPr>
              <w:t>415</w:t>
            </w:r>
          </w:p>
        </w:tc>
        <w:tc>
          <w:tcPr>
            <w:tcW w:w="400" w:type="pct"/>
            <w:vAlign w:val="center"/>
          </w:tcPr>
          <w:p>
            <w:pPr>
              <w:pStyle w:val="63"/>
              <w:rPr>
                <w:u w:val="single"/>
              </w:rPr>
            </w:pPr>
            <w:r>
              <w:rPr>
                <w:u w:val="single"/>
              </w:rPr>
              <w:t>无/+7</w:t>
            </w:r>
          </w:p>
        </w:tc>
        <w:tc>
          <w:tcPr>
            <w:tcW w:w="701" w:type="pct"/>
            <w:vAlign w:val="center"/>
          </w:tcPr>
          <w:p>
            <w:pPr>
              <w:pStyle w:val="63"/>
              <w:rPr>
                <w:u w:val="single"/>
              </w:rPr>
            </w:pPr>
            <w:r>
              <w:rPr>
                <w:u w:val="single"/>
              </w:rPr>
              <w:t>医院约100人</w:t>
            </w:r>
          </w:p>
        </w:tc>
        <w:tc>
          <w:tcPr>
            <w:tcW w:w="411" w:type="pct"/>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3" w:type="pct"/>
            <w:vAlign w:val="center"/>
          </w:tcPr>
          <w:p>
            <w:pPr>
              <w:pStyle w:val="63"/>
              <w:rPr>
                <w:u w:val="single"/>
              </w:rPr>
            </w:pPr>
            <w:r>
              <w:rPr>
                <w:u w:val="single"/>
              </w:rPr>
              <w:t>4</w:t>
            </w:r>
          </w:p>
        </w:tc>
        <w:tc>
          <w:tcPr>
            <w:tcW w:w="586" w:type="pct"/>
            <w:vAlign w:val="center"/>
          </w:tcPr>
          <w:p>
            <w:pPr>
              <w:pStyle w:val="63"/>
              <w:rPr>
                <w:color w:val="000000"/>
                <w:sz w:val="22"/>
                <w:u w:val="single"/>
              </w:rPr>
            </w:pPr>
            <w:r>
              <w:rPr>
                <w:color w:val="000000"/>
                <w:sz w:val="22"/>
                <w:u w:val="single"/>
              </w:rPr>
              <w:t>堰桥村</w:t>
            </w:r>
          </w:p>
        </w:tc>
        <w:tc>
          <w:tcPr>
            <w:tcW w:w="764" w:type="pct"/>
            <w:vAlign w:val="center"/>
          </w:tcPr>
          <w:p>
            <w:pPr>
              <w:pStyle w:val="63"/>
              <w:rPr>
                <w:color w:val="000000"/>
                <w:sz w:val="22"/>
                <w:u w:val="single"/>
              </w:rPr>
            </w:pPr>
            <w:r>
              <w:rPr>
                <w:color w:val="000000"/>
                <w:sz w:val="22"/>
                <w:u w:val="single"/>
              </w:rPr>
              <w:t>112°49′12.466″</w:t>
            </w:r>
          </w:p>
        </w:tc>
        <w:tc>
          <w:tcPr>
            <w:tcW w:w="765" w:type="pct"/>
            <w:vAlign w:val="center"/>
          </w:tcPr>
          <w:p>
            <w:pPr>
              <w:pStyle w:val="63"/>
              <w:rPr>
                <w:color w:val="000000"/>
                <w:sz w:val="22"/>
                <w:u w:val="single"/>
              </w:rPr>
            </w:pPr>
            <w:r>
              <w:rPr>
                <w:color w:val="000000"/>
                <w:sz w:val="22"/>
                <w:u w:val="single"/>
              </w:rPr>
              <w:t>26°59′56.031″</w:t>
            </w:r>
          </w:p>
        </w:tc>
        <w:tc>
          <w:tcPr>
            <w:tcW w:w="500" w:type="pct"/>
            <w:vAlign w:val="center"/>
          </w:tcPr>
          <w:p>
            <w:pPr>
              <w:pStyle w:val="63"/>
              <w:rPr>
                <w:u w:val="single"/>
              </w:rPr>
            </w:pPr>
            <w:r>
              <w:rPr>
                <w:rFonts w:hint="eastAsia"/>
                <w:u w:val="single"/>
              </w:rPr>
              <w:t>E</w:t>
            </w:r>
            <w:r>
              <w:rPr>
                <w:u w:val="single"/>
              </w:rPr>
              <w:t>S</w:t>
            </w:r>
          </w:p>
        </w:tc>
        <w:tc>
          <w:tcPr>
            <w:tcW w:w="450" w:type="pct"/>
            <w:vAlign w:val="center"/>
          </w:tcPr>
          <w:p>
            <w:pPr>
              <w:pStyle w:val="63"/>
              <w:rPr>
                <w:u w:val="single"/>
              </w:rPr>
            </w:pPr>
            <w:r>
              <w:rPr>
                <w:rFonts w:hint="eastAsia"/>
                <w:u w:val="single"/>
              </w:rPr>
              <w:t>800</w:t>
            </w:r>
          </w:p>
        </w:tc>
        <w:tc>
          <w:tcPr>
            <w:tcW w:w="400" w:type="pct"/>
            <w:vAlign w:val="center"/>
          </w:tcPr>
          <w:p>
            <w:pPr>
              <w:pStyle w:val="63"/>
              <w:rPr>
                <w:u w:val="single"/>
              </w:rPr>
            </w:pPr>
            <w:r>
              <w:rPr>
                <w:u w:val="single"/>
              </w:rPr>
              <w:t>无/-13</w:t>
            </w:r>
          </w:p>
        </w:tc>
        <w:tc>
          <w:tcPr>
            <w:tcW w:w="701" w:type="pct"/>
            <w:vAlign w:val="center"/>
          </w:tcPr>
          <w:p>
            <w:pPr>
              <w:pStyle w:val="63"/>
              <w:rPr>
                <w:u w:val="single"/>
              </w:rPr>
            </w:pPr>
            <w:r>
              <w:rPr>
                <w:u w:val="single"/>
              </w:rPr>
              <w:t>居住区约100户</w:t>
            </w:r>
          </w:p>
        </w:tc>
        <w:tc>
          <w:tcPr>
            <w:tcW w:w="411" w:type="pct"/>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3" w:type="pct"/>
            <w:vAlign w:val="center"/>
          </w:tcPr>
          <w:p>
            <w:pPr>
              <w:pStyle w:val="63"/>
              <w:rPr>
                <w:u w:val="single"/>
              </w:rPr>
            </w:pPr>
            <w:r>
              <w:rPr>
                <w:u w:val="single"/>
              </w:rPr>
              <w:t>5</w:t>
            </w:r>
          </w:p>
        </w:tc>
        <w:tc>
          <w:tcPr>
            <w:tcW w:w="586" w:type="pct"/>
            <w:vAlign w:val="center"/>
          </w:tcPr>
          <w:p>
            <w:pPr>
              <w:pStyle w:val="63"/>
              <w:rPr>
                <w:color w:val="000000"/>
                <w:sz w:val="22"/>
                <w:u w:val="single"/>
              </w:rPr>
            </w:pPr>
            <w:r>
              <w:rPr>
                <w:color w:val="000000"/>
                <w:sz w:val="22"/>
                <w:u w:val="single"/>
              </w:rPr>
              <w:t>浦泉村</w:t>
            </w:r>
          </w:p>
        </w:tc>
        <w:tc>
          <w:tcPr>
            <w:tcW w:w="764" w:type="pct"/>
            <w:vAlign w:val="center"/>
          </w:tcPr>
          <w:p>
            <w:pPr>
              <w:pStyle w:val="63"/>
              <w:rPr>
                <w:color w:val="000000"/>
                <w:sz w:val="22"/>
                <w:u w:val="single"/>
              </w:rPr>
            </w:pPr>
            <w:r>
              <w:rPr>
                <w:color w:val="000000"/>
                <w:sz w:val="22"/>
                <w:u w:val="single"/>
              </w:rPr>
              <w:t>112°47′55.527″</w:t>
            </w:r>
          </w:p>
        </w:tc>
        <w:tc>
          <w:tcPr>
            <w:tcW w:w="765" w:type="pct"/>
            <w:vAlign w:val="center"/>
          </w:tcPr>
          <w:p>
            <w:pPr>
              <w:pStyle w:val="63"/>
              <w:rPr>
                <w:color w:val="000000"/>
                <w:sz w:val="22"/>
                <w:u w:val="single"/>
              </w:rPr>
            </w:pPr>
            <w:r>
              <w:rPr>
                <w:color w:val="000000"/>
                <w:sz w:val="22"/>
                <w:u w:val="single"/>
              </w:rPr>
              <w:t>26°59′55.722″</w:t>
            </w:r>
          </w:p>
        </w:tc>
        <w:tc>
          <w:tcPr>
            <w:tcW w:w="500" w:type="pct"/>
            <w:vAlign w:val="center"/>
          </w:tcPr>
          <w:p>
            <w:pPr>
              <w:pStyle w:val="63"/>
              <w:rPr>
                <w:u w:val="single"/>
              </w:rPr>
            </w:pPr>
            <w:r>
              <w:rPr>
                <w:u w:val="single"/>
              </w:rPr>
              <w:t>W</w:t>
            </w:r>
          </w:p>
        </w:tc>
        <w:tc>
          <w:tcPr>
            <w:tcW w:w="450" w:type="pct"/>
            <w:vAlign w:val="center"/>
          </w:tcPr>
          <w:p>
            <w:pPr>
              <w:pStyle w:val="63"/>
              <w:rPr>
                <w:u w:val="single"/>
              </w:rPr>
            </w:pPr>
            <w:r>
              <w:rPr>
                <w:rFonts w:hint="eastAsia"/>
                <w:u w:val="single"/>
              </w:rPr>
              <w:t>1000</w:t>
            </w:r>
          </w:p>
        </w:tc>
        <w:tc>
          <w:tcPr>
            <w:tcW w:w="400" w:type="pct"/>
            <w:vAlign w:val="center"/>
          </w:tcPr>
          <w:p>
            <w:pPr>
              <w:pStyle w:val="63"/>
              <w:rPr>
                <w:u w:val="single"/>
              </w:rPr>
            </w:pPr>
            <w:r>
              <w:rPr>
                <w:u w:val="single"/>
              </w:rPr>
              <w:t>无/-10</w:t>
            </w:r>
          </w:p>
        </w:tc>
        <w:tc>
          <w:tcPr>
            <w:tcW w:w="701" w:type="pct"/>
            <w:vAlign w:val="center"/>
          </w:tcPr>
          <w:p>
            <w:pPr>
              <w:pStyle w:val="63"/>
              <w:rPr>
                <w:u w:val="single"/>
              </w:rPr>
            </w:pPr>
            <w:r>
              <w:rPr>
                <w:u w:val="single"/>
              </w:rPr>
              <w:t>居住区约50户</w:t>
            </w:r>
          </w:p>
        </w:tc>
        <w:tc>
          <w:tcPr>
            <w:tcW w:w="411" w:type="pct"/>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3" w:type="pct"/>
            <w:vAlign w:val="center"/>
          </w:tcPr>
          <w:p>
            <w:pPr>
              <w:pStyle w:val="63"/>
              <w:rPr>
                <w:u w:val="single"/>
              </w:rPr>
            </w:pPr>
            <w:r>
              <w:rPr>
                <w:u w:val="single"/>
              </w:rPr>
              <w:t>6</w:t>
            </w:r>
          </w:p>
        </w:tc>
        <w:tc>
          <w:tcPr>
            <w:tcW w:w="586" w:type="pct"/>
            <w:vAlign w:val="center"/>
          </w:tcPr>
          <w:p>
            <w:pPr>
              <w:pStyle w:val="63"/>
              <w:rPr>
                <w:color w:val="000000"/>
                <w:sz w:val="22"/>
                <w:u w:val="single"/>
              </w:rPr>
            </w:pPr>
            <w:r>
              <w:rPr>
                <w:color w:val="000000"/>
                <w:sz w:val="22"/>
                <w:u w:val="single"/>
              </w:rPr>
              <w:t>大浦镇</w:t>
            </w:r>
          </w:p>
        </w:tc>
        <w:tc>
          <w:tcPr>
            <w:tcW w:w="764" w:type="pct"/>
            <w:vAlign w:val="center"/>
          </w:tcPr>
          <w:p>
            <w:pPr>
              <w:pStyle w:val="63"/>
              <w:rPr>
                <w:color w:val="000000"/>
                <w:sz w:val="22"/>
                <w:u w:val="single"/>
              </w:rPr>
            </w:pPr>
            <w:r>
              <w:rPr>
                <w:color w:val="000000"/>
                <w:sz w:val="22"/>
                <w:u w:val="single"/>
              </w:rPr>
              <w:t>112°46′56.047″</w:t>
            </w:r>
          </w:p>
        </w:tc>
        <w:tc>
          <w:tcPr>
            <w:tcW w:w="765" w:type="pct"/>
            <w:vAlign w:val="center"/>
          </w:tcPr>
          <w:p>
            <w:pPr>
              <w:pStyle w:val="63"/>
              <w:rPr>
                <w:color w:val="000000"/>
                <w:sz w:val="22"/>
                <w:u w:val="single"/>
              </w:rPr>
            </w:pPr>
            <w:r>
              <w:rPr>
                <w:color w:val="000000"/>
                <w:sz w:val="22"/>
                <w:u w:val="single"/>
              </w:rPr>
              <w:t>26°59′45.526″</w:t>
            </w:r>
          </w:p>
        </w:tc>
        <w:tc>
          <w:tcPr>
            <w:tcW w:w="500" w:type="pct"/>
            <w:vAlign w:val="center"/>
          </w:tcPr>
          <w:p>
            <w:pPr>
              <w:pStyle w:val="63"/>
              <w:rPr>
                <w:u w:val="single"/>
              </w:rPr>
            </w:pPr>
            <w:r>
              <w:rPr>
                <w:u w:val="single"/>
              </w:rPr>
              <w:t>W</w:t>
            </w:r>
          </w:p>
        </w:tc>
        <w:tc>
          <w:tcPr>
            <w:tcW w:w="450" w:type="pct"/>
            <w:vAlign w:val="center"/>
          </w:tcPr>
          <w:p>
            <w:pPr>
              <w:pStyle w:val="63"/>
              <w:rPr>
                <w:u w:val="single"/>
              </w:rPr>
            </w:pPr>
            <w:r>
              <w:rPr>
                <w:rFonts w:hint="eastAsia"/>
                <w:u w:val="single"/>
              </w:rPr>
              <w:t>2700</w:t>
            </w:r>
          </w:p>
        </w:tc>
        <w:tc>
          <w:tcPr>
            <w:tcW w:w="400" w:type="pct"/>
            <w:vAlign w:val="center"/>
          </w:tcPr>
          <w:p>
            <w:pPr>
              <w:pStyle w:val="63"/>
              <w:rPr>
                <w:u w:val="single"/>
              </w:rPr>
            </w:pPr>
            <w:r>
              <w:rPr>
                <w:u w:val="single"/>
              </w:rPr>
              <w:t>无/-15</w:t>
            </w:r>
          </w:p>
        </w:tc>
        <w:tc>
          <w:tcPr>
            <w:tcW w:w="701" w:type="pct"/>
            <w:vAlign w:val="center"/>
          </w:tcPr>
          <w:p>
            <w:pPr>
              <w:pStyle w:val="63"/>
              <w:rPr>
                <w:u w:val="single"/>
              </w:rPr>
            </w:pPr>
            <w:r>
              <w:rPr>
                <w:u w:val="single"/>
              </w:rPr>
              <w:t>居住区约50000人</w:t>
            </w:r>
          </w:p>
        </w:tc>
        <w:tc>
          <w:tcPr>
            <w:tcW w:w="411" w:type="pct"/>
            <w:vMerge w:val="continue"/>
            <w:vAlign w:val="center"/>
          </w:tcPr>
          <w:p>
            <w:pPr>
              <w:pStyle w:val="63"/>
              <w:rPr>
                <w:u w:val="single"/>
              </w:rPr>
            </w:pPr>
          </w:p>
        </w:tc>
      </w:tr>
    </w:tbl>
    <w:p>
      <w:pPr>
        <w:pStyle w:val="6"/>
        <w:rPr>
          <w:rFonts w:ascii="Times New Roman" w:hAnsi="Times New Roman" w:cs="Times New Roman"/>
        </w:rPr>
      </w:pPr>
      <w:r>
        <w:rPr>
          <w:rFonts w:ascii="Times New Roman" w:hAnsi="Times New Roman" w:cs="Times New Roman"/>
        </w:rPr>
        <w:t>表2.7-</w:t>
      </w:r>
      <w:r>
        <w:rPr>
          <w:rFonts w:hint="eastAsia" w:ascii="Times New Roman" w:hAnsi="Times New Roman" w:cs="Times New Roman"/>
        </w:rPr>
        <w:t>3</w:t>
      </w:r>
      <w:r>
        <w:rPr>
          <w:rFonts w:ascii="Times New Roman" w:hAnsi="Times New Roman" w:cs="Times New Roman"/>
        </w:rPr>
        <w:t xml:space="preserve">  主要声环境保护目标</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02"/>
        <w:gridCol w:w="1670"/>
        <w:gridCol w:w="1670"/>
        <w:gridCol w:w="1883"/>
        <w:gridCol w:w="1888"/>
        <w:gridCol w:w="1421"/>
        <w:gridCol w:w="1279"/>
        <w:gridCol w:w="1993"/>
        <w:gridCol w:w="11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24" w:type="pct"/>
            <w:vAlign w:val="center"/>
          </w:tcPr>
          <w:p>
            <w:pPr>
              <w:pStyle w:val="63"/>
            </w:pPr>
            <w:r>
              <w:t>序号</w:t>
            </w:r>
          </w:p>
        </w:tc>
        <w:tc>
          <w:tcPr>
            <w:tcW w:w="589" w:type="pct"/>
            <w:vAlign w:val="center"/>
          </w:tcPr>
          <w:p>
            <w:pPr>
              <w:pStyle w:val="63"/>
            </w:pPr>
            <w:r>
              <w:t>影响厂区</w:t>
            </w:r>
          </w:p>
        </w:tc>
        <w:tc>
          <w:tcPr>
            <w:tcW w:w="589" w:type="pct"/>
            <w:vAlign w:val="center"/>
          </w:tcPr>
          <w:p>
            <w:pPr>
              <w:pStyle w:val="63"/>
            </w:pPr>
            <w:r>
              <w:t>名称</w:t>
            </w:r>
          </w:p>
        </w:tc>
        <w:tc>
          <w:tcPr>
            <w:tcW w:w="1330" w:type="pct"/>
            <w:gridSpan w:val="2"/>
            <w:vAlign w:val="center"/>
          </w:tcPr>
          <w:p>
            <w:pPr>
              <w:pStyle w:val="63"/>
            </w:pPr>
            <w:r>
              <w:t>位置坐标</w:t>
            </w:r>
          </w:p>
        </w:tc>
        <w:tc>
          <w:tcPr>
            <w:tcW w:w="501" w:type="pct"/>
            <w:vAlign w:val="center"/>
          </w:tcPr>
          <w:p>
            <w:pPr>
              <w:pStyle w:val="63"/>
            </w:pPr>
            <w:r>
              <w:t>相对厂址方位</w:t>
            </w:r>
          </w:p>
        </w:tc>
        <w:tc>
          <w:tcPr>
            <w:tcW w:w="451" w:type="pct"/>
            <w:vAlign w:val="center"/>
          </w:tcPr>
          <w:p>
            <w:pPr>
              <w:pStyle w:val="63"/>
            </w:pPr>
            <w:r>
              <w:t>相对厂址距离/m</w:t>
            </w:r>
          </w:p>
        </w:tc>
        <w:tc>
          <w:tcPr>
            <w:tcW w:w="703" w:type="pct"/>
            <w:vAlign w:val="center"/>
          </w:tcPr>
          <w:p>
            <w:pPr>
              <w:pStyle w:val="63"/>
            </w:pPr>
            <w:r>
              <w:t>保护内容</w:t>
            </w:r>
          </w:p>
        </w:tc>
        <w:tc>
          <w:tcPr>
            <w:tcW w:w="412" w:type="pct"/>
            <w:vAlign w:val="center"/>
          </w:tcPr>
          <w:p>
            <w:pPr>
              <w:pStyle w:val="63"/>
            </w:pPr>
            <w:r>
              <w:t>环境功能区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vAlign w:val="center"/>
          </w:tcPr>
          <w:p>
            <w:pPr>
              <w:pStyle w:val="63"/>
            </w:pPr>
            <w:r>
              <w:t>1</w:t>
            </w:r>
          </w:p>
        </w:tc>
        <w:tc>
          <w:tcPr>
            <w:tcW w:w="589" w:type="pct"/>
            <w:vAlign w:val="center"/>
          </w:tcPr>
          <w:p>
            <w:pPr>
              <w:pStyle w:val="63"/>
              <w:rPr>
                <w:color w:val="000000"/>
                <w:sz w:val="22"/>
              </w:rPr>
            </w:pPr>
            <w:r>
              <w:t>综合回收利用厂区</w:t>
            </w:r>
          </w:p>
        </w:tc>
        <w:tc>
          <w:tcPr>
            <w:tcW w:w="589" w:type="pct"/>
            <w:vAlign w:val="center"/>
          </w:tcPr>
          <w:p>
            <w:pPr>
              <w:pStyle w:val="63"/>
              <w:rPr>
                <w:color w:val="000000"/>
                <w:sz w:val="22"/>
              </w:rPr>
            </w:pPr>
            <w:r>
              <w:rPr>
                <w:color w:val="000000"/>
                <w:sz w:val="22"/>
              </w:rPr>
              <w:t>彭家屋场</w:t>
            </w:r>
          </w:p>
        </w:tc>
        <w:tc>
          <w:tcPr>
            <w:tcW w:w="664" w:type="pct"/>
            <w:vAlign w:val="center"/>
          </w:tcPr>
          <w:p>
            <w:pPr>
              <w:pStyle w:val="63"/>
              <w:rPr>
                <w:color w:val="000000"/>
                <w:sz w:val="22"/>
              </w:rPr>
            </w:pPr>
            <w:r>
              <w:rPr>
                <w:color w:val="000000"/>
                <w:sz w:val="22"/>
              </w:rPr>
              <w:t>112°48′35.054″</w:t>
            </w:r>
          </w:p>
        </w:tc>
        <w:tc>
          <w:tcPr>
            <w:tcW w:w="666" w:type="pct"/>
            <w:vAlign w:val="center"/>
          </w:tcPr>
          <w:p>
            <w:pPr>
              <w:pStyle w:val="63"/>
              <w:rPr>
                <w:color w:val="000000"/>
                <w:sz w:val="22"/>
              </w:rPr>
            </w:pPr>
            <w:r>
              <w:rPr>
                <w:color w:val="000000"/>
                <w:sz w:val="22"/>
              </w:rPr>
              <w:t>27°0′49.913″</w:t>
            </w:r>
          </w:p>
        </w:tc>
        <w:tc>
          <w:tcPr>
            <w:tcW w:w="501" w:type="pct"/>
            <w:vAlign w:val="center"/>
          </w:tcPr>
          <w:p>
            <w:pPr>
              <w:pStyle w:val="63"/>
            </w:pPr>
            <w:r>
              <w:t>E</w:t>
            </w:r>
          </w:p>
        </w:tc>
        <w:tc>
          <w:tcPr>
            <w:tcW w:w="451" w:type="pct"/>
            <w:vAlign w:val="center"/>
          </w:tcPr>
          <w:p>
            <w:pPr>
              <w:pStyle w:val="63"/>
            </w:pPr>
            <w:r>
              <w:t>140</w:t>
            </w:r>
          </w:p>
        </w:tc>
        <w:tc>
          <w:tcPr>
            <w:tcW w:w="703" w:type="pct"/>
            <w:vAlign w:val="center"/>
          </w:tcPr>
          <w:p>
            <w:pPr>
              <w:pStyle w:val="63"/>
            </w:pPr>
            <w:r>
              <w:t>居住区约150户</w:t>
            </w:r>
          </w:p>
        </w:tc>
        <w:tc>
          <w:tcPr>
            <w:tcW w:w="412" w:type="pct"/>
            <w:vAlign w:val="center"/>
          </w:tcPr>
          <w:p>
            <w:pPr>
              <w:pStyle w:val="63"/>
            </w:pPr>
            <w:r>
              <w:t>二类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vAlign w:val="center"/>
          </w:tcPr>
          <w:p>
            <w:pPr>
              <w:pStyle w:val="63"/>
            </w:pPr>
            <w:r>
              <w:t>5</w:t>
            </w:r>
          </w:p>
        </w:tc>
        <w:tc>
          <w:tcPr>
            <w:tcW w:w="589" w:type="pct"/>
            <w:vAlign w:val="center"/>
          </w:tcPr>
          <w:p>
            <w:pPr>
              <w:pStyle w:val="63"/>
              <w:rPr>
                <w:color w:val="000000"/>
                <w:sz w:val="22"/>
              </w:rPr>
            </w:pPr>
            <w:r>
              <w:t>梯次利用厂区</w:t>
            </w:r>
          </w:p>
        </w:tc>
        <w:tc>
          <w:tcPr>
            <w:tcW w:w="589" w:type="pct"/>
            <w:vAlign w:val="center"/>
          </w:tcPr>
          <w:p>
            <w:pPr>
              <w:pStyle w:val="63"/>
              <w:rPr>
                <w:color w:val="000000"/>
                <w:sz w:val="22"/>
              </w:rPr>
            </w:pPr>
            <w:r>
              <w:rPr>
                <w:color w:val="000000"/>
                <w:sz w:val="22"/>
              </w:rPr>
              <w:t>安置区</w:t>
            </w:r>
          </w:p>
        </w:tc>
        <w:tc>
          <w:tcPr>
            <w:tcW w:w="664" w:type="pct"/>
            <w:vAlign w:val="center"/>
          </w:tcPr>
          <w:p>
            <w:pPr>
              <w:pStyle w:val="63"/>
              <w:rPr>
                <w:color w:val="000000"/>
                <w:sz w:val="22"/>
              </w:rPr>
            </w:pPr>
            <w:r>
              <w:rPr>
                <w:color w:val="000000"/>
                <w:sz w:val="22"/>
              </w:rPr>
              <w:t>112°48′36.870″</w:t>
            </w:r>
          </w:p>
        </w:tc>
        <w:tc>
          <w:tcPr>
            <w:tcW w:w="666" w:type="pct"/>
            <w:vAlign w:val="center"/>
          </w:tcPr>
          <w:p>
            <w:pPr>
              <w:pStyle w:val="63"/>
              <w:rPr>
                <w:color w:val="000000"/>
                <w:sz w:val="22"/>
              </w:rPr>
            </w:pPr>
            <w:r>
              <w:rPr>
                <w:color w:val="000000"/>
                <w:sz w:val="22"/>
              </w:rPr>
              <w:t>27°0′4.260″</w:t>
            </w:r>
          </w:p>
        </w:tc>
        <w:tc>
          <w:tcPr>
            <w:tcW w:w="501" w:type="pct"/>
            <w:vAlign w:val="center"/>
          </w:tcPr>
          <w:p>
            <w:pPr>
              <w:pStyle w:val="63"/>
            </w:pPr>
            <w:r>
              <w:rPr>
                <w:rFonts w:hint="eastAsia"/>
              </w:rPr>
              <w:t>N</w:t>
            </w:r>
          </w:p>
        </w:tc>
        <w:tc>
          <w:tcPr>
            <w:tcW w:w="451" w:type="pct"/>
            <w:vAlign w:val="center"/>
          </w:tcPr>
          <w:p>
            <w:pPr>
              <w:pStyle w:val="63"/>
            </w:pPr>
            <w:r>
              <w:t>0</w:t>
            </w:r>
          </w:p>
        </w:tc>
        <w:tc>
          <w:tcPr>
            <w:tcW w:w="703" w:type="pct"/>
            <w:vAlign w:val="center"/>
          </w:tcPr>
          <w:p>
            <w:pPr>
              <w:pStyle w:val="63"/>
            </w:pPr>
            <w:r>
              <w:t>居住区约250户</w:t>
            </w:r>
          </w:p>
        </w:tc>
        <w:tc>
          <w:tcPr>
            <w:tcW w:w="412" w:type="pct"/>
            <w:vAlign w:val="center"/>
          </w:tcPr>
          <w:p>
            <w:pPr>
              <w:pStyle w:val="63"/>
            </w:pPr>
            <w:r>
              <w:t>二类</w:t>
            </w:r>
          </w:p>
        </w:tc>
      </w:tr>
    </w:tbl>
    <w:p>
      <w:pPr>
        <w:pStyle w:val="6"/>
        <w:rPr>
          <w:rFonts w:ascii="Times New Roman" w:hAnsi="Times New Roman" w:cs="Times New Roman"/>
          <w:u w:val="single"/>
        </w:rPr>
      </w:pPr>
      <w:r>
        <w:rPr>
          <w:rFonts w:ascii="Times New Roman" w:hAnsi="Times New Roman" w:cs="Times New Roman"/>
          <w:u w:val="single"/>
        </w:rPr>
        <w:t>表2.7-</w:t>
      </w:r>
      <w:r>
        <w:rPr>
          <w:rFonts w:hint="eastAsia" w:ascii="Times New Roman" w:hAnsi="Times New Roman" w:cs="Times New Roman"/>
          <w:u w:val="single"/>
        </w:rPr>
        <w:t>4</w:t>
      </w:r>
      <w:r>
        <w:rPr>
          <w:rFonts w:ascii="Times New Roman" w:hAnsi="Times New Roman" w:cs="Times New Roman"/>
          <w:u w:val="single"/>
        </w:rPr>
        <w:t xml:space="preserve">  主要水环境保护目标</w:t>
      </w:r>
    </w:p>
    <w:tbl>
      <w:tblPr>
        <w:tblStyle w:val="35"/>
        <w:tblW w:w="1377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98"/>
        <w:gridCol w:w="1275"/>
        <w:gridCol w:w="2657"/>
        <w:gridCol w:w="3969"/>
        <w:gridCol w:w="1134"/>
        <w:gridCol w:w="1946"/>
        <w:gridCol w:w="199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tblHeader/>
          <w:jc w:val="center"/>
        </w:trPr>
        <w:tc>
          <w:tcPr>
            <w:tcW w:w="798" w:type="dxa"/>
            <w:tcBorders>
              <w:top w:val="single" w:color="auto" w:sz="12" w:space="0"/>
              <w:left w:val="single" w:color="auto" w:sz="12" w:space="0"/>
              <w:bottom w:val="single" w:color="auto" w:sz="4" w:space="0"/>
              <w:right w:val="single" w:color="auto" w:sz="4" w:space="0"/>
            </w:tcBorders>
            <w:vAlign w:val="center"/>
          </w:tcPr>
          <w:p>
            <w:pPr>
              <w:pStyle w:val="63"/>
              <w:rPr>
                <w:u w:val="single"/>
              </w:rPr>
            </w:pPr>
            <w:r>
              <w:rPr>
                <w:u w:val="single"/>
              </w:rPr>
              <w:t>类别</w:t>
            </w:r>
          </w:p>
        </w:tc>
        <w:tc>
          <w:tcPr>
            <w:tcW w:w="1275" w:type="dxa"/>
            <w:tcBorders>
              <w:top w:val="single" w:color="auto" w:sz="12" w:space="0"/>
              <w:left w:val="single" w:color="auto" w:sz="4" w:space="0"/>
              <w:bottom w:val="single" w:color="auto" w:sz="4" w:space="0"/>
              <w:right w:val="single" w:color="auto" w:sz="4" w:space="0"/>
            </w:tcBorders>
            <w:vAlign w:val="center"/>
          </w:tcPr>
          <w:p>
            <w:pPr>
              <w:pStyle w:val="63"/>
              <w:rPr>
                <w:u w:val="single"/>
              </w:rPr>
            </w:pPr>
            <w:r>
              <w:rPr>
                <w:u w:val="single"/>
              </w:rPr>
              <w:t>名称</w:t>
            </w:r>
          </w:p>
        </w:tc>
        <w:tc>
          <w:tcPr>
            <w:tcW w:w="2657" w:type="dxa"/>
            <w:tcBorders>
              <w:top w:val="single" w:color="auto" w:sz="12" w:space="0"/>
              <w:left w:val="single" w:color="auto" w:sz="4" w:space="0"/>
              <w:bottom w:val="single" w:color="auto" w:sz="4" w:space="0"/>
              <w:right w:val="single" w:color="auto" w:sz="4" w:space="0"/>
            </w:tcBorders>
            <w:vAlign w:val="center"/>
          </w:tcPr>
          <w:p>
            <w:pPr>
              <w:pStyle w:val="63"/>
              <w:rPr>
                <w:u w:val="single"/>
              </w:rPr>
            </w:pPr>
            <w:r>
              <w:rPr>
                <w:u w:val="single"/>
              </w:rPr>
              <w:t>水域及长度</w:t>
            </w:r>
          </w:p>
        </w:tc>
        <w:tc>
          <w:tcPr>
            <w:tcW w:w="3969" w:type="dxa"/>
            <w:tcBorders>
              <w:top w:val="single" w:color="auto" w:sz="12" w:space="0"/>
              <w:left w:val="single" w:color="auto" w:sz="4" w:space="0"/>
              <w:bottom w:val="single" w:color="auto" w:sz="4" w:space="0"/>
              <w:right w:val="single" w:color="auto" w:sz="4" w:space="0"/>
            </w:tcBorders>
            <w:vAlign w:val="center"/>
          </w:tcPr>
          <w:p>
            <w:pPr>
              <w:pStyle w:val="63"/>
              <w:rPr>
                <w:u w:val="single"/>
              </w:rPr>
            </w:pPr>
            <w:r>
              <w:rPr>
                <w:u w:val="single"/>
              </w:rPr>
              <w:t>位置</w:t>
            </w:r>
          </w:p>
        </w:tc>
        <w:tc>
          <w:tcPr>
            <w:tcW w:w="1134" w:type="dxa"/>
            <w:tcBorders>
              <w:top w:val="single" w:color="auto" w:sz="12" w:space="0"/>
              <w:left w:val="single" w:color="auto" w:sz="4" w:space="0"/>
              <w:bottom w:val="single" w:color="auto" w:sz="4" w:space="0"/>
              <w:right w:val="single" w:color="auto" w:sz="4" w:space="0"/>
            </w:tcBorders>
            <w:vAlign w:val="center"/>
          </w:tcPr>
          <w:p>
            <w:pPr>
              <w:pStyle w:val="63"/>
              <w:rPr>
                <w:u w:val="single"/>
              </w:rPr>
            </w:pPr>
            <w:r>
              <w:rPr>
                <w:u w:val="single"/>
              </w:rPr>
              <w:t>功能</w:t>
            </w:r>
          </w:p>
        </w:tc>
        <w:tc>
          <w:tcPr>
            <w:tcW w:w="1946" w:type="dxa"/>
            <w:tcBorders>
              <w:top w:val="single" w:color="auto" w:sz="12" w:space="0"/>
              <w:left w:val="single" w:color="auto" w:sz="4" w:space="0"/>
              <w:bottom w:val="single" w:color="auto" w:sz="4" w:space="0"/>
              <w:right w:val="single" w:color="auto" w:sz="4" w:space="0"/>
            </w:tcBorders>
            <w:vAlign w:val="center"/>
          </w:tcPr>
          <w:p>
            <w:pPr>
              <w:pStyle w:val="63"/>
              <w:rPr>
                <w:u w:val="single"/>
              </w:rPr>
            </w:pPr>
            <w:r>
              <w:rPr>
                <w:u w:val="single"/>
              </w:rPr>
              <w:t>保护级别</w:t>
            </w:r>
          </w:p>
        </w:tc>
        <w:tc>
          <w:tcPr>
            <w:tcW w:w="1998" w:type="dxa"/>
            <w:tcBorders>
              <w:top w:val="single" w:color="auto" w:sz="12" w:space="0"/>
              <w:left w:val="single" w:color="auto" w:sz="4" w:space="0"/>
              <w:bottom w:val="single" w:color="auto" w:sz="4" w:space="0"/>
              <w:right w:val="single" w:color="auto" w:sz="12" w:space="0"/>
            </w:tcBorders>
            <w:vAlign w:val="center"/>
          </w:tcPr>
          <w:p>
            <w:pPr>
              <w:pStyle w:val="63"/>
              <w:rPr>
                <w:u w:val="single"/>
              </w:rPr>
            </w:pPr>
            <w:r>
              <w:rPr>
                <w:u w:val="single"/>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798" w:type="dxa"/>
            <w:vMerge w:val="restart"/>
            <w:tcBorders>
              <w:top w:val="single" w:color="auto" w:sz="4" w:space="0"/>
              <w:left w:val="single" w:color="auto" w:sz="12" w:space="0"/>
              <w:bottom w:val="single" w:color="auto" w:sz="4" w:space="0"/>
              <w:right w:val="single" w:color="auto" w:sz="4" w:space="0"/>
            </w:tcBorders>
            <w:vAlign w:val="center"/>
          </w:tcPr>
          <w:p>
            <w:pPr>
              <w:pStyle w:val="63"/>
              <w:rPr>
                <w:u w:val="single"/>
              </w:rPr>
            </w:pPr>
            <w:r>
              <w:rPr>
                <w:u w:val="single"/>
              </w:rPr>
              <w:t>水环境</w:t>
            </w:r>
          </w:p>
        </w:tc>
        <w:tc>
          <w:tcPr>
            <w:tcW w:w="1275" w:type="dxa"/>
            <w:vMerge w:val="restart"/>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湘江</w:t>
            </w:r>
          </w:p>
        </w:tc>
        <w:tc>
          <w:tcPr>
            <w:tcW w:w="2657"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大浦污水处理厂排污口上游500m至衡山县城关镇周家湾，全长33.5km</w:t>
            </w:r>
          </w:p>
        </w:tc>
        <w:tc>
          <w:tcPr>
            <w:tcW w:w="3969"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项目西侧</w:t>
            </w:r>
            <w:r>
              <w:rPr>
                <w:rFonts w:hint="eastAsia"/>
                <w:u w:val="single"/>
              </w:rPr>
              <w:t>3000m</w:t>
            </w:r>
          </w:p>
        </w:tc>
        <w:tc>
          <w:tcPr>
            <w:tcW w:w="1134"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渔业用水</w:t>
            </w:r>
          </w:p>
        </w:tc>
        <w:tc>
          <w:tcPr>
            <w:tcW w:w="1946"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GB3838-2002</w:t>
            </w:r>
            <w:r>
              <w:rPr>
                <w:rFonts w:hint="eastAsia" w:ascii="宋体" w:hAnsi="宋体" w:eastAsia="宋体" w:cs="宋体"/>
                <w:u w:val="single"/>
              </w:rPr>
              <w:t>Ⅲ</w:t>
            </w:r>
            <w:r>
              <w:rPr>
                <w:u w:val="single"/>
              </w:rPr>
              <w:t>类</w:t>
            </w:r>
          </w:p>
        </w:tc>
        <w:tc>
          <w:tcPr>
            <w:tcW w:w="1998" w:type="dxa"/>
            <w:tcBorders>
              <w:top w:val="single" w:color="auto" w:sz="4" w:space="0"/>
              <w:left w:val="single" w:color="auto" w:sz="4" w:space="0"/>
              <w:bottom w:val="single" w:color="auto" w:sz="4" w:space="0"/>
              <w:right w:val="single" w:color="auto" w:sz="12" w:space="0"/>
            </w:tcBorders>
            <w:vAlign w:val="center"/>
          </w:tcPr>
          <w:p>
            <w:pPr>
              <w:pStyle w:val="63"/>
              <w:rPr>
                <w:u w:val="single"/>
              </w:rPr>
            </w:pPr>
            <w:r>
              <w:rPr>
                <w:u w:val="single"/>
              </w:rPr>
              <w:t>排污口位于四大家鱼</w:t>
            </w:r>
            <w:r>
              <w:rPr>
                <w:u w:val="single"/>
                <w:lang w:val="zh-CN"/>
              </w:rPr>
              <w:t>国家级水产种质资源保护区实验区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798" w:type="dxa"/>
            <w:vMerge w:val="continue"/>
            <w:tcBorders>
              <w:top w:val="single" w:color="auto" w:sz="4" w:space="0"/>
              <w:left w:val="single" w:color="auto" w:sz="12" w:space="0"/>
              <w:bottom w:val="single" w:color="auto" w:sz="4" w:space="0"/>
              <w:right w:val="single" w:color="auto" w:sz="4" w:space="0"/>
            </w:tcBorders>
            <w:vAlign w:val="center"/>
          </w:tcPr>
          <w:p>
            <w:pPr>
              <w:pStyle w:val="63"/>
              <w:rPr>
                <w:u w:val="single"/>
              </w:rPr>
            </w:pPr>
          </w:p>
        </w:tc>
        <w:tc>
          <w:tcPr>
            <w:tcW w:w="1275" w:type="dxa"/>
            <w:vMerge w:val="continue"/>
            <w:tcBorders>
              <w:top w:val="single" w:color="auto" w:sz="4" w:space="0"/>
              <w:left w:val="single" w:color="auto" w:sz="4" w:space="0"/>
              <w:bottom w:val="single" w:color="auto" w:sz="4" w:space="0"/>
              <w:right w:val="single" w:color="auto" w:sz="4" w:space="0"/>
            </w:tcBorders>
            <w:vAlign w:val="center"/>
          </w:tcPr>
          <w:p>
            <w:pPr>
              <w:pStyle w:val="63"/>
              <w:rPr>
                <w:u w:val="single"/>
              </w:rPr>
            </w:pPr>
          </w:p>
        </w:tc>
        <w:tc>
          <w:tcPr>
            <w:tcW w:w="2657"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衡东县大浦镇湘江饮用水水源地保护区</w:t>
            </w:r>
          </w:p>
        </w:tc>
        <w:tc>
          <w:tcPr>
            <w:tcW w:w="3969"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取水口坐标：112°46′13.93785″E,26°59′30.84747″N，</w:t>
            </w:r>
            <w:r>
              <w:rPr>
                <w:rFonts w:hint="eastAsia"/>
                <w:u w:val="single"/>
              </w:rPr>
              <w:t>排污口</w:t>
            </w:r>
            <w:r>
              <w:rPr>
                <w:u w:val="single"/>
              </w:rPr>
              <w:t>距离上游集中饮用水源保护区二级保护区下边界0.7km、一级保护区下边界0.9km、取水口1km</w:t>
            </w:r>
          </w:p>
        </w:tc>
        <w:tc>
          <w:tcPr>
            <w:tcW w:w="1134"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饮用水水源保护区</w:t>
            </w:r>
          </w:p>
        </w:tc>
        <w:tc>
          <w:tcPr>
            <w:tcW w:w="1946"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GB3838-2002</w:t>
            </w:r>
            <w:r>
              <w:rPr>
                <w:u w:val="single"/>
              </w:rPr>
              <w:fldChar w:fldCharType="begin"/>
            </w:r>
            <w:r>
              <w:rPr>
                <w:u w:val="single"/>
              </w:rPr>
              <w:instrText xml:space="preserve"> = 2 \* ROMAN \* MERGEFORMAT </w:instrText>
            </w:r>
            <w:r>
              <w:rPr>
                <w:u w:val="single"/>
              </w:rPr>
              <w:fldChar w:fldCharType="separate"/>
            </w:r>
            <w:r>
              <w:rPr>
                <w:u w:val="single"/>
              </w:rPr>
              <w:t>II</w:t>
            </w:r>
            <w:r>
              <w:rPr>
                <w:u w:val="single"/>
              </w:rPr>
              <w:fldChar w:fldCharType="end"/>
            </w:r>
            <w:r>
              <w:rPr>
                <w:u w:val="single"/>
              </w:rPr>
              <w:t>/</w:t>
            </w:r>
            <w:r>
              <w:rPr>
                <w:rFonts w:hint="eastAsia" w:ascii="宋体" w:hAnsi="宋体" w:eastAsia="宋体" w:cs="宋体"/>
                <w:u w:val="single"/>
              </w:rPr>
              <w:t>Ⅲ</w:t>
            </w:r>
            <w:r>
              <w:rPr>
                <w:u w:val="single"/>
              </w:rPr>
              <w:t>类</w:t>
            </w:r>
          </w:p>
        </w:tc>
        <w:tc>
          <w:tcPr>
            <w:tcW w:w="1998" w:type="dxa"/>
            <w:tcBorders>
              <w:top w:val="single" w:color="auto" w:sz="4" w:space="0"/>
              <w:left w:val="single" w:color="auto" w:sz="4" w:space="0"/>
              <w:bottom w:val="single" w:color="auto" w:sz="4" w:space="0"/>
              <w:right w:val="single" w:color="auto" w:sz="12" w:space="0"/>
            </w:tcBorders>
            <w:vAlign w:val="center"/>
          </w:tcPr>
          <w:p>
            <w:pPr>
              <w:pStyle w:val="63"/>
              <w:rPr>
                <w:u w:val="single"/>
              </w:rPr>
            </w:pPr>
            <w:r>
              <w:rPr>
                <w:rFonts w:hint="eastAsia"/>
                <w:u w:val="single"/>
              </w:rPr>
              <w:t>园区污水处理厂排放口上游</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798" w:type="dxa"/>
            <w:vMerge w:val="continue"/>
            <w:tcBorders>
              <w:top w:val="single" w:color="auto" w:sz="4" w:space="0"/>
              <w:left w:val="single" w:color="auto" w:sz="12" w:space="0"/>
              <w:bottom w:val="single" w:color="auto" w:sz="4" w:space="0"/>
              <w:right w:val="single" w:color="auto" w:sz="4" w:space="0"/>
            </w:tcBorders>
            <w:vAlign w:val="center"/>
          </w:tcPr>
          <w:p>
            <w:pPr>
              <w:pStyle w:val="63"/>
              <w:rPr>
                <w:u w:val="single"/>
              </w:rPr>
            </w:pPr>
          </w:p>
        </w:tc>
        <w:tc>
          <w:tcPr>
            <w:tcW w:w="1275" w:type="dxa"/>
            <w:vMerge w:val="continue"/>
            <w:tcBorders>
              <w:top w:val="single" w:color="auto" w:sz="4" w:space="0"/>
              <w:left w:val="single" w:color="auto" w:sz="4" w:space="0"/>
              <w:bottom w:val="single" w:color="auto" w:sz="4" w:space="0"/>
              <w:right w:val="single" w:color="auto" w:sz="4" w:space="0"/>
            </w:tcBorders>
            <w:vAlign w:val="center"/>
          </w:tcPr>
          <w:p>
            <w:pPr>
              <w:pStyle w:val="63"/>
              <w:rPr>
                <w:u w:val="single"/>
              </w:rPr>
            </w:pPr>
          </w:p>
        </w:tc>
        <w:tc>
          <w:tcPr>
            <w:tcW w:w="2657"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衡山县萱洲镇湘江饮用水水源地保护区</w:t>
            </w:r>
          </w:p>
        </w:tc>
        <w:tc>
          <w:tcPr>
            <w:tcW w:w="3969"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取水口坐标：112°44′38.92730″E，27°5′29.83764″N。排污口距离下游饮用水源保护区二级保护区上边界8km、一级保护区上边界10km、取水口11km。</w:t>
            </w:r>
          </w:p>
        </w:tc>
        <w:tc>
          <w:tcPr>
            <w:tcW w:w="1134"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饮用水水源保护区</w:t>
            </w:r>
          </w:p>
        </w:tc>
        <w:tc>
          <w:tcPr>
            <w:tcW w:w="1946"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GB3838-2002</w:t>
            </w:r>
            <w:r>
              <w:rPr>
                <w:u w:val="single"/>
              </w:rPr>
              <w:fldChar w:fldCharType="begin"/>
            </w:r>
            <w:r>
              <w:rPr>
                <w:u w:val="single"/>
              </w:rPr>
              <w:instrText xml:space="preserve"> = 2 \* ROMAN \* MERGEFORMAT </w:instrText>
            </w:r>
            <w:r>
              <w:rPr>
                <w:u w:val="single"/>
              </w:rPr>
              <w:fldChar w:fldCharType="separate"/>
            </w:r>
            <w:r>
              <w:rPr>
                <w:u w:val="single"/>
              </w:rPr>
              <w:t>II</w:t>
            </w:r>
            <w:r>
              <w:rPr>
                <w:u w:val="single"/>
              </w:rPr>
              <w:fldChar w:fldCharType="end"/>
            </w:r>
            <w:r>
              <w:rPr>
                <w:u w:val="single"/>
              </w:rPr>
              <w:t>/</w:t>
            </w:r>
            <w:r>
              <w:rPr>
                <w:rFonts w:hint="eastAsia" w:ascii="宋体" w:hAnsi="宋体" w:eastAsia="宋体" w:cs="宋体"/>
                <w:u w:val="single"/>
              </w:rPr>
              <w:t>Ⅲ</w:t>
            </w:r>
            <w:r>
              <w:rPr>
                <w:u w:val="single"/>
              </w:rPr>
              <w:t>类</w:t>
            </w:r>
          </w:p>
        </w:tc>
        <w:tc>
          <w:tcPr>
            <w:tcW w:w="1998" w:type="dxa"/>
            <w:tcBorders>
              <w:top w:val="single" w:color="auto" w:sz="4" w:space="0"/>
              <w:left w:val="single" w:color="auto" w:sz="4" w:space="0"/>
              <w:bottom w:val="single" w:color="auto" w:sz="4" w:space="0"/>
              <w:right w:val="single" w:color="auto" w:sz="12" w:space="0"/>
            </w:tcBorders>
            <w:vAlign w:val="center"/>
          </w:tcPr>
          <w:p>
            <w:pPr>
              <w:pStyle w:val="63"/>
              <w:rPr>
                <w:u w:val="single"/>
              </w:rPr>
            </w:pPr>
            <w:r>
              <w:rPr>
                <w:rFonts w:hint="eastAsia"/>
                <w:u w:val="single"/>
              </w:rPr>
              <w:t>园区污水处理厂排放口下游8km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798" w:type="dxa"/>
            <w:vMerge w:val="continue"/>
            <w:tcBorders>
              <w:top w:val="single" w:color="auto" w:sz="4" w:space="0"/>
              <w:left w:val="single" w:color="auto" w:sz="12" w:space="0"/>
              <w:bottom w:val="single" w:color="auto" w:sz="4" w:space="0"/>
              <w:right w:val="single" w:color="auto" w:sz="4" w:space="0"/>
            </w:tcBorders>
            <w:vAlign w:val="center"/>
          </w:tcPr>
          <w:p>
            <w:pPr>
              <w:pStyle w:val="63"/>
              <w:rPr>
                <w:u w:val="single"/>
              </w:rPr>
            </w:pPr>
          </w:p>
        </w:tc>
        <w:tc>
          <w:tcPr>
            <w:tcW w:w="1275" w:type="dxa"/>
            <w:vMerge w:val="continue"/>
            <w:tcBorders>
              <w:top w:val="single" w:color="auto" w:sz="4" w:space="0"/>
              <w:left w:val="single" w:color="auto" w:sz="4" w:space="0"/>
              <w:bottom w:val="single" w:color="auto" w:sz="4" w:space="0"/>
              <w:right w:val="single" w:color="auto" w:sz="4" w:space="0"/>
            </w:tcBorders>
            <w:vAlign w:val="center"/>
          </w:tcPr>
          <w:p>
            <w:pPr>
              <w:pStyle w:val="63"/>
              <w:rPr>
                <w:u w:val="single"/>
              </w:rPr>
            </w:pPr>
          </w:p>
        </w:tc>
        <w:tc>
          <w:tcPr>
            <w:tcW w:w="2657"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衡东县霞流镇湘江饮用水水源保护区</w:t>
            </w:r>
          </w:p>
        </w:tc>
        <w:tc>
          <w:tcPr>
            <w:tcW w:w="3969"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取水口坐标：112°48′51.57924″E,27°4′47.37309″N。</w:t>
            </w:r>
            <w:r>
              <w:rPr>
                <w:rFonts w:hint="eastAsia"/>
                <w:u w:val="single"/>
              </w:rPr>
              <w:t>排污口</w:t>
            </w:r>
            <w:r>
              <w:rPr>
                <w:u w:val="single"/>
              </w:rPr>
              <w:t>距离下游饮用水源保护区二级保护区上边界17km、一级保护区上边界17.67km、取水口18km</w:t>
            </w:r>
          </w:p>
        </w:tc>
        <w:tc>
          <w:tcPr>
            <w:tcW w:w="1134"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饮用水水源保护区</w:t>
            </w:r>
          </w:p>
        </w:tc>
        <w:tc>
          <w:tcPr>
            <w:tcW w:w="1946"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GB3838-2002</w:t>
            </w:r>
            <w:r>
              <w:rPr>
                <w:u w:val="single"/>
              </w:rPr>
              <w:fldChar w:fldCharType="begin"/>
            </w:r>
            <w:r>
              <w:rPr>
                <w:u w:val="single"/>
              </w:rPr>
              <w:instrText xml:space="preserve"> = 2 \* ROMAN \* MERGEFORMAT </w:instrText>
            </w:r>
            <w:r>
              <w:rPr>
                <w:u w:val="single"/>
              </w:rPr>
              <w:fldChar w:fldCharType="separate"/>
            </w:r>
            <w:r>
              <w:rPr>
                <w:u w:val="single"/>
              </w:rPr>
              <w:t>II</w:t>
            </w:r>
            <w:r>
              <w:rPr>
                <w:u w:val="single"/>
              </w:rPr>
              <w:fldChar w:fldCharType="end"/>
            </w:r>
            <w:r>
              <w:rPr>
                <w:u w:val="single"/>
              </w:rPr>
              <w:t>/</w:t>
            </w:r>
          </w:p>
          <w:p>
            <w:pPr>
              <w:pStyle w:val="63"/>
              <w:rPr>
                <w:u w:val="single"/>
              </w:rPr>
            </w:pPr>
            <w:r>
              <w:rPr>
                <w:rFonts w:hint="eastAsia" w:ascii="宋体" w:hAnsi="宋体" w:eastAsia="宋体" w:cs="宋体"/>
                <w:u w:val="single"/>
              </w:rPr>
              <w:t>Ⅲ</w:t>
            </w:r>
            <w:r>
              <w:rPr>
                <w:u w:val="single"/>
              </w:rPr>
              <w:t>类</w:t>
            </w:r>
          </w:p>
        </w:tc>
        <w:tc>
          <w:tcPr>
            <w:tcW w:w="1998" w:type="dxa"/>
            <w:tcBorders>
              <w:top w:val="single" w:color="auto" w:sz="4" w:space="0"/>
              <w:left w:val="single" w:color="auto" w:sz="4" w:space="0"/>
              <w:bottom w:val="single" w:color="auto" w:sz="4" w:space="0"/>
              <w:right w:val="single" w:color="auto" w:sz="12" w:space="0"/>
            </w:tcBorders>
            <w:vAlign w:val="center"/>
          </w:tcPr>
          <w:p>
            <w:pPr>
              <w:pStyle w:val="63"/>
              <w:rPr>
                <w:u w:val="single"/>
              </w:rPr>
            </w:pPr>
            <w:r>
              <w:rPr>
                <w:rFonts w:hint="eastAsia"/>
                <w:u w:val="single"/>
              </w:rPr>
              <w:t>园区污水处理厂排放口下游17km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798" w:type="dxa"/>
            <w:vMerge w:val="continue"/>
            <w:tcBorders>
              <w:top w:val="single" w:color="auto" w:sz="4" w:space="0"/>
              <w:left w:val="single" w:color="auto" w:sz="12" w:space="0"/>
              <w:bottom w:val="single" w:color="auto" w:sz="4" w:space="0"/>
              <w:right w:val="single" w:color="auto" w:sz="4" w:space="0"/>
            </w:tcBorders>
            <w:vAlign w:val="center"/>
          </w:tcPr>
          <w:p>
            <w:pPr>
              <w:pStyle w:val="63"/>
              <w:rPr>
                <w:u w:val="single"/>
              </w:rPr>
            </w:pPr>
          </w:p>
        </w:tc>
        <w:tc>
          <w:tcPr>
            <w:tcW w:w="1275"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毛家堰溪</w:t>
            </w:r>
          </w:p>
        </w:tc>
        <w:tc>
          <w:tcPr>
            <w:tcW w:w="6626" w:type="dxa"/>
            <w:gridSpan w:val="2"/>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位于</w:t>
            </w:r>
            <w:r>
              <w:rPr>
                <w:rFonts w:hint="eastAsia"/>
                <w:u w:val="single"/>
              </w:rPr>
              <w:t>项目</w:t>
            </w:r>
            <w:r>
              <w:rPr>
                <w:u w:val="single"/>
              </w:rPr>
              <w:t>西北侧</w:t>
            </w:r>
            <w:r>
              <w:rPr>
                <w:rFonts w:hint="eastAsia"/>
                <w:u w:val="single"/>
              </w:rPr>
              <w:t>850m</w:t>
            </w:r>
            <w:r>
              <w:rPr>
                <w:u w:val="single"/>
              </w:rPr>
              <w:t>，流向新民湖</w:t>
            </w:r>
          </w:p>
        </w:tc>
        <w:tc>
          <w:tcPr>
            <w:tcW w:w="1134"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农业用水</w:t>
            </w:r>
          </w:p>
        </w:tc>
        <w:tc>
          <w:tcPr>
            <w:tcW w:w="1946"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GB3838-2002</w:t>
            </w:r>
            <w:r>
              <w:rPr>
                <w:rFonts w:hint="eastAsia" w:ascii="宋体" w:hAnsi="宋体" w:eastAsia="宋体" w:cs="宋体"/>
                <w:u w:val="single"/>
              </w:rPr>
              <w:t>Ⅲ</w:t>
            </w:r>
            <w:r>
              <w:rPr>
                <w:u w:val="single"/>
              </w:rPr>
              <w:t>类</w:t>
            </w:r>
          </w:p>
        </w:tc>
        <w:tc>
          <w:tcPr>
            <w:tcW w:w="1998" w:type="dxa"/>
            <w:tcBorders>
              <w:top w:val="single" w:color="auto" w:sz="4" w:space="0"/>
              <w:left w:val="single" w:color="auto" w:sz="4" w:space="0"/>
              <w:bottom w:val="single" w:color="auto" w:sz="4" w:space="0"/>
              <w:right w:val="single" w:color="auto" w:sz="12" w:space="0"/>
            </w:tcBorders>
            <w:vAlign w:val="center"/>
          </w:tcPr>
          <w:p>
            <w:pPr>
              <w:pStyle w:val="63"/>
              <w:rPr>
                <w:u w:val="single"/>
              </w:rPr>
            </w:pPr>
            <w:r>
              <w:rPr>
                <w:u w:val="single"/>
              </w:rPr>
              <w:t>园区外</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798" w:type="dxa"/>
            <w:vMerge w:val="continue"/>
            <w:tcBorders>
              <w:top w:val="single" w:color="auto" w:sz="4" w:space="0"/>
              <w:left w:val="single" w:color="auto" w:sz="12" w:space="0"/>
              <w:bottom w:val="single" w:color="auto" w:sz="4" w:space="0"/>
              <w:right w:val="single" w:color="auto" w:sz="4" w:space="0"/>
            </w:tcBorders>
            <w:vAlign w:val="center"/>
          </w:tcPr>
          <w:p>
            <w:pPr>
              <w:pStyle w:val="63"/>
              <w:rPr>
                <w:u w:val="single"/>
              </w:rPr>
            </w:pPr>
          </w:p>
        </w:tc>
        <w:tc>
          <w:tcPr>
            <w:tcW w:w="1275"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新民湖</w:t>
            </w:r>
          </w:p>
        </w:tc>
        <w:tc>
          <w:tcPr>
            <w:tcW w:w="6626" w:type="dxa"/>
            <w:gridSpan w:val="2"/>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位于</w:t>
            </w:r>
            <w:r>
              <w:rPr>
                <w:rFonts w:hint="eastAsia"/>
                <w:u w:val="single"/>
              </w:rPr>
              <w:t>项目</w:t>
            </w:r>
            <w:r>
              <w:rPr>
                <w:u w:val="single"/>
              </w:rPr>
              <w:t>西侧</w:t>
            </w:r>
            <w:r>
              <w:rPr>
                <w:rFonts w:hint="eastAsia"/>
                <w:u w:val="single"/>
              </w:rPr>
              <w:t>2000m</w:t>
            </w:r>
            <w:r>
              <w:rPr>
                <w:u w:val="single"/>
              </w:rPr>
              <w:t>，大浦镇内北面，西边距离湘江不到100m</w:t>
            </w:r>
          </w:p>
        </w:tc>
        <w:tc>
          <w:tcPr>
            <w:tcW w:w="1134"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农业、渔业用水</w:t>
            </w:r>
          </w:p>
        </w:tc>
        <w:tc>
          <w:tcPr>
            <w:tcW w:w="1946"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GB3838-2002</w:t>
            </w:r>
            <w:r>
              <w:rPr>
                <w:rFonts w:hint="eastAsia" w:ascii="宋体" w:hAnsi="宋体" w:eastAsia="宋体" w:cs="宋体"/>
                <w:u w:val="single"/>
              </w:rPr>
              <w:t>Ⅲ</w:t>
            </w:r>
            <w:r>
              <w:rPr>
                <w:u w:val="single"/>
              </w:rPr>
              <w:t>类</w:t>
            </w:r>
          </w:p>
        </w:tc>
        <w:tc>
          <w:tcPr>
            <w:tcW w:w="1998" w:type="dxa"/>
            <w:tcBorders>
              <w:top w:val="single" w:color="auto" w:sz="4" w:space="0"/>
              <w:left w:val="single" w:color="auto" w:sz="4" w:space="0"/>
              <w:bottom w:val="single" w:color="auto" w:sz="4" w:space="0"/>
              <w:right w:val="single" w:color="auto" w:sz="12" w:space="0"/>
            </w:tcBorders>
            <w:vAlign w:val="center"/>
          </w:tcPr>
          <w:p>
            <w:pPr>
              <w:pStyle w:val="63"/>
              <w:rPr>
                <w:u w:val="single"/>
              </w:rPr>
            </w:pPr>
            <w:r>
              <w:rPr>
                <w:u w:val="single"/>
              </w:rPr>
              <w:t>园区外</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798" w:type="dxa"/>
            <w:vMerge w:val="continue"/>
            <w:tcBorders>
              <w:top w:val="single" w:color="auto" w:sz="4" w:space="0"/>
              <w:left w:val="single" w:color="auto" w:sz="12" w:space="0"/>
              <w:bottom w:val="single" w:color="auto" w:sz="4" w:space="0"/>
              <w:right w:val="single" w:color="auto" w:sz="4" w:space="0"/>
            </w:tcBorders>
            <w:vAlign w:val="center"/>
          </w:tcPr>
          <w:p>
            <w:pPr>
              <w:pStyle w:val="63"/>
              <w:rPr>
                <w:u w:val="single"/>
              </w:rPr>
            </w:pPr>
          </w:p>
        </w:tc>
        <w:tc>
          <w:tcPr>
            <w:tcW w:w="1275"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rFonts w:hint="eastAsia"/>
                <w:u w:val="single"/>
              </w:rPr>
              <w:t>白</w:t>
            </w:r>
            <w:r>
              <w:rPr>
                <w:u w:val="single"/>
              </w:rPr>
              <w:t>依巷</w:t>
            </w:r>
          </w:p>
        </w:tc>
        <w:tc>
          <w:tcPr>
            <w:tcW w:w="6626" w:type="dxa"/>
            <w:gridSpan w:val="2"/>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位于</w:t>
            </w:r>
            <w:r>
              <w:rPr>
                <w:rFonts w:hint="eastAsia"/>
                <w:u w:val="single"/>
              </w:rPr>
              <w:t>项目东</w:t>
            </w:r>
            <w:r>
              <w:rPr>
                <w:u w:val="single"/>
              </w:rPr>
              <w:t>侧</w:t>
            </w:r>
            <w:r>
              <w:rPr>
                <w:rFonts w:hint="eastAsia"/>
                <w:u w:val="single"/>
              </w:rPr>
              <w:t>1200m</w:t>
            </w:r>
            <w:r>
              <w:rPr>
                <w:u w:val="single"/>
              </w:rPr>
              <w:t>，流向北。</w:t>
            </w:r>
          </w:p>
        </w:tc>
        <w:tc>
          <w:tcPr>
            <w:tcW w:w="1134"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灌溉、渔业用水</w:t>
            </w:r>
          </w:p>
        </w:tc>
        <w:tc>
          <w:tcPr>
            <w:tcW w:w="1946" w:type="dxa"/>
            <w:tcBorders>
              <w:top w:val="single" w:color="auto" w:sz="4" w:space="0"/>
              <w:left w:val="single" w:color="auto" w:sz="4" w:space="0"/>
              <w:bottom w:val="single" w:color="auto" w:sz="4" w:space="0"/>
              <w:right w:val="single" w:color="auto" w:sz="4" w:space="0"/>
            </w:tcBorders>
            <w:vAlign w:val="center"/>
          </w:tcPr>
          <w:p>
            <w:pPr>
              <w:pStyle w:val="63"/>
              <w:rPr>
                <w:u w:val="single"/>
              </w:rPr>
            </w:pPr>
            <w:r>
              <w:rPr>
                <w:u w:val="single"/>
              </w:rPr>
              <w:t>GB3838-2002</w:t>
            </w:r>
            <w:r>
              <w:rPr>
                <w:rFonts w:hint="eastAsia" w:ascii="宋体" w:hAnsi="宋体" w:eastAsia="宋体" w:cs="宋体"/>
                <w:u w:val="single"/>
              </w:rPr>
              <w:t>Ⅲ</w:t>
            </w:r>
            <w:r>
              <w:rPr>
                <w:u w:val="single"/>
              </w:rPr>
              <w:t>类</w:t>
            </w:r>
          </w:p>
        </w:tc>
        <w:tc>
          <w:tcPr>
            <w:tcW w:w="1998" w:type="dxa"/>
            <w:tcBorders>
              <w:top w:val="single" w:color="auto" w:sz="4" w:space="0"/>
              <w:left w:val="single" w:color="auto" w:sz="4" w:space="0"/>
              <w:bottom w:val="single" w:color="auto" w:sz="4" w:space="0"/>
              <w:right w:val="single" w:color="auto" w:sz="12" w:space="0"/>
            </w:tcBorders>
            <w:vAlign w:val="center"/>
          </w:tcPr>
          <w:p>
            <w:pPr>
              <w:pStyle w:val="63"/>
              <w:rPr>
                <w:u w:val="single"/>
              </w:rPr>
            </w:pPr>
            <w:r>
              <w:rPr>
                <w:u w:val="single"/>
              </w:rPr>
              <w:t>园区外</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798" w:type="dxa"/>
            <w:vMerge w:val="continue"/>
            <w:tcBorders>
              <w:top w:val="single" w:color="auto" w:sz="4" w:space="0"/>
              <w:left w:val="single" w:color="auto" w:sz="12" w:space="0"/>
              <w:bottom w:val="single" w:color="auto" w:sz="12" w:space="0"/>
              <w:right w:val="single" w:color="auto" w:sz="4" w:space="0"/>
            </w:tcBorders>
            <w:vAlign w:val="center"/>
          </w:tcPr>
          <w:p>
            <w:pPr>
              <w:pStyle w:val="63"/>
              <w:rPr>
                <w:u w:val="single"/>
              </w:rPr>
            </w:pPr>
          </w:p>
        </w:tc>
        <w:tc>
          <w:tcPr>
            <w:tcW w:w="1275" w:type="dxa"/>
            <w:tcBorders>
              <w:top w:val="single" w:color="auto" w:sz="4" w:space="0"/>
              <w:left w:val="single" w:color="auto" w:sz="4" w:space="0"/>
              <w:bottom w:val="single" w:color="auto" w:sz="12" w:space="0"/>
              <w:right w:val="single" w:color="auto" w:sz="4" w:space="0"/>
            </w:tcBorders>
            <w:vAlign w:val="center"/>
          </w:tcPr>
          <w:p>
            <w:pPr>
              <w:pStyle w:val="63"/>
              <w:rPr>
                <w:u w:val="single"/>
              </w:rPr>
            </w:pPr>
            <w:r>
              <w:rPr>
                <w:u w:val="single"/>
              </w:rPr>
              <w:t>地下水规划保护目标</w:t>
            </w:r>
          </w:p>
        </w:tc>
        <w:tc>
          <w:tcPr>
            <w:tcW w:w="6626" w:type="dxa"/>
            <w:gridSpan w:val="2"/>
            <w:tcBorders>
              <w:top w:val="single" w:color="auto" w:sz="4" w:space="0"/>
              <w:left w:val="single" w:color="auto" w:sz="4" w:space="0"/>
              <w:bottom w:val="single" w:color="auto" w:sz="12" w:space="0"/>
              <w:right w:val="single" w:color="auto" w:sz="4" w:space="0"/>
            </w:tcBorders>
            <w:vAlign w:val="center"/>
          </w:tcPr>
          <w:p>
            <w:pPr>
              <w:pStyle w:val="63"/>
              <w:rPr>
                <w:u w:val="single"/>
              </w:rPr>
            </w:pPr>
            <w:r>
              <w:rPr>
                <w:u w:val="single"/>
              </w:rPr>
              <w:t>园区内的居民和企业均用自来水，不再使用井水等形式的自来水</w:t>
            </w:r>
          </w:p>
        </w:tc>
        <w:tc>
          <w:tcPr>
            <w:tcW w:w="1134" w:type="dxa"/>
            <w:tcBorders>
              <w:top w:val="single" w:color="auto" w:sz="4" w:space="0"/>
              <w:left w:val="single" w:color="auto" w:sz="4" w:space="0"/>
              <w:bottom w:val="single" w:color="auto" w:sz="12" w:space="0"/>
              <w:right w:val="single" w:color="auto" w:sz="4" w:space="0"/>
            </w:tcBorders>
            <w:vAlign w:val="center"/>
          </w:tcPr>
          <w:p>
            <w:pPr>
              <w:pStyle w:val="63"/>
              <w:rPr>
                <w:u w:val="single"/>
              </w:rPr>
            </w:pPr>
            <w:r>
              <w:rPr>
                <w:u w:val="single"/>
              </w:rPr>
              <w:t>/</w:t>
            </w:r>
          </w:p>
        </w:tc>
        <w:tc>
          <w:tcPr>
            <w:tcW w:w="1946" w:type="dxa"/>
            <w:tcBorders>
              <w:top w:val="single" w:color="auto" w:sz="4" w:space="0"/>
              <w:left w:val="single" w:color="auto" w:sz="4" w:space="0"/>
              <w:bottom w:val="single" w:color="auto" w:sz="12" w:space="0"/>
              <w:right w:val="single" w:color="auto" w:sz="4" w:space="0"/>
            </w:tcBorders>
            <w:vAlign w:val="center"/>
          </w:tcPr>
          <w:p>
            <w:pPr>
              <w:pStyle w:val="63"/>
              <w:rPr>
                <w:u w:val="single"/>
              </w:rPr>
            </w:pPr>
            <w:r>
              <w:rPr>
                <w:spacing w:val="4"/>
                <w:u w:val="single"/>
              </w:rPr>
              <w:t>GB/T14848－2017）</w:t>
            </w:r>
            <w:r>
              <w:rPr>
                <w:rFonts w:hint="eastAsia" w:ascii="宋体" w:hAnsi="宋体" w:eastAsia="宋体" w:cs="宋体"/>
                <w:spacing w:val="4"/>
                <w:u w:val="single"/>
              </w:rPr>
              <w:t>Ⅲ</w:t>
            </w:r>
            <w:r>
              <w:rPr>
                <w:spacing w:val="4"/>
                <w:u w:val="single"/>
              </w:rPr>
              <w:t>类水质</w:t>
            </w:r>
          </w:p>
        </w:tc>
        <w:tc>
          <w:tcPr>
            <w:tcW w:w="1998" w:type="dxa"/>
            <w:tcBorders>
              <w:top w:val="single" w:color="auto" w:sz="4" w:space="0"/>
              <w:left w:val="single" w:color="auto" w:sz="4" w:space="0"/>
              <w:bottom w:val="single" w:color="auto" w:sz="12" w:space="0"/>
              <w:right w:val="single" w:color="auto" w:sz="12" w:space="0"/>
            </w:tcBorders>
            <w:vAlign w:val="center"/>
          </w:tcPr>
          <w:p>
            <w:pPr>
              <w:pStyle w:val="63"/>
              <w:rPr>
                <w:u w:val="single"/>
              </w:rPr>
            </w:pPr>
            <w:r>
              <w:rPr>
                <w:u w:val="single"/>
              </w:rPr>
              <w:t>/</w:t>
            </w:r>
          </w:p>
        </w:tc>
      </w:tr>
    </w:tbl>
    <w:p/>
    <w:p/>
    <w:p/>
    <w:p>
      <w:pPr>
        <w:pStyle w:val="6"/>
        <w:rPr>
          <w:rFonts w:ascii="Times New Roman" w:hAnsi="Times New Roman" w:cs="Times New Roman"/>
        </w:rPr>
      </w:pPr>
      <w:r>
        <w:rPr>
          <w:rFonts w:ascii="Times New Roman" w:hAnsi="Times New Roman" w:cs="Times New Roman"/>
        </w:rPr>
        <w:t>表2.7-</w:t>
      </w:r>
      <w:r>
        <w:rPr>
          <w:rFonts w:hint="eastAsia" w:ascii="Times New Roman" w:hAnsi="Times New Roman" w:cs="Times New Roman"/>
        </w:rPr>
        <w:t>5</w:t>
      </w:r>
      <w:r>
        <w:rPr>
          <w:rFonts w:ascii="Times New Roman" w:hAnsi="Times New Roman" w:cs="Times New Roman"/>
        </w:rPr>
        <w:t xml:space="preserve">  主要生态环境保护目标</w:t>
      </w:r>
    </w:p>
    <w:tbl>
      <w:tblPr>
        <w:tblStyle w:val="3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60"/>
        <w:gridCol w:w="8092"/>
        <w:gridCol w:w="34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60" w:type="dxa"/>
            <w:vAlign w:val="center"/>
          </w:tcPr>
          <w:p>
            <w:pPr>
              <w:pStyle w:val="63"/>
            </w:pPr>
            <w:r>
              <w:t>生态资源</w:t>
            </w:r>
          </w:p>
        </w:tc>
        <w:tc>
          <w:tcPr>
            <w:tcW w:w="8092" w:type="dxa"/>
            <w:vAlign w:val="center"/>
          </w:tcPr>
          <w:p>
            <w:pPr>
              <w:pStyle w:val="63"/>
            </w:pPr>
            <w:r>
              <w:t>规划与环境特征</w:t>
            </w:r>
          </w:p>
        </w:tc>
        <w:tc>
          <w:tcPr>
            <w:tcW w:w="3466" w:type="dxa"/>
            <w:vAlign w:val="center"/>
          </w:tcPr>
          <w:p>
            <w:pPr>
              <w:pStyle w:val="63"/>
            </w:pPr>
            <w:r>
              <w:t>环保目标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60" w:type="dxa"/>
            <w:vAlign w:val="center"/>
          </w:tcPr>
          <w:p>
            <w:pPr>
              <w:pStyle w:val="63"/>
            </w:pPr>
            <w:r>
              <w:t>动植物资源</w:t>
            </w:r>
          </w:p>
        </w:tc>
        <w:tc>
          <w:tcPr>
            <w:tcW w:w="8092" w:type="dxa"/>
            <w:vAlign w:val="center"/>
          </w:tcPr>
          <w:p>
            <w:pPr>
              <w:pStyle w:val="63"/>
            </w:pPr>
            <w:r>
              <w:t>植被类型：植被类型单一，以人工植被为主，极小部分次生植被，多为灌木及低矮乔木，以落叶松为主，另外还有大量的灌草丛；动物类型：野生动物较少，多为鸟类、蛇类、青蛙、鼠类等常见物种，无珍稀濒危物种</w:t>
            </w:r>
          </w:p>
        </w:tc>
        <w:tc>
          <w:tcPr>
            <w:tcW w:w="3466" w:type="dxa"/>
            <w:vAlign w:val="center"/>
          </w:tcPr>
          <w:p>
            <w:pPr>
              <w:pStyle w:val="63"/>
            </w:pPr>
            <w:r>
              <w:t>施工临时占地尽量少破坏植被，工程建设过程中要保护野生动物</w:t>
            </w:r>
            <w:r>
              <w:rPr>
                <w:rFonts w:hint="eastAsia"/>
                <w:lang w:eastAsia="zh-CN"/>
              </w:rPr>
              <w:t>环境</w:t>
            </w: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60" w:type="dxa"/>
            <w:vAlign w:val="center"/>
          </w:tcPr>
          <w:p>
            <w:pPr>
              <w:pStyle w:val="63"/>
            </w:pPr>
            <w:r>
              <w:t>林地</w:t>
            </w:r>
          </w:p>
        </w:tc>
        <w:tc>
          <w:tcPr>
            <w:tcW w:w="8092" w:type="dxa"/>
            <w:vAlign w:val="center"/>
          </w:tcPr>
          <w:p>
            <w:pPr>
              <w:pStyle w:val="63"/>
            </w:pPr>
            <w:r>
              <w:t>以人工植被为主，极小部分次生植被，多为灌木及低矮乔木，以落叶松为主，另外还有大量的灌草丛。</w:t>
            </w:r>
          </w:p>
        </w:tc>
        <w:tc>
          <w:tcPr>
            <w:tcW w:w="3466" w:type="dxa"/>
            <w:vAlign w:val="center"/>
          </w:tcPr>
          <w:p>
            <w:pPr>
              <w:pStyle w:val="63"/>
            </w:pPr>
            <w:r>
              <w:t>/</w:t>
            </w:r>
          </w:p>
        </w:tc>
      </w:tr>
    </w:tbl>
    <w:p>
      <w:pPr>
        <w:pStyle w:val="6"/>
        <w:rPr>
          <w:rFonts w:ascii="Times New Roman" w:hAnsi="Times New Roman" w:cs="Times New Roman"/>
        </w:rPr>
      </w:pPr>
      <w:r>
        <w:rPr>
          <w:rFonts w:ascii="Times New Roman" w:hAnsi="Times New Roman" w:cs="Times New Roman"/>
        </w:rPr>
        <w:t>表2.7-</w:t>
      </w:r>
      <w:r>
        <w:rPr>
          <w:rFonts w:hint="eastAsia" w:ascii="Times New Roman" w:hAnsi="Times New Roman" w:cs="Times New Roman"/>
        </w:rPr>
        <w:t>6</w:t>
      </w:r>
      <w:r>
        <w:rPr>
          <w:rFonts w:ascii="Times New Roman" w:hAnsi="Times New Roman" w:cs="Times New Roman"/>
        </w:rPr>
        <w:t xml:space="preserve">  主要土壤环境保护目标</w:t>
      </w:r>
    </w:p>
    <w:tbl>
      <w:tblPr>
        <w:tblStyle w:val="3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86"/>
        <w:gridCol w:w="8339"/>
        <w:gridCol w:w="329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jc w:val="center"/>
        </w:trPr>
        <w:tc>
          <w:tcPr>
            <w:tcW w:w="1986" w:type="dxa"/>
            <w:vAlign w:val="center"/>
          </w:tcPr>
          <w:p>
            <w:pPr>
              <w:pStyle w:val="63"/>
            </w:pPr>
            <w:r>
              <w:t>类别</w:t>
            </w:r>
          </w:p>
        </w:tc>
        <w:tc>
          <w:tcPr>
            <w:tcW w:w="8339" w:type="dxa"/>
            <w:vAlign w:val="center"/>
          </w:tcPr>
          <w:p>
            <w:pPr>
              <w:pStyle w:val="63"/>
            </w:pPr>
            <w:r>
              <w:t>保护目标</w:t>
            </w:r>
          </w:p>
        </w:tc>
        <w:tc>
          <w:tcPr>
            <w:tcW w:w="3293" w:type="dxa"/>
            <w:vAlign w:val="center"/>
          </w:tcPr>
          <w:p>
            <w:pPr>
              <w:pStyle w:val="63"/>
            </w:pPr>
            <w: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6" w:type="dxa"/>
            <w:vMerge w:val="restart"/>
            <w:vAlign w:val="center"/>
          </w:tcPr>
          <w:p>
            <w:pPr>
              <w:pStyle w:val="63"/>
            </w:pPr>
            <w:r>
              <w:t>土壤环境</w:t>
            </w:r>
          </w:p>
        </w:tc>
        <w:tc>
          <w:tcPr>
            <w:tcW w:w="8339" w:type="dxa"/>
            <w:vAlign w:val="center"/>
          </w:tcPr>
          <w:p>
            <w:pPr>
              <w:pStyle w:val="63"/>
            </w:pPr>
            <w:r>
              <w:t>综合利用厂区西侧存在彭家屋场村庄的农田</w:t>
            </w:r>
          </w:p>
        </w:tc>
        <w:tc>
          <w:tcPr>
            <w:tcW w:w="3293" w:type="dxa"/>
            <w:vMerge w:val="restart"/>
            <w:vAlign w:val="center"/>
          </w:tcPr>
          <w:p>
            <w:pPr>
              <w:pStyle w:val="63"/>
            </w:pPr>
            <w:r>
              <w:t>GB36600-2018二类用地</w:t>
            </w:r>
          </w:p>
          <w:p>
            <w:pPr>
              <w:pStyle w:val="63"/>
            </w:pPr>
            <w:r>
              <w:t>GB15618-2018二类用地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6" w:type="dxa"/>
            <w:vMerge w:val="continue"/>
            <w:vAlign w:val="center"/>
          </w:tcPr>
          <w:p>
            <w:pPr>
              <w:pStyle w:val="63"/>
            </w:pPr>
          </w:p>
        </w:tc>
        <w:tc>
          <w:tcPr>
            <w:tcW w:w="8339" w:type="dxa"/>
            <w:vAlign w:val="center"/>
          </w:tcPr>
          <w:p>
            <w:pPr>
              <w:pStyle w:val="63"/>
            </w:pPr>
            <w:r>
              <w:t>梯次利用厂区北侧为安置区居住用地</w:t>
            </w:r>
          </w:p>
        </w:tc>
        <w:tc>
          <w:tcPr>
            <w:tcW w:w="3293" w:type="dxa"/>
            <w:vMerge w:val="continue"/>
            <w:vAlign w:val="center"/>
          </w:tcPr>
          <w:p>
            <w:pPr>
              <w:pStyle w:val="63"/>
            </w:pPr>
          </w:p>
        </w:tc>
      </w:tr>
    </w:tbl>
    <w:p>
      <w:pPr>
        <w:spacing w:line="360" w:lineRule="auto"/>
        <w:ind w:firstLine="480" w:firstLineChars="200"/>
        <w:rPr>
          <w:rFonts w:ascii="Times New Roman" w:hAnsi="Times New Roman" w:cs="Times New Roman"/>
        </w:rPr>
        <w:sectPr>
          <w:pgSz w:w="16838" w:h="11906" w:orient="landscape"/>
          <w:pgMar w:top="1800" w:right="1440" w:bottom="1800" w:left="1440" w:header="851" w:footer="992" w:gutter="0"/>
          <w:cols w:space="425" w:num="1"/>
          <w:docGrid w:type="lines" w:linePitch="326" w:charSpace="0"/>
        </w:sectPr>
      </w:pPr>
    </w:p>
    <w:p>
      <w:pPr>
        <w:pStyle w:val="2"/>
        <w:spacing w:before="120" w:after="120"/>
        <w:rPr>
          <w:rFonts w:ascii="Times New Roman" w:hAnsi="Times New Roman" w:cs="Times New Roman"/>
        </w:rPr>
      </w:pPr>
      <w:bookmarkStart w:id="111" w:name="_Toc144236749"/>
      <w:bookmarkStart w:id="112" w:name="_Toc147847999"/>
      <w:bookmarkStart w:id="113" w:name="_Toc144276879"/>
      <w:r>
        <w:rPr>
          <w:rFonts w:ascii="Times New Roman" w:hAnsi="Times New Roman" w:cs="Times New Roman"/>
        </w:rPr>
        <w:t>第3章 工程分析</w:t>
      </w:r>
      <w:bookmarkEnd w:id="111"/>
      <w:bookmarkEnd w:id="112"/>
      <w:bookmarkEnd w:id="113"/>
    </w:p>
    <w:p>
      <w:pPr>
        <w:pStyle w:val="3"/>
        <w:rPr>
          <w:rFonts w:ascii="Times New Roman" w:hAnsi="Times New Roman" w:cs="Times New Roman" w:eastAsiaTheme="minorEastAsia"/>
        </w:rPr>
      </w:pPr>
      <w:bookmarkStart w:id="114" w:name="_Toc87278883"/>
      <w:bookmarkStart w:id="115" w:name="_Toc144276880"/>
      <w:bookmarkStart w:id="116" w:name="_Toc147848000"/>
      <w:bookmarkStart w:id="117" w:name="_Toc144236750"/>
      <w:r>
        <w:rPr>
          <w:rFonts w:ascii="Times New Roman" w:hAnsi="Times New Roman" w:cs="Times New Roman" w:eastAsiaTheme="minorEastAsia"/>
        </w:rPr>
        <w:t>3.1 拟建项目概况</w:t>
      </w:r>
      <w:bookmarkEnd w:id="114"/>
      <w:bookmarkEnd w:id="115"/>
      <w:bookmarkEnd w:id="116"/>
      <w:bookmarkEnd w:id="117"/>
    </w:p>
    <w:p>
      <w:pPr>
        <w:pStyle w:val="4"/>
        <w:rPr>
          <w:rFonts w:ascii="Times New Roman" w:hAnsi="Times New Roman" w:cs="Times New Roman"/>
        </w:rPr>
      </w:pPr>
      <w:bookmarkStart w:id="118" w:name="_Toc144236751"/>
      <w:bookmarkStart w:id="119" w:name="_Toc144276881"/>
      <w:bookmarkStart w:id="120" w:name="_Toc102658199"/>
      <w:bookmarkStart w:id="121" w:name="_Toc147848001"/>
      <w:bookmarkStart w:id="122" w:name="_Hlk97885340"/>
      <w:r>
        <w:rPr>
          <w:rFonts w:ascii="Times New Roman" w:hAnsi="Times New Roman" w:cs="Times New Roman"/>
        </w:rPr>
        <w:t>3.1.1 项目基本情况</w:t>
      </w:r>
      <w:bookmarkEnd w:id="118"/>
      <w:bookmarkEnd w:id="119"/>
      <w:bookmarkEnd w:id="120"/>
      <w:bookmarkEnd w:id="121"/>
    </w:p>
    <w:p>
      <w:pPr>
        <w:spacing w:line="360" w:lineRule="auto"/>
        <w:ind w:firstLine="480" w:firstLineChars="200"/>
        <w:rPr>
          <w:rFonts w:ascii="Times New Roman" w:hAnsi="Times New Roman" w:cs="Times New Roman"/>
        </w:rPr>
      </w:pPr>
      <w:r>
        <w:rPr>
          <w:rFonts w:ascii="Times New Roman" w:hAnsi="Times New Roman" w:cs="Times New Roman"/>
        </w:rPr>
        <w:t>（1）项目名称：湖南中经锂电新材料科技有限公司年处理8万吨废旧锂电池及锂电池废料的综合回收利用项目（一期）</w:t>
      </w:r>
    </w:p>
    <w:p>
      <w:pPr>
        <w:spacing w:line="360" w:lineRule="auto"/>
        <w:ind w:firstLine="480" w:firstLineChars="200"/>
        <w:rPr>
          <w:rFonts w:ascii="Times New Roman" w:hAnsi="Times New Roman" w:cs="Times New Roman"/>
        </w:rPr>
      </w:pPr>
      <w:r>
        <w:rPr>
          <w:rFonts w:ascii="Times New Roman" w:hAnsi="Times New Roman" w:cs="Times New Roman"/>
        </w:rPr>
        <w:t>（2）建设单位：湖南中经锂电新材料科技有限公司</w:t>
      </w:r>
    </w:p>
    <w:p>
      <w:pPr>
        <w:spacing w:line="360" w:lineRule="auto"/>
        <w:ind w:firstLine="480" w:firstLineChars="200"/>
        <w:rPr>
          <w:rFonts w:ascii="Times New Roman" w:hAnsi="Times New Roman" w:cs="Times New Roman"/>
        </w:rPr>
      </w:pPr>
      <w:r>
        <w:rPr>
          <w:rFonts w:ascii="Times New Roman" w:hAnsi="Times New Roman" w:cs="Times New Roman"/>
        </w:rPr>
        <w:t>（3）建设性质：新建</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（4）建设内容：项目总体为年处理8万吨废旧锂电池，本项目为一期工程，主要</w:t>
      </w:r>
      <w:r>
        <w:rPr>
          <w:rFonts w:hint="eastAsia" w:ascii="Times New Roman" w:hAnsi="Times New Roman" w:cs="Times New Roman"/>
          <w:u w:val="single"/>
        </w:rPr>
        <w:t>为</w:t>
      </w:r>
      <w:r>
        <w:rPr>
          <w:rFonts w:ascii="Times New Roman" w:hAnsi="Times New Roman" w:cs="Times New Roman"/>
          <w:u w:val="single"/>
        </w:rPr>
        <w:t>处理废旧动力锂电池包40000t/a，其中磷酸铁锂电池包30000t/a，三元锂电池包10000t/a</w:t>
      </w:r>
      <w:r>
        <w:rPr>
          <w:rFonts w:hint="eastAsia" w:ascii="Times New Roman" w:hAnsi="Times New Roman" w:cs="Times New Roman"/>
          <w:u w:val="single"/>
        </w:rPr>
        <w:t>，同时进行</w:t>
      </w:r>
      <w:r>
        <w:rPr>
          <w:rFonts w:ascii="Times New Roman" w:hAnsi="Times New Roman" w:cs="Times New Roman"/>
          <w:u w:val="single"/>
        </w:rPr>
        <w:t>废旧动力电池梯次利用25000t/a</w:t>
      </w:r>
      <w:r>
        <w:rPr>
          <w:rFonts w:hint="eastAsia"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梯次利用处理规模是废磷酸铁锂电池包25000</w:t>
      </w:r>
      <w:r>
        <w:rPr>
          <w:rFonts w:ascii="Times New Roman" w:hAnsi="Times New Roman" w:cs="Times New Roman"/>
          <w:u w:val="single"/>
        </w:rPr>
        <w:t>t/a</w:t>
      </w:r>
      <w:r>
        <w:rPr>
          <w:rFonts w:hint="eastAsia" w:ascii="Times New Roman" w:hAnsi="Times New Roman" w:cs="Times New Roman"/>
          <w:u w:val="single"/>
        </w:rPr>
        <w:t>，废磷酸铁锂电池包进行拆卸、分选、重组工艺，将可再次利用的电池重新集成为可利用的梯次产品，不可利用的部分进入综合回收利用工序。</w:t>
      </w:r>
    </w:p>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综合回收利用处理废旧动力锂电池包40000t/a，其中磷酸铁锂电池包30000t/a（包含梯次利用工序不可利用的电池包），三元锂电池包10000t/a。</w:t>
      </w:r>
    </w:p>
    <w:p>
      <w:pPr>
        <w:spacing w:line="360" w:lineRule="auto"/>
        <w:ind w:firstLine="480" w:firstLineChars="200"/>
        <w:rPr>
          <w:rFonts w:ascii="Times New Roman" w:hAnsi="Times New Roman" w:cs="Times New Roman"/>
        </w:rPr>
      </w:pPr>
      <w:r>
        <w:rPr>
          <w:rFonts w:ascii="Times New Roman" w:hAnsi="Times New Roman" w:cs="Times New Roman"/>
        </w:rPr>
        <w:t>（5）建设地点：</w:t>
      </w:r>
      <w:bookmarkStart w:id="123" w:name="_Hlk80011166"/>
      <w:r>
        <w:rPr>
          <w:rFonts w:ascii="Times New Roman" w:hAnsi="Times New Roman" w:cs="Times New Roman"/>
        </w:rPr>
        <w:t>项目位于湖南衡东经济开发区内，占地总面积</w:t>
      </w:r>
      <w:bookmarkStart w:id="124" w:name="_Hlk100820941"/>
      <w:r>
        <w:rPr>
          <w:rFonts w:ascii="Times New Roman" w:hAnsi="Times New Roman" w:cs="Times New Roman"/>
        </w:rPr>
        <w:t>为80000m</w:t>
      </w:r>
      <w:r>
        <w:rPr>
          <w:rFonts w:ascii="Times New Roman" w:hAnsi="Times New Roman" w:cs="Times New Roman"/>
          <w:vertAlign w:val="superscript"/>
        </w:rPr>
        <w:t>2</w:t>
      </w:r>
      <w:bookmarkEnd w:id="124"/>
      <w:r>
        <w:rPr>
          <w:rFonts w:ascii="Times New Roman" w:hAnsi="Times New Roman" w:cs="Times New Roman"/>
        </w:rPr>
        <w:t>（约120亩），其中：</w:t>
      </w:r>
    </w:p>
    <w:p>
      <w:pPr>
        <w:spacing w:line="360" w:lineRule="auto"/>
        <w:ind w:firstLine="480" w:firstLineChars="200"/>
        <w:rPr>
          <w:rFonts w:ascii="Times New Roman" w:hAnsi="Times New Roman" w:cs="Times New Roman"/>
        </w:rPr>
      </w:pPr>
      <w:r>
        <w:rPr>
          <w:rFonts w:ascii="Times New Roman" w:hAnsi="Times New Roman" w:cs="Times New Roman"/>
        </w:rPr>
        <w:t>梯次利用厂区中心位置地理坐标：E112°48′39.170″，N27°0′0.155″，占地面积26</w:t>
      </w:r>
      <w:r>
        <w:rPr>
          <w:rFonts w:hint="eastAsia" w:ascii="Times New Roman" w:hAnsi="Times New Roman" w:cs="Times New Roman"/>
        </w:rPr>
        <w:t>666</w:t>
      </w:r>
      <w:r>
        <w:rPr>
          <w:rFonts w:ascii="Times New Roman" w:hAnsi="Times New Roman" w:cs="Times New Roman"/>
        </w:rPr>
        <w:t>m</w:t>
      </w:r>
      <w:r>
        <w:rPr>
          <w:rFonts w:ascii="Times New Roman" w:hAnsi="Times New Roman" w:cs="Times New Roman"/>
          <w:vertAlign w:val="superscript"/>
        </w:rPr>
        <w:t>2</w:t>
      </w:r>
      <w:r>
        <w:rPr>
          <w:rFonts w:ascii="Times New Roman" w:hAnsi="Times New Roman" w:cs="Times New Roman"/>
        </w:rPr>
        <w:t>（约40亩），为二类工业用地，项目所在地西面与宁国路相邻，北面与衡阳市新红诚户外用品有限公司相距25米，东面为空地，南面与湖南朝阳（集团）机电股份有限公司相距28米。</w:t>
      </w:r>
    </w:p>
    <w:p>
      <w:pPr>
        <w:spacing w:line="360" w:lineRule="auto"/>
        <w:ind w:firstLine="480" w:firstLineChars="200"/>
        <w:rPr>
          <w:rFonts w:ascii="Times New Roman" w:hAnsi="Times New Roman" w:cs="Times New Roman"/>
        </w:rPr>
      </w:pPr>
      <w:r>
        <w:rPr>
          <w:rFonts w:ascii="Times New Roman" w:hAnsi="Times New Roman" w:cs="Times New Roman"/>
        </w:rPr>
        <w:t>废旧锂电池及锂电池废料的综合回收利用厂区中心位置地理坐标：E112°48′18.80″，N27°0′53.25″，占地面积533</w:t>
      </w:r>
      <w:r>
        <w:rPr>
          <w:rFonts w:hint="eastAsia" w:ascii="Times New Roman" w:hAnsi="Times New Roman" w:cs="Times New Roman"/>
        </w:rPr>
        <w:t>3</w:t>
      </w:r>
      <w:r>
        <w:rPr>
          <w:rFonts w:ascii="Times New Roman" w:hAnsi="Times New Roman" w:cs="Times New Roman"/>
        </w:rPr>
        <w:t>3m</w:t>
      </w:r>
      <w:r>
        <w:rPr>
          <w:rFonts w:ascii="Times New Roman" w:hAnsi="Times New Roman" w:cs="Times New Roman"/>
          <w:vertAlign w:val="superscript"/>
        </w:rPr>
        <w:t>2</w:t>
      </w:r>
      <w:r>
        <w:rPr>
          <w:rFonts w:ascii="Times New Roman" w:hAnsi="Times New Roman" w:cs="Times New Roman"/>
        </w:rPr>
        <w:t>（约80亩），为三类工业用地，废旧锂电池及锂电池废料的综合回收利用厂区项目南侧为湖南荣桓科技有限公司，西侧为湖南雁翔湘实业有限公司，北侧为远期待开发空地，东侧为永宁村。</w:t>
      </w:r>
    </w:p>
    <w:p>
      <w:pPr>
        <w:spacing w:line="360" w:lineRule="auto"/>
        <w:ind w:firstLine="480" w:firstLineChars="200"/>
        <w:rPr>
          <w:rFonts w:ascii="Times New Roman" w:hAnsi="Times New Roman" w:cs="Times New Roman"/>
        </w:rPr>
      </w:pPr>
      <w:r>
        <w:rPr>
          <w:rFonts w:ascii="Times New Roman" w:hAnsi="Times New Roman" w:cs="Times New Roman"/>
        </w:rPr>
        <w:t>拟建项目地理位置见附图所示。</w:t>
      </w:r>
    </w:p>
    <w:bookmarkEnd w:id="123"/>
    <w:p>
      <w:pPr>
        <w:spacing w:line="360" w:lineRule="auto"/>
        <w:ind w:firstLine="480" w:firstLineChars="200"/>
        <w:rPr>
          <w:rFonts w:ascii="Times New Roman" w:hAnsi="Times New Roman" w:cs="Times New Roman"/>
          <w:highlight w:val="yellow"/>
        </w:rPr>
      </w:pPr>
      <w:r>
        <w:rPr>
          <w:rFonts w:ascii="Times New Roman" w:hAnsi="Times New Roman" w:cs="Times New Roman"/>
        </w:rPr>
        <w:t>（6）工程投资：项目总投资58362.23万元，环保投资3000万元，占本项目总投资的5.14%。</w:t>
      </w:r>
    </w:p>
    <w:p>
      <w:pPr>
        <w:spacing w:line="360" w:lineRule="auto"/>
        <w:ind w:firstLine="480" w:firstLineChars="200"/>
        <w:rPr>
          <w:rFonts w:ascii="Times New Roman" w:hAnsi="Times New Roman" w:cs="Times New Roman"/>
        </w:rPr>
      </w:pPr>
      <w:r>
        <w:rPr>
          <w:rFonts w:ascii="Times New Roman" w:hAnsi="Times New Roman" w:cs="Times New Roman"/>
        </w:rPr>
        <w:t>（7）工作制度及生产定员：本项目劳动定员188人，年工作天数为300d，每天工作3班，每班8h</w:t>
      </w:r>
      <w:r>
        <w:rPr>
          <w:rFonts w:hint="eastAsia" w:ascii="Times New Roman" w:hAnsi="Times New Roman" w:cs="Times New Roman"/>
        </w:rPr>
        <w:t>，其中梯次利用厂区</w:t>
      </w:r>
      <w:r>
        <w:rPr>
          <w:rFonts w:ascii="Times New Roman" w:hAnsi="Times New Roman" w:cs="Times New Roman"/>
        </w:rPr>
        <w:t>劳动定员</w:t>
      </w:r>
      <w:r>
        <w:rPr>
          <w:rFonts w:hint="eastAsia" w:ascii="Times New Roman" w:hAnsi="Times New Roman" w:cs="Times New Roman"/>
        </w:rPr>
        <w:t>10</w:t>
      </w:r>
      <w:r>
        <w:rPr>
          <w:rFonts w:ascii="Times New Roman" w:hAnsi="Times New Roman" w:cs="Times New Roman"/>
        </w:rPr>
        <w:t>人</w:t>
      </w:r>
      <w:r>
        <w:rPr>
          <w:rFonts w:hint="eastAsia" w:ascii="Times New Roman" w:hAnsi="Times New Roman" w:cs="Times New Roman"/>
        </w:rPr>
        <w:t>，综合利用车间</w:t>
      </w:r>
      <w:r>
        <w:rPr>
          <w:rFonts w:ascii="Times New Roman" w:hAnsi="Times New Roman" w:cs="Times New Roman"/>
        </w:rPr>
        <w:t>劳动定员1</w:t>
      </w:r>
      <w:r>
        <w:rPr>
          <w:rFonts w:hint="eastAsia" w:ascii="Times New Roman" w:hAnsi="Times New Roman" w:cs="Times New Roman"/>
        </w:rPr>
        <w:t>7</w:t>
      </w:r>
      <w:r>
        <w:rPr>
          <w:rFonts w:ascii="Times New Roman" w:hAnsi="Times New Roman" w:cs="Times New Roman"/>
        </w:rPr>
        <w:t>8人。</w:t>
      </w:r>
    </w:p>
    <w:p>
      <w:pPr>
        <w:spacing w:line="360" w:lineRule="auto"/>
        <w:ind w:firstLine="480" w:firstLineChars="200"/>
        <w:rPr>
          <w:rFonts w:ascii="Times New Roman" w:hAnsi="Times New Roman" w:cs="Times New Roman"/>
        </w:rPr>
      </w:pPr>
      <w:r>
        <w:rPr>
          <w:rFonts w:ascii="Times New Roman" w:hAnsi="Times New Roman" w:cs="Times New Roman"/>
        </w:rPr>
        <w:t>（8）建设内容：主要有梯次利用厂区</w:t>
      </w:r>
      <w:r>
        <w:rPr>
          <w:rFonts w:hint="eastAsia" w:ascii="Times New Roman" w:hAnsi="Times New Roman" w:cs="Times New Roman"/>
        </w:rPr>
        <w:t>和综合利用厂区，其中梯次利用厂区主要依托标准厂房，建设梯次利用车间；综合利用厂区主要建设：</w:t>
      </w:r>
      <w:r>
        <w:rPr>
          <w:rFonts w:ascii="Times New Roman" w:hAnsi="Times New Roman" w:cs="Times New Roman"/>
        </w:rPr>
        <w:t>拆解车间、破碎分选车间、浸出及净化车间、萃取车间、MVR车间，以及原辅料仓库、酸碱储罐、10KV配电室、循环水泵房、污水处理站、雨水收集池、事故应急池、洗车设施、地磅、综合管网等生产辅助设施。</w:t>
      </w:r>
    </w:p>
    <w:bookmarkEnd w:id="122"/>
    <w:p>
      <w:pPr>
        <w:pStyle w:val="4"/>
        <w:rPr>
          <w:rFonts w:ascii="Times New Roman" w:hAnsi="Times New Roman" w:cs="Times New Roman"/>
        </w:rPr>
      </w:pPr>
      <w:bookmarkStart w:id="125" w:name="_Toc144276882"/>
      <w:bookmarkStart w:id="126" w:name="_Toc102658201"/>
      <w:bookmarkStart w:id="127" w:name="_Toc147848002"/>
      <w:bookmarkStart w:id="128" w:name="_Toc144236752"/>
      <w:r>
        <w:rPr>
          <w:rFonts w:ascii="Times New Roman" w:hAnsi="Times New Roman" w:cs="Times New Roman"/>
        </w:rPr>
        <w:t>3.1.2 主要建设内容</w:t>
      </w:r>
      <w:bookmarkEnd w:id="125"/>
      <w:bookmarkEnd w:id="126"/>
      <w:bookmarkEnd w:id="127"/>
      <w:bookmarkEnd w:id="128"/>
    </w:p>
    <w:p>
      <w:pPr>
        <w:spacing w:line="360" w:lineRule="auto"/>
        <w:ind w:firstLine="480" w:firstLineChars="200"/>
        <w:rPr>
          <w:rFonts w:ascii="Times New Roman" w:hAnsi="Times New Roman" w:cs="Times New Roman"/>
        </w:rPr>
      </w:pPr>
      <w:r>
        <w:rPr>
          <w:rFonts w:ascii="Times New Roman" w:hAnsi="Times New Roman" w:cs="Times New Roman"/>
        </w:rPr>
        <w:t>本项目场地位于湖南省衡东经济开发区，占地面积为120亩，</w:t>
      </w:r>
      <w:r>
        <w:rPr>
          <w:rFonts w:hint="eastAsia" w:ascii="Times New Roman" w:hAnsi="Times New Roman" w:cs="Times New Roman"/>
        </w:rPr>
        <w:t>其中：</w:t>
      </w:r>
    </w:p>
    <w:p>
      <w:pPr>
        <w:spacing w:line="360" w:lineRule="auto"/>
        <w:ind w:firstLine="480" w:firstLineChars="200"/>
        <w:rPr>
          <w:rFonts w:ascii="Times New Roman" w:hAnsi="Times New Roman" w:cs="Times New Roman"/>
        </w:rPr>
      </w:pPr>
      <w:r>
        <w:rPr>
          <w:rFonts w:hint="eastAsia" w:ascii="Times New Roman" w:hAnsi="Times New Roman" w:cs="Times New Roman"/>
        </w:rPr>
        <w:t>（1）</w:t>
      </w:r>
      <w:r>
        <w:rPr>
          <w:rFonts w:ascii="Times New Roman" w:hAnsi="Times New Roman" w:cs="Times New Roman"/>
        </w:rPr>
        <w:t>梯次利用厂区占地面积40亩，为购置标准厂房，后续在标准厂房内进行分隔，原有厂区不</w:t>
      </w:r>
      <w:r>
        <w:rPr>
          <w:rFonts w:hint="eastAsia" w:ascii="Times New Roman" w:hAnsi="Times New Roman" w:cs="Times New Roman"/>
        </w:rPr>
        <w:t>存在历史遗留环境问题。</w:t>
      </w:r>
    </w:p>
    <w:p>
      <w:pPr>
        <w:spacing w:line="360" w:lineRule="auto"/>
        <w:ind w:firstLine="480" w:firstLineChars="200"/>
        <w:rPr>
          <w:rFonts w:ascii="Times New Roman" w:hAnsi="Times New Roman" w:cs="Times New Roman"/>
        </w:rPr>
      </w:pPr>
      <w:r>
        <w:rPr>
          <w:rFonts w:hint="eastAsia" w:ascii="Times New Roman" w:hAnsi="Times New Roman" w:cs="Times New Roman"/>
        </w:rPr>
        <w:t>（2）</w:t>
      </w:r>
      <w:r>
        <w:rPr>
          <w:rFonts w:ascii="Times New Roman" w:hAnsi="Times New Roman" w:cs="Times New Roman"/>
        </w:rPr>
        <w:t>废旧锂电池及锂电池废料的综合回收利用厂区占地面积80亩，其中60亩为新增用地，20亩为购置衡阳恒旺锂电新材料有限公司建设用地。</w:t>
      </w:r>
    </w:p>
    <w:p>
      <w:pPr>
        <w:pStyle w:val="6"/>
        <w:rPr>
          <w:rFonts w:ascii="Times New Roman" w:hAnsi="Times New Roman" w:cs="Times New Roman"/>
        </w:rPr>
      </w:pPr>
      <w:r>
        <w:rPr>
          <w:rFonts w:ascii="Times New Roman" w:hAnsi="Times New Roman" w:cs="Times New Roman"/>
        </w:rPr>
        <w:t xml:space="preserve">表3.1-1  </w:t>
      </w:r>
      <w:r>
        <w:rPr>
          <w:rFonts w:hint="eastAsia" w:ascii="Times New Roman" w:hAnsi="Times New Roman" w:cs="Times New Roman"/>
        </w:rPr>
        <w:t>梯次利用厂区</w:t>
      </w:r>
      <w:r>
        <w:rPr>
          <w:rFonts w:ascii="Times New Roman" w:hAnsi="Times New Roman" w:cs="Times New Roman"/>
        </w:rPr>
        <w:t>主要经济技术指标一览表</w:t>
      </w:r>
    </w:p>
    <w:tbl>
      <w:tblPr>
        <w:tblStyle w:val="35"/>
        <w:tblW w:w="852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4"/>
        <w:gridCol w:w="4550"/>
        <w:gridCol w:w="897"/>
        <w:gridCol w:w="1027"/>
        <w:gridCol w:w="12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dxa"/>
            <w:vAlign w:val="center"/>
          </w:tcPr>
          <w:p>
            <w:pPr>
              <w:pStyle w:val="63"/>
              <w:rPr>
                <w:lang w:eastAsia="en-US" w:bidi="en-US"/>
              </w:rPr>
            </w:pPr>
            <w:r>
              <w:rPr>
                <w:lang w:eastAsia="en-US" w:bidi="en-US"/>
              </w:rPr>
              <w:t>序号</w:t>
            </w:r>
          </w:p>
        </w:tc>
        <w:tc>
          <w:tcPr>
            <w:tcW w:w="4550" w:type="dxa"/>
            <w:vAlign w:val="center"/>
          </w:tcPr>
          <w:p>
            <w:pPr>
              <w:pStyle w:val="63"/>
              <w:rPr>
                <w:lang w:eastAsia="en-US" w:bidi="en-US"/>
              </w:rPr>
            </w:pPr>
            <w:r>
              <w:rPr>
                <w:lang w:eastAsia="en-US" w:bidi="en-US"/>
              </w:rPr>
              <w:t>项目名称</w:t>
            </w:r>
          </w:p>
        </w:tc>
        <w:tc>
          <w:tcPr>
            <w:tcW w:w="897" w:type="dxa"/>
            <w:vAlign w:val="center"/>
          </w:tcPr>
          <w:p>
            <w:pPr>
              <w:pStyle w:val="63"/>
              <w:rPr>
                <w:lang w:eastAsia="en-US" w:bidi="en-US"/>
              </w:rPr>
            </w:pPr>
            <w:r>
              <w:rPr>
                <w:lang w:eastAsia="en-US" w:bidi="en-US"/>
              </w:rPr>
              <w:t>单位</w:t>
            </w:r>
          </w:p>
        </w:tc>
        <w:tc>
          <w:tcPr>
            <w:tcW w:w="1027" w:type="dxa"/>
            <w:vAlign w:val="center"/>
          </w:tcPr>
          <w:p>
            <w:pPr>
              <w:pStyle w:val="63"/>
              <w:rPr>
                <w:lang w:eastAsia="en-US" w:bidi="en-US"/>
              </w:rPr>
            </w:pPr>
            <w:r>
              <w:rPr>
                <w:lang w:eastAsia="en-US" w:bidi="en-US"/>
              </w:rPr>
              <w:t>数量</w:t>
            </w:r>
          </w:p>
        </w:tc>
        <w:tc>
          <w:tcPr>
            <w:tcW w:w="1279" w:type="dxa"/>
            <w:vAlign w:val="center"/>
          </w:tcPr>
          <w:p>
            <w:pPr>
              <w:pStyle w:val="63"/>
              <w:rPr>
                <w:lang w:eastAsia="en-US" w:bidi="en-US"/>
              </w:rPr>
            </w:pPr>
            <w:r>
              <w:rPr>
                <w:lang w:eastAsia="en-US" w:bidi="en-US"/>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dxa"/>
            <w:vAlign w:val="center"/>
          </w:tcPr>
          <w:p>
            <w:pPr>
              <w:pStyle w:val="63"/>
              <w:rPr>
                <w:lang w:eastAsia="en-US" w:bidi="en-US"/>
              </w:rPr>
            </w:pPr>
            <w:r>
              <w:rPr>
                <w:lang w:eastAsia="en-US" w:bidi="en-US"/>
              </w:rPr>
              <w:t>l</w:t>
            </w:r>
          </w:p>
        </w:tc>
        <w:tc>
          <w:tcPr>
            <w:tcW w:w="4550" w:type="dxa"/>
            <w:vAlign w:val="center"/>
          </w:tcPr>
          <w:p>
            <w:pPr>
              <w:pStyle w:val="63"/>
              <w:rPr>
                <w:lang w:bidi="en-US"/>
              </w:rPr>
            </w:pPr>
            <w:r>
              <w:rPr>
                <w:lang w:eastAsia="en-US" w:bidi="en-US"/>
              </w:rPr>
              <w:t>厂区占地面积</w:t>
            </w:r>
          </w:p>
        </w:tc>
        <w:tc>
          <w:tcPr>
            <w:tcW w:w="897" w:type="dxa"/>
            <w:vAlign w:val="center"/>
          </w:tcPr>
          <w:p>
            <w:pPr>
              <w:pStyle w:val="63"/>
              <w:rPr>
                <w:lang w:eastAsia="en-US" w:bidi="en-US"/>
              </w:rPr>
            </w:pPr>
            <w:r>
              <w:rPr>
                <w:lang w:eastAsia="en-US" w:bidi="en-US"/>
              </w:rPr>
              <w:t>m</w:t>
            </w:r>
            <w:r>
              <w:rPr>
                <w:vertAlign w:val="superscript"/>
                <w:lang w:bidi="en-US"/>
              </w:rPr>
              <w:t>2</w:t>
            </w:r>
          </w:p>
        </w:tc>
        <w:tc>
          <w:tcPr>
            <w:tcW w:w="1027" w:type="dxa"/>
            <w:vAlign w:val="center"/>
          </w:tcPr>
          <w:p>
            <w:pPr>
              <w:pStyle w:val="63"/>
              <w:rPr>
                <w:lang w:eastAsia="en-US" w:bidi="en-US"/>
              </w:rPr>
            </w:pPr>
            <w:r>
              <w:rPr>
                <w:lang w:bidi="en-US"/>
              </w:rPr>
              <w:t>26666</w:t>
            </w:r>
          </w:p>
        </w:tc>
        <w:tc>
          <w:tcPr>
            <w:tcW w:w="1279" w:type="dxa"/>
            <w:vAlign w:val="center"/>
          </w:tcPr>
          <w:p>
            <w:pPr>
              <w:pStyle w:val="63"/>
              <w:rPr>
                <w:lang w:eastAsia="en-US" w:bidi="en-US"/>
              </w:rPr>
            </w:pPr>
            <w:r>
              <w:rPr>
                <w:lang w:eastAsia="en-US" w:bidi="en-US"/>
              </w:rPr>
              <w:t>约</w:t>
            </w:r>
            <w:r>
              <w:rPr>
                <w:rFonts w:hint="eastAsia"/>
                <w:lang w:bidi="en-US"/>
              </w:rPr>
              <w:t>40</w:t>
            </w:r>
            <w:r>
              <w:rPr>
                <w:lang w:eastAsia="en-US" w:bidi="en-US"/>
              </w:rPr>
              <w:t>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dxa"/>
            <w:vAlign w:val="center"/>
          </w:tcPr>
          <w:p>
            <w:pPr>
              <w:pStyle w:val="63"/>
              <w:rPr>
                <w:lang w:eastAsia="en-US" w:bidi="en-US"/>
              </w:rPr>
            </w:pPr>
            <w:r>
              <w:rPr>
                <w:lang w:eastAsia="en-US" w:bidi="en-US"/>
              </w:rPr>
              <w:t>2</w:t>
            </w:r>
          </w:p>
        </w:tc>
        <w:tc>
          <w:tcPr>
            <w:tcW w:w="4550" w:type="dxa"/>
            <w:vAlign w:val="center"/>
          </w:tcPr>
          <w:p>
            <w:pPr>
              <w:pStyle w:val="63"/>
              <w:rPr>
                <w:lang w:eastAsia="en-US" w:bidi="en-US"/>
              </w:rPr>
            </w:pPr>
            <w:r>
              <w:rPr>
                <w:lang w:eastAsia="en-US" w:bidi="en-US"/>
              </w:rPr>
              <w:t>总建筑面积</w:t>
            </w:r>
          </w:p>
        </w:tc>
        <w:tc>
          <w:tcPr>
            <w:tcW w:w="897" w:type="dxa"/>
            <w:vAlign w:val="center"/>
          </w:tcPr>
          <w:p>
            <w:pPr>
              <w:pStyle w:val="63"/>
              <w:rPr>
                <w:lang w:eastAsia="en-US" w:bidi="en-US"/>
              </w:rPr>
            </w:pPr>
            <w:r>
              <w:rPr>
                <w:lang w:eastAsia="en-US" w:bidi="en-US"/>
              </w:rPr>
              <w:t>m</w:t>
            </w:r>
            <w:r>
              <w:rPr>
                <w:vertAlign w:val="superscript"/>
                <w:lang w:bidi="en-US"/>
              </w:rPr>
              <w:t>2</w:t>
            </w:r>
          </w:p>
        </w:tc>
        <w:tc>
          <w:tcPr>
            <w:tcW w:w="1027" w:type="dxa"/>
            <w:vAlign w:val="center"/>
          </w:tcPr>
          <w:p>
            <w:pPr>
              <w:pStyle w:val="63"/>
              <w:rPr>
                <w:lang w:bidi="en-US"/>
              </w:rPr>
            </w:pPr>
            <w:r>
              <w:rPr>
                <w:lang w:bidi="en-US"/>
              </w:rPr>
              <w:t>5341</w:t>
            </w:r>
          </w:p>
        </w:tc>
        <w:tc>
          <w:tcPr>
            <w:tcW w:w="1279" w:type="dxa"/>
            <w:vAlign w:val="center"/>
          </w:tcPr>
          <w:p>
            <w:pPr>
              <w:pStyle w:val="63"/>
              <w:rPr>
                <w:lang w:eastAsia="en-US"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dxa"/>
            <w:vAlign w:val="center"/>
          </w:tcPr>
          <w:p>
            <w:pPr>
              <w:pStyle w:val="63"/>
              <w:rPr>
                <w:lang w:eastAsia="en-US" w:bidi="en-US"/>
              </w:rPr>
            </w:pPr>
            <w:r>
              <w:rPr>
                <w:lang w:eastAsia="en-US" w:bidi="en-US"/>
              </w:rPr>
              <w:t>3</w:t>
            </w:r>
          </w:p>
        </w:tc>
        <w:tc>
          <w:tcPr>
            <w:tcW w:w="4550" w:type="dxa"/>
            <w:vAlign w:val="center"/>
          </w:tcPr>
          <w:p>
            <w:pPr>
              <w:pStyle w:val="63"/>
              <w:rPr>
                <w:lang w:eastAsia="en-US" w:bidi="en-US"/>
              </w:rPr>
            </w:pPr>
            <w:r>
              <w:rPr>
                <w:lang w:eastAsia="en-US" w:bidi="en-US"/>
              </w:rPr>
              <w:t>容积率</w:t>
            </w:r>
          </w:p>
        </w:tc>
        <w:tc>
          <w:tcPr>
            <w:tcW w:w="897" w:type="dxa"/>
            <w:vAlign w:val="center"/>
          </w:tcPr>
          <w:p>
            <w:pPr>
              <w:pStyle w:val="63"/>
              <w:rPr>
                <w:lang w:eastAsia="en-US" w:bidi="en-US"/>
              </w:rPr>
            </w:pPr>
            <w:r>
              <w:rPr>
                <w:lang w:eastAsia="en-US" w:bidi="en-US"/>
              </w:rPr>
              <w:t>/</w:t>
            </w:r>
          </w:p>
        </w:tc>
        <w:tc>
          <w:tcPr>
            <w:tcW w:w="1027" w:type="dxa"/>
            <w:vAlign w:val="center"/>
          </w:tcPr>
          <w:p>
            <w:pPr>
              <w:pStyle w:val="63"/>
              <w:rPr>
                <w:lang w:bidi="en-US"/>
              </w:rPr>
            </w:pPr>
            <w:r>
              <w:rPr>
                <w:lang w:eastAsia="en-US" w:bidi="en-US"/>
              </w:rPr>
              <w:t>0.</w:t>
            </w:r>
            <w:r>
              <w:rPr>
                <w:lang w:bidi="en-US"/>
              </w:rPr>
              <w:t>75</w:t>
            </w:r>
          </w:p>
        </w:tc>
        <w:tc>
          <w:tcPr>
            <w:tcW w:w="1279" w:type="dxa"/>
            <w:vAlign w:val="center"/>
          </w:tcPr>
          <w:p>
            <w:pPr>
              <w:pStyle w:val="63"/>
              <w:rPr>
                <w:lang w:eastAsia="en-US"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dxa"/>
            <w:vAlign w:val="center"/>
          </w:tcPr>
          <w:p>
            <w:pPr>
              <w:pStyle w:val="63"/>
              <w:rPr>
                <w:lang w:eastAsia="en-US" w:bidi="en-US"/>
              </w:rPr>
            </w:pPr>
            <w:r>
              <w:rPr>
                <w:lang w:eastAsia="en-US" w:bidi="en-US"/>
              </w:rPr>
              <w:t>4</w:t>
            </w:r>
          </w:p>
        </w:tc>
        <w:tc>
          <w:tcPr>
            <w:tcW w:w="4550" w:type="dxa"/>
            <w:vAlign w:val="center"/>
          </w:tcPr>
          <w:p>
            <w:pPr>
              <w:pStyle w:val="63"/>
              <w:rPr>
                <w:lang w:eastAsia="en-US" w:bidi="en-US"/>
              </w:rPr>
            </w:pPr>
            <w:r>
              <w:rPr>
                <w:lang w:eastAsia="en-US" w:bidi="en-US"/>
              </w:rPr>
              <w:t>建构筑物占地面积</w:t>
            </w:r>
          </w:p>
        </w:tc>
        <w:tc>
          <w:tcPr>
            <w:tcW w:w="897" w:type="dxa"/>
            <w:vAlign w:val="center"/>
          </w:tcPr>
          <w:p>
            <w:pPr>
              <w:pStyle w:val="63"/>
              <w:rPr>
                <w:lang w:eastAsia="en-US" w:bidi="en-US"/>
              </w:rPr>
            </w:pPr>
            <w:r>
              <w:rPr>
                <w:lang w:eastAsia="en-US" w:bidi="en-US"/>
              </w:rPr>
              <w:t>m</w:t>
            </w:r>
            <w:r>
              <w:rPr>
                <w:vertAlign w:val="superscript"/>
                <w:lang w:bidi="en-US"/>
              </w:rPr>
              <w:t>2</w:t>
            </w:r>
          </w:p>
        </w:tc>
        <w:tc>
          <w:tcPr>
            <w:tcW w:w="1027" w:type="dxa"/>
            <w:vAlign w:val="center"/>
          </w:tcPr>
          <w:p>
            <w:pPr>
              <w:pStyle w:val="63"/>
              <w:rPr>
                <w:lang w:bidi="en-US"/>
              </w:rPr>
            </w:pPr>
            <w:r>
              <w:rPr>
                <w:lang w:bidi="en-US"/>
              </w:rPr>
              <w:t>8587</w:t>
            </w:r>
          </w:p>
        </w:tc>
        <w:tc>
          <w:tcPr>
            <w:tcW w:w="1279" w:type="dxa"/>
            <w:vAlign w:val="center"/>
          </w:tcPr>
          <w:p>
            <w:pPr>
              <w:pStyle w:val="63"/>
              <w:rPr>
                <w:lang w:eastAsia="en-US"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dxa"/>
            <w:vAlign w:val="center"/>
          </w:tcPr>
          <w:p>
            <w:pPr>
              <w:pStyle w:val="63"/>
              <w:rPr>
                <w:lang w:bidi="en-US"/>
              </w:rPr>
            </w:pPr>
            <w:r>
              <w:rPr>
                <w:rFonts w:hint="eastAsia"/>
                <w:lang w:bidi="en-US"/>
              </w:rPr>
              <w:t>5</w:t>
            </w:r>
          </w:p>
        </w:tc>
        <w:tc>
          <w:tcPr>
            <w:tcW w:w="4550" w:type="dxa"/>
            <w:vAlign w:val="center"/>
          </w:tcPr>
          <w:p>
            <w:pPr>
              <w:pStyle w:val="63"/>
              <w:rPr>
                <w:lang w:eastAsia="en-US" w:bidi="en-US"/>
              </w:rPr>
            </w:pPr>
            <w:r>
              <w:rPr>
                <w:lang w:eastAsia="en-US" w:bidi="en-US"/>
              </w:rPr>
              <w:t>建筑系数</w:t>
            </w:r>
          </w:p>
        </w:tc>
        <w:tc>
          <w:tcPr>
            <w:tcW w:w="897" w:type="dxa"/>
            <w:vAlign w:val="center"/>
          </w:tcPr>
          <w:p>
            <w:pPr>
              <w:pStyle w:val="63"/>
              <w:rPr>
                <w:lang w:eastAsia="en-US" w:bidi="en-US"/>
              </w:rPr>
            </w:pPr>
            <w:r>
              <w:rPr>
                <w:lang w:eastAsia="en-US" w:bidi="en-US"/>
              </w:rPr>
              <w:t>%</w:t>
            </w:r>
          </w:p>
        </w:tc>
        <w:tc>
          <w:tcPr>
            <w:tcW w:w="1027" w:type="dxa"/>
            <w:vAlign w:val="center"/>
          </w:tcPr>
          <w:p>
            <w:pPr>
              <w:pStyle w:val="63"/>
              <w:rPr>
                <w:lang w:eastAsia="en-US" w:bidi="en-US"/>
              </w:rPr>
            </w:pPr>
            <w:r>
              <w:rPr>
                <w:lang w:bidi="en-US"/>
              </w:rPr>
              <w:t>45</w:t>
            </w:r>
            <w:r>
              <w:rPr>
                <w:lang w:eastAsia="en-US" w:bidi="en-US"/>
              </w:rPr>
              <w:t>%</w:t>
            </w:r>
          </w:p>
        </w:tc>
        <w:tc>
          <w:tcPr>
            <w:tcW w:w="1279" w:type="dxa"/>
            <w:vAlign w:val="center"/>
          </w:tcPr>
          <w:p>
            <w:pPr>
              <w:pStyle w:val="63"/>
              <w:rPr>
                <w:lang w:eastAsia="en-US"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dxa"/>
            <w:vAlign w:val="center"/>
          </w:tcPr>
          <w:p>
            <w:pPr>
              <w:pStyle w:val="63"/>
              <w:rPr>
                <w:lang w:bidi="en-US"/>
              </w:rPr>
            </w:pPr>
            <w:r>
              <w:rPr>
                <w:rFonts w:hint="eastAsia"/>
                <w:lang w:bidi="en-US"/>
              </w:rPr>
              <w:t>6</w:t>
            </w:r>
          </w:p>
        </w:tc>
        <w:tc>
          <w:tcPr>
            <w:tcW w:w="4550" w:type="dxa"/>
            <w:vAlign w:val="center"/>
          </w:tcPr>
          <w:p>
            <w:pPr>
              <w:pStyle w:val="63"/>
              <w:rPr>
                <w:lang w:eastAsia="en-US" w:bidi="en-US"/>
              </w:rPr>
            </w:pPr>
            <w:r>
              <w:rPr>
                <w:lang w:eastAsia="en-US" w:bidi="en-US"/>
              </w:rPr>
              <w:t>绿化占地面积</w:t>
            </w:r>
          </w:p>
        </w:tc>
        <w:tc>
          <w:tcPr>
            <w:tcW w:w="897" w:type="dxa"/>
            <w:vAlign w:val="center"/>
          </w:tcPr>
          <w:p>
            <w:pPr>
              <w:pStyle w:val="63"/>
              <w:rPr>
                <w:lang w:eastAsia="en-US" w:bidi="en-US"/>
              </w:rPr>
            </w:pPr>
            <w:r>
              <w:rPr>
                <w:lang w:eastAsia="en-US" w:bidi="en-US"/>
              </w:rPr>
              <w:t>m</w:t>
            </w:r>
            <w:r>
              <w:rPr>
                <w:vertAlign w:val="superscript"/>
                <w:lang w:bidi="en-US"/>
              </w:rPr>
              <w:t>2</w:t>
            </w:r>
          </w:p>
        </w:tc>
        <w:tc>
          <w:tcPr>
            <w:tcW w:w="1027" w:type="dxa"/>
            <w:vAlign w:val="center"/>
          </w:tcPr>
          <w:p>
            <w:pPr>
              <w:pStyle w:val="63"/>
              <w:rPr>
                <w:lang w:bidi="en-US"/>
              </w:rPr>
            </w:pPr>
            <w:r>
              <w:rPr>
                <w:rFonts w:hint="eastAsia"/>
                <w:lang w:bidi="en-US"/>
              </w:rPr>
              <w:t>1131</w:t>
            </w:r>
          </w:p>
        </w:tc>
        <w:tc>
          <w:tcPr>
            <w:tcW w:w="1279" w:type="dxa"/>
            <w:vAlign w:val="center"/>
          </w:tcPr>
          <w:p>
            <w:pPr>
              <w:pStyle w:val="63"/>
              <w:rPr>
                <w:lang w:eastAsia="en-US" w:bidi="en-US"/>
              </w:rPr>
            </w:pPr>
          </w:p>
        </w:tc>
      </w:tr>
    </w:tbl>
    <w:p>
      <w:pPr>
        <w:pStyle w:val="6"/>
        <w:rPr>
          <w:rFonts w:ascii="Times New Roman" w:hAnsi="Times New Roman" w:cs="Times New Roman"/>
        </w:rPr>
      </w:pPr>
      <w:r>
        <w:rPr>
          <w:rFonts w:ascii="Times New Roman" w:hAnsi="Times New Roman" w:cs="Times New Roman"/>
        </w:rPr>
        <w:t>表3.1-</w:t>
      </w:r>
      <w:r>
        <w:rPr>
          <w:rFonts w:hint="eastAsia" w:ascii="Times New Roman" w:hAnsi="Times New Roman" w:cs="Times New Roman"/>
        </w:rPr>
        <w:t>2</w:t>
      </w:r>
      <w:r>
        <w:rPr>
          <w:rFonts w:ascii="Times New Roman" w:hAnsi="Times New Roman" w:cs="Times New Roman"/>
        </w:rPr>
        <w:t xml:space="preserve">  </w:t>
      </w:r>
      <w:r>
        <w:rPr>
          <w:rFonts w:hint="eastAsia" w:ascii="Times New Roman" w:hAnsi="Times New Roman" w:cs="Times New Roman"/>
        </w:rPr>
        <w:t>综合利用厂区</w:t>
      </w:r>
      <w:r>
        <w:rPr>
          <w:rFonts w:ascii="Times New Roman" w:hAnsi="Times New Roman" w:cs="Times New Roman"/>
        </w:rPr>
        <w:t>主要经济技术指标一览表</w:t>
      </w:r>
    </w:p>
    <w:tbl>
      <w:tblPr>
        <w:tblStyle w:val="35"/>
        <w:tblW w:w="852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4"/>
        <w:gridCol w:w="4550"/>
        <w:gridCol w:w="897"/>
        <w:gridCol w:w="1027"/>
        <w:gridCol w:w="12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dxa"/>
            <w:vAlign w:val="center"/>
          </w:tcPr>
          <w:p>
            <w:pPr>
              <w:pStyle w:val="63"/>
              <w:rPr>
                <w:lang w:eastAsia="en-US" w:bidi="en-US"/>
              </w:rPr>
            </w:pPr>
            <w:bookmarkStart w:id="129" w:name="_Toc102658202"/>
            <w:r>
              <w:rPr>
                <w:lang w:eastAsia="en-US" w:bidi="en-US"/>
              </w:rPr>
              <w:t>序号</w:t>
            </w:r>
          </w:p>
        </w:tc>
        <w:tc>
          <w:tcPr>
            <w:tcW w:w="4550" w:type="dxa"/>
            <w:vAlign w:val="center"/>
          </w:tcPr>
          <w:p>
            <w:pPr>
              <w:pStyle w:val="63"/>
              <w:rPr>
                <w:lang w:eastAsia="en-US" w:bidi="en-US"/>
              </w:rPr>
            </w:pPr>
            <w:r>
              <w:rPr>
                <w:lang w:eastAsia="en-US" w:bidi="en-US"/>
              </w:rPr>
              <w:t>项目名称</w:t>
            </w:r>
          </w:p>
        </w:tc>
        <w:tc>
          <w:tcPr>
            <w:tcW w:w="897" w:type="dxa"/>
            <w:vAlign w:val="center"/>
          </w:tcPr>
          <w:p>
            <w:pPr>
              <w:pStyle w:val="63"/>
              <w:rPr>
                <w:lang w:eastAsia="en-US" w:bidi="en-US"/>
              </w:rPr>
            </w:pPr>
            <w:r>
              <w:rPr>
                <w:lang w:eastAsia="en-US" w:bidi="en-US"/>
              </w:rPr>
              <w:t>单位</w:t>
            </w:r>
          </w:p>
        </w:tc>
        <w:tc>
          <w:tcPr>
            <w:tcW w:w="1027" w:type="dxa"/>
            <w:vAlign w:val="center"/>
          </w:tcPr>
          <w:p>
            <w:pPr>
              <w:pStyle w:val="63"/>
              <w:rPr>
                <w:lang w:eastAsia="en-US" w:bidi="en-US"/>
              </w:rPr>
            </w:pPr>
            <w:r>
              <w:rPr>
                <w:lang w:eastAsia="en-US" w:bidi="en-US"/>
              </w:rPr>
              <w:t>数量</w:t>
            </w:r>
          </w:p>
        </w:tc>
        <w:tc>
          <w:tcPr>
            <w:tcW w:w="1279" w:type="dxa"/>
            <w:vAlign w:val="center"/>
          </w:tcPr>
          <w:p>
            <w:pPr>
              <w:pStyle w:val="63"/>
              <w:rPr>
                <w:lang w:eastAsia="en-US" w:bidi="en-US"/>
              </w:rPr>
            </w:pPr>
            <w:r>
              <w:rPr>
                <w:lang w:eastAsia="en-US" w:bidi="en-US"/>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dxa"/>
            <w:vAlign w:val="center"/>
          </w:tcPr>
          <w:p>
            <w:pPr>
              <w:pStyle w:val="63"/>
              <w:rPr>
                <w:lang w:eastAsia="en-US" w:bidi="en-US"/>
              </w:rPr>
            </w:pPr>
            <w:r>
              <w:rPr>
                <w:lang w:eastAsia="en-US" w:bidi="en-US"/>
              </w:rPr>
              <w:t>l</w:t>
            </w:r>
          </w:p>
        </w:tc>
        <w:tc>
          <w:tcPr>
            <w:tcW w:w="4550" w:type="dxa"/>
            <w:vAlign w:val="center"/>
          </w:tcPr>
          <w:p>
            <w:pPr>
              <w:pStyle w:val="63"/>
              <w:rPr>
                <w:lang w:bidi="en-US"/>
              </w:rPr>
            </w:pPr>
            <w:r>
              <w:rPr>
                <w:lang w:eastAsia="en-US" w:bidi="en-US"/>
              </w:rPr>
              <w:t>厂区占地面积</w:t>
            </w:r>
          </w:p>
        </w:tc>
        <w:tc>
          <w:tcPr>
            <w:tcW w:w="897" w:type="dxa"/>
            <w:vAlign w:val="center"/>
          </w:tcPr>
          <w:p>
            <w:pPr>
              <w:pStyle w:val="63"/>
              <w:rPr>
                <w:lang w:eastAsia="en-US" w:bidi="en-US"/>
              </w:rPr>
            </w:pPr>
            <w:r>
              <w:rPr>
                <w:lang w:eastAsia="en-US" w:bidi="en-US"/>
              </w:rPr>
              <w:t>m</w:t>
            </w:r>
            <w:r>
              <w:rPr>
                <w:vertAlign w:val="superscript"/>
                <w:lang w:bidi="en-US"/>
              </w:rPr>
              <w:t>2</w:t>
            </w:r>
          </w:p>
        </w:tc>
        <w:tc>
          <w:tcPr>
            <w:tcW w:w="1027" w:type="dxa"/>
            <w:vAlign w:val="center"/>
          </w:tcPr>
          <w:p>
            <w:pPr>
              <w:pStyle w:val="63"/>
              <w:rPr>
                <w:lang w:eastAsia="en-US" w:bidi="en-US"/>
              </w:rPr>
            </w:pPr>
            <w:r>
              <w:t>533</w:t>
            </w:r>
            <w:r>
              <w:rPr>
                <w:rFonts w:hint="eastAsia"/>
              </w:rPr>
              <w:t>3</w:t>
            </w:r>
            <w:r>
              <w:t>3</w:t>
            </w:r>
          </w:p>
        </w:tc>
        <w:tc>
          <w:tcPr>
            <w:tcW w:w="1279" w:type="dxa"/>
            <w:vAlign w:val="center"/>
          </w:tcPr>
          <w:p>
            <w:pPr>
              <w:pStyle w:val="63"/>
              <w:rPr>
                <w:lang w:eastAsia="en-US" w:bidi="en-US"/>
              </w:rPr>
            </w:pPr>
            <w:r>
              <w:rPr>
                <w:lang w:eastAsia="en-US" w:bidi="en-US"/>
              </w:rPr>
              <w:t>约</w:t>
            </w:r>
            <w:r>
              <w:rPr>
                <w:rFonts w:hint="eastAsia"/>
                <w:lang w:bidi="en-US"/>
              </w:rPr>
              <w:t>80</w:t>
            </w:r>
            <w:r>
              <w:rPr>
                <w:lang w:eastAsia="en-US" w:bidi="en-US"/>
              </w:rPr>
              <w:t>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dxa"/>
            <w:vAlign w:val="center"/>
          </w:tcPr>
          <w:p>
            <w:pPr>
              <w:pStyle w:val="63"/>
              <w:rPr>
                <w:lang w:eastAsia="en-US" w:bidi="en-US"/>
              </w:rPr>
            </w:pPr>
            <w:r>
              <w:rPr>
                <w:lang w:eastAsia="en-US" w:bidi="en-US"/>
              </w:rPr>
              <w:t>2</w:t>
            </w:r>
          </w:p>
        </w:tc>
        <w:tc>
          <w:tcPr>
            <w:tcW w:w="4550" w:type="dxa"/>
            <w:vAlign w:val="center"/>
          </w:tcPr>
          <w:p>
            <w:pPr>
              <w:pStyle w:val="63"/>
              <w:rPr>
                <w:lang w:eastAsia="en-US" w:bidi="en-US"/>
              </w:rPr>
            </w:pPr>
            <w:r>
              <w:rPr>
                <w:lang w:eastAsia="en-US" w:bidi="en-US"/>
              </w:rPr>
              <w:t>总建筑面积</w:t>
            </w:r>
          </w:p>
        </w:tc>
        <w:tc>
          <w:tcPr>
            <w:tcW w:w="897" w:type="dxa"/>
            <w:vAlign w:val="center"/>
          </w:tcPr>
          <w:p>
            <w:pPr>
              <w:pStyle w:val="63"/>
              <w:rPr>
                <w:lang w:eastAsia="en-US" w:bidi="en-US"/>
              </w:rPr>
            </w:pPr>
            <w:r>
              <w:rPr>
                <w:lang w:eastAsia="en-US" w:bidi="en-US"/>
              </w:rPr>
              <w:t>m</w:t>
            </w:r>
            <w:r>
              <w:rPr>
                <w:vertAlign w:val="superscript"/>
                <w:lang w:bidi="en-US"/>
              </w:rPr>
              <w:t>2</w:t>
            </w:r>
          </w:p>
        </w:tc>
        <w:tc>
          <w:tcPr>
            <w:tcW w:w="1027" w:type="dxa"/>
            <w:vAlign w:val="center"/>
          </w:tcPr>
          <w:p>
            <w:pPr>
              <w:pStyle w:val="63"/>
              <w:rPr>
                <w:lang w:bidi="en-US"/>
              </w:rPr>
            </w:pPr>
            <w:r>
              <w:rPr>
                <w:lang w:bidi="en-US"/>
              </w:rPr>
              <w:t>49906.26</w:t>
            </w:r>
          </w:p>
        </w:tc>
        <w:tc>
          <w:tcPr>
            <w:tcW w:w="1279" w:type="dxa"/>
            <w:vAlign w:val="center"/>
          </w:tcPr>
          <w:p>
            <w:pPr>
              <w:pStyle w:val="63"/>
              <w:rPr>
                <w:lang w:eastAsia="en-US"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dxa"/>
            <w:vAlign w:val="center"/>
          </w:tcPr>
          <w:p>
            <w:pPr>
              <w:pStyle w:val="63"/>
              <w:rPr>
                <w:lang w:eastAsia="en-US" w:bidi="en-US"/>
              </w:rPr>
            </w:pPr>
            <w:r>
              <w:rPr>
                <w:lang w:eastAsia="en-US" w:bidi="en-US"/>
              </w:rPr>
              <w:t>3</w:t>
            </w:r>
          </w:p>
        </w:tc>
        <w:tc>
          <w:tcPr>
            <w:tcW w:w="4550" w:type="dxa"/>
            <w:vAlign w:val="center"/>
          </w:tcPr>
          <w:p>
            <w:pPr>
              <w:pStyle w:val="63"/>
              <w:rPr>
                <w:lang w:eastAsia="en-US" w:bidi="en-US"/>
              </w:rPr>
            </w:pPr>
            <w:r>
              <w:rPr>
                <w:lang w:eastAsia="en-US" w:bidi="en-US"/>
              </w:rPr>
              <w:t>容积率</w:t>
            </w:r>
          </w:p>
        </w:tc>
        <w:tc>
          <w:tcPr>
            <w:tcW w:w="897" w:type="dxa"/>
            <w:vAlign w:val="center"/>
          </w:tcPr>
          <w:p>
            <w:pPr>
              <w:pStyle w:val="63"/>
              <w:rPr>
                <w:lang w:eastAsia="en-US" w:bidi="en-US"/>
              </w:rPr>
            </w:pPr>
            <w:r>
              <w:rPr>
                <w:lang w:eastAsia="en-US" w:bidi="en-US"/>
              </w:rPr>
              <w:t>/</w:t>
            </w:r>
          </w:p>
        </w:tc>
        <w:tc>
          <w:tcPr>
            <w:tcW w:w="1027" w:type="dxa"/>
            <w:vAlign w:val="center"/>
          </w:tcPr>
          <w:p>
            <w:pPr>
              <w:pStyle w:val="63"/>
              <w:rPr>
                <w:lang w:bidi="en-US"/>
              </w:rPr>
            </w:pPr>
            <w:r>
              <w:rPr>
                <w:lang w:eastAsia="en-US" w:bidi="en-US"/>
              </w:rPr>
              <w:t>0.</w:t>
            </w:r>
            <w:r>
              <w:rPr>
                <w:lang w:bidi="en-US"/>
              </w:rPr>
              <w:t>75</w:t>
            </w:r>
          </w:p>
        </w:tc>
        <w:tc>
          <w:tcPr>
            <w:tcW w:w="1279" w:type="dxa"/>
            <w:vAlign w:val="center"/>
          </w:tcPr>
          <w:p>
            <w:pPr>
              <w:pStyle w:val="63"/>
              <w:rPr>
                <w:lang w:eastAsia="en-US"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dxa"/>
            <w:vAlign w:val="center"/>
          </w:tcPr>
          <w:p>
            <w:pPr>
              <w:pStyle w:val="63"/>
              <w:rPr>
                <w:lang w:eastAsia="en-US" w:bidi="en-US"/>
              </w:rPr>
            </w:pPr>
            <w:r>
              <w:rPr>
                <w:lang w:eastAsia="en-US" w:bidi="en-US"/>
              </w:rPr>
              <w:t>4</w:t>
            </w:r>
          </w:p>
        </w:tc>
        <w:tc>
          <w:tcPr>
            <w:tcW w:w="4550" w:type="dxa"/>
            <w:vAlign w:val="center"/>
          </w:tcPr>
          <w:p>
            <w:pPr>
              <w:pStyle w:val="63"/>
              <w:rPr>
                <w:lang w:eastAsia="en-US" w:bidi="en-US"/>
              </w:rPr>
            </w:pPr>
            <w:r>
              <w:rPr>
                <w:lang w:eastAsia="en-US" w:bidi="en-US"/>
              </w:rPr>
              <w:t>建构筑物占地面积</w:t>
            </w:r>
          </w:p>
        </w:tc>
        <w:tc>
          <w:tcPr>
            <w:tcW w:w="897" w:type="dxa"/>
            <w:vAlign w:val="center"/>
          </w:tcPr>
          <w:p>
            <w:pPr>
              <w:pStyle w:val="63"/>
              <w:rPr>
                <w:lang w:eastAsia="en-US" w:bidi="en-US"/>
              </w:rPr>
            </w:pPr>
            <w:r>
              <w:rPr>
                <w:lang w:eastAsia="en-US" w:bidi="en-US"/>
              </w:rPr>
              <w:t>m</w:t>
            </w:r>
            <w:r>
              <w:rPr>
                <w:vertAlign w:val="superscript"/>
                <w:lang w:bidi="en-US"/>
              </w:rPr>
              <w:t>2</w:t>
            </w:r>
          </w:p>
        </w:tc>
        <w:tc>
          <w:tcPr>
            <w:tcW w:w="1027" w:type="dxa"/>
            <w:vAlign w:val="center"/>
          </w:tcPr>
          <w:p>
            <w:pPr>
              <w:pStyle w:val="63"/>
              <w:rPr>
                <w:lang w:bidi="en-US"/>
              </w:rPr>
            </w:pPr>
            <w:r>
              <w:rPr>
                <w:lang w:bidi="en-US"/>
              </w:rPr>
              <w:t>25775.17</w:t>
            </w:r>
          </w:p>
        </w:tc>
        <w:tc>
          <w:tcPr>
            <w:tcW w:w="1279" w:type="dxa"/>
            <w:vAlign w:val="center"/>
          </w:tcPr>
          <w:p>
            <w:pPr>
              <w:pStyle w:val="63"/>
              <w:rPr>
                <w:lang w:eastAsia="en-US"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dxa"/>
            <w:vAlign w:val="center"/>
          </w:tcPr>
          <w:p>
            <w:pPr>
              <w:pStyle w:val="63"/>
              <w:rPr>
                <w:lang w:eastAsia="en-US" w:bidi="en-US"/>
              </w:rPr>
            </w:pPr>
            <w:r>
              <w:rPr>
                <w:lang w:eastAsia="en-US" w:bidi="en-US"/>
              </w:rPr>
              <w:t>5</w:t>
            </w:r>
          </w:p>
        </w:tc>
        <w:tc>
          <w:tcPr>
            <w:tcW w:w="4550" w:type="dxa"/>
            <w:vAlign w:val="center"/>
          </w:tcPr>
          <w:p>
            <w:pPr>
              <w:pStyle w:val="63"/>
              <w:rPr>
                <w:lang w:bidi="en-US"/>
              </w:rPr>
            </w:pPr>
            <w:r>
              <w:rPr>
                <w:lang w:bidi="en-US"/>
              </w:rPr>
              <w:t>露天设备、堆场及操作场占地面积</w:t>
            </w:r>
          </w:p>
        </w:tc>
        <w:tc>
          <w:tcPr>
            <w:tcW w:w="897" w:type="dxa"/>
            <w:vAlign w:val="center"/>
          </w:tcPr>
          <w:p>
            <w:pPr>
              <w:pStyle w:val="63"/>
              <w:rPr>
                <w:lang w:eastAsia="en-US" w:bidi="en-US"/>
              </w:rPr>
            </w:pPr>
            <w:r>
              <w:rPr>
                <w:lang w:eastAsia="en-US" w:bidi="en-US"/>
              </w:rPr>
              <w:t>m</w:t>
            </w:r>
            <w:r>
              <w:rPr>
                <w:vertAlign w:val="superscript"/>
                <w:lang w:bidi="en-US"/>
              </w:rPr>
              <w:t>2</w:t>
            </w:r>
          </w:p>
        </w:tc>
        <w:tc>
          <w:tcPr>
            <w:tcW w:w="1027" w:type="dxa"/>
            <w:vAlign w:val="center"/>
          </w:tcPr>
          <w:p>
            <w:pPr>
              <w:pStyle w:val="63"/>
              <w:rPr>
                <w:lang w:bidi="en-US"/>
              </w:rPr>
            </w:pPr>
            <w:r>
              <w:rPr>
                <w:lang w:bidi="en-US"/>
              </w:rPr>
              <w:t>20872</w:t>
            </w:r>
          </w:p>
        </w:tc>
        <w:tc>
          <w:tcPr>
            <w:tcW w:w="1279" w:type="dxa"/>
            <w:vAlign w:val="center"/>
          </w:tcPr>
          <w:p>
            <w:pPr>
              <w:pStyle w:val="63"/>
              <w:rPr>
                <w:lang w:eastAsia="en-US"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dxa"/>
            <w:vAlign w:val="center"/>
          </w:tcPr>
          <w:p>
            <w:pPr>
              <w:pStyle w:val="63"/>
              <w:rPr>
                <w:lang w:eastAsia="en-US" w:bidi="en-US"/>
              </w:rPr>
            </w:pPr>
            <w:r>
              <w:rPr>
                <w:lang w:eastAsia="en-US" w:bidi="en-US"/>
              </w:rPr>
              <w:t>6</w:t>
            </w:r>
          </w:p>
        </w:tc>
        <w:tc>
          <w:tcPr>
            <w:tcW w:w="4550" w:type="dxa"/>
            <w:vAlign w:val="center"/>
          </w:tcPr>
          <w:p>
            <w:pPr>
              <w:pStyle w:val="63"/>
              <w:rPr>
                <w:lang w:eastAsia="en-US" w:bidi="en-US"/>
              </w:rPr>
            </w:pPr>
            <w:r>
              <w:rPr>
                <w:lang w:eastAsia="en-US" w:bidi="en-US"/>
              </w:rPr>
              <w:t>建筑系数</w:t>
            </w:r>
          </w:p>
        </w:tc>
        <w:tc>
          <w:tcPr>
            <w:tcW w:w="897" w:type="dxa"/>
            <w:vAlign w:val="center"/>
          </w:tcPr>
          <w:p>
            <w:pPr>
              <w:pStyle w:val="63"/>
              <w:rPr>
                <w:lang w:eastAsia="en-US" w:bidi="en-US"/>
              </w:rPr>
            </w:pPr>
            <w:r>
              <w:rPr>
                <w:lang w:eastAsia="en-US" w:bidi="en-US"/>
              </w:rPr>
              <w:t>%</w:t>
            </w:r>
          </w:p>
        </w:tc>
        <w:tc>
          <w:tcPr>
            <w:tcW w:w="1027" w:type="dxa"/>
            <w:vAlign w:val="center"/>
          </w:tcPr>
          <w:p>
            <w:pPr>
              <w:pStyle w:val="63"/>
              <w:rPr>
                <w:lang w:eastAsia="en-US" w:bidi="en-US"/>
              </w:rPr>
            </w:pPr>
            <w:r>
              <w:rPr>
                <w:lang w:bidi="en-US"/>
              </w:rPr>
              <w:t>45</w:t>
            </w:r>
            <w:r>
              <w:rPr>
                <w:lang w:eastAsia="en-US" w:bidi="en-US"/>
              </w:rPr>
              <w:t>%</w:t>
            </w:r>
          </w:p>
        </w:tc>
        <w:tc>
          <w:tcPr>
            <w:tcW w:w="1279" w:type="dxa"/>
            <w:vAlign w:val="center"/>
          </w:tcPr>
          <w:p>
            <w:pPr>
              <w:pStyle w:val="63"/>
              <w:rPr>
                <w:lang w:eastAsia="en-US"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dxa"/>
            <w:vAlign w:val="center"/>
          </w:tcPr>
          <w:p>
            <w:pPr>
              <w:pStyle w:val="63"/>
              <w:rPr>
                <w:lang w:eastAsia="en-US" w:bidi="en-US"/>
              </w:rPr>
            </w:pPr>
            <w:r>
              <w:rPr>
                <w:lang w:eastAsia="en-US" w:bidi="en-US"/>
              </w:rPr>
              <w:t>7</w:t>
            </w:r>
          </w:p>
        </w:tc>
        <w:tc>
          <w:tcPr>
            <w:tcW w:w="4550" w:type="dxa"/>
            <w:vAlign w:val="center"/>
          </w:tcPr>
          <w:p>
            <w:pPr>
              <w:pStyle w:val="63"/>
              <w:rPr>
                <w:lang w:eastAsia="en-US" w:bidi="en-US"/>
              </w:rPr>
            </w:pPr>
            <w:r>
              <w:rPr>
                <w:lang w:eastAsia="en-US" w:bidi="en-US"/>
              </w:rPr>
              <w:t>道路及广场铺砌面积</w:t>
            </w:r>
          </w:p>
        </w:tc>
        <w:tc>
          <w:tcPr>
            <w:tcW w:w="897" w:type="dxa"/>
            <w:vAlign w:val="center"/>
          </w:tcPr>
          <w:p>
            <w:pPr>
              <w:pStyle w:val="63"/>
              <w:rPr>
                <w:lang w:eastAsia="en-US" w:bidi="en-US"/>
              </w:rPr>
            </w:pPr>
            <w:r>
              <w:rPr>
                <w:lang w:eastAsia="en-US" w:bidi="en-US"/>
              </w:rPr>
              <w:t>m</w:t>
            </w:r>
            <w:r>
              <w:rPr>
                <w:vertAlign w:val="superscript"/>
                <w:lang w:bidi="en-US"/>
              </w:rPr>
              <w:t>2</w:t>
            </w:r>
          </w:p>
        </w:tc>
        <w:tc>
          <w:tcPr>
            <w:tcW w:w="1027" w:type="dxa"/>
            <w:vAlign w:val="center"/>
          </w:tcPr>
          <w:p>
            <w:pPr>
              <w:pStyle w:val="63"/>
              <w:rPr>
                <w:lang w:eastAsia="en-US" w:bidi="en-US"/>
              </w:rPr>
            </w:pPr>
            <w:r>
              <w:rPr>
                <w:lang w:bidi="en-US"/>
              </w:rPr>
              <w:t>352</w:t>
            </w:r>
            <w:r>
              <w:rPr>
                <w:lang w:eastAsia="en-US" w:bidi="en-US"/>
              </w:rPr>
              <w:t>00</w:t>
            </w:r>
          </w:p>
        </w:tc>
        <w:tc>
          <w:tcPr>
            <w:tcW w:w="1279" w:type="dxa"/>
            <w:vAlign w:val="center"/>
          </w:tcPr>
          <w:p>
            <w:pPr>
              <w:pStyle w:val="63"/>
              <w:rPr>
                <w:lang w:eastAsia="en-US"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dxa"/>
            <w:vAlign w:val="center"/>
          </w:tcPr>
          <w:p>
            <w:pPr>
              <w:pStyle w:val="63"/>
              <w:rPr>
                <w:lang w:eastAsia="en-US" w:bidi="en-US"/>
              </w:rPr>
            </w:pPr>
            <w:r>
              <w:rPr>
                <w:lang w:eastAsia="en-US" w:bidi="en-US"/>
              </w:rPr>
              <w:t>8</w:t>
            </w:r>
          </w:p>
        </w:tc>
        <w:tc>
          <w:tcPr>
            <w:tcW w:w="4550" w:type="dxa"/>
            <w:vAlign w:val="center"/>
          </w:tcPr>
          <w:p>
            <w:pPr>
              <w:pStyle w:val="63"/>
              <w:rPr>
                <w:lang w:eastAsia="en-US" w:bidi="en-US"/>
              </w:rPr>
            </w:pPr>
            <w:r>
              <w:rPr>
                <w:lang w:eastAsia="en-US" w:bidi="en-US"/>
              </w:rPr>
              <w:t>道路系数</w:t>
            </w:r>
          </w:p>
        </w:tc>
        <w:tc>
          <w:tcPr>
            <w:tcW w:w="897" w:type="dxa"/>
            <w:vAlign w:val="center"/>
          </w:tcPr>
          <w:p>
            <w:pPr>
              <w:pStyle w:val="63"/>
              <w:rPr>
                <w:lang w:eastAsia="en-US" w:bidi="en-US"/>
              </w:rPr>
            </w:pPr>
            <w:r>
              <w:rPr>
                <w:lang w:eastAsia="en-US" w:bidi="en-US"/>
              </w:rPr>
              <w:t>%</w:t>
            </w:r>
          </w:p>
        </w:tc>
        <w:tc>
          <w:tcPr>
            <w:tcW w:w="1027" w:type="dxa"/>
            <w:vAlign w:val="center"/>
          </w:tcPr>
          <w:p>
            <w:pPr>
              <w:pStyle w:val="63"/>
              <w:rPr>
                <w:lang w:eastAsia="en-US" w:bidi="en-US"/>
              </w:rPr>
            </w:pPr>
            <w:r>
              <w:rPr>
                <w:lang w:eastAsia="en-US" w:bidi="en-US"/>
              </w:rPr>
              <w:t>22%</w:t>
            </w:r>
          </w:p>
        </w:tc>
        <w:tc>
          <w:tcPr>
            <w:tcW w:w="1279" w:type="dxa"/>
            <w:vAlign w:val="center"/>
          </w:tcPr>
          <w:p>
            <w:pPr>
              <w:pStyle w:val="63"/>
              <w:rPr>
                <w:lang w:eastAsia="en-US"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dxa"/>
            <w:vAlign w:val="center"/>
          </w:tcPr>
          <w:p>
            <w:pPr>
              <w:pStyle w:val="63"/>
              <w:rPr>
                <w:lang w:eastAsia="en-US" w:bidi="en-US"/>
              </w:rPr>
            </w:pPr>
            <w:r>
              <w:rPr>
                <w:lang w:eastAsia="en-US" w:bidi="en-US"/>
              </w:rPr>
              <w:t>9</w:t>
            </w:r>
          </w:p>
        </w:tc>
        <w:tc>
          <w:tcPr>
            <w:tcW w:w="4550" w:type="dxa"/>
            <w:vAlign w:val="center"/>
          </w:tcPr>
          <w:p>
            <w:pPr>
              <w:pStyle w:val="63"/>
              <w:rPr>
                <w:lang w:eastAsia="en-US" w:bidi="en-US"/>
              </w:rPr>
            </w:pPr>
            <w:r>
              <w:rPr>
                <w:lang w:eastAsia="en-US" w:bidi="en-US"/>
              </w:rPr>
              <w:t>绿化占地面积</w:t>
            </w:r>
          </w:p>
        </w:tc>
        <w:tc>
          <w:tcPr>
            <w:tcW w:w="897" w:type="dxa"/>
            <w:vAlign w:val="center"/>
          </w:tcPr>
          <w:p>
            <w:pPr>
              <w:pStyle w:val="63"/>
              <w:rPr>
                <w:lang w:eastAsia="en-US" w:bidi="en-US"/>
              </w:rPr>
            </w:pPr>
            <w:r>
              <w:rPr>
                <w:lang w:eastAsia="en-US" w:bidi="en-US"/>
              </w:rPr>
              <w:t>m</w:t>
            </w:r>
            <w:r>
              <w:rPr>
                <w:vertAlign w:val="superscript"/>
                <w:lang w:bidi="en-US"/>
              </w:rPr>
              <w:t>2</w:t>
            </w:r>
          </w:p>
        </w:tc>
        <w:tc>
          <w:tcPr>
            <w:tcW w:w="1027" w:type="dxa"/>
            <w:vAlign w:val="center"/>
          </w:tcPr>
          <w:p>
            <w:pPr>
              <w:pStyle w:val="63"/>
              <w:rPr>
                <w:lang w:bidi="en-US"/>
              </w:rPr>
            </w:pPr>
            <w:r>
              <w:rPr>
                <w:lang w:bidi="en-US"/>
              </w:rPr>
              <w:t>11547</w:t>
            </w:r>
          </w:p>
        </w:tc>
        <w:tc>
          <w:tcPr>
            <w:tcW w:w="1279" w:type="dxa"/>
            <w:vAlign w:val="center"/>
          </w:tcPr>
          <w:p>
            <w:pPr>
              <w:pStyle w:val="63"/>
              <w:rPr>
                <w:lang w:eastAsia="en-US"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dxa"/>
            <w:vAlign w:val="center"/>
          </w:tcPr>
          <w:p>
            <w:pPr>
              <w:pStyle w:val="63"/>
              <w:rPr>
                <w:lang w:eastAsia="en-US" w:bidi="en-US"/>
              </w:rPr>
            </w:pPr>
            <w:r>
              <w:rPr>
                <w:lang w:eastAsia="en-US" w:bidi="en-US"/>
              </w:rPr>
              <w:t>10</w:t>
            </w:r>
          </w:p>
        </w:tc>
        <w:tc>
          <w:tcPr>
            <w:tcW w:w="4550" w:type="dxa"/>
            <w:vAlign w:val="center"/>
          </w:tcPr>
          <w:p>
            <w:pPr>
              <w:pStyle w:val="63"/>
              <w:rPr>
                <w:lang w:eastAsia="en-US" w:bidi="en-US"/>
              </w:rPr>
            </w:pPr>
            <w:r>
              <w:rPr>
                <w:lang w:eastAsia="en-US" w:bidi="en-US"/>
              </w:rPr>
              <w:t>绿地率</w:t>
            </w:r>
          </w:p>
        </w:tc>
        <w:tc>
          <w:tcPr>
            <w:tcW w:w="897" w:type="dxa"/>
            <w:vAlign w:val="center"/>
          </w:tcPr>
          <w:p>
            <w:pPr>
              <w:pStyle w:val="63"/>
              <w:rPr>
                <w:lang w:eastAsia="en-US" w:bidi="en-US"/>
              </w:rPr>
            </w:pPr>
            <w:r>
              <w:rPr>
                <w:lang w:eastAsia="en-US" w:bidi="en-US"/>
              </w:rPr>
              <w:t>%</w:t>
            </w:r>
          </w:p>
        </w:tc>
        <w:tc>
          <w:tcPr>
            <w:tcW w:w="1027" w:type="dxa"/>
            <w:vAlign w:val="center"/>
          </w:tcPr>
          <w:p>
            <w:pPr>
              <w:pStyle w:val="63"/>
              <w:rPr>
                <w:lang w:eastAsia="en-US" w:bidi="en-US"/>
              </w:rPr>
            </w:pPr>
            <w:r>
              <w:rPr>
                <w:lang w:bidi="en-US"/>
              </w:rPr>
              <w:t>20</w:t>
            </w:r>
            <w:r>
              <w:rPr>
                <w:lang w:eastAsia="en-US" w:bidi="en-US"/>
              </w:rPr>
              <w:t>%</w:t>
            </w:r>
          </w:p>
        </w:tc>
        <w:tc>
          <w:tcPr>
            <w:tcW w:w="1279" w:type="dxa"/>
            <w:vAlign w:val="center"/>
          </w:tcPr>
          <w:p>
            <w:pPr>
              <w:pStyle w:val="63"/>
              <w:rPr>
                <w:lang w:eastAsia="en-US" w:bidi="en-US"/>
              </w:rPr>
            </w:pPr>
          </w:p>
        </w:tc>
      </w:tr>
      <w:bookmarkEnd w:id="129"/>
    </w:tbl>
    <w:p>
      <w:pPr>
        <w:pStyle w:val="6"/>
        <w:rPr>
          <w:rFonts w:ascii="Times New Roman" w:hAnsi="Times New Roman" w:cs="Times New Roman"/>
        </w:rPr>
      </w:pPr>
      <w:bookmarkStart w:id="130" w:name="_Hlk97885394"/>
      <w:r>
        <w:rPr>
          <w:rFonts w:ascii="Times New Roman" w:hAnsi="Times New Roman" w:cs="Times New Roman"/>
        </w:rPr>
        <w:t>表3.1-</w:t>
      </w:r>
      <w:r>
        <w:rPr>
          <w:rFonts w:hint="eastAsia" w:ascii="Times New Roman" w:hAnsi="Times New Roman" w:cs="Times New Roman"/>
        </w:rPr>
        <w:t>3</w:t>
      </w:r>
      <w:r>
        <w:rPr>
          <w:rFonts w:ascii="Times New Roman" w:hAnsi="Times New Roman" w:cs="Times New Roman"/>
        </w:rPr>
        <w:t xml:space="preserve">  </w:t>
      </w:r>
      <w:r>
        <w:rPr>
          <w:rFonts w:hint="eastAsia" w:ascii="Times New Roman" w:hAnsi="Times New Roman" w:cs="Times New Roman"/>
        </w:rPr>
        <w:t>梯次利用厂区</w:t>
      </w:r>
      <w:r>
        <w:rPr>
          <w:rFonts w:ascii="Times New Roman" w:hAnsi="Times New Roman" w:cs="Times New Roman"/>
        </w:rPr>
        <w:t>工程内容一览表</w:t>
      </w:r>
    </w:p>
    <w:tbl>
      <w:tblPr>
        <w:tblStyle w:val="35"/>
        <w:tblW w:w="852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1662"/>
        <w:gridCol w:w="572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Align w:val="center"/>
          </w:tcPr>
          <w:p>
            <w:pPr>
              <w:pStyle w:val="63"/>
            </w:pPr>
            <w:r>
              <w:t>工程类别</w:t>
            </w:r>
          </w:p>
        </w:tc>
        <w:tc>
          <w:tcPr>
            <w:tcW w:w="1662" w:type="dxa"/>
            <w:vAlign w:val="center"/>
          </w:tcPr>
          <w:p>
            <w:pPr>
              <w:pStyle w:val="63"/>
            </w:pPr>
            <w:r>
              <w:t>工程名称</w:t>
            </w:r>
          </w:p>
        </w:tc>
        <w:tc>
          <w:tcPr>
            <w:tcW w:w="5726" w:type="dxa"/>
            <w:vAlign w:val="center"/>
          </w:tcPr>
          <w:p>
            <w:pPr>
              <w:pStyle w:val="63"/>
            </w:pPr>
            <w:r>
              <w:t>规模、面积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Align w:val="center"/>
          </w:tcPr>
          <w:p>
            <w:pPr>
              <w:pStyle w:val="63"/>
            </w:pPr>
            <w:r>
              <w:t>主体工程</w:t>
            </w:r>
          </w:p>
        </w:tc>
        <w:tc>
          <w:tcPr>
            <w:tcW w:w="1662" w:type="dxa"/>
            <w:vAlign w:val="center"/>
          </w:tcPr>
          <w:p>
            <w:pPr>
              <w:pStyle w:val="63"/>
            </w:pPr>
            <w:r>
              <w:t>梯次利用车间</w:t>
            </w:r>
          </w:p>
        </w:tc>
        <w:tc>
          <w:tcPr>
            <w:tcW w:w="5726" w:type="dxa"/>
            <w:vAlign w:val="center"/>
          </w:tcPr>
          <w:p>
            <w:pPr>
              <w:pStyle w:val="63"/>
            </w:pPr>
            <w:r>
              <w:t>1个，单层，占地面积13523.08m</w:t>
            </w:r>
            <w:r>
              <w:rPr>
                <w:vertAlign w:val="superscript"/>
              </w:rPr>
              <w:t>2</w:t>
            </w:r>
            <w:r>
              <w:t>，主要用于废旧动力电池的梯次利用，充分利用退役电池的剩余寿命，处理规模为25000t/a。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restart"/>
            <w:vAlign w:val="center"/>
          </w:tcPr>
          <w:p>
            <w:pPr>
              <w:pStyle w:val="63"/>
            </w:pPr>
            <w:r>
              <w:t>公用工程</w:t>
            </w:r>
          </w:p>
        </w:tc>
        <w:tc>
          <w:tcPr>
            <w:tcW w:w="1662" w:type="dxa"/>
            <w:vAlign w:val="center"/>
          </w:tcPr>
          <w:p>
            <w:pPr>
              <w:pStyle w:val="63"/>
            </w:pPr>
            <w:r>
              <w:t>门卫室和泵房</w:t>
            </w:r>
          </w:p>
        </w:tc>
        <w:tc>
          <w:tcPr>
            <w:tcW w:w="5726" w:type="dxa"/>
            <w:vAlign w:val="center"/>
          </w:tcPr>
          <w:p>
            <w:pPr>
              <w:pStyle w:val="63"/>
            </w:pPr>
            <w:r>
              <w:t>占地面积</w:t>
            </w:r>
            <w:r>
              <w:rPr>
                <w:rFonts w:hint="eastAsia"/>
              </w:rPr>
              <w:t>2</w:t>
            </w:r>
            <w:r>
              <w:t>0m</w:t>
            </w:r>
            <w:r>
              <w:rPr>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装卸区</w:t>
            </w:r>
          </w:p>
        </w:tc>
        <w:tc>
          <w:tcPr>
            <w:tcW w:w="5726" w:type="dxa"/>
            <w:vAlign w:val="center"/>
          </w:tcPr>
          <w:p>
            <w:pPr>
              <w:pStyle w:val="63"/>
            </w:pPr>
            <w:r>
              <w:t>占地面积约</w:t>
            </w:r>
            <w:r>
              <w:rPr>
                <w:rFonts w:hint="eastAsia"/>
              </w:rPr>
              <w:t>150</w:t>
            </w:r>
            <w:r>
              <w:t>m</w:t>
            </w:r>
            <w:r>
              <w:rPr>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restart"/>
            <w:vAlign w:val="center"/>
          </w:tcPr>
          <w:p>
            <w:pPr>
              <w:pStyle w:val="63"/>
            </w:pPr>
            <w:r>
              <w:t>依托工程</w:t>
            </w:r>
          </w:p>
        </w:tc>
        <w:tc>
          <w:tcPr>
            <w:tcW w:w="1662" w:type="dxa"/>
            <w:vAlign w:val="center"/>
          </w:tcPr>
          <w:p>
            <w:pPr>
              <w:pStyle w:val="63"/>
            </w:pPr>
            <w:r>
              <w:t>供电</w:t>
            </w:r>
          </w:p>
        </w:tc>
        <w:tc>
          <w:tcPr>
            <w:tcW w:w="5726" w:type="dxa"/>
            <w:vAlign w:val="center"/>
          </w:tcPr>
          <w:p>
            <w:pPr>
              <w:pStyle w:val="63"/>
            </w:pPr>
            <w:r>
              <w:t>依托园区供电系统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供水</w:t>
            </w:r>
          </w:p>
        </w:tc>
        <w:tc>
          <w:tcPr>
            <w:tcW w:w="5726" w:type="dxa"/>
            <w:vAlign w:val="center"/>
          </w:tcPr>
          <w:p>
            <w:pPr>
              <w:pStyle w:val="63"/>
            </w:pPr>
            <w:r>
              <w:t>依托园区供水系统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废水处理</w:t>
            </w:r>
          </w:p>
        </w:tc>
        <w:tc>
          <w:tcPr>
            <w:tcW w:w="5726" w:type="dxa"/>
            <w:vAlign w:val="center"/>
          </w:tcPr>
          <w:p>
            <w:pPr>
              <w:pStyle w:val="63"/>
            </w:pPr>
            <w:r>
              <w:t>废水和雨水排放依托园区污水、雨水管网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restart"/>
            <w:vAlign w:val="center"/>
          </w:tcPr>
          <w:p>
            <w:pPr>
              <w:pStyle w:val="63"/>
            </w:pPr>
            <w:r>
              <w:t>环保工程</w:t>
            </w:r>
          </w:p>
        </w:tc>
        <w:tc>
          <w:tcPr>
            <w:tcW w:w="1662" w:type="dxa"/>
            <w:vAlign w:val="center"/>
          </w:tcPr>
          <w:p>
            <w:pPr>
              <w:pStyle w:val="63"/>
            </w:pPr>
            <w:r>
              <w:t>废水</w:t>
            </w:r>
          </w:p>
        </w:tc>
        <w:tc>
          <w:tcPr>
            <w:tcW w:w="5726" w:type="dxa"/>
            <w:vAlign w:val="center"/>
          </w:tcPr>
          <w:p>
            <w:pPr>
              <w:pStyle w:val="63"/>
            </w:pPr>
            <w:r>
              <w:t>生活污水：化粪池处理后外排园区管网；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固废</w:t>
            </w:r>
          </w:p>
        </w:tc>
        <w:tc>
          <w:tcPr>
            <w:tcW w:w="5726" w:type="dxa"/>
            <w:vAlign w:val="center"/>
          </w:tcPr>
          <w:p>
            <w:pPr>
              <w:pStyle w:val="63"/>
              <w:jc w:val="both"/>
            </w:pPr>
            <w:r>
              <w:t>项目预处理车间旁危废暂存间（10m</w:t>
            </w:r>
            <w:r>
              <w:rPr>
                <w:vertAlign w:val="superscript"/>
              </w:rPr>
              <w:t>3</w:t>
            </w:r>
            <w:r>
              <w:t>），项目产生的危险废物经厂区暂存后委托有资质的单位处理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噪声</w:t>
            </w:r>
          </w:p>
        </w:tc>
        <w:tc>
          <w:tcPr>
            <w:tcW w:w="5726" w:type="dxa"/>
            <w:vAlign w:val="center"/>
          </w:tcPr>
          <w:p>
            <w:pPr>
              <w:pStyle w:val="63"/>
            </w:pPr>
            <w:r>
              <w:t>各类噪声源设备采取减振、隔声等措施</w:t>
            </w:r>
          </w:p>
        </w:tc>
      </w:tr>
    </w:tbl>
    <w:p>
      <w:pPr>
        <w:pStyle w:val="6"/>
        <w:rPr>
          <w:rFonts w:ascii="Times New Roman" w:hAnsi="Times New Roman" w:cs="Times New Roman"/>
        </w:rPr>
      </w:pPr>
      <w:r>
        <w:rPr>
          <w:rFonts w:ascii="Times New Roman" w:hAnsi="Times New Roman" w:cs="Times New Roman"/>
        </w:rPr>
        <w:t>表3.1-</w:t>
      </w:r>
      <w:r>
        <w:rPr>
          <w:rFonts w:hint="eastAsia" w:ascii="Times New Roman" w:hAnsi="Times New Roman" w:cs="Times New Roman"/>
        </w:rPr>
        <w:t>4</w:t>
      </w:r>
      <w:r>
        <w:rPr>
          <w:rFonts w:ascii="Times New Roman" w:hAnsi="Times New Roman" w:cs="Times New Roman"/>
        </w:rPr>
        <w:t xml:space="preserve">  </w:t>
      </w:r>
      <w:r>
        <w:rPr>
          <w:rFonts w:hint="eastAsia" w:ascii="Times New Roman" w:hAnsi="Times New Roman" w:cs="Times New Roman"/>
        </w:rPr>
        <w:t>综合利用厂区</w:t>
      </w:r>
      <w:r>
        <w:rPr>
          <w:rFonts w:ascii="Times New Roman" w:hAnsi="Times New Roman" w:cs="Times New Roman"/>
        </w:rPr>
        <w:t>工程内容一览表</w:t>
      </w:r>
    </w:p>
    <w:tbl>
      <w:tblPr>
        <w:tblStyle w:val="35"/>
        <w:tblW w:w="852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1662"/>
        <w:gridCol w:w="572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Align w:val="center"/>
          </w:tcPr>
          <w:p>
            <w:pPr>
              <w:pStyle w:val="63"/>
            </w:pPr>
            <w:r>
              <w:t>工程类别</w:t>
            </w:r>
          </w:p>
        </w:tc>
        <w:tc>
          <w:tcPr>
            <w:tcW w:w="1662" w:type="dxa"/>
            <w:vAlign w:val="center"/>
          </w:tcPr>
          <w:p>
            <w:pPr>
              <w:pStyle w:val="63"/>
            </w:pPr>
            <w:r>
              <w:t>工程名称</w:t>
            </w:r>
          </w:p>
        </w:tc>
        <w:tc>
          <w:tcPr>
            <w:tcW w:w="5726" w:type="dxa"/>
            <w:vAlign w:val="center"/>
          </w:tcPr>
          <w:p>
            <w:pPr>
              <w:pStyle w:val="63"/>
            </w:pPr>
            <w:r>
              <w:t>规模、面积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restart"/>
            <w:vAlign w:val="center"/>
          </w:tcPr>
          <w:p>
            <w:pPr>
              <w:pStyle w:val="63"/>
            </w:pPr>
            <w:r>
              <w:t>主体工程</w:t>
            </w:r>
          </w:p>
        </w:tc>
        <w:tc>
          <w:tcPr>
            <w:tcW w:w="1662" w:type="dxa"/>
            <w:vAlign w:val="center"/>
          </w:tcPr>
          <w:p>
            <w:pPr>
              <w:pStyle w:val="63"/>
            </w:pPr>
            <w:r>
              <w:t>拆解车间</w:t>
            </w:r>
          </w:p>
        </w:tc>
        <w:tc>
          <w:tcPr>
            <w:tcW w:w="5726" w:type="dxa"/>
            <w:vAlign w:val="center"/>
          </w:tcPr>
          <w:p>
            <w:pPr>
              <w:pStyle w:val="63"/>
            </w:pPr>
            <w:r>
              <w:t>2个，其中厂房一用于磷酸铁锂电池拆解，单层，占地面积3080m</w:t>
            </w:r>
            <w:r>
              <w:rPr>
                <w:vertAlign w:val="superscript"/>
              </w:rPr>
              <w:t>2</w:t>
            </w:r>
            <w:r>
              <w:t>，厂房二用于三元锂电池拆解，双层，占地面积2100m</w:t>
            </w:r>
            <w:r>
              <w:rPr>
                <w:vertAlign w:val="superscript"/>
              </w:rPr>
              <w:t>2</w:t>
            </w:r>
            <w:r>
              <w:t>，拆解车间主要用于外购废旧动力电池的预处理。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浸出车间</w:t>
            </w:r>
          </w:p>
        </w:tc>
        <w:tc>
          <w:tcPr>
            <w:tcW w:w="5726" w:type="dxa"/>
            <w:vAlign w:val="center"/>
          </w:tcPr>
          <w:p>
            <w:pPr>
              <w:pStyle w:val="63"/>
            </w:pPr>
            <w:r>
              <w:t>1个，单层，占地面积为4000m</w:t>
            </w:r>
            <w:r>
              <w:rPr>
                <w:vertAlign w:val="superscript"/>
              </w:rPr>
              <w:t>2</w:t>
            </w:r>
            <w:r>
              <w:t>，主要用于废旧锂电池黑粉的浸出，回收废电池中各类物质。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萃取车间</w:t>
            </w:r>
          </w:p>
        </w:tc>
        <w:tc>
          <w:tcPr>
            <w:tcW w:w="5726" w:type="dxa"/>
            <w:vAlign w:val="center"/>
          </w:tcPr>
          <w:p>
            <w:pPr>
              <w:pStyle w:val="63"/>
            </w:pPr>
            <w:r>
              <w:t>1个，单层，占地面积为2500m</w:t>
            </w:r>
            <w:r>
              <w:rPr>
                <w:vertAlign w:val="superscript"/>
              </w:rPr>
              <w:t>2</w:t>
            </w:r>
            <w:r>
              <w:t>，主要用于对三元浸出车间得到的浸出液进行萃取提纯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结晶车间</w:t>
            </w:r>
          </w:p>
        </w:tc>
        <w:tc>
          <w:tcPr>
            <w:tcW w:w="5726" w:type="dxa"/>
            <w:vAlign w:val="center"/>
          </w:tcPr>
          <w:p>
            <w:pPr>
              <w:pStyle w:val="63"/>
            </w:pPr>
            <w:r>
              <w:t>1个，单层，占地面积1400m</w:t>
            </w:r>
            <w:r>
              <w:rPr>
                <w:vertAlign w:val="superscript"/>
              </w:rPr>
              <w:t>2</w:t>
            </w:r>
            <w:r>
              <w:t>，主要用于浸出液中提取锂。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MVR车间</w:t>
            </w:r>
          </w:p>
        </w:tc>
        <w:tc>
          <w:tcPr>
            <w:tcW w:w="5726" w:type="dxa"/>
            <w:vAlign w:val="center"/>
          </w:tcPr>
          <w:p>
            <w:pPr>
              <w:pStyle w:val="63"/>
            </w:pPr>
            <w:r>
              <w:t>1个，单层，占地面积1200m</w:t>
            </w:r>
            <w:r>
              <w:rPr>
                <w:vertAlign w:val="superscript"/>
              </w:rPr>
              <w:t>2</w:t>
            </w:r>
            <w:r>
              <w:t>，主要用于湿法工艺中MVR部分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restart"/>
            <w:vAlign w:val="center"/>
          </w:tcPr>
          <w:p>
            <w:pPr>
              <w:pStyle w:val="63"/>
            </w:pPr>
            <w:r>
              <w:t>辅助工程</w:t>
            </w:r>
          </w:p>
        </w:tc>
        <w:tc>
          <w:tcPr>
            <w:tcW w:w="1662" w:type="dxa"/>
            <w:vAlign w:val="center"/>
          </w:tcPr>
          <w:p>
            <w:pPr>
              <w:pStyle w:val="63"/>
            </w:pPr>
            <w:r>
              <w:t>锅炉房、除尘室及配电室</w:t>
            </w:r>
          </w:p>
        </w:tc>
        <w:tc>
          <w:tcPr>
            <w:tcW w:w="5726" w:type="dxa"/>
            <w:vAlign w:val="center"/>
          </w:tcPr>
          <w:p>
            <w:pPr>
              <w:pStyle w:val="63"/>
            </w:pPr>
            <w:r>
              <w:t>占地面积922m</w:t>
            </w:r>
            <w:r>
              <w:rPr>
                <w:vertAlign w:val="superscript"/>
              </w:rPr>
              <w:t>2</w:t>
            </w:r>
            <w:r>
              <w:t>，主要用于供热，设置2台15t/h的生物质锅炉，一用一备。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废水处理及回用水池</w:t>
            </w:r>
          </w:p>
        </w:tc>
        <w:tc>
          <w:tcPr>
            <w:tcW w:w="5726" w:type="dxa"/>
            <w:vAlign w:val="center"/>
          </w:tcPr>
          <w:p>
            <w:pPr>
              <w:pStyle w:val="63"/>
            </w:pPr>
            <w:r>
              <w:t>占地面积1944m</w:t>
            </w:r>
            <w:r>
              <w:rPr>
                <w:vertAlign w:val="superscript"/>
              </w:rPr>
              <w:t>2</w:t>
            </w:r>
            <w:r>
              <w:t>，主要用于纯水制备及废水处理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Align w:val="center"/>
          </w:tcPr>
          <w:p>
            <w:pPr>
              <w:pStyle w:val="63"/>
            </w:pPr>
            <w:r>
              <w:t>贮运工程</w:t>
            </w:r>
          </w:p>
        </w:tc>
        <w:tc>
          <w:tcPr>
            <w:tcW w:w="1662" w:type="dxa"/>
            <w:vAlign w:val="center"/>
          </w:tcPr>
          <w:p>
            <w:pPr>
              <w:pStyle w:val="63"/>
            </w:pPr>
            <w:r>
              <w:t>原料仓库1</w:t>
            </w:r>
          </w:p>
        </w:tc>
        <w:tc>
          <w:tcPr>
            <w:tcW w:w="5726" w:type="dxa"/>
            <w:vAlign w:val="center"/>
          </w:tcPr>
          <w:p>
            <w:pPr>
              <w:pStyle w:val="63"/>
            </w:pPr>
            <w:r>
              <w:t>单层，占地面积180m</w:t>
            </w:r>
            <w:r>
              <w:rPr>
                <w:vertAlign w:val="superscript"/>
              </w:rPr>
              <w:t>2</w:t>
            </w:r>
            <w:r>
              <w:t>，主要用于生物质颗粒的存放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原料仓库2</w:t>
            </w:r>
          </w:p>
        </w:tc>
        <w:tc>
          <w:tcPr>
            <w:tcW w:w="5726" w:type="dxa"/>
            <w:vAlign w:val="center"/>
          </w:tcPr>
          <w:p>
            <w:pPr>
              <w:pStyle w:val="63"/>
            </w:pPr>
            <w:r>
              <w:t>单层，占地面积1750m</w:t>
            </w:r>
            <w:r>
              <w:rPr>
                <w:vertAlign w:val="superscript"/>
              </w:rPr>
              <w:t>2</w:t>
            </w:r>
            <w:r>
              <w:t>，主要用于各类原料的存放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成品仓库</w:t>
            </w:r>
          </w:p>
        </w:tc>
        <w:tc>
          <w:tcPr>
            <w:tcW w:w="5726" w:type="dxa"/>
            <w:vAlign w:val="center"/>
          </w:tcPr>
          <w:p>
            <w:pPr>
              <w:pStyle w:val="63"/>
            </w:pPr>
            <w:r>
              <w:t>单层，占地面积1328.7m</w:t>
            </w:r>
            <w:r>
              <w:rPr>
                <w:vertAlign w:val="superscript"/>
              </w:rPr>
              <w:t>2</w:t>
            </w:r>
            <w:r>
              <w:t>，主要用于各类成品的存放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丁类罐区</w:t>
            </w:r>
          </w:p>
        </w:tc>
        <w:tc>
          <w:tcPr>
            <w:tcW w:w="5726" w:type="dxa"/>
            <w:vAlign w:val="center"/>
          </w:tcPr>
          <w:p>
            <w:pPr>
              <w:pStyle w:val="63"/>
            </w:pPr>
            <w:r>
              <w:t>单层，占地面积247m</w:t>
            </w:r>
            <w:r>
              <w:rPr>
                <w:vertAlign w:val="superscript"/>
              </w:rPr>
              <w:t>2</w:t>
            </w:r>
            <w:r>
              <w:t>，主要用于硫酸、碱液的存储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乙类罐区</w:t>
            </w:r>
          </w:p>
        </w:tc>
        <w:tc>
          <w:tcPr>
            <w:tcW w:w="5726" w:type="dxa"/>
            <w:vAlign w:val="center"/>
          </w:tcPr>
          <w:p>
            <w:pPr>
              <w:pStyle w:val="63"/>
            </w:pPr>
            <w:r>
              <w:t>单层，占地面积188m</w:t>
            </w:r>
            <w:r>
              <w:rPr>
                <w:vertAlign w:val="superscript"/>
              </w:rPr>
              <w:t>2</w:t>
            </w:r>
            <w:r>
              <w:t>，主要用于硫酸钴、硫酸镍溶液的存储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甲类仓库</w:t>
            </w:r>
          </w:p>
        </w:tc>
        <w:tc>
          <w:tcPr>
            <w:tcW w:w="5726" w:type="dxa"/>
            <w:vAlign w:val="center"/>
          </w:tcPr>
          <w:p>
            <w:pPr>
              <w:pStyle w:val="63"/>
            </w:pPr>
            <w:r>
              <w:t>单层，占地面积225m</w:t>
            </w:r>
            <w:r>
              <w:rPr>
                <w:vertAlign w:val="superscript"/>
              </w:rPr>
              <w:t>2</w:t>
            </w:r>
            <w:r>
              <w:t>，主要用于氯酸钠存储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restart"/>
            <w:vAlign w:val="center"/>
          </w:tcPr>
          <w:p>
            <w:pPr>
              <w:pStyle w:val="63"/>
            </w:pPr>
            <w:r>
              <w:t>公用工程</w:t>
            </w:r>
          </w:p>
        </w:tc>
        <w:tc>
          <w:tcPr>
            <w:tcW w:w="1662" w:type="dxa"/>
            <w:vAlign w:val="center"/>
          </w:tcPr>
          <w:p>
            <w:pPr>
              <w:pStyle w:val="63"/>
            </w:pPr>
            <w:r>
              <w:t>门卫室和泵房</w:t>
            </w:r>
          </w:p>
        </w:tc>
        <w:tc>
          <w:tcPr>
            <w:tcW w:w="5726" w:type="dxa"/>
            <w:vAlign w:val="center"/>
          </w:tcPr>
          <w:p>
            <w:pPr>
              <w:pStyle w:val="63"/>
            </w:pPr>
            <w:r>
              <w:t>占地面积60m</w:t>
            </w:r>
            <w:r>
              <w:rPr>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装卸区</w:t>
            </w:r>
          </w:p>
        </w:tc>
        <w:tc>
          <w:tcPr>
            <w:tcW w:w="5726" w:type="dxa"/>
            <w:vAlign w:val="center"/>
          </w:tcPr>
          <w:p>
            <w:pPr>
              <w:pStyle w:val="63"/>
            </w:pPr>
            <w:r>
              <w:t>占地面积约642m</w:t>
            </w:r>
            <w:r>
              <w:rPr>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restart"/>
            <w:vAlign w:val="center"/>
          </w:tcPr>
          <w:p>
            <w:pPr>
              <w:pStyle w:val="63"/>
            </w:pPr>
            <w:r>
              <w:t>依托工程</w:t>
            </w:r>
          </w:p>
        </w:tc>
        <w:tc>
          <w:tcPr>
            <w:tcW w:w="1662" w:type="dxa"/>
            <w:vAlign w:val="center"/>
          </w:tcPr>
          <w:p>
            <w:pPr>
              <w:pStyle w:val="63"/>
            </w:pPr>
            <w:r>
              <w:t>供电</w:t>
            </w:r>
          </w:p>
        </w:tc>
        <w:tc>
          <w:tcPr>
            <w:tcW w:w="5726" w:type="dxa"/>
            <w:vAlign w:val="center"/>
          </w:tcPr>
          <w:p>
            <w:pPr>
              <w:pStyle w:val="63"/>
            </w:pPr>
            <w:r>
              <w:t>依托园区供电系统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供水</w:t>
            </w:r>
          </w:p>
        </w:tc>
        <w:tc>
          <w:tcPr>
            <w:tcW w:w="5726" w:type="dxa"/>
            <w:vAlign w:val="center"/>
          </w:tcPr>
          <w:p>
            <w:pPr>
              <w:pStyle w:val="63"/>
            </w:pPr>
            <w:r>
              <w:t>依托园区供水系统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废水处理</w:t>
            </w:r>
          </w:p>
        </w:tc>
        <w:tc>
          <w:tcPr>
            <w:tcW w:w="5726" w:type="dxa"/>
            <w:vAlign w:val="center"/>
          </w:tcPr>
          <w:p>
            <w:pPr>
              <w:pStyle w:val="63"/>
            </w:pPr>
            <w:r>
              <w:t>废水和雨水排放依托园区污水、雨水管网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restart"/>
            <w:vAlign w:val="center"/>
          </w:tcPr>
          <w:p>
            <w:pPr>
              <w:pStyle w:val="63"/>
            </w:pPr>
            <w:r>
              <w:t>环保工程</w:t>
            </w:r>
          </w:p>
        </w:tc>
        <w:tc>
          <w:tcPr>
            <w:tcW w:w="1662" w:type="dxa"/>
            <w:vAlign w:val="center"/>
          </w:tcPr>
          <w:p>
            <w:pPr>
              <w:pStyle w:val="63"/>
            </w:pPr>
            <w:r>
              <w:t>废气</w:t>
            </w:r>
          </w:p>
        </w:tc>
        <w:tc>
          <w:tcPr>
            <w:tcW w:w="5726" w:type="dxa"/>
            <w:vAlign w:val="center"/>
          </w:tcPr>
          <w:p>
            <w:pPr>
              <w:pStyle w:val="63"/>
              <w:jc w:val="both"/>
            </w:pPr>
            <w:r>
              <w:t>预处理车间废气：焚烧+急冷+布袋除尘+三级水洗+碱液喷淋+30m排气筒（P1）；</w:t>
            </w:r>
          </w:p>
          <w:p>
            <w:pPr>
              <w:pStyle w:val="63"/>
              <w:jc w:val="both"/>
            </w:pPr>
            <w:r>
              <w:t>浸出废气：碱液喷淋+20m排气筒（P2）；；</w:t>
            </w:r>
          </w:p>
          <w:p>
            <w:pPr>
              <w:pStyle w:val="63"/>
              <w:jc w:val="both"/>
            </w:pPr>
            <w:r>
              <w:t>萃取车间废气：碱液喷淋+过滤棉+活性炭+15m排气筒（P3）；</w:t>
            </w:r>
          </w:p>
          <w:p>
            <w:pPr>
              <w:pStyle w:val="63"/>
              <w:jc w:val="both"/>
            </w:pPr>
            <w:r>
              <w:t>锅炉废气：低氮燃烧+15m排气筒（P4）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废水</w:t>
            </w:r>
          </w:p>
        </w:tc>
        <w:tc>
          <w:tcPr>
            <w:tcW w:w="5726" w:type="dxa"/>
            <w:vAlign w:val="center"/>
          </w:tcPr>
          <w:p>
            <w:pPr>
              <w:pStyle w:val="63"/>
              <w:jc w:val="both"/>
            </w:pPr>
            <w:r>
              <w:t>生产废水：厂区废水处理站处理后回用，废水处理站规模为1</w:t>
            </w:r>
            <w:r>
              <w:rPr>
                <w:rFonts w:hint="eastAsia"/>
              </w:rPr>
              <w:t>2</w:t>
            </w:r>
            <w:r>
              <w:t>0m</w:t>
            </w:r>
            <w:r>
              <w:rPr>
                <w:vertAlign w:val="superscript"/>
              </w:rPr>
              <w:t>3</w:t>
            </w:r>
            <w:r>
              <w:t>/d。</w:t>
            </w:r>
          </w:p>
          <w:p>
            <w:pPr>
              <w:pStyle w:val="63"/>
              <w:jc w:val="both"/>
            </w:pPr>
            <w:r>
              <w:t>生活污水：化粪池处理后外排园区管网；</w:t>
            </w:r>
          </w:p>
          <w:p>
            <w:pPr>
              <w:pStyle w:val="63"/>
              <w:jc w:val="both"/>
            </w:pPr>
            <w:r>
              <w:t>初期雨水：初期雨水池1000m</w:t>
            </w:r>
            <w:r>
              <w:rPr>
                <w:vertAlign w:val="superscript"/>
              </w:rPr>
              <w:t>3</w:t>
            </w:r>
            <w:r>
              <w:t>，初期雨水经处理后回用。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固废</w:t>
            </w:r>
          </w:p>
        </w:tc>
        <w:tc>
          <w:tcPr>
            <w:tcW w:w="5726" w:type="dxa"/>
            <w:vAlign w:val="center"/>
          </w:tcPr>
          <w:p>
            <w:pPr>
              <w:pStyle w:val="63"/>
            </w:pPr>
            <w:r>
              <w:t>项目预处理车间旁危废暂存间（50m</w:t>
            </w:r>
            <w:r>
              <w:rPr>
                <w:vertAlign w:val="superscript"/>
              </w:rPr>
              <w:t>3</w:t>
            </w:r>
            <w:r>
              <w:t>），项目产生的危险废物经厂区暂存后委托有资质的单位处理；拆解产物仓库旁设置占地面积为150m</w:t>
            </w:r>
            <w:r>
              <w:rPr>
                <w:vertAlign w:val="superscript"/>
              </w:rPr>
              <w:t>2</w:t>
            </w:r>
            <w:r>
              <w:t>的一般固废间。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dxa"/>
            <w:vMerge w:val="continue"/>
            <w:vAlign w:val="center"/>
          </w:tcPr>
          <w:p>
            <w:pPr>
              <w:pStyle w:val="63"/>
            </w:pPr>
          </w:p>
        </w:tc>
        <w:tc>
          <w:tcPr>
            <w:tcW w:w="1662" w:type="dxa"/>
            <w:vAlign w:val="center"/>
          </w:tcPr>
          <w:p>
            <w:pPr>
              <w:pStyle w:val="63"/>
            </w:pPr>
            <w:r>
              <w:t>噪声</w:t>
            </w:r>
          </w:p>
        </w:tc>
        <w:tc>
          <w:tcPr>
            <w:tcW w:w="5726" w:type="dxa"/>
            <w:vAlign w:val="center"/>
          </w:tcPr>
          <w:p>
            <w:pPr>
              <w:pStyle w:val="63"/>
            </w:pPr>
            <w:r>
              <w:t>各类噪声源设备采取减振、隔声等措施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2" w:type="dxa"/>
            <w:gridSpan w:val="2"/>
            <w:vAlign w:val="center"/>
          </w:tcPr>
          <w:p>
            <w:pPr>
              <w:pStyle w:val="63"/>
            </w:pPr>
            <w:r>
              <w:t>风险</w:t>
            </w:r>
          </w:p>
        </w:tc>
        <w:tc>
          <w:tcPr>
            <w:tcW w:w="5726" w:type="dxa"/>
            <w:vAlign w:val="center"/>
          </w:tcPr>
          <w:p>
            <w:pPr>
              <w:pStyle w:val="63"/>
            </w:pPr>
            <w:r>
              <w:t>厂区设置一座1300m</w:t>
            </w:r>
            <w:r>
              <w:rPr>
                <w:vertAlign w:val="superscript"/>
              </w:rPr>
              <w:t>3</w:t>
            </w:r>
            <w:r>
              <w:t>的事故池</w:t>
            </w:r>
          </w:p>
        </w:tc>
      </w:tr>
      <w:bookmarkEnd w:id="130"/>
    </w:tbl>
    <w:p>
      <w:pPr>
        <w:spacing w:line="360" w:lineRule="auto"/>
        <w:ind w:firstLine="480" w:firstLineChars="200"/>
        <w:rPr>
          <w:rFonts w:ascii="Times New Roman" w:hAnsi="Times New Roman" w:cs="Times New Roman"/>
        </w:rPr>
      </w:pPr>
      <w:r>
        <w:rPr>
          <w:rFonts w:ascii="Times New Roman" w:hAnsi="Times New Roman" w:cs="Times New Roman"/>
        </w:rPr>
        <w:t>本项目运营期储罐设置情况见下表。</w:t>
      </w:r>
    </w:p>
    <w:p>
      <w:pPr>
        <w:pStyle w:val="6"/>
        <w:rPr>
          <w:rFonts w:ascii="Times New Roman" w:hAnsi="Times New Roman" w:cs="Times New Roman"/>
        </w:rPr>
      </w:pPr>
      <w:r>
        <w:rPr>
          <w:rFonts w:ascii="Times New Roman" w:hAnsi="Times New Roman" w:cs="Times New Roman"/>
        </w:rPr>
        <w:t>表3.1-</w:t>
      </w:r>
      <w:r>
        <w:rPr>
          <w:rFonts w:hint="eastAsia" w:ascii="Times New Roman" w:hAnsi="Times New Roman" w:cs="Times New Roman"/>
        </w:rPr>
        <w:t>5</w:t>
      </w:r>
      <w:r>
        <w:rPr>
          <w:rFonts w:ascii="Times New Roman" w:hAnsi="Times New Roman" w:cs="Times New Roman"/>
        </w:rPr>
        <w:t xml:space="preserve">  项目储罐设置情况一览表</w:t>
      </w:r>
    </w:p>
    <w:tbl>
      <w:tblPr>
        <w:tblStyle w:val="35"/>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955"/>
        <w:gridCol w:w="706"/>
        <w:gridCol w:w="1418"/>
        <w:gridCol w:w="704"/>
        <w:gridCol w:w="906"/>
        <w:gridCol w:w="1088"/>
        <w:gridCol w:w="1117"/>
        <w:gridCol w:w="817"/>
        <w:gridCol w:w="81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60" w:type="pct"/>
            <w:shd w:val="clear" w:color="auto" w:fill="auto"/>
            <w:vAlign w:val="center"/>
          </w:tcPr>
          <w:p>
            <w:pPr>
              <w:pStyle w:val="63"/>
            </w:pPr>
            <w:r>
              <w:t>位置</w:t>
            </w:r>
          </w:p>
        </w:tc>
        <w:tc>
          <w:tcPr>
            <w:tcW w:w="414" w:type="pct"/>
            <w:shd w:val="clear" w:color="auto" w:fill="auto"/>
            <w:vAlign w:val="center"/>
          </w:tcPr>
          <w:p>
            <w:pPr>
              <w:pStyle w:val="63"/>
            </w:pPr>
            <w:r>
              <w:t>序号</w:t>
            </w:r>
          </w:p>
        </w:tc>
        <w:tc>
          <w:tcPr>
            <w:tcW w:w="831" w:type="pct"/>
            <w:shd w:val="clear" w:color="auto" w:fill="auto"/>
            <w:vAlign w:val="center"/>
          </w:tcPr>
          <w:p>
            <w:pPr>
              <w:pStyle w:val="63"/>
            </w:pPr>
            <w:r>
              <w:t>物质</w:t>
            </w:r>
          </w:p>
        </w:tc>
        <w:tc>
          <w:tcPr>
            <w:tcW w:w="413" w:type="pct"/>
            <w:shd w:val="clear" w:color="auto" w:fill="auto"/>
            <w:vAlign w:val="center"/>
          </w:tcPr>
          <w:p>
            <w:pPr>
              <w:pStyle w:val="63"/>
            </w:pPr>
            <w:r>
              <w:t>数量</w:t>
            </w:r>
          </w:p>
        </w:tc>
        <w:tc>
          <w:tcPr>
            <w:tcW w:w="531" w:type="pct"/>
            <w:shd w:val="clear" w:color="auto" w:fill="auto"/>
            <w:vAlign w:val="center"/>
          </w:tcPr>
          <w:p>
            <w:pPr>
              <w:pStyle w:val="63"/>
            </w:pPr>
            <w:r>
              <w:t>容积（m3）</w:t>
            </w:r>
          </w:p>
        </w:tc>
        <w:tc>
          <w:tcPr>
            <w:tcW w:w="638" w:type="pct"/>
            <w:shd w:val="clear" w:color="auto" w:fill="auto"/>
            <w:vAlign w:val="center"/>
          </w:tcPr>
          <w:p>
            <w:pPr>
              <w:pStyle w:val="63"/>
            </w:pPr>
            <w:r>
              <w:t>最大储存量（t）</w:t>
            </w:r>
          </w:p>
        </w:tc>
        <w:tc>
          <w:tcPr>
            <w:tcW w:w="655" w:type="pct"/>
            <w:shd w:val="clear" w:color="auto" w:fill="auto"/>
            <w:vAlign w:val="center"/>
          </w:tcPr>
          <w:p>
            <w:pPr>
              <w:pStyle w:val="63"/>
            </w:pPr>
            <w:r>
              <w:t>类型</w:t>
            </w:r>
          </w:p>
        </w:tc>
        <w:tc>
          <w:tcPr>
            <w:tcW w:w="479" w:type="pct"/>
            <w:shd w:val="clear" w:color="auto" w:fill="auto"/>
            <w:vAlign w:val="center"/>
          </w:tcPr>
          <w:p>
            <w:pPr>
              <w:pStyle w:val="63"/>
            </w:pPr>
            <w:r>
              <w:t>储罐直径/m</w:t>
            </w:r>
          </w:p>
        </w:tc>
        <w:tc>
          <w:tcPr>
            <w:tcW w:w="479" w:type="pct"/>
            <w:shd w:val="clear" w:color="auto" w:fill="auto"/>
            <w:vAlign w:val="center"/>
          </w:tcPr>
          <w:p>
            <w:pPr>
              <w:pStyle w:val="63"/>
            </w:pPr>
            <w:r>
              <w:t>储罐高度/m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60" w:type="pct"/>
            <w:vMerge w:val="restart"/>
            <w:shd w:val="clear" w:color="auto" w:fill="auto"/>
            <w:vAlign w:val="center"/>
          </w:tcPr>
          <w:p>
            <w:pPr>
              <w:pStyle w:val="63"/>
            </w:pPr>
            <w:r>
              <w:t>罐区</w:t>
            </w:r>
          </w:p>
        </w:tc>
        <w:tc>
          <w:tcPr>
            <w:tcW w:w="414" w:type="pct"/>
            <w:shd w:val="clear" w:color="auto" w:fill="auto"/>
            <w:vAlign w:val="center"/>
          </w:tcPr>
          <w:p>
            <w:pPr>
              <w:pStyle w:val="63"/>
            </w:pPr>
            <w:r>
              <w:t>1</w:t>
            </w:r>
          </w:p>
        </w:tc>
        <w:tc>
          <w:tcPr>
            <w:tcW w:w="831" w:type="pct"/>
            <w:shd w:val="clear" w:color="auto" w:fill="auto"/>
            <w:vAlign w:val="center"/>
          </w:tcPr>
          <w:p>
            <w:pPr>
              <w:pStyle w:val="63"/>
            </w:pPr>
            <w:r>
              <w:t>98%硫酸</w:t>
            </w:r>
          </w:p>
        </w:tc>
        <w:tc>
          <w:tcPr>
            <w:tcW w:w="413" w:type="pct"/>
            <w:shd w:val="clear" w:color="auto" w:fill="auto"/>
            <w:vAlign w:val="center"/>
          </w:tcPr>
          <w:p>
            <w:pPr>
              <w:pStyle w:val="63"/>
            </w:pPr>
            <w:r>
              <w:t>1</w:t>
            </w:r>
          </w:p>
        </w:tc>
        <w:tc>
          <w:tcPr>
            <w:tcW w:w="531" w:type="pct"/>
            <w:shd w:val="clear" w:color="auto" w:fill="auto"/>
            <w:vAlign w:val="center"/>
          </w:tcPr>
          <w:p>
            <w:pPr>
              <w:pStyle w:val="63"/>
            </w:pPr>
            <w:r>
              <w:t>200</w:t>
            </w:r>
          </w:p>
        </w:tc>
        <w:tc>
          <w:tcPr>
            <w:tcW w:w="638" w:type="pct"/>
            <w:shd w:val="clear" w:color="auto" w:fill="auto"/>
            <w:vAlign w:val="center"/>
          </w:tcPr>
          <w:p>
            <w:pPr>
              <w:pStyle w:val="63"/>
            </w:pPr>
            <w:r>
              <w:t>360</w:t>
            </w:r>
          </w:p>
        </w:tc>
        <w:tc>
          <w:tcPr>
            <w:tcW w:w="655" w:type="pct"/>
            <w:shd w:val="clear" w:color="auto" w:fill="auto"/>
            <w:vAlign w:val="center"/>
          </w:tcPr>
          <w:p>
            <w:pPr>
              <w:pStyle w:val="63"/>
            </w:pPr>
            <w:r>
              <w:t>固定顶罐</w:t>
            </w:r>
          </w:p>
        </w:tc>
        <w:tc>
          <w:tcPr>
            <w:tcW w:w="479" w:type="pct"/>
            <w:shd w:val="clear" w:color="auto" w:fill="auto"/>
            <w:vAlign w:val="center"/>
          </w:tcPr>
          <w:p>
            <w:pPr>
              <w:pStyle w:val="63"/>
            </w:pPr>
            <w:r>
              <w:t>6.0</w:t>
            </w:r>
          </w:p>
        </w:tc>
        <w:tc>
          <w:tcPr>
            <w:tcW w:w="479" w:type="pct"/>
            <w:shd w:val="clear" w:color="auto" w:fill="auto"/>
            <w:vAlign w:val="center"/>
          </w:tcPr>
          <w:p>
            <w:pPr>
              <w:pStyle w:val="63"/>
            </w:pPr>
            <w:r>
              <w:t>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560" w:type="pct"/>
            <w:vMerge w:val="continue"/>
            <w:shd w:val="clear" w:color="auto" w:fill="auto"/>
            <w:vAlign w:val="center"/>
          </w:tcPr>
          <w:p>
            <w:pPr>
              <w:pStyle w:val="63"/>
            </w:pPr>
          </w:p>
        </w:tc>
        <w:tc>
          <w:tcPr>
            <w:tcW w:w="414" w:type="pct"/>
            <w:shd w:val="clear" w:color="auto" w:fill="auto"/>
            <w:vAlign w:val="center"/>
          </w:tcPr>
          <w:p>
            <w:pPr>
              <w:pStyle w:val="63"/>
            </w:pPr>
            <w:r>
              <w:t>2</w:t>
            </w:r>
          </w:p>
        </w:tc>
        <w:tc>
          <w:tcPr>
            <w:tcW w:w="831" w:type="pct"/>
            <w:shd w:val="clear" w:color="auto" w:fill="auto"/>
            <w:vAlign w:val="center"/>
          </w:tcPr>
          <w:p>
            <w:pPr>
              <w:pStyle w:val="63"/>
            </w:pPr>
            <w:r>
              <w:t>液碱储罐</w:t>
            </w:r>
          </w:p>
        </w:tc>
        <w:tc>
          <w:tcPr>
            <w:tcW w:w="413" w:type="pct"/>
            <w:shd w:val="clear" w:color="auto" w:fill="auto"/>
            <w:vAlign w:val="center"/>
          </w:tcPr>
          <w:p>
            <w:pPr>
              <w:pStyle w:val="63"/>
            </w:pPr>
            <w:r>
              <w:t>1</w:t>
            </w:r>
          </w:p>
        </w:tc>
        <w:tc>
          <w:tcPr>
            <w:tcW w:w="531" w:type="pct"/>
            <w:shd w:val="clear" w:color="auto" w:fill="auto"/>
            <w:vAlign w:val="center"/>
          </w:tcPr>
          <w:p>
            <w:pPr>
              <w:pStyle w:val="63"/>
            </w:pPr>
            <w:r>
              <w:t>150</w:t>
            </w:r>
          </w:p>
        </w:tc>
        <w:tc>
          <w:tcPr>
            <w:tcW w:w="638" w:type="pct"/>
            <w:shd w:val="clear" w:color="auto" w:fill="auto"/>
            <w:vAlign w:val="center"/>
          </w:tcPr>
          <w:p>
            <w:pPr>
              <w:pStyle w:val="63"/>
            </w:pPr>
            <w:r>
              <w:t>300</w:t>
            </w:r>
          </w:p>
        </w:tc>
        <w:tc>
          <w:tcPr>
            <w:tcW w:w="655" w:type="pct"/>
            <w:shd w:val="clear" w:color="auto" w:fill="auto"/>
            <w:vAlign w:val="center"/>
          </w:tcPr>
          <w:p>
            <w:pPr>
              <w:pStyle w:val="63"/>
            </w:pPr>
            <w:r>
              <w:t>固定顶罐</w:t>
            </w:r>
          </w:p>
        </w:tc>
        <w:tc>
          <w:tcPr>
            <w:tcW w:w="479" w:type="pct"/>
            <w:shd w:val="clear" w:color="auto" w:fill="auto"/>
            <w:vAlign w:val="center"/>
          </w:tcPr>
          <w:p>
            <w:pPr>
              <w:pStyle w:val="63"/>
            </w:pPr>
            <w:r>
              <w:t>6.0</w:t>
            </w:r>
          </w:p>
        </w:tc>
        <w:tc>
          <w:tcPr>
            <w:tcW w:w="479" w:type="pct"/>
            <w:shd w:val="clear" w:color="auto" w:fill="auto"/>
            <w:vAlign w:val="center"/>
          </w:tcPr>
          <w:p>
            <w:pPr>
              <w:pStyle w:val="63"/>
            </w:pPr>
            <w:r>
              <w:t>6.0</w:t>
            </w:r>
          </w:p>
        </w:tc>
      </w:tr>
    </w:tbl>
    <w:p>
      <w:pPr>
        <w:pStyle w:val="4"/>
        <w:rPr>
          <w:rFonts w:ascii="Times New Roman" w:hAnsi="Times New Roman" w:cs="Times New Roman"/>
        </w:rPr>
      </w:pPr>
      <w:bookmarkStart w:id="131" w:name="_Toc102658205"/>
      <w:bookmarkStart w:id="132" w:name="_Toc144236753"/>
      <w:bookmarkStart w:id="133" w:name="_Toc144276883"/>
      <w:bookmarkStart w:id="134" w:name="_Toc147848003"/>
      <w:bookmarkStart w:id="135" w:name="_Toc102658203"/>
      <w:r>
        <w:rPr>
          <w:rFonts w:ascii="Times New Roman" w:hAnsi="Times New Roman" w:cs="Times New Roman"/>
        </w:rPr>
        <w:t>3.1.3 主要生产设备</w:t>
      </w:r>
      <w:bookmarkEnd w:id="131"/>
      <w:bookmarkEnd w:id="132"/>
      <w:bookmarkEnd w:id="133"/>
      <w:bookmarkEnd w:id="134"/>
    </w:p>
    <w:p>
      <w:pPr>
        <w:spacing w:line="360" w:lineRule="auto"/>
        <w:ind w:firstLine="480" w:firstLineChars="200"/>
        <w:rPr>
          <w:rFonts w:ascii="Times New Roman" w:hAnsi="Times New Roman" w:cs="Times New Roman"/>
        </w:rPr>
      </w:pPr>
      <w:r>
        <w:rPr>
          <w:rFonts w:ascii="Times New Roman" w:hAnsi="Times New Roman" w:cs="Times New Roman"/>
        </w:rPr>
        <w:t>拟建项目设备见下表。</w:t>
      </w:r>
    </w:p>
    <w:p>
      <w:pPr>
        <w:pStyle w:val="6"/>
        <w:rPr>
          <w:rFonts w:ascii="Times New Roman" w:hAnsi="Times New Roman" w:cs="Times New Roman"/>
        </w:rPr>
      </w:pPr>
      <w:r>
        <w:rPr>
          <w:rFonts w:ascii="Times New Roman" w:hAnsi="Times New Roman" w:cs="Times New Roman"/>
        </w:rPr>
        <w:t>表3.1-</w:t>
      </w:r>
      <w:r>
        <w:rPr>
          <w:rFonts w:hint="eastAsia" w:ascii="Times New Roman" w:hAnsi="Times New Roman" w:cs="Times New Roman"/>
        </w:rPr>
        <w:t>6</w:t>
      </w:r>
      <w:r>
        <w:rPr>
          <w:rFonts w:ascii="Times New Roman" w:hAnsi="Times New Roman" w:cs="Times New Roman"/>
        </w:rPr>
        <w:t xml:space="preserve">  本项目主要设备一览表——梯次利用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448"/>
        <w:gridCol w:w="3664"/>
        <w:gridCol w:w="967"/>
        <w:gridCol w:w="14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shd w:val="clear" w:color="auto" w:fill="auto"/>
            <w:vAlign w:val="center"/>
          </w:tcPr>
          <w:p>
            <w:pPr>
              <w:pStyle w:val="63"/>
            </w:pPr>
            <w:r>
              <w:t>工序名称</w:t>
            </w:r>
          </w:p>
        </w:tc>
        <w:tc>
          <w:tcPr>
            <w:tcW w:w="2148" w:type="pct"/>
            <w:shd w:val="clear" w:color="auto" w:fill="auto"/>
            <w:noWrap/>
            <w:vAlign w:val="center"/>
          </w:tcPr>
          <w:p>
            <w:pPr>
              <w:pStyle w:val="63"/>
            </w:pPr>
            <w:r>
              <w:t>主要设备</w:t>
            </w:r>
          </w:p>
        </w:tc>
        <w:tc>
          <w:tcPr>
            <w:tcW w:w="567" w:type="pct"/>
            <w:shd w:val="clear" w:color="auto" w:fill="auto"/>
            <w:noWrap/>
            <w:vAlign w:val="center"/>
          </w:tcPr>
          <w:p>
            <w:pPr>
              <w:pStyle w:val="63"/>
            </w:pPr>
            <w:r>
              <w:t>单位</w:t>
            </w:r>
          </w:p>
        </w:tc>
        <w:tc>
          <w:tcPr>
            <w:tcW w:w="850" w:type="pct"/>
            <w:shd w:val="clear" w:color="auto" w:fill="auto"/>
            <w:noWrap/>
            <w:vAlign w:val="center"/>
          </w:tcPr>
          <w:p>
            <w:pPr>
              <w:pStyle w:val="63"/>
            </w:pPr>
            <w: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restart"/>
            <w:shd w:val="clear" w:color="auto" w:fill="auto"/>
            <w:vAlign w:val="center"/>
          </w:tcPr>
          <w:p>
            <w:pPr>
              <w:pStyle w:val="63"/>
            </w:pPr>
            <w:r>
              <w:t>电池包预处理及仓库区</w:t>
            </w:r>
          </w:p>
        </w:tc>
        <w:tc>
          <w:tcPr>
            <w:tcW w:w="2148" w:type="pct"/>
            <w:shd w:val="clear" w:color="auto" w:fill="auto"/>
            <w:noWrap/>
            <w:vAlign w:val="center"/>
          </w:tcPr>
          <w:p>
            <w:pPr>
              <w:pStyle w:val="63"/>
            </w:pPr>
            <w:r>
              <w:t>放电柜</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漏电检测仪器</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冷却液收集桶及气路</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restart"/>
            <w:shd w:val="clear" w:color="auto" w:fill="auto"/>
            <w:vAlign w:val="center"/>
          </w:tcPr>
          <w:p>
            <w:pPr>
              <w:pStyle w:val="63"/>
            </w:pPr>
            <w:r>
              <w:t>电池包上线</w:t>
            </w:r>
          </w:p>
        </w:tc>
        <w:tc>
          <w:tcPr>
            <w:tcW w:w="2148" w:type="pct"/>
            <w:shd w:val="clear" w:color="auto" w:fill="auto"/>
            <w:noWrap/>
            <w:vAlign w:val="center"/>
          </w:tcPr>
          <w:p>
            <w:pPr>
              <w:pStyle w:val="63"/>
            </w:pPr>
            <w:r>
              <w:t>龙门行吊</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吊装夹具</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restart"/>
            <w:shd w:val="clear" w:color="auto" w:fill="auto"/>
            <w:vAlign w:val="center"/>
          </w:tcPr>
          <w:p>
            <w:pPr>
              <w:pStyle w:val="63"/>
            </w:pPr>
            <w:r>
              <w:t>拆上盖工位</w:t>
            </w:r>
          </w:p>
        </w:tc>
        <w:tc>
          <w:tcPr>
            <w:tcW w:w="2148" w:type="pct"/>
            <w:shd w:val="clear" w:color="auto" w:fill="auto"/>
            <w:noWrap/>
            <w:vAlign w:val="center"/>
          </w:tcPr>
          <w:p>
            <w:pPr>
              <w:pStyle w:val="63"/>
            </w:pPr>
            <w:r>
              <w:t>动力回流输送线</w:t>
            </w:r>
          </w:p>
        </w:tc>
        <w:tc>
          <w:tcPr>
            <w:tcW w:w="567" w:type="pct"/>
            <w:shd w:val="clear" w:color="auto" w:fill="auto"/>
            <w:noWrap/>
            <w:vAlign w:val="center"/>
          </w:tcPr>
          <w:p>
            <w:pPr>
              <w:pStyle w:val="63"/>
            </w:pPr>
            <w:r>
              <w:t>段</w:t>
            </w:r>
          </w:p>
        </w:tc>
        <w:tc>
          <w:tcPr>
            <w:tcW w:w="850" w:type="pct"/>
            <w:shd w:val="clear" w:color="auto" w:fill="auto"/>
            <w:noWrap/>
            <w:vAlign w:val="center"/>
          </w:tcPr>
          <w:p>
            <w:pPr>
              <w:pStyle w:val="63"/>
            </w:pPr>
            <w: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葡萄架/灯架/气路/滑轨</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电子显示板及支架</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restart"/>
            <w:shd w:val="clear" w:color="auto" w:fill="auto"/>
            <w:vAlign w:val="center"/>
          </w:tcPr>
          <w:p>
            <w:pPr>
              <w:pStyle w:val="63"/>
            </w:pPr>
            <w:r>
              <w:t>拆电池包内部结构件工位（铜排、线束、BMS、螺钉等）</w:t>
            </w:r>
          </w:p>
        </w:tc>
        <w:tc>
          <w:tcPr>
            <w:tcW w:w="2148" w:type="pct"/>
            <w:shd w:val="clear" w:color="auto" w:fill="auto"/>
            <w:noWrap/>
            <w:vAlign w:val="center"/>
          </w:tcPr>
          <w:p>
            <w:pPr>
              <w:pStyle w:val="63"/>
            </w:pPr>
            <w:r>
              <w:t>动力回流输送线</w:t>
            </w:r>
          </w:p>
        </w:tc>
        <w:tc>
          <w:tcPr>
            <w:tcW w:w="567" w:type="pct"/>
            <w:shd w:val="clear" w:color="auto" w:fill="auto"/>
            <w:noWrap/>
            <w:vAlign w:val="center"/>
          </w:tcPr>
          <w:p>
            <w:pPr>
              <w:pStyle w:val="63"/>
            </w:pPr>
            <w:r>
              <w:t>段</w:t>
            </w:r>
          </w:p>
        </w:tc>
        <w:tc>
          <w:tcPr>
            <w:tcW w:w="850" w:type="pct"/>
            <w:shd w:val="clear" w:color="auto" w:fill="auto"/>
            <w:noWrap/>
            <w:vAlign w:val="center"/>
          </w:tcPr>
          <w:p>
            <w:pPr>
              <w:pStyle w:val="63"/>
            </w:pPr>
            <w: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葡萄架/灯架/气路/滑轨</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电子显示板及支架</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气批工具</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restart"/>
            <w:shd w:val="clear" w:color="auto" w:fill="auto"/>
            <w:vAlign w:val="center"/>
          </w:tcPr>
          <w:p>
            <w:pPr>
              <w:pStyle w:val="63"/>
            </w:pPr>
            <w:r>
              <w:t>模组及下箱体下线工位</w:t>
            </w:r>
          </w:p>
        </w:tc>
        <w:tc>
          <w:tcPr>
            <w:tcW w:w="2148" w:type="pct"/>
            <w:shd w:val="clear" w:color="auto" w:fill="auto"/>
            <w:noWrap/>
            <w:vAlign w:val="center"/>
          </w:tcPr>
          <w:p>
            <w:pPr>
              <w:pStyle w:val="63"/>
            </w:pPr>
            <w:r>
              <w:t>模组智能提升折臂吊</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模组吊装夹具</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线体自动回流升降机</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拆卸料收集小车</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restart"/>
            <w:shd w:val="clear" w:color="auto" w:fill="auto"/>
            <w:vAlign w:val="center"/>
          </w:tcPr>
          <w:p>
            <w:pPr>
              <w:pStyle w:val="63"/>
            </w:pPr>
            <w:r>
              <w:t>模组预处理工位</w:t>
            </w:r>
          </w:p>
        </w:tc>
        <w:tc>
          <w:tcPr>
            <w:tcW w:w="2148" w:type="pct"/>
            <w:shd w:val="clear" w:color="auto" w:fill="auto"/>
            <w:noWrap/>
            <w:vAlign w:val="center"/>
          </w:tcPr>
          <w:p>
            <w:pPr>
              <w:pStyle w:val="63"/>
            </w:pPr>
            <w:r>
              <w:t>拆模组上盖标配工具</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倍速链输送线</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restart"/>
            <w:shd w:val="clear" w:color="auto" w:fill="auto"/>
            <w:vAlign w:val="center"/>
          </w:tcPr>
          <w:p>
            <w:pPr>
              <w:pStyle w:val="63"/>
            </w:pPr>
            <w:r>
              <w:t>拆解模组焊点及端侧板</w:t>
            </w:r>
          </w:p>
        </w:tc>
        <w:tc>
          <w:tcPr>
            <w:tcW w:w="2148" w:type="pct"/>
            <w:shd w:val="clear" w:color="auto" w:fill="auto"/>
            <w:noWrap/>
            <w:vAlign w:val="center"/>
          </w:tcPr>
          <w:p>
            <w:pPr>
              <w:pStyle w:val="63"/>
            </w:pPr>
            <w:r>
              <w:t>6轴机器人</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机器人底座</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机器人安全护栏</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自动抓取模组柔性机构</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模组焊点自动加工中心</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模组定位夹紧机构</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自动安全防爆箱</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烟雾温度感应系统</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restart"/>
            <w:shd w:val="clear" w:color="auto" w:fill="auto"/>
            <w:vAlign w:val="center"/>
          </w:tcPr>
          <w:p>
            <w:pPr>
              <w:pStyle w:val="63"/>
            </w:pPr>
            <w:r>
              <w:t>人工辅助模组支解分离</w:t>
            </w:r>
          </w:p>
        </w:tc>
        <w:tc>
          <w:tcPr>
            <w:tcW w:w="2148" w:type="pct"/>
            <w:shd w:val="clear" w:color="auto" w:fill="auto"/>
            <w:noWrap/>
            <w:vAlign w:val="center"/>
          </w:tcPr>
          <w:p>
            <w:pPr>
              <w:pStyle w:val="63"/>
            </w:pPr>
            <w:r>
              <w:t>链板输送线</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肢解工作台</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端侧板切割机</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restart"/>
            <w:shd w:val="clear" w:color="auto" w:fill="auto"/>
            <w:vAlign w:val="center"/>
          </w:tcPr>
          <w:p>
            <w:pPr>
              <w:pStyle w:val="63"/>
            </w:pPr>
            <w:r>
              <w:t>其他</w:t>
            </w:r>
          </w:p>
        </w:tc>
        <w:tc>
          <w:tcPr>
            <w:tcW w:w="2148" w:type="pct"/>
            <w:shd w:val="clear" w:color="auto" w:fill="auto"/>
            <w:noWrap/>
            <w:vAlign w:val="center"/>
          </w:tcPr>
          <w:p>
            <w:pPr>
              <w:pStyle w:val="63"/>
            </w:pPr>
            <w:r>
              <w:t>整线电气控制</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本地溯源系统</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电池包工装托盘</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整线工控电脑</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restart"/>
            <w:shd w:val="clear" w:color="auto" w:fill="auto"/>
            <w:noWrap/>
            <w:vAlign w:val="center"/>
          </w:tcPr>
          <w:p>
            <w:pPr>
              <w:pStyle w:val="63"/>
            </w:pPr>
            <w:r>
              <w:t>梯次重组线</w:t>
            </w:r>
          </w:p>
        </w:tc>
        <w:tc>
          <w:tcPr>
            <w:tcW w:w="2148" w:type="pct"/>
            <w:shd w:val="clear" w:color="auto" w:fill="auto"/>
            <w:noWrap/>
            <w:vAlign w:val="center"/>
          </w:tcPr>
          <w:p>
            <w:pPr>
              <w:pStyle w:val="63"/>
            </w:pPr>
            <w:r>
              <w:t>手持极柱打磨笔</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电池电压内阻测试仪</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扫码系统</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堆叠困扎夹具</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手持PP带捆扎机</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汇流排激光焊接机</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手持锡焊机</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热风枪</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智能折臂吊</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模组电压内阻测试仪</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兼容方形/软包电池分容测试柜</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老化测试柜</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pct"/>
            <w:vMerge w:val="continue"/>
            <w:vAlign w:val="center"/>
          </w:tcPr>
          <w:p>
            <w:pPr>
              <w:pStyle w:val="63"/>
            </w:pPr>
          </w:p>
        </w:tc>
        <w:tc>
          <w:tcPr>
            <w:tcW w:w="2148" w:type="pct"/>
            <w:shd w:val="clear" w:color="auto" w:fill="auto"/>
            <w:noWrap/>
            <w:vAlign w:val="center"/>
          </w:tcPr>
          <w:p>
            <w:pPr>
              <w:pStyle w:val="63"/>
            </w:pPr>
            <w:r>
              <w:t>成品检测设备</w:t>
            </w:r>
          </w:p>
        </w:tc>
        <w:tc>
          <w:tcPr>
            <w:tcW w:w="567" w:type="pct"/>
            <w:shd w:val="clear" w:color="auto" w:fill="auto"/>
            <w:noWrap/>
            <w:vAlign w:val="center"/>
          </w:tcPr>
          <w:p>
            <w:pPr>
              <w:pStyle w:val="63"/>
            </w:pPr>
            <w:r>
              <w:t>套</w:t>
            </w:r>
          </w:p>
        </w:tc>
        <w:tc>
          <w:tcPr>
            <w:tcW w:w="850" w:type="pct"/>
            <w:shd w:val="clear" w:color="auto" w:fill="auto"/>
            <w:noWrap/>
            <w:vAlign w:val="center"/>
          </w:tcPr>
          <w:p>
            <w:pPr>
              <w:pStyle w:val="63"/>
            </w:pPr>
            <w:r>
              <w:t>1</w:t>
            </w:r>
          </w:p>
        </w:tc>
      </w:tr>
    </w:tbl>
    <w:p>
      <w:pPr>
        <w:pStyle w:val="6"/>
        <w:rPr>
          <w:rFonts w:ascii="Times New Roman" w:hAnsi="Times New Roman" w:cs="Times New Roman"/>
        </w:rPr>
      </w:pPr>
      <w:r>
        <w:rPr>
          <w:rFonts w:ascii="Times New Roman" w:hAnsi="Times New Roman" w:cs="Times New Roman"/>
        </w:rPr>
        <w:t>表3.1-</w:t>
      </w:r>
      <w:r>
        <w:rPr>
          <w:rFonts w:hint="eastAsia" w:ascii="Times New Roman" w:hAnsi="Times New Roman" w:cs="Times New Roman"/>
        </w:rPr>
        <w:t>7</w:t>
      </w:r>
      <w:r>
        <w:rPr>
          <w:rFonts w:ascii="Times New Roman" w:hAnsi="Times New Roman" w:cs="Times New Roman"/>
        </w:rPr>
        <w:t xml:space="preserve">  本项目主要设备一览表——预处理车间</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91"/>
        <w:gridCol w:w="1726"/>
        <w:gridCol w:w="2269"/>
        <w:gridCol w:w="2137"/>
        <w:gridCol w:w="877"/>
        <w:gridCol w:w="72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4" w:type="pct"/>
            <w:vAlign w:val="center"/>
          </w:tcPr>
          <w:p>
            <w:pPr>
              <w:pStyle w:val="63"/>
              <w:rPr>
                <w:u w:val="single"/>
              </w:rPr>
            </w:pPr>
            <w:r>
              <w:rPr>
                <w:u w:val="single"/>
              </w:rPr>
              <w:t>序号</w:t>
            </w:r>
          </w:p>
        </w:tc>
        <w:tc>
          <w:tcPr>
            <w:tcW w:w="1012" w:type="pct"/>
            <w:vAlign w:val="center"/>
          </w:tcPr>
          <w:p>
            <w:pPr>
              <w:pStyle w:val="63"/>
              <w:rPr>
                <w:u w:val="single"/>
              </w:rPr>
            </w:pPr>
            <w:r>
              <w:rPr>
                <w:u w:val="single"/>
              </w:rPr>
              <w:t>生产工序</w:t>
            </w:r>
          </w:p>
        </w:tc>
        <w:tc>
          <w:tcPr>
            <w:tcW w:w="1330" w:type="pct"/>
            <w:vAlign w:val="center"/>
          </w:tcPr>
          <w:p>
            <w:pPr>
              <w:pStyle w:val="63"/>
              <w:rPr>
                <w:u w:val="single"/>
              </w:rPr>
            </w:pPr>
            <w:r>
              <w:rPr>
                <w:u w:val="single"/>
              </w:rPr>
              <w:t>设备名称</w:t>
            </w:r>
          </w:p>
        </w:tc>
        <w:tc>
          <w:tcPr>
            <w:tcW w:w="1253" w:type="pct"/>
            <w:vAlign w:val="center"/>
          </w:tcPr>
          <w:p>
            <w:pPr>
              <w:pStyle w:val="63"/>
              <w:rPr>
                <w:u w:val="single"/>
              </w:rPr>
            </w:pPr>
            <w:r>
              <w:rPr>
                <w:u w:val="single"/>
              </w:rPr>
              <w:t>型号规格</w:t>
            </w:r>
          </w:p>
        </w:tc>
        <w:tc>
          <w:tcPr>
            <w:tcW w:w="514" w:type="pct"/>
            <w:vAlign w:val="center"/>
          </w:tcPr>
          <w:p>
            <w:pPr>
              <w:pStyle w:val="63"/>
              <w:rPr>
                <w:u w:val="single"/>
              </w:rPr>
            </w:pPr>
            <w:r>
              <w:rPr>
                <w:u w:val="single"/>
              </w:rPr>
              <w:t>单位</w:t>
            </w:r>
          </w:p>
        </w:tc>
        <w:tc>
          <w:tcPr>
            <w:tcW w:w="427" w:type="pct"/>
            <w:vAlign w:val="center"/>
          </w:tcPr>
          <w:p>
            <w:pPr>
              <w:pStyle w:val="63"/>
              <w:rPr>
                <w:u w:val="single"/>
              </w:rPr>
            </w:pPr>
            <w:r>
              <w:rPr>
                <w:u w:val="single"/>
              </w:rP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4" w:type="pct"/>
            <w:vAlign w:val="center"/>
          </w:tcPr>
          <w:p>
            <w:pPr>
              <w:pStyle w:val="63"/>
              <w:rPr>
                <w:u w:val="single"/>
              </w:rPr>
            </w:pPr>
            <w:r>
              <w:rPr>
                <w:u w:val="single"/>
              </w:rPr>
              <w:t>1</w:t>
            </w:r>
          </w:p>
        </w:tc>
        <w:tc>
          <w:tcPr>
            <w:tcW w:w="1012" w:type="pct"/>
            <w:vMerge w:val="restart"/>
            <w:vAlign w:val="center"/>
          </w:tcPr>
          <w:p>
            <w:pPr>
              <w:pStyle w:val="63"/>
              <w:rPr>
                <w:u w:val="single"/>
              </w:rPr>
            </w:pPr>
            <w:r>
              <w:rPr>
                <w:rFonts w:hint="eastAsia"/>
                <w:u w:val="single"/>
              </w:rPr>
              <w:t>磷酸铁锂预处理</w:t>
            </w:r>
          </w:p>
        </w:tc>
        <w:tc>
          <w:tcPr>
            <w:tcW w:w="1330" w:type="pct"/>
            <w:vAlign w:val="center"/>
          </w:tcPr>
          <w:p>
            <w:pPr>
              <w:pStyle w:val="63"/>
              <w:rPr>
                <w:u w:val="single"/>
              </w:rPr>
            </w:pPr>
            <w:r>
              <w:rPr>
                <w:u w:val="single"/>
              </w:rPr>
              <w:t>电芯破碎分选线</w:t>
            </w:r>
          </w:p>
        </w:tc>
        <w:tc>
          <w:tcPr>
            <w:tcW w:w="1253" w:type="pct"/>
            <w:vAlign w:val="center"/>
          </w:tcPr>
          <w:p>
            <w:pPr>
              <w:pStyle w:val="63"/>
              <w:rPr>
                <w:u w:val="single"/>
              </w:rPr>
            </w:pPr>
            <w:r>
              <w:rPr>
                <w:u w:val="single"/>
              </w:rPr>
              <w:t>1t/h</w:t>
            </w:r>
          </w:p>
        </w:tc>
        <w:tc>
          <w:tcPr>
            <w:tcW w:w="514" w:type="pct"/>
            <w:vAlign w:val="center"/>
          </w:tcPr>
          <w:p>
            <w:pPr>
              <w:pStyle w:val="63"/>
              <w:rPr>
                <w:u w:val="single"/>
              </w:rPr>
            </w:pPr>
            <w:r>
              <w:rPr>
                <w:u w:val="single"/>
              </w:rPr>
              <w:t>套</w:t>
            </w:r>
          </w:p>
        </w:tc>
        <w:tc>
          <w:tcPr>
            <w:tcW w:w="427" w:type="pct"/>
            <w:vAlign w:val="center"/>
          </w:tcPr>
          <w:p>
            <w:pPr>
              <w:pStyle w:val="63"/>
              <w:rPr>
                <w:u w:val="single"/>
              </w:rPr>
            </w:pPr>
            <w:r>
              <w:rPr>
                <w:rFonts w:hint="eastAsia"/>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4" w:type="pct"/>
            <w:vAlign w:val="center"/>
          </w:tcPr>
          <w:p>
            <w:pPr>
              <w:pStyle w:val="63"/>
              <w:rPr>
                <w:u w:val="single"/>
              </w:rPr>
            </w:pPr>
            <w:r>
              <w:rPr>
                <w:u w:val="single"/>
              </w:rPr>
              <w:t>2</w:t>
            </w:r>
          </w:p>
        </w:tc>
        <w:tc>
          <w:tcPr>
            <w:tcW w:w="1012" w:type="pct"/>
            <w:vMerge w:val="continue"/>
            <w:vAlign w:val="center"/>
          </w:tcPr>
          <w:p>
            <w:pPr>
              <w:pStyle w:val="63"/>
              <w:rPr>
                <w:u w:val="single"/>
              </w:rPr>
            </w:pPr>
          </w:p>
        </w:tc>
        <w:tc>
          <w:tcPr>
            <w:tcW w:w="1330" w:type="pct"/>
            <w:vAlign w:val="center"/>
          </w:tcPr>
          <w:p>
            <w:pPr>
              <w:pStyle w:val="63"/>
              <w:rPr>
                <w:u w:val="single"/>
              </w:rPr>
            </w:pPr>
            <w:r>
              <w:rPr>
                <w:u w:val="single"/>
              </w:rPr>
              <w:t>废粉预处理设备</w:t>
            </w:r>
          </w:p>
        </w:tc>
        <w:tc>
          <w:tcPr>
            <w:tcW w:w="1253" w:type="pct"/>
            <w:vAlign w:val="center"/>
          </w:tcPr>
          <w:p>
            <w:pPr>
              <w:pStyle w:val="63"/>
              <w:rPr>
                <w:u w:val="single"/>
              </w:rPr>
            </w:pPr>
            <w:r>
              <w:rPr>
                <w:u w:val="single"/>
              </w:rPr>
              <w:t>0.8t/h</w:t>
            </w:r>
          </w:p>
        </w:tc>
        <w:tc>
          <w:tcPr>
            <w:tcW w:w="514" w:type="pct"/>
            <w:vAlign w:val="center"/>
          </w:tcPr>
          <w:p>
            <w:pPr>
              <w:pStyle w:val="63"/>
              <w:rPr>
                <w:u w:val="single"/>
              </w:rPr>
            </w:pPr>
            <w:r>
              <w:rPr>
                <w:u w:val="single"/>
              </w:rPr>
              <w:t>套</w:t>
            </w:r>
          </w:p>
        </w:tc>
        <w:tc>
          <w:tcPr>
            <w:tcW w:w="427" w:type="pct"/>
            <w:vAlign w:val="center"/>
          </w:tcPr>
          <w:p>
            <w:pPr>
              <w:pStyle w:val="63"/>
              <w:rPr>
                <w:u w:val="single"/>
              </w:rPr>
            </w:pPr>
            <w:r>
              <w:rPr>
                <w:rFonts w:hint="eastAsia"/>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4" w:type="pct"/>
            <w:vAlign w:val="center"/>
          </w:tcPr>
          <w:p>
            <w:pPr>
              <w:pStyle w:val="63"/>
              <w:rPr>
                <w:u w:val="single"/>
              </w:rPr>
            </w:pPr>
            <w:r>
              <w:rPr>
                <w:u w:val="single"/>
              </w:rPr>
              <w:t>3</w:t>
            </w:r>
          </w:p>
        </w:tc>
        <w:tc>
          <w:tcPr>
            <w:tcW w:w="1012" w:type="pct"/>
            <w:vMerge w:val="continue"/>
            <w:vAlign w:val="center"/>
          </w:tcPr>
          <w:p>
            <w:pPr>
              <w:pStyle w:val="63"/>
              <w:rPr>
                <w:u w:val="single"/>
              </w:rPr>
            </w:pPr>
          </w:p>
        </w:tc>
        <w:tc>
          <w:tcPr>
            <w:tcW w:w="1330" w:type="pct"/>
            <w:vAlign w:val="center"/>
          </w:tcPr>
          <w:p>
            <w:pPr>
              <w:pStyle w:val="63"/>
              <w:rPr>
                <w:u w:val="single"/>
              </w:rPr>
            </w:pPr>
            <w:r>
              <w:rPr>
                <w:u w:val="single"/>
              </w:rPr>
              <w:t>中间料仓</w:t>
            </w:r>
          </w:p>
        </w:tc>
        <w:tc>
          <w:tcPr>
            <w:tcW w:w="1253" w:type="pct"/>
            <w:vAlign w:val="center"/>
          </w:tcPr>
          <w:p>
            <w:pPr>
              <w:pStyle w:val="63"/>
              <w:rPr>
                <w:u w:val="single"/>
              </w:rPr>
            </w:pPr>
            <w:r>
              <w:rPr>
                <w:u w:val="single"/>
              </w:rPr>
              <w:t>15m³</w:t>
            </w:r>
          </w:p>
        </w:tc>
        <w:tc>
          <w:tcPr>
            <w:tcW w:w="514" w:type="pct"/>
            <w:vAlign w:val="center"/>
          </w:tcPr>
          <w:p>
            <w:pPr>
              <w:pStyle w:val="63"/>
              <w:rPr>
                <w:u w:val="single"/>
              </w:rPr>
            </w:pPr>
            <w:r>
              <w:rPr>
                <w:u w:val="single"/>
              </w:rPr>
              <w:t>个</w:t>
            </w:r>
          </w:p>
        </w:tc>
        <w:tc>
          <w:tcPr>
            <w:tcW w:w="427" w:type="pct"/>
            <w:vAlign w:val="center"/>
          </w:tcPr>
          <w:p>
            <w:pPr>
              <w:pStyle w:val="63"/>
              <w:rPr>
                <w:u w:val="single"/>
              </w:rPr>
            </w:pPr>
            <w:r>
              <w:rPr>
                <w:rFonts w:hint="eastAsia"/>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4" w:type="pct"/>
            <w:vAlign w:val="center"/>
          </w:tcPr>
          <w:p>
            <w:pPr>
              <w:pStyle w:val="63"/>
              <w:rPr>
                <w:u w:val="single"/>
              </w:rPr>
            </w:pPr>
            <w:r>
              <w:rPr>
                <w:u w:val="single"/>
              </w:rPr>
              <w:t>4</w:t>
            </w:r>
          </w:p>
        </w:tc>
        <w:tc>
          <w:tcPr>
            <w:tcW w:w="1012" w:type="pct"/>
            <w:vMerge w:val="continue"/>
            <w:vAlign w:val="center"/>
          </w:tcPr>
          <w:p>
            <w:pPr>
              <w:pStyle w:val="63"/>
              <w:rPr>
                <w:u w:val="single"/>
              </w:rPr>
            </w:pPr>
          </w:p>
        </w:tc>
        <w:tc>
          <w:tcPr>
            <w:tcW w:w="1330" w:type="pct"/>
            <w:vAlign w:val="center"/>
          </w:tcPr>
          <w:p>
            <w:pPr>
              <w:pStyle w:val="63"/>
              <w:rPr>
                <w:u w:val="single"/>
              </w:rPr>
            </w:pPr>
            <w:r>
              <w:rPr>
                <w:u w:val="single"/>
              </w:rPr>
              <w:t>计量输送系统</w:t>
            </w:r>
          </w:p>
        </w:tc>
        <w:tc>
          <w:tcPr>
            <w:tcW w:w="1253" w:type="pct"/>
            <w:vAlign w:val="center"/>
          </w:tcPr>
          <w:p>
            <w:pPr>
              <w:pStyle w:val="63"/>
              <w:rPr>
                <w:u w:val="single"/>
              </w:rPr>
            </w:pPr>
            <w:r>
              <w:rPr>
                <w:u w:val="single"/>
              </w:rPr>
              <w:t>加料速度13.5t/h</w:t>
            </w:r>
          </w:p>
        </w:tc>
        <w:tc>
          <w:tcPr>
            <w:tcW w:w="514" w:type="pct"/>
            <w:vAlign w:val="center"/>
          </w:tcPr>
          <w:p>
            <w:pPr>
              <w:pStyle w:val="63"/>
              <w:rPr>
                <w:u w:val="single"/>
              </w:rPr>
            </w:pPr>
            <w:r>
              <w:rPr>
                <w:u w:val="single"/>
              </w:rPr>
              <w:t>套</w:t>
            </w:r>
          </w:p>
        </w:tc>
        <w:tc>
          <w:tcPr>
            <w:tcW w:w="427" w:type="pct"/>
            <w:vAlign w:val="center"/>
          </w:tcPr>
          <w:p>
            <w:pPr>
              <w:pStyle w:val="63"/>
              <w:rPr>
                <w:u w:val="single"/>
              </w:rPr>
            </w:pPr>
            <w:r>
              <w:rPr>
                <w:rFonts w:hint="eastAsia"/>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4" w:type="pct"/>
            <w:vAlign w:val="center"/>
          </w:tcPr>
          <w:p>
            <w:pPr>
              <w:pStyle w:val="63"/>
              <w:rPr>
                <w:u w:val="single"/>
              </w:rPr>
            </w:pPr>
            <w:r>
              <w:rPr>
                <w:rFonts w:hint="eastAsia"/>
                <w:u w:val="single"/>
              </w:rPr>
              <w:t>5</w:t>
            </w:r>
          </w:p>
        </w:tc>
        <w:tc>
          <w:tcPr>
            <w:tcW w:w="1012" w:type="pct"/>
            <w:vMerge w:val="restart"/>
            <w:vAlign w:val="center"/>
          </w:tcPr>
          <w:p>
            <w:pPr>
              <w:pStyle w:val="63"/>
              <w:rPr>
                <w:u w:val="single"/>
              </w:rPr>
            </w:pPr>
            <w:r>
              <w:rPr>
                <w:rFonts w:hint="eastAsia"/>
                <w:u w:val="single"/>
              </w:rPr>
              <w:t>三元预处理</w:t>
            </w:r>
          </w:p>
        </w:tc>
        <w:tc>
          <w:tcPr>
            <w:tcW w:w="1330" w:type="pct"/>
            <w:vAlign w:val="center"/>
          </w:tcPr>
          <w:p>
            <w:pPr>
              <w:pStyle w:val="63"/>
              <w:rPr>
                <w:u w:val="single"/>
              </w:rPr>
            </w:pPr>
            <w:r>
              <w:rPr>
                <w:u w:val="single"/>
              </w:rPr>
              <w:t>电芯破碎分选线</w:t>
            </w:r>
          </w:p>
        </w:tc>
        <w:tc>
          <w:tcPr>
            <w:tcW w:w="1253" w:type="pct"/>
            <w:vAlign w:val="center"/>
          </w:tcPr>
          <w:p>
            <w:pPr>
              <w:pStyle w:val="63"/>
              <w:rPr>
                <w:u w:val="single"/>
              </w:rPr>
            </w:pPr>
            <w:r>
              <w:rPr>
                <w:u w:val="single"/>
              </w:rPr>
              <w:t>1t/h</w:t>
            </w:r>
          </w:p>
        </w:tc>
        <w:tc>
          <w:tcPr>
            <w:tcW w:w="514" w:type="pct"/>
            <w:vAlign w:val="center"/>
          </w:tcPr>
          <w:p>
            <w:pPr>
              <w:pStyle w:val="63"/>
              <w:rPr>
                <w:u w:val="single"/>
              </w:rPr>
            </w:pPr>
            <w:r>
              <w:rPr>
                <w:u w:val="single"/>
              </w:rPr>
              <w:t>套</w:t>
            </w:r>
          </w:p>
        </w:tc>
        <w:tc>
          <w:tcPr>
            <w:tcW w:w="427" w:type="pct"/>
            <w:vAlign w:val="center"/>
          </w:tcPr>
          <w:p>
            <w:pPr>
              <w:pStyle w:val="63"/>
              <w:rPr>
                <w:u w:val="single"/>
              </w:rPr>
            </w:pPr>
            <w:r>
              <w:rPr>
                <w:rFonts w:hint="eastAsia"/>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4" w:type="pct"/>
            <w:vAlign w:val="center"/>
          </w:tcPr>
          <w:p>
            <w:pPr>
              <w:pStyle w:val="63"/>
              <w:rPr>
                <w:u w:val="single"/>
              </w:rPr>
            </w:pPr>
            <w:r>
              <w:rPr>
                <w:rFonts w:hint="eastAsia"/>
                <w:u w:val="single"/>
              </w:rPr>
              <w:t>6</w:t>
            </w:r>
          </w:p>
        </w:tc>
        <w:tc>
          <w:tcPr>
            <w:tcW w:w="1012" w:type="pct"/>
            <w:vMerge w:val="continue"/>
            <w:vAlign w:val="center"/>
          </w:tcPr>
          <w:p>
            <w:pPr>
              <w:pStyle w:val="63"/>
              <w:rPr>
                <w:u w:val="single"/>
              </w:rPr>
            </w:pPr>
          </w:p>
        </w:tc>
        <w:tc>
          <w:tcPr>
            <w:tcW w:w="1330" w:type="pct"/>
            <w:vAlign w:val="center"/>
          </w:tcPr>
          <w:p>
            <w:pPr>
              <w:pStyle w:val="63"/>
              <w:rPr>
                <w:u w:val="single"/>
              </w:rPr>
            </w:pPr>
            <w:r>
              <w:rPr>
                <w:u w:val="single"/>
              </w:rPr>
              <w:t>废粉预处理设备</w:t>
            </w:r>
          </w:p>
        </w:tc>
        <w:tc>
          <w:tcPr>
            <w:tcW w:w="1253" w:type="pct"/>
            <w:vAlign w:val="center"/>
          </w:tcPr>
          <w:p>
            <w:pPr>
              <w:pStyle w:val="63"/>
              <w:rPr>
                <w:u w:val="single"/>
              </w:rPr>
            </w:pPr>
            <w:r>
              <w:rPr>
                <w:u w:val="single"/>
              </w:rPr>
              <w:t>0.8t/h</w:t>
            </w:r>
          </w:p>
        </w:tc>
        <w:tc>
          <w:tcPr>
            <w:tcW w:w="514" w:type="pct"/>
            <w:vAlign w:val="center"/>
          </w:tcPr>
          <w:p>
            <w:pPr>
              <w:pStyle w:val="63"/>
              <w:rPr>
                <w:u w:val="single"/>
              </w:rPr>
            </w:pPr>
            <w:r>
              <w:rPr>
                <w:u w:val="single"/>
              </w:rPr>
              <w:t>套</w:t>
            </w:r>
          </w:p>
        </w:tc>
        <w:tc>
          <w:tcPr>
            <w:tcW w:w="427" w:type="pct"/>
            <w:vAlign w:val="center"/>
          </w:tcPr>
          <w:p>
            <w:pPr>
              <w:pStyle w:val="63"/>
              <w:rPr>
                <w:u w:val="single"/>
              </w:rPr>
            </w:pPr>
            <w:r>
              <w:rPr>
                <w:rFonts w:hint="eastAsia"/>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4" w:type="pct"/>
            <w:vAlign w:val="center"/>
          </w:tcPr>
          <w:p>
            <w:pPr>
              <w:pStyle w:val="63"/>
              <w:rPr>
                <w:u w:val="single"/>
              </w:rPr>
            </w:pPr>
            <w:r>
              <w:rPr>
                <w:rFonts w:hint="eastAsia"/>
                <w:u w:val="single"/>
              </w:rPr>
              <w:t>7</w:t>
            </w:r>
          </w:p>
        </w:tc>
        <w:tc>
          <w:tcPr>
            <w:tcW w:w="1012" w:type="pct"/>
            <w:vMerge w:val="continue"/>
            <w:vAlign w:val="center"/>
          </w:tcPr>
          <w:p>
            <w:pPr>
              <w:pStyle w:val="63"/>
              <w:rPr>
                <w:u w:val="single"/>
              </w:rPr>
            </w:pPr>
          </w:p>
        </w:tc>
        <w:tc>
          <w:tcPr>
            <w:tcW w:w="1330" w:type="pct"/>
            <w:vAlign w:val="center"/>
          </w:tcPr>
          <w:p>
            <w:pPr>
              <w:pStyle w:val="63"/>
              <w:rPr>
                <w:u w:val="single"/>
              </w:rPr>
            </w:pPr>
            <w:r>
              <w:rPr>
                <w:u w:val="single"/>
              </w:rPr>
              <w:t>中间料仓</w:t>
            </w:r>
          </w:p>
        </w:tc>
        <w:tc>
          <w:tcPr>
            <w:tcW w:w="1253" w:type="pct"/>
            <w:vAlign w:val="center"/>
          </w:tcPr>
          <w:p>
            <w:pPr>
              <w:pStyle w:val="63"/>
              <w:rPr>
                <w:u w:val="single"/>
              </w:rPr>
            </w:pPr>
            <w:r>
              <w:rPr>
                <w:u w:val="single"/>
              </w:rPr>
              <w:t>15m³</w:t>
            </w:r>
          </w:p>
        </w:tc>
        <w:tc>
          <w:tcPr>
            <w:tcW w:w="514" w:type="pct"/>
            <w:vAlign w:val="center"/>
          </w:tcPr>
          <w:p>
            <w:pPr>
              <w:pStyle w:val="63"/>
              <w:rPr>
                <w:u w:val="single"/>
              </w:rPr>
            </w:pPr>
            <w:r>
              <w:rPr>
                <w:u w:val="single"/>
              </w:rPr>
              <w:t>个</w:t>
            </w:r>
          </w:p>
        </w:tc>
        <w:tc>
          <w:tcPr>
            <w:tcW w:w="427" w:type="pct"/>
            <w:vAlign w:val="center"/>
          </w:tcPr>
          <w:p>
            <w:pPr>
              <w:pStyle w:val="63"/>
              <w:rPr>
                <w:u w:val="single"/>
              </w:rPr>
            </w:pPr>
            <w:r>
              <w:rPr>
                <w:rFonts w:hint="eastAsia"/>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4" w:type="pct"/>
            <w:vAlign w:val="center"/>
          </w:tcPr>
          <w:p>
            <w:pPr>
              <w:pStyle w:val="63"/>
              <w:rPr>
                <w:u w:val="single"/>
              </w:rPr>
            </w:pPr>
            <w:r>
              <w:rPr>
                <w:rFonts w:hint="eastAsia"/>
                <w:u w:val="single"/>
              </w:rPr>
              <w:t>8</w:t>
            </w:r>
          </w:p>
        </w:tc>
        <w:tc>
          <w:tcPr>
            <w:tcW w:w="1012" w:type="pct"/>
            <w:vMerge w:val="continue"/>
            <w:vAlign w:val="center"/>
          </w:tcPr>
          <w:p>
            <w:pPr>
              <w:pStyle w:val="63"/>
              <w:rPr>
                <w:u w:val="single"/>
              </w:rPr>
            </w:pPr>
          </w:p>
        </w:tc>
        <w:tc>
          <w:tcPr>
            <w:tcW w:w="1330" w:type="pct"/>
            <w:vAlign w:val="center"/>
          </w:tcPr>
          <w:p>
            <w:pPr>
              <w:pStyle w:val="63"/>
              <w:rPr>
                <w:u w:val="single"/>
              </w:rPr>
            </w:pPr>
            <w:r>
              <w:rPr>
                <w:u w:val="single"/>
              </w:rPr>
              <w:t>计量输送系统</w:t>
            </w:r>
          </w:p>
        </w:tc>
        <w:tc>
          <w:tcPr>
            <w:tcW w:w="1253" w:type="pct"/>
            <w:vAlign w:val="center"/>
          </w:tcPr>
          <w:p>
            <w:pPr>
              <w:pStyle w:val="63"/>
              <w:rPr>
                <w:u w:val="single"/>
              </w:rPr>
            </w:pPr>
            <w:r>
              <w:rPr>
                <w:u w:val="single"/>
              </w:rPr>
              <w:t>加料速度13.5t/h</w:t>
            </w:r>
          </w:p>
        </w:tc>
        <w:tc>
          <w:tcPr>
            <w:tcW w:w="514" w:type="pct"/>
            <w:vAlign w:val="center"/>
          </w:tcPr>
          <w:p>
            <w:pPr>
              <w:pStyle w:val="63"/>
              <w:rPr>
                <w:u w:val="single"/>
              </w:rPr>
            </w:pPr>
            <w:r>
              <w:rPr>
                <w:u w:val="single"/>
              </w:rPr>
              <w:t>套</w:t>
            </w:r>
          </w:p>
        </w:tc>
        <w:tc>
          <w:tcPr>
            <w:tcW w:w="427" w:type="pct"/>
            <w:vAlign w:val="center"/>
          </w:tcPr>
          <w:p>
            <w:pPr>
              <w:pStyle w:val="63"/>
              <w:rPr>
                <w:u w:val="single"/>
              </w:rPr>
            </w:pPr>
            <w:r>
              <w:rPr>
                <w:rFonts w:hint="eastAsia"/>
                <w:u w:val="single"/>
              </w:rPr>
              <w:t>2</w:t>
            </w:r>
          </w:p>
        </w:tc>
      </w:tr>
    </w:tbl>
    <w:p>
      <w:pPr>
        <w:pStyle w:val="6"/>
        <w:rPr>
          <w:rFonts w:ascii="Times New Roman" w:hAnsi="Times New Roman" w:cs="Times New Roman"/>
        </w:rPr>
      </w:pPr>
      <w:r>
        <w:rPr>
          <w:rFonts w:ascii="Times New Roman" w:hAnsi="Times New Roman" w:cs="Times New Roman"/>
        </w:rPr>
        <w:t>表3.1-</w:t>
      </w:r>
      <w:r>
        <w:rPr>
          <w:rFonts w:hint="eastAsia" w:ascii="Times New Roman" w:hAnsi="Times New Roman" w:cs="Times New Roman"/>
        </w:rPr>
        <w:t>8</w:t>
      </w:r>
      <w:r>
        <w:rPr>
          <w:rFonts w:ascii="Times New Roman" w:hAnsi="Times New Roman" w:cs="Times New Roman"/>
        </w:rPr>
        <w:t xml:space="preserve">  本项目主要设备一览表——浸出车间</w:t>
      </w:r>
    </w:p>
    <w:tbl>
      <w:tblPr>
        <w:tblStyle w:val="35"/>
        <w:tblW w:w="5000" w:type="pct"/>
        <w:tblInd w:w="0" w:type="dxa"/>
        <w:tblLayout w:type="autofit"/>
        <w:tblCellMar>
          <w:top w:w="0" w:type="dxa"/>
          <w:left w:w="108" w:type="dxa"/>
          <w:bottom w:w="0" w:type="dxa"/>
          <w:right w:w="108" w:type="dxa"/>
        </w:tblCellMar>
      </w:tblPr>
      <w:tblGrid>
        <w:gridCol w:w="1702"/>
        <w:gridCol w:w="2589"/>
        <w:gridCol w:w="2323"/>
        <w:gridCol w:w="957"/>
        <w:gridCol w:w="958"/>
      </w:tblGrid>
      <w:tr>
        <w:tblPrEx>
          <w:tblCellMar>
            <w:top w:w="0" w:type="dxa"/>
            <w:left w:w="108" w:type="dxa"/>
            <w:bottom w:w="0" w:type="dxa"/>
            <w:right w:w="108" w:type="dxa"/>
          </w:tblCellMar>
        </w:tblPrEx>
        <w:trPr>
          <w:trHeight w:val="397" w:hRule="atLeast"/>
        </w:trPr>
        <w:tc>
          <w:tcPr>
            <w:tcW w:w="998" w:type="pct"/>
            <w:tcBorders>
              <w:top w:val="single" w:color="auto" w:sz="12" w:space="0"/>
              <w:left w:val="single" w:color="auto" w:sz="12"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工序</w:t>
            </w:r>
          </w:p>
        </w:tc>
        <w:tc>
          <w:tcPr>
            <w:tcW w:w="1518" w:type="pct"/>
            <w:tcBorders>
              <w:top w:val="single" w:color="auto" w:sz="12" w:space="0"/>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u w:val="single"/>
              </w:rPr>
              <w:t>设备名称</w:t>
            </w:r>
          </w:p>
        </w:tc>
        <w:tc>
          <w:tcPr>
            <w:tcW w:w="1362" w:type="pct"/>
            <w:tcBorders>
              <w:top w:val="single" w:color="auto" w:sz="12" w:space="0"/>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u w:val="single"/>
              </w:rPr>
              <w:t>型号规格</w:t>
            </w:r>
          </w:p>
        </w:tc>
        <w:tc>
          <w:tcPr>
            <w:tcW w:w="561" w:type="pct"/>
            <w:tcBorders>
              <w:top w:val="single" w:color="auto" w:sz="12" w:space="0"/>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u w:val="single"/>
              </w:rPr>
              <w:t>单位</w:t>
            </w:r>
          </w:p>
        </w:tc>
        <w:tc>
          <w:tcPr>
            <w:tcW w:w="561" w:type="pct"/>
            <w:tcBorders>
              <w:top w:val="single" w:color="auto" w:sz="12" w:space="0"/>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u w:val="single"/>
              </w:rPr>
              <w:t>数量</w:t>
            </w:r>
          </w:p>
        </w:tc>
      </w:tr>
      <w:tr>
        <w:tblPrEx>
          <w:tblCellMar>
            <w:top w:w="0" w:type="dxa"/>
            <w:left w:w="108" w:type="dxa"/>
            <w:bottom w:w="0" w:type="dxa"/>
            <w:right w:w="108" w:type="dxa"/>
          </w:tblCellMar>
        </w:tblPrEx>
        <w:trPr>
          <w:trHeight w:val="397" w:hRule="atLeast"/>
        </w:trPr>
        <w:tc>
          <w:tcPr>
            <w:tcW w:w="998" w:type="pct"/>
            <w:vMerge w:val="restart"/>
            <w:tcBorders>
              <w:top w:val="single" w:color="auto" w:sz="12" w:space="0"/>
              <w:left w:val="single" w:color="auto" w:sz="12"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三元浸出</w:t>
            </w:r>
          </w:p>
        </w:tc>
        <w:tc>
          <w:tcPr>
            <w:tcW w:w="1518" w:type="pct"/>
            <w:tcBorders>
              <w:top w:val="single" w:color="auto" w:sz="12" w:space="0"/>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硫酸高位槽</w:t>
            </w:r>
          </w:p>
        </w:tc>
        <w:tc>
          <w:tcPr>
            <w:tcW w:w="1362" w:type="pct"/>
            <w:tcBorders>
              <w:top w:val="single" w:color="auto" w:sz="12" w:space="0"/>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10m³</w:t>
            </w:r>
          </w:p>
        </w:tc>
        <w:tc>
          <w:tcPr>
            <w:tcW w:w="561" w:type="pct"/>
            <w:tcBorders>
              <w:top w:val="single" w:color="auto" w:sz="12" w:space="0"/>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single" w:color="auto" w:sz="12" w:space="0"/>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一次浸出槽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Φ3500×3200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7</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一次浸出压滤机</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一次浸出压滤泵</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　</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一段浸出渣浆化槽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Φ2800×2500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一次浸出渣浆化泵</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　</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二次浸出槽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Φ3500×3200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6</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二次浸出压滤机</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二次浸出压滤泵</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　</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浸出渣一次洗涤槽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Φ2800×2500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浸出渣一次洗涤压滤机</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浸出渣一次洗涤槽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Φ2800×2500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浸出渣二次洗涤压滤机</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除铝槽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Φ3500×3200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3</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铝渣压滤机</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铝渣浆化槽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Φ2800×2500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铝渣一次洗涤槽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Φ3500×3200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铝渣一次洗涤压滤机</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铝渣一次洗涤浆化槽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Φ2800×2500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铝渣二次洗涤槽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Φ3500×3200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铝渣二次洗涤压滤机</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除铝后液二次过滤压滤机</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酸雾吸收塔</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Φ2800×8000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套</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w:t>
            </w:r>
          </w:p>
        </w:tc>
      </w:tr>
      <w:tr>
        <w:tblPrEx>
          <w:tblCellMar>
            <w:top w:w="0" w:type="dxa"/>
            <w:left w:w="108" w:type="dxa"/>
            <w:bottom w:w="0" w:type="dxa"/>
            <w:right w:w="108" w:type="dxa"/>
          </w:tblCellMar>
        </w:tblPrEx>
        <w:trPr>
          <w:trHeight w:val="397" w:hRule="atLeast"/>
        </w:trPr>
        <w:tc>
          <w:tcPr>
            <w:tcW w:w="998" w:type="pct"/>
            <w:vMerge w:val="continue"/>
            <w:tcBorders>
              <w:top w:val="single" w:color="auto" w:sz="4" w:space="0"/>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储槽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100立方米</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9</w:t>
            </w:r>
          </w:p>
        </w:tc>
      </w:tr>
      <w:tr>
        <w:tblPrEx>
          <w:tblCellMar>
            <w:top w:w="0" w:type="dxa"/>
            <w:left w:w="108" w:type="dxa"/>
            <w:bottom w:w="0" w:type="dxa"/>
            <w:right w:w="108" w:type="dxa"/>
          </w:tblCellMar>
        </w:tblPrEx>
        <w:trPr>
          <w:trHeight w:val="397" w:hRule="atLeast"/>
        </w:trPr>
        <w:tc>
          <w:tcPr>
            <w:tcW w:w="998" w:type="pct"/>
            <w:vMerge w:val="restart"/>
            <w:tcBorders>
              <w:top w:val="nil"/>
              <w:left w:val="single" w:color="auto" w:sz="12"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磷酸铁锂浸出</w:t>
            </w: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硫酸高位槽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10m³</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一次浸出槽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Φ3500×3200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10</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一次浸出压滤机</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一次浸出压滤泵</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　</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一段浸出渣浆化槽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Φ2800×2500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一次浸出渣浆化泵</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　</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二次浸出槽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Φ3500×3200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10</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二次浸出压滤机</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二次浸出压滤泵</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　</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浸出渣一次洗涤槽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Φ2800×2500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浸出渣一次洗涤压滤机</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浸出渣一次洗涤槽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Φ2800×2500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浸出渣二次洗涤压滤机</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除铝槽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Φ3500×3200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铝渣压滤机</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铝渣浆化槽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Φ2800×2500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铝渣一次洗涤槽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Φ3500×3200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铝渣一次洗涤压滤机</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铝渣一次洗涤浆化槽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Φ2800×2500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铝渣二次洗涤槽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Φ3500×3200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铝渣二次洗涤压滤机</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净化槽</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Φ3500×3200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净化压滤机</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4"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酸雾吸收塔</w:t>
            </w:r>
          </w:p>
        </w:tc>
        <w:tc>
          <w:tcPr>
            <w:tcW w:w="13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Φ2800×8000</w:t>
            </w:r>
          </w:p>
        </w:tc>
        <w:tc>
          <w:tcPr>
            <w:tcW w:w="56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套</w:t>
            </w:r>
          </w:p>
        </w:tc>
        <w:tc>
          <w:tcPr>
            <w:tcW w:w="561" w:type="pct"/>
            <w:tcBorders>
              <w:top w:val="nil"/>
              <w:left w:val="nil"/>
              <w:bottom w:val="single" w:color="auto" w:sz="8"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w:t>
            </w:r>
          </w:p>
        </w:tc>
      </w:tr>
      <w:tr>
        <w:tblPrEx>
          <w:tblCellMar>
            <w:top w:w="0" w:type="dxa"/>
            <w:left w:w="108" w:type="dxa"/>
            <w:bottom w:w="0" w:type="dxa"/>
            <w:right w:w="108" w:type="dxa"/>
          </w:tblCellMar>
        </w:tblPrEx>
        <w:trPr>
          <w:trHeight w:val="397" w:hRule="atLeast"/>
        </w:trPr>
        <w:tc>
          <w:tcPr>
            <w:tcW w:w="998" w:type="pct"/>
            <w:vMerge w:val="continue"/>
            <w:tcBorders>
              <w:top w:val="nil"/>
              <w:left w:val="single" w:color="auto" w:sz="12" w:space="0"/>
              <w:bottom w:val="single" w:color="auto" w:sz="12" w:space="0"/>
              <w:right w:val="single" w:color="auto" w:sz="4" w:space="0"/>
            </w:tcBorders>
            <w:vAlign w:val="center"/>
          </w:tcPr>
          <w:p>
            <w:pPr>
              <w:widowControl/>
              <w:jc w:val="left"/>
              <w:rPr>
                <w:rFonts w:ascii="Times New Roman" w:hAnsi="Times New Roman" w:cs="Times New Roman"/>
                <w:kern w:val="0"/>
                <w:sz w:val="20"/>
                <w:szCs w:val="20"/>
                <w:u w:val="single"/>
              </w:rPr>
            </w:pPr>
          </w:p>
        </w:tc>
        <w:tc>
          <w:tcPr>
            <w:tcW w:w="1518" w:type="pct"/>
            <w:tcBorders>
              <w:top w:val="nil"/>
              <w:left w:val="nil"/>
              <w:bottom w:val="single" w:color="auto" w:sz="12"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储槽</w:t>
            </w:r>
          </w:p>
        </w:tc>
        <w:tc>
          <w:tcPr>
            <w:tcW w:w="1362" w:type="pct"/>
            <w:tcBorders>
              <w:top w:val="nil"/>
              <w:left w:val="nil"/>
              <w:bottom w:val="single" w:color="auto" w:sz="12"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100立方米</w:t>
            </w:r>
          </w:p>
        </w:tc>
        <w:tc>
          <w:tcPr>
            <w:tcW w:w="561" w:type="pct"/>
            <w:tcBorders>
              <w:top w:val="nil"/>
              <w:left w:val="nil"/>
              <w:bottom w:val="single" w:color="auto" w:sz="12" w:space="0"/>
              <w:right w:val="single" w:color="auto" w:sz="8"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61" w:type="pct"/>
            <w:tcBorders>
              <w:top w:val="nil"/>
              <w:left w:val="nil"/>
              <w:bottom w:val="single" w:color="auto" w:sz="12" w:space="0"/>
              <w:right w:val="single" w:color="auto" w:sz="12" w:space="0"/>
            </w:tcBorders>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9</w:t>
            </w:r>
          </w:p>
        </w:tc>
      </w:tr>
    </w:tbl>
    <w:p>
      <w:pPr>
        <w:pStyle w:val="6"/>
        <w:rPr>
          <w:rFonts w:ascii="Times New Roman" w:hAnsi="Times New Roman" w:cs="Times New Roman"/>
        </w:rPr>
      </w:pPr>
      <w:r>
        <w:rPr>
          <w:rFonts w:ascii="Times New Roman" w:hAnsi="Times New Roman" w:cs="Times New Roman"/>
        </w:rPr>
        <w:t>表3.1-</w:t>
      </w:r>
      <w:r>
        <w:rPr>
          <w:rFonts w:hint="eastAsia" w:ascii="Times New Roman" w:hAnsi="Times New Roman" w:cs="Times New Roman"/>
        </w:rPr>
        <w:t>9</w:t>
      </w:r>
      <w:r>
        <w:rPr>
          <w:rFonts w:ascii="Times New Roman" w:hAnsi="Times New Roman" w:cs="Times New Roman"/>
        </w:rPr>
        <w:t xml:space="preserve">  本项目主要设备一览表——三元萃取车间</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44"/>
        <w:gridCol w:w="1842"/>
        <w:gridCol w:w="3142"/>
        <w:gridCol w:w="1395"/>
        <w:gridCol w:w="9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u w:val="single"/>
              </w:rPr>
              <w:t>序号</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u w:val="single"/>
              </w:rPr>
              <w:t>设备名称</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u w:val="single"/>
              </w:rPr>
              <w:t>型号规格</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u w:val="single"/>
              </w:rPr>
              <w:t>单位</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u w:val="single"/>
              </w:rP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P204萃取系统</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混合1100×1100×1400</w:t>
            </w:r>
          </w:p>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澄清1100×5160×1400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套</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2</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精滤液槽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3</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精滤液进料泵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磁力泵CQB32-20-100F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4</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有机相循环槽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5</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有机相泵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磁力泵CQB50-32-125F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6</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液碱中转槽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Φ2600×3000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7</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液碱泵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8</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洗涤前液槽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9</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洗涤前液泵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10</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萃余液槽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11</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萃余液泵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12</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反锰前液槽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13</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反锰前液泵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14</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反锰后液槽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15</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反锰后液泵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16</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深反前液槽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17</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深反前液泵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18</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深反后液槽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19</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深反后液泵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20</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21</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22</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洗酸后液槽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23</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洗酸后液泵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24</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隔油槽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3000×5000×1000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25</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反锰液净化槽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Φ2600×3000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26</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净化泵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65IFM-20-50，压滤机泵</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27</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反锰液净化压滤机</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60m2厢式压滤机（机洗）</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28</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反锰液净化后液槽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32</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锰萃取系统</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混合900×900×1200          澄清900×4200×1200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套</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33</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萃取前液槽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34</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萃取前液泵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35</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有机相循环槽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36</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有机相泵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磁力泵CQB32-20-110F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37</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洗涤前液槽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38</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洗涤前液泵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39</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萃余液槽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40</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萃余液泵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41</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反锰前液槽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42</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反锰前液泵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43</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反锰后液槽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44</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硫酸锰溶液泵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45</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深反前液槽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46</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深反前液泵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47</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深反后液槽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48</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深反后液泵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49</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50</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51</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洗酸后液槽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52</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洗酸后液泵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53</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隔油槽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3000×5000×1000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54</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深度除油设备</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3m³/h</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套</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55</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P204有机相配置槽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Φ2600×1000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56</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有机输送泵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57</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反锰液净化后液输送泵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58</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深度除油后硫酸锰溶液槽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59</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深度除油后硫酸锰溶液泵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60</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P507钴萃取系统</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混合1100×1100×1400</w:t>
            </w:r>
          </w:p>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澄清1100×5160×1400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套</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61</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萃取前液槽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62</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萃取前液泵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磁力泵CQB32-20-100F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63</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有机相循环槽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64</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有机相泵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磁力泵CQB50-32-125F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65</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洗涤前液槽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66</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洗涤前液泵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67</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萃余液槽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68</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萃余液泵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69</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反萃前液槽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70</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反萃前液泵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71</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反萃后液槽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72</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硫酸钴溶液泵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73</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深反前液槽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74</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深反前液泵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75</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深反后液槽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76</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深反后液泵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77</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78</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79</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洗酸后液槽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80</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洗酸后液泵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81</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隔油槽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3000×5000×1000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82</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深度除油设备</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3m³/h</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套</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83</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P507有机相配置槽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Φ2600×1000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84</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有机输送泵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85</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1N硫酸配制槽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Φ3000×5500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86</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1N硫酸输送泵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87</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4N硫酸配制槽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Φ3000×5500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88</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4N硫酸输送泵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89</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15N硫酸配制槽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Φ3000×5500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90</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15N硫酸输送泵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91</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深度除油后硫酸钴溶液槽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92</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深度除油后硫酸钴溶液泵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93</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P507镍萃取系统</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混合1100×1100×1400      澄清1100×5160×1400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套</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94</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萃取前液槽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95</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萃取前液泵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磁力泵CQB40-25-100F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96</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有机相循环槽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97</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有机相泵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磁力泵CQB50-32-125F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98</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液碱中转槽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Φ2600×3000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99</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液碱泵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100</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洗涤前液槽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101</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洗涤前液泵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102</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萃余液槽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103</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萃余液泵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104</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反萃前液槽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105</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反萃前液泵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106</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反萃后液槽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107</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硫酸镍溶液泵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108</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深反前液槽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109</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深反前液泵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110</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深反后液槽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111</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深反后液泵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112</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113</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114</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洗酸后液槽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115</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洗酸后液泵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116</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隔油槽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3000×5000×1000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117</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C272萃取系统</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混合900×900×1200          澄清900×4200×1200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套</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118</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萃取前液槽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119</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萃取前液泵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120</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有机相循环槽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121</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有机相泵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122</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洗涤前液槽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123</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洗涤前液泵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124</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萃余液槽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125</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萃余液泵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126</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反萃前液槽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127</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反萃前液泵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128</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反萃后液槽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129</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硫酸镁溶液泵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130</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洗酸前液槽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131</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洗酸前液泵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132</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洗酸后液槽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133</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洗酸后液泵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134</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隔油槽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3000×5000×1000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135</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深度除油设备</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3m³/h</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套</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136</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C272有机相配置槽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Φ2600×1000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137</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有机输送泵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138</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硫酸计量槽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Φ1500×3000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139</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深度除油后硫酸镍溶液槽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140</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深度除油后硫酸镍溶液泵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50UHB-ZK-20-30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141</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硫酸镍皂化原液槽</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Φ3500×6000</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个</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29" w:type="pct"/>
            <w:vAlign w:val="center"/>
          </w:tcPr>
          <w:p>
            <w:pPr>
              <w:widowControl/>
              <w:jc w:val="center"/>
              <w:rPr>
                <w:rFonts w:ascii="Times New Roman" w:hAnsi="Times New Roman" w:cs="Times New Roman"/>
                <w:kern w:val="0"/>
                <w:sz w:val="20"/>
                <w:szCs w:val="20"/>
                <w:u w:val="single"/>
              </w:rPr>
            </w:pPr>
            <w:r>
              <w:rPr>
                <w:rFonts w:ascii="Times New Roman" w:hAnsi="Times New Roman" w:cs="Times New Roman"/>
                <w:sz w:val="20"/>
                <w:szCs w:val="20"/>
                <w:u w:val="single"/>
              </w:rPr>
              <w:t>142</w:t>
            </w:r>
          </w:p>
        </w:tc>
        <w:tc>
          <w:tcPr>
            <w:tcW w:w="1080"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硫酸镍皂化原液泵</w:t>
            </w:r>
          </w:p>
        </w:tc>
        <w:tc>
          <w:tcPr>
            <w:tcW w:w="1842"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磁力泵CQB25-20-100F</w:t>
            </w:r>
          </w:p>
        </w:tc>
        <w:tc>
          <w:tcPr>
            <w:tcW w:w="818"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台</w:t>
            </w:r>
          </w:p>
        </w:tc>
        <w:tc>
          <w:tcPr>
            <w:tcW w:w="531" w:type="pct"/>
            <w:shd w:val="clear" w:color="auto" w:fill="auto"/>
            <w:vAlign w:val="center"/>
          </w:tcPr>
          <w:p>
            <w:pPr>
              <w:widowControl/>
              <w:jc w:val="center"/>
              <w:rPr>
                <w:rFonts w:ascii="Times New Roman" w:hAnsi="Times New Roman" w:cs="Times New Roman"/>
                <w:kern w:val="0"/>
                <w:sz w:val="20"/>
                <w:szCs w:val="20"/>
                <w:u w:val="single"/>
              </w:rPr>
            </w:pPr>
            <w:r>
              <w:rPr>
                <w:rFonts w:ascii="Times New Roman" w:hAnsi="Times New Roman" w:cs="Times New Roman"/>
                <w:kern w:val="0"/>
                <w:sz w:val="20"/>
                <w:szCs w:val="20"/>
                <w:u w:val="single"/>
              </w:rPr>
              <w:t>4</w:t>
            </w:r>
          </w:p>
        </w:tc>
      </w:tr>
    </w:tbl>
    <w:p>
      <w:pPr>
        <w:pStyle w:val="6"/>
        <w:rPr>
          <w:rFonts w:ascii="Times New Roman" w:hAnsi="Times New Roman" w:cs="Times New Roman"/>
        </w:rPr>
      </w:pPr>
      <w:r>
        <w:rPr>
          <w:rFonts w:ascii="Times New Roman" w:hAnsi="Times New Roman" w:cs="Times New Roman"/>
        </w:rPr>
        <w:t>表3.1-</w:t>
      </w:r>
      <w:r>
        <w:rPr>
          <w:rFonts w:hint="eastAsia" w:ascii="Times New Roman" w:hAnsi="Times New Roman" w:cs="Times New Roman"/>
        </w:rPr>
        <w:t>10</w:t>
      </w:r>
      <w:r>
        <w:rPr>
          <w:rFonts w:ascii="Times New Roman" w:hAnsi="Times New Roman" w:cs="Times New Roman"/>
        </w:rPr>
        <w:t xml:space="preserve">  本项目主要设备一览表——晶体车间</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63"/>
        <w:gridCol w:w="2948"/>
        <w:gridCol w:w="2357"/>
        <w:gridCol w:w="1180"/>
        <w:gridCol w:w="9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3" w:type="pct"/>
            <w:vAlign w:val="center"/>
          </w:tcPr>
          <w:p>
            <w:pPr>
              <w:pStyle w:val="63"/>
              <w:rPr>
                <w:u w:val="single"/>
              </w:rPr>
            </w:pPr>
            <w:r>
              <w:rPr>
                <w:u w:val="single"/>
              </w:rPr>
              <w:t>序号</w:t>
            </w:r>
          </w:p>
        </w:tc>
        <w:tc>
          <w:tcPr>
            <w:tcW w:w="1728" w:type="pct"/>
            <w:vAlign w:val="center"/>
          </w:tcPr>
          <w:p>
            <w:pPr>
              <w:pStyle w:val="63"/>
              <w:rPr>
                <w:u w:val="single"/>
              </w:rPr>
            </w:pPr>
            <w:r>
              <w:rPr>
                <w:u w:val="single"/>
              </w:rPr>
              <w:t>设备名称</w:t>
            </w:r>
          </w:p>
        </w:tc>
        <w:tc>
          <w:tcPr>
            <w:tcW w:w="1382" w:type="pct"/>
            <w:vAlign w:val="center"/>
          </w:tcPr>
          <w:p>
            <w:pPr>
              <w:pStyle w:val="63"/>
              <w:rPr>
                <w:u w:val="single"/>
              </w:rPr>
            </w:pPr>
            <w:r>
              <w:rPr>
                <w:u w:val="single"/>
              </w:rPr>
              <w:t>型号规格</w:t>
            </w:r>
          </w:p>
        </w:tc>
        <w:tc>
          <w:tcPr>
            <w:tcW w:w="692" w:type="pct"/>
            <w:vAlign w:val="center"/>
          </w:tcPr>
          <w:p>
            <w:pPr>
              <w:pStyle w:val="63"/>
              <w:rPr>
                <w:u w:val="single"/>
              </w:rPr>
            </w:pPr>
            <w:r>
              <w:rPr>
                <w:u w:val="single"/>
              </w:rPr>
              <w:t>单位</w:t>
            </w:r>
          </w:p>
        </w:tc>
        <w:tc>
          <w:tcPr>
            <w:tcW w:w="575" w:type="pct"/>
            <w:vAlign w:val="center"/>
          </w:tcPr>
          <w:p>
            <w:pPr>
              <w:pStyle w:val="63"/>
              <w:rPr>
                <w:u w:val="single"/>
              </w:rPr>
            </w:pPr>
            <w:r>
              <w:rPr>
                <w:u w:val="single"/>
              </w:rP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3" w:type="pct"/>
            <w:vAlign w:val="center"/>
          </w:tcPr>
          <w:p>
            <w:pPr>
              <w:pStyle w:val="63"/>
              <w:rPr>
                <w:u w:val="single"/>
              </w:rPr>
            </w:pPr>
            <w:r>
              <w:rPr>
                <w:u w:val="single"/>
              </w:rPr>
              <w:t>1</w:t>
            </w:r>
          </w:p>
        </w:tc>
        <w:tc>
          <w:tcPr>
            <w:tcW w:w="1728" w:type="pct"/>
            <w:vAlign w:val="center"/>
          </w:tcPr>
          <w:p>
            <w:pPr>
              <w:pStyle w:val="63"/>
              <w:rPr>
                <w:u w:val="single"/>
              </w:rPr>
            </w:pPr>
            <w:r>
              <w:rPr>
                <w:sz w:val="20"/>
                <w:szCs w:val="20"/>
                <w:u w:val="single"/>
              </w:rPr>
              <w:t>配碱槽</w:t>
            </w:r>
          </w:p>
        </w:tc>
        <w:tc>
          <w:tcPr>
            <w:tcW w:w="1382" w:type="pct"/>
            <w:vAlign w:val="center"/>
          </w:tcPr>
          <w:p>
            <w:pPr>
              <w:pStyle w:val="63"/>
              <w:rPr>
                <w:u w:val="single"/>
              </w:rPr>
            </w:pPr>
            <w:r>
              <w:rPr>
                <w:sz w:val="20"/>
                <w:szCs w:val="20"/>
                <w:u w:val="single"/>
              </w:rPr>
              <w:t>Φ3500×3200</w:t>
            </w:r>
          </w:p>
        </w:tc>
        <w:tc>
          <w:tcPr>
            <w:tcW w:w="692" w:type="pct"/>
            <w:vAlign w:val="center"/>
          </w:tcPr>
          <w:p>
            <w:pPr>
              <w:pStyle w:val="63"/>
              <w:rPr>
                <w:u w:val="single"/>
              </w:rPr>
            </w:pPr>
            <w:r>
              <w:rPr>
                <w:sz w:val="20"/>
                <w:szCs w:val="20"/>
                <w:u w:val="single"/>
              </w:rPr>
              <w:t>个</w:t>
            </w:r>
          </w:p>
        </w:tc>
        <w:tc>
          <w:tcPr>
            <w:tcW w:w="575" w:type="pct"/>
            <w:vAlign w:val="center"/>
          </w:tcPr>
          <w:p>
            <w:pPr>
              <w:pStyle w:val="63"/>
              <w:rPr>
                <w:u w:val="single"/>
              </w:rPr>
            </w:pPr>
            <w:r>
              <w:rPr>
                <w:sz w:val="20"/>
                <w:szCs w:val="20"/>
                <w:u w:val="single"/>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3" w:type="pct"/>
            <w:vAlign w:val="center"/>
          </w:tcPr>
          <w:p>
            <w:pPr>
              <w:pStyle w:val="63"/>
              <w:rPr>
                <w:u w:val="single"/>
              </w:rPr>
            </w:pPr>
            <w:r>
              <w:rPr>
                <w:u w:val="single"/>
              </w:rPr>
              <w:t>2</w:t>
            </w:r>
          </w:p>
        </w:tc>
        <w:tc>
          <w:tcPr>
            <w:tcW w:w="1728" w:type="pct"/>
            <w:vAlign w:val="center"/>
          </w:tcPr>
          <w:p>
            <w:pPr>
              <w:pStyle w:val="63"/>
              <w:rPr>
                <w:u w:val="single"/>
              </w:rPr>
            </w:pPr>
            <w:r>
              <w:rPr>
                <w:sz w:val="20"/>
                <w:szCs w:val="20"/>
                <w:u w:val="single"/>
              </w:rPr>
              <w:t>配碱压滤机</w:t>
            </w:r>
          </w:p>
        </w:tc>
        <w:tc>
          <w:tcPr>
            <w:tcW w:w="1382" w:type="pct"/>
            <w:vAlign w:val="center"/>
          </w:tcPr>
          <w:p>
            <w:pPr>
              <w:pStyle w:val="63"/>
              <w:rPr>
                <w:u w:val="single"/>
              </w:rPr>
            </w:pPr>
            <w:r>
              <w:rPr>
                <w:sz w:val="20"/>
                <w:szCs w:val="20"/>
                <w:u w:val="single"/>
              </w:rPr>
              <w:t>100㎡</w:t>
            </w:r>
          </w:p>
        </w:tc>
        <w:tc>
          <w:tcPr>
            <w:tcW w:w="692" w:type="pct"/>
            <w:vAlign w:val="center"/>
          </w:tcPr>
          <w:p>
            <w:pPr>
              <w:pStyle w:val="63"/>
              <w:rPr>
                <w:u w:val="single"/>
              </w:rPr>
            </w:pPr>
            <w:r>
              <w:rPr>
                <w:sz w:val="20"/>
                <w:szCs w:val="20"/>
                <w:u w:val="single"/>
              </w:rPr>
              <w:t>个</w:t>
            </w:r>
          </w:p>
        </w:tc>
        <w:tc>
          <w:tcPr>
            <w:tcW w:w="575" w:type="pct"/>
            <w:vAlign w:val="center"/>
          </w:tcPr>
          <w:p>
            <w:pPr>
              <w:pStyle w:val="63"/>
              <w:rPr>
                <w:u w:val="single"/>
              </w:rPr>
            </w:pPr>
            <w:r>
              <w:rPr>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3" w:type="pct"/>
            <w:vAlign w:val="center"/>
          </w:tcPr>
          <w:p>
            <w:pPr>
              <w:pStyle w:val="63"/>
              <w:rPr>
                <w:u w:val="single"/>
              </w:rPr>
            </w:pPr>
            <w:r>
              <w:rPr>
                <w:u w:val="single"/>
              </w:rPr>
              <w:t>3</w:t>
            </w:r>
          </w:p>
        </w:tc>
        <w:tc>
          <w:tcPr>
            <w:tcW w:w="1728" w:type="pct"/>
            <w:vAlign w:val="center"/>
          </w:tcPr>
          <w:p>
            <w:pPr>
              <w:pStyle w:val="63"/>
              <w:rPr>
                <w:u w:val="single"/>
              </w:rPr>
            </w:pPr>
            <w:r>
              <w:rPr>
                <w:sz w:val="20"/>
                <w:szCs w:val="20"/>
                <w:u w:val="single"/>
              </w:rPr>
              <w:t>锂液精密过滤器</w:t>
            </w:r>
          </w:p>
        </w:tc>
        <w:tc>
          <w:tcPr>
            <w:tcW w:w="1382" w:type="pct"/>
            <w:vAlign w:val="center"/>
          </w:tcPr>
          <w:p>
            <w:pPr>
              <w:pStyle w:val="63"/>
              <w:rPr>
                <w:u w:val="single"/>
              </w:rPr>
            </w:pPr>
            <w:r>
              <w:rPr>
                <w:sz w:val="20"/>
                <w:szCs w:val="20"/>
                <w:u w:val="single"/>
              </w:rPr>
              <w:t>20m³/h</w:t>
            </w:r>
          </w:p>
        </w:tc>
        <w:tc>
          <w:tcPr>
            <w:tcW w:w="692" w:type="pct"/>
            <w:vAlign w:val="center"/>
          </w:tcPr>
          <w:p>
            <w:pPr>
              <w:pStyle w:val="63"/>
              <w:rPr>
                <w:u w:val="single"/>
              </w:rPr>
            </w:pPr>
            <w:r>
              <w:rPr>
                <w:sz w:val="20"/>
                <w:szCs w:val="20"/>
                <w:u w:val="single"/>
              </w:rPr>
              <w:t>台</w:t>
            </w:r>
          </w:p>
        </w:tc>
        <w:tc>
          <w:tcPr>
            <w:tcW w:w="575" w:type="pct"/>
            <w:vAlign w:val="center"/>
          </w:tcPr>
          <w:p>
            <w:pPr>
              <w:pStyle w:val="63"/>
              <w:rPr>
                <w:u w:val="single"/>
              </w:rPr>
            </w:pPr>
            <w:r>
              <w:rPr>
                <w:sz w:val="20"/>
                <w:szCs w:val="20"/>
                <w:u w:val="single"/>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3" w:type="pct"/>
            <w:vAlign w:val="center"/>
          </w:tcPr>
          <w:p>
            <w:pPr>
              <w:pStyle w:val="63"/>
              <w:rPr>
                <w:u w:val="single"/>
              </w:rPr>
            </w:pPr>
            <w:r>
              <w:rPr>
                <w:u w:val="single"/>
              </w:rPr>
              <w:t>4</w:t>
            </w:r>
          </w:p>
        </w:tc>
        <w:tc>
          <w:tcPr>
            <w:tcW w:w="1728" w:type="pct"/>
            <w:vAlign w:val="center"/>
          </w:tcPr>
          <w:p>
            <w:pPr>
              <w:pStyle w:val="63"/>
              <w:rPr>
                <w:u w:val="single"/>
              </w:rPr>
            </w:pPr>
            <w:r>
              <w:rPr>
                <w:sz w:val="20"/>
                <w:szCs w:val="20"/>
                <w:u w:val="single"/>
              </w:rPr>
              <w:t>碱液加热槽</w:t>
            </w:r>
          </w:p>
        </w:tc>
        <w:tc>
          <w:tcPr>
            <w:tcW w:w="1382" w:type="pct"/>
            <w:vAlign w:val="center"/>
          </w:tcPr>
          <w:p>
            <w:pPr>
              <w:pStyle w:val="63"/>
              <w:rPr>
                <w:u w:val="single"/>
              </w:rPr>
            </w:pPr>
            <w:r>
              <w:rPr>
                <w:sz w:val="20"/>
                <w:szCs w:val="20"/>
                <w:u w:val="single"/>
              </w:rPr>
              <w:t>Φ3500×3200</w:t>
            </w:r>
          </w:p>
        </w:tc>
        <w:tc>
          <w:tcPr>
            <w:tcW w:w="692" w:type="pct"/>
            <w:vAlign w:val="center"/>
          </w:tcPr>
          <w:p>
            <w:pPr>
              <w:pStyle w:val="63"/>
              <w:rPr>
                <w:u w:val="single"/>
              </w:rPr>
            </w:pPr>
            <w:r>
              <w:rPr>
                <w:sz w:val="20"/>
                <w:szCs w:val="20"/>
                <w:u w:val="single"/>
              </w:rPr>
              <w:t>个</w:t>
            </w:r>
          </w:p>
        </w:tc>
        <w:tc>
          <w:tcPr>
            <w:tcW w:w="575" w:type="pct"/>
            <w:vAlign w:val="center"/>
          </w:tcPr>
          <w:p>
            <w:pPr>
              <w:pStyle w:val="63"/>
              <w:rPr>
                <w:u w:val="single"/>
              </w:rPr>
            </w:pPr>
            <w:r>
              <w:rPr>
                <w:sz w:val="20"/>
                <w:szCs w:val="20"/>
                <w:u w:val="single"/>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3" w:type="pct"/>
            <w:vAlign w:val="center"/>
          </w:tcPr>
          <w:p>
            <w:pPr>
              <w:pStyle w:val="63"/>
              <w:rPr>
                <w:u w:val="single"/>
              </w:rPr>
            </w:pPr>
            <w:r>
              <w:rPr>
                <w:u w:val="single"/>
              </w:rPr>
              <w:t>5</w:t>
            </w:r>
          </w:p>
        </w:tc>
        <w:tc>
          <w:tcPr>
            <w:tcW w:w="1728" w:type="pct"/>
            <w:vAlign w:val="center"/>
          </w:tcPr>
          <w:p>
            <w:pPr>
              <w:pStyle w:val="63"/>
              <w:rPr>
                <w:u w:val="single"/>
              </w:rPr>
            </w:pPr>
            <w:r>
              <w:rPr>
                <w:sz w:val="20"/>
                <w:szCs w:val="20"/>
                <w:u w:val="single"/>
              </w:rPr>
              <w:t>锂液加热槽</w:t>
            </w:r>
          </w:p>
        </w:tc>
        <w:tc>
          <w:tcPr>
            <w:tcW w:w="1382" w:type="pct"/>
            <w:vAlign w:val="center"/>
          </w:tcPr>
          <w:p>
            <w:pPr>
              <w:pStyle w:val="63"/>
              <w:rPr>
                <w:u w:val="single"/>
              </w:rPr>
            </w:pPr>
            <w:r>
              <w:rPr>
                <w:sz w:val="20"/>
                <w:szCs w:val="20"/>
                <w:u w:val="single"/>
              </w:rPr>
              <w:t>Φ3500×3200</w:t>
            </w:r>
          </w:p>
        </w:tc>
        <w:tc>
          <w:tcPr>
            <w:tcW w:w="692" w:type="pct"/>
            <w:vAlign w:val="center"/>
          </w:tcPr>
          <w:p>
            <w:pPr>
              <w:pStyle w:val="63"/>
              <w:rPr>
                <w:u w:val="single"/>
              </w:rPr>
            </w:pPr>
            <w:r>
              <w:rPr>
                <w:sz w:val="20"/>
                <w:szCs w:val="20"/>
                <w:u w:val="single"/>
              </w:rPr>
              <w:t>个</w:t>
            </w:r>
          </w:p>
        </w:tc>
        <w:tc>
          <w:tcPr>
            <w:tcW w:w="575" w:type="pct"/>
            <w:vAlign w:val="center"/>
          </w:tcPr>
          <w:p>
            <w:pPr>
              <w:pStyle w:val="63"/>
              <w:rPr>
                <w:u w:val="single"/>
              </w:rPr>
            </w:pPr>
            <w:r>
              <w:rPr>
                <w:sz w:val="20"/>
                <w:szCs w:val="20"/>
                <w:u w:val="single"/>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3" w:type="pct"/>
            <w:vAlign w:val="center"/>
          </w:tcPr>
          <w:p>
            <w:pPr>
              <w:pStyle w:val="63"/>
              <w:rPr>
                <w:u w:val="single"/>
              </w:rPr>
            </w:pPr>
            <w:r>
              <w:rPr>
                <w:u w:val="single"/>
              </w:rPr>
              <w:t>6</w:t>
            </w:r>
          </w:p>
        </w:tc>
        <w:tc>
          <w:tcPr>
            <w:tcW w:w="1728" w:type="pct"/>
            <w:vAlign w:val="center"/>
          </w:tcPr>
          <w:p>
            <w:pPr>
              <w:pStyle w:val="63"/>
              <w:rPr>
                <w:u w:val="single"/>
              </w:rPr>
            </w:pPr>
            <w:r>
              <w:rPr>
                <w:sz w:val="20"/>
                <w:szCs w:val="20"/>
                <w:u w:val="single"/>
              </w:rPr>
              <w:t>洗水加热槽</w:t>
            </w:r>
          </w:p>
        </w:tc>
        <w:tc>
          <w:tcPr>
            <w:tcW w:w="1382" w:type="pct"/>
            <w:vAlign w:val="center"/>
          </w:tcPr>
          <w:p>
            <w:pPr>
              <w:pStyle w:val="63"/>
              <w:rPr>
                <w:u w:val="single"/>
              </w:rPr>
            </w:pPr>
            <w:r>
              <w:rPr>
                <w:sz w:val="20"/>
                <w:szCs w:val="20"/>
                <w:u w:val="single"/>
              </w:rPr>
              <w:t>Φ3500×3200</w:t>
            </w:r>
          </w:p>
        </w:tc>
        <w:tc>
          <w:tcPr>
            <w:tcW w:w="692" w:type="pct"/>
            <w:vAlign w:val="center"/>
          </w:tcPr>
          <w:p>
            <w:pPr>
              <w:pStyle w:val="63"/>
              <w:rPr>
                <w:u w:val="single"/>
              </w:rPr>
            </w:pPr>
            <w:r>
              <w:rPr>
                <w:sz w:val="20"/>
                <w:szCs w:val="20"/>
                <w:u w:val="single"/>
              </w:rPr>
              <w:t>个</w:t>
            </w:r>
          </w:p>
        </w:tc>
        <w:tc>
          <w:tcPr>
            <w:tcW w:w="575" w:type="pct"/>
            <w:vAlign w:val="center"/>
          </w:tcPr>
          <w:p>
            <w:pPr>
              <w:pStyle w:val="63"/>
              <w:rPr>
                <w:u w:val="single"/>
              </w:rPr>
            </w:pPr>
            <w:r>
              <w:rPr>
                <w:sz w:val="20"/>
                <w:szCs w:val="20"/>
                <w:u w:val="single"/>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3" w:type="pct"/>
            <w:vAlign w:val="center"/>
          </w:tcPr>
          <w:p>
            <w:pPr>
              <w:pStyle w:val="63"/>
              <w:rPr>
                <w:u w:val="single"/>
              </w:rPr>
            </w:pPr>
            <w:r>
              <w:rPr>
                <w:u w:val="single"/>
              </w:rPr>
              <w:t>7</w:t>
            </w:r>
          </w:p>
        </w:tc>
        <w:tc>
          <w:tcPr>
            <w:tcW w:w="1728" w:type="pct"/>
            <w:vAlign w:val="center"/>
          </w:tcPr>
          <w:p>
            <w:pPr>
              <w:pStyle w:val="63"/>
              <w:rPr>
                <w:u w:val="single"/>
              </w:rPr>
            </w:pPr>
            <w:r>
              <w:rPr>
                <w:sz w:val="20"/>
                <w:szCs w:val="20"/>
                <w:u w:val="single"/>
              </w:rPr>
              <w:t>碳酸锂反应槽</w:t>
            </w:r>
          </w:p>
        </w:tc>
        <w:tc>
          <w:tcPr>
            <w:tcW w:w="1382" w:type="pct"/>
            <w:vAlign w:val="center"/>
          </w:tcPr>
          <w:p>
            <w:pPr>
              <w:pStyle w:val="63"/>
              <w:rPr>
                <w:u w:val="single"/>
              </w:rPr>
            </w:pPr>
            <w:r>
              <w:rPr>
                <w:sz w:val="20"/>
                <w:szCs w:val="20"/>
                <w:u w:val="single"/>
              </w:rPr>
              <w:t>Φ2800×3000</w:t>
            </w:r>
          </w:p>
        </w:tc>
        <w:tc>
          <w:tcPr>
            <w:tcW w:w="692" w:type="pct"/>
            <w:vAlign w:val="center"/>
          </w:tcPr>
          <w:p>
            <w:pPr>
              <w:pStyle w:val="63"/>
              <w:rPr>
                <w:u w:val="single"/>
              </w:rPr>
            </w:pPr>
            <w:r>
              <w:rPr>
                <w:sz w:val="20"/>
                <w:szCs w:val="20"/>
                <w:u w:val="single"/>
              </w:rPr>
              <w:t>个</w:t>
            </w:r>
          </w:p>
        </w:tc>
        <w:tc>
          <w:tcPr>
            <w:tcW w:w="575" w:type="pct"/>
            <w:vAlign w:val="center"/>
          </w:tcPr>
          <w:p>
            <w:pPr>
              <w:pStyle w:val="63"/>
              <w:rPr>
                <w:u w:val="single"/>
              </w:rPr>
            </w:pPr>
            <w:r>
              <w:rPr>
                <w:sz w:val="20"/>
                <w:szCs w:val="20"/>
                <w:u w:val="single"/>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3" w:type="pct"/>
            <w:vAlign w:val="center"/>
          </w:tcPr>
          <w:p>
            <w:pPr>
              <w:pStyle w:val="63"/>
              <w:rPr>
                <w:u w:val="single"/>
              </w:rPr>
            </w:pPr>
            <w:r>
              <w:rPr>
                <w:u w:val="single"/>
              </w:rPr>
              <w:t>8</w:t>
            </w:r>
          </w:p>
        </w:tc>
        <w:tc>
          <w:tcPr>
            <w:tcW w:w="1728" w:type="pct"/>
            <w:vAlign w:val="center"/>
          </w:tcPr>
          <w:p>
            <w:pPr>
              <w:pStyle w:val="63"/>
              <w:rPr>
                <w:u w:val="single"/>
              </w:rPr>
            </w:pPr>
            <w:r>
              <w:rPr>
                <w:sz w:val="20"/>
                <w:szCs w:val="20"/>
                <w:u w:val="single"/>
              </w:rPr>
              <w:t>碳酸过滤离心机</w:t>
            </w:r>
          </w:p>
        </w:tc>
        <w:tc>
          <w:tcPr>
            <w:tcW w:w="1382" w:type="pct"/>
            <w:vAlign w:val="center"/>
          </w:tcPr>
          <w:p>
            <w:pPr>
              <w:pStyle w:val="63"/>
              <w:rPr>
                <w:u w:val="single"/>
              </w:rPr>
            </w:pPr>
            <w:r>
              <w:rPr>
                <w:sz w:val="20"/>
                <w:szCs w:val="20"/>
                <w:u w:val="single"/>
              </w:rPr>
              <w:t>400kg/h</w:t>
            </w:r>
          </w:p>
        </w:tc>
        <w:tc>
          <w:tcPr>
            <w:tcW w:w="692" w:type="pct"/>
            <w:vAlign w:val="center"/>
          </w:tcPr>
          <w:p>
            <w:pPr>
              <w:pStyle w:val="63"/>
              <w:rPr>
                <w:u w:val="single"/>
              </w:rPr>
            </w:pPr>
            <w:r>
              <w:rPr>
                <w:sz w:val="20"/>
                <w:szCs w:val="20"/>
                <w:u w:val="single"/>
              </w:rPr>
              <w:t>台</w:t>
            </w:r>
          </w:p>
        </w:tc>
        <w:tc>
          <w:tcPr>
            <w:tcW w:w="575" w:type="pct"/>
            <w:vAlign w:val="center"/>
          </w:tcPr>
          <w:p>
            <w:pPr>
              <w:pStyle w:val="63"/>
              <w:rPr>
                <w:u w:val="single"/>
              </w:rPr>
            </w:pPr>
            <w:r>
              <w:rPr>
                <w:sz w:val="20"/>
                <w:szCs w:val="20"/>
                <w:u w:val="single"/>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3" w:type="pct"/>
            <w:vAlign w:val="center"/>
          </w:tcPr>
          <w:p>
            <w:pPr>
              <w:pStyle w:val="63"/>
              <w:rPr>
                <w:u w:val="single"/>
              </w:rPr>
            </w:pPr>
            <w:r>
              <w:rPr>
                <w:u w:val="single"/>
              </w:rPr>
              <w:t>9</w:t>
            </w:r>
          </w:p>
        </w:tc>
        <w:tc>
          <w:tcPr>
            <w:tcW w:w="1728" w:type="pct"/>
            <w:vAlign w:val="center"/>
          </w:tcPr>
          <w:p>
            <w:pPr>
              <w:pStyle w:val="63"/>
              <w:rPr>
                <w:u w:val="single"/>
              </w:rPr>
            </w:pPr>
            <w:r>
              <w:rPr>
                <w:sz w:val="20"/>
                <w:szCs w:val="20"/>
                <w:u w:val="single"/>
              </w:rPr>
              <w:t>碳酸锂洗涤离心机</w:t>
            </w:r>
          </w:p>
        </w:tc>
        <w:tc>
          <w:tcPr>
            <w:tcW w:w="1382" w:type="pct"/>
            <w:vAlign w:val="center"/>
          </w:tcPr>
          <w:p>
            <w:pPr>
              <w:pStyle w:val="63"/>
              <w:rPr>
                <w:u w:val="single"/>
              </w:rPr>
            </w:pPr>
            <w:r>
              <w:rPr>
                <w:sz w:val="20"/>
                <w:szCs w:val="20"/>
                <w:u w:val="single"/>
              </w:rPr>
              <w:t>400kg/h</w:t>
            </w:r>
          </w:p>
        </w:tc>
        <w:tc>
          <w:tcPr>
            <w:tcW w:w="692" w:type="pct"/>
            <w:vAlign w:val="center"/>
          </w:tcPr>
          <w:p>
            <w:pPr>
              <w:pStyle w:val="63"/>
              <w:rPr>
                <w:u w:val="single"/>
              </w:rPr>
            </w:pPr>
            <w:r>
              <w:rPr>
                <w:sz w:val="20"/>
                <w:szCs w:val="20"/>
                <w:u w:val="single"/>
              </w:rPr>
              <w:t>台</w:t>
            </w:r>
          </w:p>
        </w:tc>
        <w:tc>
          <w:tcPr>
            <w:tcW w:w="575" w:type="pct"/>
            <w:vAlign w:val="center"/>
          </w:tcPr>
          <w:p>
            <w:pPr>
              <w:pStyle w:val="63"/>
              <w:rPr>
                <w:u w:val="single"/>
              </w:rPr>
            </w:pPr>
            <w:r>
              <w:rPr>
                <w:sz w:val="20"/>
                <w:szCs w:val="20"/>
                <w:u w:val="single"/>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3" w:type="pct"/>
            <w:vAlign w:val="center"/>
          </w:tcPr>
          <w:p>
            <w:pPr>
              <w:pStyle w:val="63"/>
              <w:rPr>
                <w:u w:val="single"/>
              </w:rPr>
            </w:pPr>
            <w:r>
              <w:rPr>
                <w:u w:val="single"/>
              </w:rPr>
              <w:t>10</w:t>
            </w:r>
          </w:p>
        </w:tc>
        <w:tc>
          <w:tcPr>
            <w:tcW w:w="1728" w:type="pct"/>
            <w:vAlign w:val="center"/>
          </w:tcPr>
          <w:p>
            <w:pPr>
              <w:pStyle w:val="63"/>
              <w:rPr>
                <w:u w:val="single"/>
              </w:rPr>
            </w:pPr>
            <w:r>
              <w:rPr>
                <w:sz w:val="20"/>
                <w:szCs w:val="20"/>
                <w:u w:val="single"/>
              </w:rPr>
              <w:t>母液槽</w:t>
            </w:r>
          </w:p>
        </w:tc>
        <w:tc>
          <w:tcPr>
            <w:tcW w:w="1382" w:type="pct"/>
            <w:vAlign w:val="center"/>
          </w:tcPr>
          <w:p>
            <w:pPr>
              <w:pStyle w:val="63"/>
              <w:rPr>
                <w:u w:val="single"/>
              </w:rPr>
            </w:pPr>
            <w:r>
              <w:rPr>
                <w:sz w:val="20"/>
                <w:szCs w:val="20"/>
                <w:u w:val="single"/>
              </w:rPr>
              <w:t>Φ3500×3200</w:t>
            </w:r>
          </w:p>
        </w:tc>
        <w:tc>
          <w:tcPr>
            <w:tcW w:w="692" w:type="pct"/>
            <w:vAlign w:val="center"/>
          </w:tcPr>
          <w:p>
            <w:pPr>
              <w:pStyle w:val="63"/>
              <w:rPr>
                <w:u w:val="single"/>
              </w:rPr>
            </w:pPr>
            <w:r>
              <w:rPr>
                <w:sz w:val="20"/>
                <w:szCs w:val="20"/>
                <w:u w:val="single"/>
              </w:rPr>
              <w:t>个</w:t>
            </w:r>
          </w:p>
        </w:tc>
        <w:tc>
          <w:tcPr>
            <w:tcW w:w="575" w:type="pct"/>
            <w:vAlign w:val="center"/>
          </w:tcPr>
          <w:p>
            <w:pPr>
              <w:pStyle w:val="63"/>
              <w:rPr>
                <w:u w:val="single"/>
              </w:rPr>
            </w:pPr>
            <w:r>
              <w:rPr>
                <w:sz w:val="20"/>
                <w:szCs w:val="20"/>
                <w:u w:val="single"/>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3" w:type="pct"/>
            <w:vAlign w:val="center"/>
          </w:tcPr>
          <w:p>
            <w:pPr>
              <w:pStyle w:val="63"/>
              <w:rPr>
                <w:u w:val="single"/>
              </w:rPr>
            </w:pPr>
            <w:r>
              <w:rPr>
                <w:u w:val="single"/>
              </w:rPr>
              <w:t>11</w:t>
            </w:r>
          </w:p>
        </w:tc>
        <w:tc>
          <w:tcPr>
            <w:tcW w:w="1728" w:type="pct"/>
            <w:vAlign w:val="center"/>
          </w:tcPr>
          <w:p>
            <w:pPr>
              <w:pStyle w:val="63"/>
              <w:rPr>
                <w:u w:val="single"/>
              </w:rPr>
            </w:pPr>
            <w:r>
              <w:rPr>
                <w:sz w:val="20"/>
                <w:szCs w:val="20"/>
                <w:u w:val="single"/>
              </w:rPr>
              <w:t>洗水槽</w:t>
            </w:r>
          </w:p>
        </w:tc>
        <w:tc>
          <w:tcPr>
            <w:tcW w:w="1382" w:type="pct"/>
            <w:vAlign w:val="center"/>
          </w:tcPr>
          <w:p>
            <w:pPr>
              <w:pStyle w:val="63"/>
              <w:rPr>
                <w:u w:val="single"/>
              </w:rPr>
            </w:pPr>
            <w:r>
              <w:rPr>
                <w:sz w:val="20"/>
                <w:szCs w:val="20"/>
                <w:u w:val="single"/>
              </w:rPr>
              <w:t>Φ3500×3200</w:t>
            </w:r>
          </w:p>
        </w:tc>
        <w:tc>
          <w:tcPr>
            <w:tcW w:w="692" w:type="pct"/>
            <w:vAlign w:val="center"/>
          </w:tcPr>
          <w:p>
            <w:pPr>
              <w:pStyle w:val="63"/>
              <w:rPr>
                <w:u w:val="single"/>
              </w:rPr>
            </w:pPr>
            <w:r>
              <w:rPr>
                <w:sz w:val="20"/>
                <w:szCs w:val="20"/>
                <w:u w:val="single"/>
              </w:rPr>
              <w:t>个</w:t>
            </w:r>
          </w:p>
        </w:tc>
        <w:tc>
          <w:tcPr>
            <w:tcW w:w="575" w:type="pct"/>
            <w:vAlign w:val="center"/>
          </w:tcPr>
          <w:p>
            <w:pPr>
              <w:pStyle w:val="63"/>
              <w:rPr>
                <w:u w:val="single"/>
              </w:rPr>
            </w:pPr>
            <w:r>
              <w:rPr>
                <w:sz w:val="20"/>
                <w:szCs w:val="20"/>
                <w:u w:val="single"/>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3" w:type="pct"/>
            <w:vAlign w:val="center"/>
          </w:tcPr>
          <w:p>
            <w:pPr>
              <w:pStyle w:val="63"/>
              <w:rPr>
                <w:u w:val="single"/>
              </w:rPr>
            </w:pPr>
            <w:r>
              <w:rPr>
                <w:u w:val="single"/>
              </w:rPr>
              <w:t>12</w:t>
            </w:r>
          </w:p>
        </w:tc>
        <w:tc>
          <w:tcPr>
            <w:tcW w:w="1728" w:type="pct"/>
            <w:vAlign w:val="center"/>
          </w:tcPr>
          <w:p>
            <w:pPr>
              <w:pStyle w:val="63"/>
              <w:rPr>
                <w:sz w:val="20"/>
                <w:szCs w:val="20"/>
                <w:u w:val="single"/>
              </w:rPr>
            </w:pPr>
            <w:r>
              <w:rPr>
                <w:sz w:val="20"/>
                <w:szCs w:val="20"/>
                <w:u w:val="single"/>
              </w:rPr>
              <w:t>化工泵</w:t>
            </w:r>
          </w:p>
        </w:tc>
        <w:tc>
          <w:tcPr>
            <w:tcW w:w="1382" w:type="pct"/>
            <w:vAlign w:val="center"/>
          </w:tcPr>
          <w:p>
            <w:pPr>
              <w:pStyle w:val="63"/>
              <w:rPr>
                <w:sz w:val="20"/>
                <w:szCs w:val="20"/>
                <w:u w:val="single"/>
              </w:rPr>
            </w:pPr>
          </w:p>
        </w:tc>
        <w:tc>
          <w:tcPr>
            <w:tcW w:w="692" w:type="pct"/>
            <w:vAlign w:val="center"/>
          </w:tcPr>
          <w:p>
            <w:pPr>
              <w:pStyle w:val="63"/>
              <w:rPr>
                <w:sz w:val="20"/>
                <w:szCs w:val="20"/>
                <w:u w:val="single"/>
              </w:rPr>
            </w:pPr>
            <w:r>
              <w:rPr>
                <w:sz w:val="20"/>
                <w:szCs w:val="20"/>
                <w:u w:val="single"/>
              </w:rPr>
              <w:t>台</w:t>
            </w:r>
          </w:p>
        </w:tc>
        <w:tc>
          <w:tcPr>
            <w:tcW w:w="575" w:type="pct"/>
            <w:vAlign w:val="center"/>
          </w:tcPr>
          <w:p>
            <w:pPr>
              <w:pStyle w:val="63"/>
              <w:rPr>
                <w:sz w:val="20"/>
                <w:szCs w:val="20"/>
                <w:u w:val="single"/>
              </w:rPr>
            </w:pPr>
            <w:r>
              <w:rPr>
                <w:sz w:val="20"/>
                <w:szCs w:val="20"/>
                <w:u w:val="single"/>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3" w:type="pct"/>
            <w:vAlign w:val="center"/>
          </w:tcPr>
          <w:p>
            <w:pPr>
              <w:pStyle w:val="63"/>
              <w:rPr>
                <w:u w:val="single"/>
              </w:rPr>
            </w:pPr>
            <w:r>
              <w:rPr>
                <w:u w:val="single"/>
              </w:rPr>
              <w:t>13</w:t>
            </w:r>
          </w:p>
        </w:tc>
        <w:tc>
          <w:tcPr>
            <w:tcW w:w="1728" w:type="pct"/>
            <w:vAlign w:val="center"/>
          </w:tcPr>
          <w:p>
            <w:pPr>
              <w:pStyle w:val="63"/>
              <w:rPr>
                <w:sz w:val="20"/>
                <w:szCs w:val="20"/>
                <w:u w:val="single"/>
              </w:rPr>
            </w:pPr>
            <w:r>
              <w:rPr>
                <w:sz w:val="20"/>
                <w:szCs w:val="20"/>
                <w:u w:val="single"/>
              </w:rPr>
              <w:t>闪蒸干燥机</w:t>
            </w:r>
          </w:p>
        </w:tc>
        <w:tc>
          <w:tcPr>
            <w:tcW w:w="1382" w:type="pct"/>
            <w:vAlign w:val="center"/>
          </w:tcPr>
          <w:p>
            <w:pPr>
              <w:pStyle w:val="63"/>
              <w:rPr>
                <w:sz w:val="20"/>
                <w:szCs w:val="20"/>
                <w:u w:val="single"/>
              </w:rPr>
            </w:pPr>
            <w:r>
              <w:rPr>
                <w:sz w:val="20"/>
                <w:szCs w:val="20"/>
                <w:u w:val="single"/>
              </w:rPr>
              <w:t>1吨/h</w:t>
            </w:r>
          </w:p>
        </w:tc>
        <w:tc>
          <w:tcPr>
            <w:tcW w:w="692" w:type="pct"/>
            <w:vAlign w:val="center"/>
          </w:tcPr>
          <w:p>
            <w:pPr>
              <w:pStyle w:val="63"/>
              <w:rPr>
                <w:sz w:val="20"/>
                <w:szCs w:val="20"/>
                <w:u w:val="single"/>
              </w:rPr>
            </w:pPr>
            <w:r>
              <w:rPr>
                <w:sz w:val="20"/>
                <w:szCs w:val="20"/>
                <w:u w:val="single"/>
              </w:rPr>
              <w:t>套</w:t>
            </w:r>
          </w:p>
        </w:tc>
        <w:tc>
          <w:tcPr>
            <w:tcW w:w="575" w:type="pct"/>
            <w:vAlign w:val="center"/>
          </w:tcPr>
          <w:p>
            <w:pPr>
              <w:pStyle w:val="63"/>
              <w:rPr>
                <w:sz w:val="20"/>
                <w:szCs w:val="20"/>
                <w:u w:val="single"/>
              </w:rPr>
            </w:pPr>
            <w:r>
              <w:rPr>
                <w:sz w:val="20"/>
                <w:szCs w:val="20"/>
                <w:u w:val="single"/>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3" w:type="pct"/>
            <w:vAlign w:val="center"/>
          </w:tcPr>
          <w:p>
            <w:pPr>
              <w:pStyle w:val="63"/>
              <w:rPr>
                <w:u w:val="single"/>
              </w:rPr>
            </w:pPr>
            <w:r>
              <w:rPr>
                <w:u w:val="single"/>
              </w:rPr>
              <w:t>14</w:t>
            </w:r>
          </w:p>
        </w:tc>
        <w:tc>
          <w:tcPr>
            <w:tcW w:w="1728" w:type="pct"/>
            <w:vAlign w:val="center"/>
          </w:tcPr>
          <w:p>
            <w:pPr>
              <w:pStyle w:val="63"/>
              <w:rPr>
                <w:sz w:val="20"/>
                <w:szCs w:val="20"/>
                <w:u w:val="single"/>
              </w:rPr>
            </w:pPr>
            <w:r>
              <w:rPr>
                <w:sz w:val="20"/>
                <w:szCs w:val="20"/>
                <w:u w:val="single"/>
              </w:rPr>
              <w:t>气流破碎机</w:t>
            </w:r>
          </w:p>
        </w:tc>
        <w:tc>
          <w:tcPr>
            <w:tcW w:w="1382" w:type="pct"/>
            <w:vAlign w:val="center"/>
          </w:tcPr>
          <w:p>
            <w:pPr>
              <w:pStyle w:val="63"/>
              <w:rPr>
                <w:sz w:val="20"/>
                <w:szCs w:val="20"/>
                <w:u w:val="single"/>
              </w:rPr>
            </w:pPr>
            <w:r>
              <w:rPr>
                <w:sz w:val="20"/>
                <w:szCs w:val="20"/>
                <w:u w:val="single"/>
              </w:rPr>
              <w:t>1吨/h</w:t>
            </w:r>
          </w:p>
        </w:tc>
        <w:tc>
          <w:tcPr>
            <w:tcW w:w="692" w:type="pct"/>
            <w:vAlign w:val="center"/>
          </w:tcPr>
          <w:p>
            <w:pPr>
              <w:pStyle w:val="63"/>
              <w:rPr>
                <w:sz w:val="20"/>
                <w:szCs w:val="20"/>
                <w:u w:val="single"/>
              </w:rPr>
            </w:pPr>
            <w:r>
              <w:rPr>
                <w:sz w:val="20"/>
                <w:szCs w:val="20"/>
                <w:u w:val="single"/>
              </w:rPr>
              <w:t>套</w:t>
            </w:r>
          </w:p>
        </w:tc>
        <w:tc>
          <w:tcPr>
            <w:tcW w:w="575" w:type="pct"/>
            <w:vAlign w:val="center"/>
          </w:tcPr>
          <w:p>
            <w:pPr>
              <w:pStyle w:val="63"/>
              <w:rPr>
                <w:sz w:val="20"/>
                <w:szCs w:val="20"/>
                <w:u w:val="single"/>
              </w:rPr>
            </w:pPr>
            <w:r>
              <w:rPr>
                <w:sz w:val="20"/>
                <w:szCs w:val="20"/>
                <w:u w:val="single"/>
              </w:rPr>
              <w:t>1</w:t>
            </w:r>
          </w:p>
        </w:tc>
      </w:tr>
    </w:tbl>
    <w:p>
      <w:pPr>
        <w:pStyle w:val="4"/>
        <w:rPr>
          <w:rFonts w:ascii="Times New Roman" w:hAnsi="Times New Roman" w:cs="Times New Roman"/>
          <w:u w:val="single"/>
        </w:rPr>
      </w:pPr>
      <w:bookmarkStart w:id="136" w:name="_Toc144236754"/>
      <w:bookmarkStart w:id="137" w:name="_Toc144276884"/>
      <w:bookmarkStart w:id="138" w:name="_Toc147848004"/>
      <w:r>
        <w:rPr>
          <w:rFonts w:ascii="Times New Roman" w:hAnsi="Times New Roman" w:cs="Times New Roman"/>
          <w:u w:val="single"/>
        </w:rPr>
        <w:t>3.1.4 产品方案</w:t>
      </w:r>
      <w:bookmarkEnd w:id="135"/>
      <w:bookmarkEnd w:id="136"/>
      <w:bookmarkEnd w:id="137"/>
      <w:bookmarkEnd w:id="138"/>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本项目完成后厂区产品方案见下表。</w:t>
      </w:r>
    </w:p>
    <w:p>
      <w:pPr>
        <w:pStyle w:val="6"/>
        <w:rPr>
          <w:rFonts w:ascii="Times New Roman" w:hAnsi="Times New Roman" w:cs="Times New Roman"/>
          <w:u w:val="single"/>
        </w:rPr>
      </w:pPr>
      <w:bookmarkStart w:id="139" w:name="_Hlk97885441"/>
      <w:r>
        <w:rPr>
          <w:rFonts w:ascii="Times New Roman" w:hAnsi="Times New Roman" w:cs="Times New Roman"/>
          <w:u w:val="single"/>
        </w:rPr>
        <w:t>表3.1-</w:t>
      </w:r>
      <w:r>
        <w:rPr>
          <w:rFonts w:hint="eastAsia" w:ascii="Times New Roman" w:hAnsi="Times New Roman" w:cs="Times New Roman"/>
          <w:u w:val="single"/>
        </w:rPr>
        <w:t>11</w:t>
      </w:r>
      <w:r>
        <w:rPr>
          <w:rFonts w:ascii="Times New Roman" w:hAnsi="Times New Roman" w:cs="Times New Roman"/>
          <w:u w:val="single"/>
        </w:rPr>
        <w:t xml:space="preserve">  拟建项目产品方案一览表</w:t>
      </w:r>
    </w:p>
    <w:bookmarkEnd w:id="139"/>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1"/>
        <w:gridCol w:w="1610"/>
        <w:gridCol w:w="4611"/>
        <w:gridCol w:w="16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8" w:type="pct"/>
            <w:vAlign w:val="center"/>
          </w:tcPr>
          <w:p>
            <w:pPr>
              <w:pStyle w:val="63"/>
              <w:rPr>
                <w:u w:val="single"/>
                <w:lang w:eastAsia="en-US" w:bidi="en-US"/>
              </w:rPr>
            </w:pPr>
            <w:r>
              <w:rPr>
                <w:u w:val="single"/>
                <w:lang w:eastAsia="en-US" w:bidi="en-US"/>
              </w:rPr>
              <w:t>序号</w:t>
            </w:r>
          </w:p>
        </w:tc>
        <w:tc>
          <w:tcPr>
            <w:tcW w:w="947" w:type="pct"/>
            <w:vAlign w:val="center"/>
          </w:tcPr>
          <w:p>
            <w:pPr>
              <w:pStyle w:val="63"/>
              <w:rPr>
                <w:u w:val="single"/>
                <w:lang w:eastAsia="en-US" w:bidi="en-US"/>
              </w:rPr>
            </w:pPr>
            <w:r>
              <w:rPr>
                <w:u w:val="single"/>
                <w:lang w:eastAsia="en-US" w:bidi="en-US"/>
              </w:rPr>
              <w:t>产品名称</w:t>
            </w:r>
          </w:p>
        </w:tc>
        <w:tc>
          <w:tcPr>
            <w:tcW w:w="2706" w:type="pct"/>
            <w:vAlign w:val="center"/>
          </w:tcPr>
          <w:p>
            <w:pPr>
              <w:pStyle w:val="63"/>
              <w:rPr>
                <w:u w:val="single"/>
                <w:lang w:bidi="en-US"/>
              </w:rPr>
            </w:pPr>
            <w:r>
              <w:rPr>
                <w:u w:val="single"/>
                <w:lang w:bidi="en-US"/>
              </w:rPr>
              <w:t>主要化学组成及品质要求</w:t>
            </w:r>
          </w:p>
        </w:tc>
        <w:tc>
          <w:tcPr>
            <w:tcW w:w="939" w:type="pct"/>
            <w:vAlign w:val="center"/>
          </w:tcPr>
          <w:p>
            <w:pPr>
              <w:pStyle w:val="63"/>
              <w:rPr>
                <w:u w:val="single"/>
                <w:lang w:eastAsia="en-US" w:bidi="en-US"/>
              </w:rPr>
            </w:pPr>
            <w:r>
              <w:rPr>
                <w:u w:val="single"/>
                <w:lang w:eastAsia="en-US" w:bidi="en-US"/>
              </w:rPr>
              <w:t>产量（t/a）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4"/>
            <w:vAlign w:val="center"/>
          </w:tcPr>
          <w:p>
            <w:pPr>
              <w:pStyle w:val="63"/>
              <w:rPr>
                <w:u w:val="single"/>
                <w:lang w:eastAsia="en-US" w:bidi="en-US"/>
              </w:rPr>
            </w:pPr>
            <w:r>
              <w:rPr>
                <w:rFonts w:hint="eastAsia"/>
                <w:u w:val="single"/>
                <w:lang w:bidi="en-US"/>
              </w:rPr>
              <w:t>梯次利用厂区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8" w:type="pct"/>
            <w:vAlign w:val="center"/>
          </w:tcPr>
          <w:p>
            <w:pPr>
              <w:pStyle w:val="63"/>
              <w:rPr>
                <w:u w:val="single"/>
                <w:lang w:eastAsia="en-US" w:bidi="en-US"/>
              </w:rPr>
            </w:pPr>
            <w:r>
              <w:rPr>
                <w:rFonts w:eastAsia="宋体"/>
                <w:u w:val="single"/>
                <w:lang w:eastAsia="en-US" w:bidi="en-US"/>
              </w:rPr>
              <w:t>1</w:t>
            </w:r>
          </w:p>
        </w:tc>
        <w:tc>
          <w:tcPr>
            <w:tcW w:w="947" w:type="pct"/>
            <w:vAlign w:val="center"/>
          </w:tcPr>
          <w:p>
            <w:pPr>
              <w:pStyle w:val="63"/>
              <w:rPr>
                <w:u w:val="single"/>
                <w:lang w:eastAsia="en-US" w:bidi="en-US"/>
              </w:rPr>
            </w:pPr>
            <w:r>
              <w:rPr>
                <w:u w:val="single"/>
              </w:rPr>
              <w:t>梯次利用产品</w:t>
            </w:r>
          </w:p>
        </w:tc>
        <w:tc>
          <w:tcPr>
            <w:tcW w:w="2706" w:type="pct"/>
            <w:vAlign w:val="center"/>
          </w:tcPr>
          <w:p>
            <w:pPr>
              <w:pStyle w:val="63"/>
              <w:rPr>
                <w:u w:val="single"/>
                <w:lang w:bidi="en-US"/>
              </w:rPr>
            </w:pPr>
          </w:p>
        </w:tc>
        <w:tc>
          <w:tcPr>
            <w:tcW w:w="939" w:type="pct"/>
            <w:vAlign w:val="center"/>
          </w:tcPr>
          <w:p>
            <w:pPr>
              <w:pStyle w:val="63"/>
              <w:rPr>
                <w:szCs w:val="21"/>
                <w:u w:val="single"/>
              </w:rPr>
            </w:pPr>
            <w:r>
              <w:rPr>
                <w:szCs w:val="21"/>
                <w:u w:val="single"/>
              </w:rPr>
              <w:t>12500</w:t>
            </w:r>
            <w:r>
              <w:rPr>
                <w:u w:val="single"/>
                <w:lang w:eastAsia="en-US" w:bidi="en-US"/>
              </w:rPr>
              <w:t xml:space="preserve"> t/a</w:t>
            </w:r>
          </w:p>
          <w:p>
            <w:pPr>
              <w:pStyle w:val="63"/>
              <w:rPr>
                <w:u w:val="single"/>
              </w:rPr>
            </w:pPr>
            <w:r>
              <w:rPr>
                <w:szCs w:val="21"/>
                <w:u w:val="single"/>
              </w:rPr>
              <w:t>（1250Gwh</w:t>
            </w:r>
            <w:r>
              <w:rPr>
                <w:rFonts w:hint="eastAsia"/>
                <w:szCs w:val="21"/>
                <w:u w:val="single"/>
              </w:rPr>
              <w:t>/a</w:t>
            </w:r>
            <w:r>
              <w:rPr>
                <w:szCs w:val="21"/>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4"/>
            <w:vAlign w:val="center"/>
          </w:tcPr>
          <w:p>
            <w:pPr>
              <w:pStyle w:val="63"/>
              <w:rPr>
                <w:u w:val="single"/>
                <w:lang w:bidi="en-US"/>
              </w:rPr>
            </w:pPr>
            <w:r>
              <w:rPr>
                <w:rFonts w:hint="eastAsia"/>
                <w:u w:val="single"/>
                <w:lang w:bidi="en-US"/>
              </w:rPr>
              <w:t>综合利用厂区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8" w:type="pct"/>
            <w:vAlign w:val="center"/>
          </w:tcPr>
          <w:p>
            <w:pPr>
              <w:pStyle w:val="63"/>
              <w:rPr>
                <w:u w:val="single"/>
                <w:lang w:eastAsia="en-US" w:bidi="en-US"/>
              </w:rPr>
            </w:pPr>
            <w:r>
              <w:rPr>
                <w:u w:val="single"/>
                <w:lang w:eastAsia="en-US" w:bidi="en-US"/>
              </w:rPr>
              <w:t>1</w:t>
            </w:r>
          </w:p>
        </w:tc>
        <w:tc>
          <w:tcPr>
            <w:tcW w:w="947" w:type="pct"/>
            <w:vAlign w:val="center"/>
          </w:tcPr>
          <w:p>
            <w:pPr>
              <w:pStyle w:val="63"/>
              <w:rPr>
                <w:u w:val="single"/>
                <w:lang w:eastAsia="en-US" w:bidi="en-US"/>
              </w:rPr>
            </w:pPr>
            <w:r>
              <w:rPr>
                <w:u w:val="single"/>
                <w:lang w:eastAsia="en-US" w:bidi="en-US"/>
              </w:rPr>
              <w:t>电池级碳酸锂</w:t>
            </w:r>
          </w:p>
        </w:tc>
        <w:tc>
          <w:tcPr>
            <w:tcW w:w="2706" w:type="pct"/>
            <w:vAlign w:val="center"/>
          </w:tcPr>
          <w:p>
            <w:pPr>
              <w:pStyle w:val="63"/>
              <w:rPr>
                <w:u w:val="single"/>
                <w:lang w:eastAsia="en-US" w:bidi="en-US"/>
              </w:rPr>
            </w:pPr>
            <w:r>
              <w:rPr>
                <w:u w:val="single"/>
                <w:lang w:eastAsia="en-US" w:bidi="en-US"/>
              </w:rPr>
              <w:t>YS/T 582-2013，碳酸锂主含量不小于99.5%</w:t>
            </w:r>
          </w:p>
        </w:tc>
        <w:tc>
          <w:tcPr>
            <w:tcW w:w="939" w:type="pct"/>
            <w:vAlign w:val="center"/>
          </w:tcPr>
          <w:p>
            <w:pPr>
              <w:pStyle w:val="63"/>
              <w:rPr>
                <w:u w:val="single"/>
                <w:lang w:bidi="en-US"/>
              </w:rPr>
            </w:pPr>
            <w:r>
              <w:rPr>
                <w:u w:val="single"/>
                <w:lang w:bidi="en-US"/>
              </w:rPr>
              <w:t>4101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8" w:type="pct"/>
            <w:vAlign w:val="center"/>
          </w:tcPr>
          <w:p>
            <w:pPr>
              <w:pStyle w:val="63"/>
              <w:rPr>
                <w:u w:val="single"/>
                <w:lang w:eastAsia="en-US" w:bidi="en-US"/>
              </w:rPr>
            </w:pPr>
            <w:r>
              <w:rPr>
                <w:u w:val="single"/>
                <w:lang w:eastAsia="en-US" w:bidi="en-US"/>
              </w:rPr>
              <w:t>2</w:t>
            </w:r>
          </w:p>
        </w:tc>
        <w:tc>
          <w:tcPr>
            <w:tcW w:w="947" w:type="pct"/>
            <w:vAlign w:val="center"/>
          </w:tcPr>
          <w:p>
            <w:pPr>
              <w:pStyle w:val="63"/>
              <w:rPr>
                <w:u w:val="single"/>
                <w:lang w:eastAsia="en-US" w:bidi="en-US"/>
              </w:rPr>
            </w:pPr>
            <w:r>
              <w:rPr>
                <w:u w:val="single"/>
                <w:lang w:eastAsia="en-US" w:bidi="en-US"/>
              </w:rPr>
              <w:t>电池级硫酸</w:t>
            </w:r>
            <w:r>
              <w:rPr>
                <w:u w:val="single"/>
                <w:lang w:bidi="en-US"/>
              </w:rPr>
              <w:t>镍</w:t>
            </w:r>
          </w:p>
        </w:tc>
        <w:tc>
          <w:tcPr>
            <w:tcW w:w="2706" w:type="pct"/>
            <w:vAlign w:val="center"/>
          </w:tcPr>
          <w:p>
            <w:pPr>
              <w:pStyle w:val="63"/>
              <w:rPr>
                <w:u w:val="single"/>
                <w:lang w:eastAsia="en-US" w:bidi="en-US"/>
              </w:rPr>
            </w:pPr>
            <w:r>
              <w:rPr>
                <w:u w:val="single"/>
                <w:lang w:eastAsia="en-US" w:bidi="en-US"/>
              </w:rPr>
              <w:t>GB/T26524-2011</w:t>
            </w:r>
          </w:p>
        </w:tc>
        <w:tc>
          <w:tcPr>
            <w:tcW w:w="939" w:type="pct"/>
            <w:vAlign w:val="center"/>
          </w:tcPr>
          <w:p>
            <w:pPr>
              <w:pStyle w:val="63"/>
              <w:rPr>
                <w:u w:val="single"/>
                <w:lang w:eastAsia="en-US" w:bidi="en-US"/>
              </w:rPr>
            </w:pPr>
            <w:r>
              <w:rPr>
                <w:sz w:val="22"/>
                <w:u w:val="single"/>
              </w:rPr>
              <w:t>7215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8" w:type="pct"/>
            <w:vAlign w:val="center"/>
          </w:tcPr>
          <w:p>
            <w:pPr>
              <w:pStyle w:val="63"/>
              <w:rPr>
                <w:u w:val="single"/>
                <w:lang w:eastAsia="en-US" w:bidi="en-US"/>
              </w:rPr>
            </w:pPr>
            <w:r>
              <w:rPr>
                <w:u w:val="single"/>
                <w:lang w:eastAsia="en-US" w:bidi="en-US"/>
              </w:rPr>
              <w:t>3</w:t>
            </w:r>
          </w:p>
        </w:tc>
        <w:tc>
          <w:tcPr>
            <w:tcW w:w="947" w:type="pct"/>
            <w:vAlign w:val="center"/>
          </w:tcPr>
          <w:p>
            <w:pPr>
              <w:pStyle w:val="63"/>
              <w:rPr>
                <w:u w:val="single"/>
                <w:lang w:eastAsia="en-US" w:bidi="en-US"/>
              </w:rPr>
            </w:pPr>
            <w:r>
              <w:rPr>
                <w:u w:val="single"/>
                <w:lang w:eastAsia="en-US" w:bidi="en-US"/>
              </w:rPr>
              <w:t>电池级硫酸钴</w:t>
            </w:r>
          </w:p>
        </w:tc>
        <w:tc>
          <w:tcPr>
            <w:tcW w:w="2706" w:type="pct"/>
            <w:vAlign w:val="center"/>
          </w:tcPr>
          <w:p>
            <w:pPr>
              <w:pStyle w:val="63"/>
              <w:rPr>
                <w:u w:val="single"/>
                <w:lang w:eastAsia="en-US" w:bidi="en-US"/>
              </w:rPr>
            </w:pPr>
            <w:r>
              <w:rPr>
                <w:u w:val="single"/>
                <w:lang w:eastAsia="en-US" w:bidi="en-US"/>
              </w:rPr>
              <w:t>GB/T26523-2011</w:t>
            </w:r>
          </w:p>
        </w:tc>
        <w:tc>
          <w:tcPr>
            <w:tcW w:w="939" w:type="pct"/>
            <w:vAlign w:val="center"/>
          </w:tcPr>
          <w:p>
            <w:pPr>
              <w:pStyle w:val="63"/>
              <w:rPr>
                <w:u w:val="single"/>
                <w:lang w:eastAsia="en-US" w:bidi="en-US"/>
              </w:rPr>
            </w:pPr>
            <w:r>
              <w:rPr>
                <w:sz w:val="22"/>
                <w:u w:val="single"/>
              </w:rPr>
              <w:t>2474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8" w:type="pct"/>
            <w:vAlign w:val="center"/>
          </w:tcPr>
          <w:p>
            <w:pPr>
              <w:pStyle w:val="63"/>
              <w:rPr>
                <w:u w:val="single"/>
                <w:lang w:bidi="en-US"/>
              </w:rPr>
            </w:pPr>
            <w:r>
              <w:rPr>
                <w:u w:val="single"/>
                <w:lang w:bidi="en-US"/>
              </w:rPr>
              <w:t>4</w:t>
            </w:r>
          </w:p>
        </w:tc>
        <w:tc>
          <w:tcPr>
            <w:tcW w:w="947" w:type="pct"/>
            <w:vAlign w:val="center"/>
          </w:tcPr>
          <w:p>
            <w:pPr>
              <w:pStyle w:val="63"/>
              <w:rPr>
                <w:u w:val="single"/>
                <w:lang w:eastAsia="en-US" w:bidi="en-US"/>
              </w:rPr>
            </w:pPr>
            <w:r>
              <w:rPr>
                <w:u w:val="single"/>
                <w:lang w:eastAsia="en-US" w:bidi="en-US"/>
              </w:rPr>
              <w:t>电池级硫酸</w:t>
            </w:r>
            <w:r>
              <w:rPr>
                <w:u w:val="single"/>
                <w:lang w:bidi="en-US"/>
              </w:rPr>
              <w:t>锰</w:t>
            </w:r>
          </w:p>
        </w:tc>
        <w:tc>
          <w:tcPr>
            <w:tcW w:w="2706" w:type="pct"/>
            <w:vAlign w:val="center"/>
          </w:tcPr>
          <w:p>
            <w:pPr>
              <w:pStyle w:val="63"/>
              <w:rPr>
                <w:u w:val="single"/>
                <w:lang w:eastAsia="en-US" w:bidi="en-US"/>
              </w:rPr>
            </w:pPr>
            <w:r>
              <w:rPr>
                <w:u w:val="single"/>
                <w:lang w:eastAsia="en-US" w:bidi="en-US"/>
              </w:rPr>
              <w:t>HG／T 4823-2015</w:t>
            </w:r>
          </w:p>
        </w:tc>
        <w:tc>
          <w:tcPr>
            <w:tcW w:w="939" w:type="pct"/>
            <w:vAlign w:val="center"/>
          </w:tcPr>
          <w:p>
            <w:pPr>
              <w:pStyle w:val="63"/>
              <w:rPr>
                <w:u w:val="single"/>
                <w:lang w:bidi="en-US"/>
              </w:rPr>
            </w:pPr>
            <w:r>
              <w:rPr>
                <w:sz w:val="22"/>
                <w:u w:val="single"/>
              </w:rPr>
              <w:t>1560</w:t>
            </w:r>
          </w:p>
        </w:tc>
      </w:tr>
    </w:tbl>
    <w:p>
      <w:pPr>
        <w:spacing w:line="360" w:lineRule="auto"/>
        <w:ind w:firstLine="422" w:firstLineChars="200"/>
        <w:rPr>
          <w:rFonts w:ascii="Times New Roman" w:hAnsi="Times New Roman" w:cs="Times New Roman"/>
          <w:b/>
          <w:sz w:val="21"/>
          <w:szCs w:val="21"/>
          <w:u w:val="single"/>
        </w:rPr>
      </w:pPr>
      <w:r>
        <w:rPr>
          <w:rFonts w:ascii="Times New Roman" w:hAnsi="Times New Roman" w:cs="Times New Roman"/>
          <w:b/>
          <w:sz w:val="21"/>
          <w:szCs w:val="21"/>
          <w:u w:val="single"/>
        </w:rPr>
        <w:t>备注：根据《电动汽车动力蓄电池回收利用技术政策》中第四章“废旧动力蓄电池利用”及《新能源汽车废旧动力蓄电池综合利用行业规范条件》中的要求：“废旧动力蓄电池的利用应遵循先梯级利用后再生利用的原则，提高资源利用率，梯级利用企业应根据废旧动力蓄电池的容量、充放电特性、使用安全性等实际情况判断可否进行梯级利用，要对符合梯级利用条件的废旧动力蓄电池进行必要的检测；经判断不能进行梯级利用的废旧动力蓄电池应按有关要求进行再生利用，回收其中有价值的资源。再生利用的作业流程一般可按拆解、热解、破碎分选、冶炼等步骤进行。”</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硫酸钴质量标准参照《精制硫酸钴》（GB/T26523-2011）优等品标准，具体化学组成及物理指标见表2.5-2；硫酸镍质量标准参照《精制硫酸镍》（GB/T26524-2011）</w:t>
      </w:r>
      <w:r>
        <w:rPr>
          <w:rFonts w:hint="eastAsia" w:ascii="宋体" w:hAnsi="宋体" w:eastAsia="宋体" w:cs="宋体"/>
          <w:u w:val="single"/>
        </w:rPr>
        <w:t>Ⅰ</w:t>
      </w:r>
      <w:r>
        <w:rPr>
          <w:rFonts w:ascii="Times New Roman" w:hAnsi="Times New Roman" w:cs="Times New Roman"/>
          <w:u w:val="single"/>
        </w:rPr>
        <w:t>类标准，具体化学组成及物理指标详见表2.5-3；硫酸锰质量标准符合《电池用硫酸锰》（HG/T 4823-2015）LSM-A 标准，具体化学组成及物理指标见表 2.5-4；碳酸锂质量标准符合《碳酸锂》（GB/T 11075-2013）Li2CO3-2标准，具体化学组成及物理指标见表2.5-5；磷酸铁质量标准符合《电池用磷酸铁》（HG∕T 4701-2014）标准要求，具体化学组成及物理指标详见表2.5-6；硫酸钠质量标准符合《工业无水硫酸钠》（GB/T6009-2014）</w:t>
      </w:r>
      <w:r>
        <w:rPr>
          <w:rFonts w:ascii="Times New Roman" w:hAnsi="Times New Roman" w:cs="Times New Roman"/>
          <w:u w:val="single"/>
        </w:rPr>
        <w:fldChar w:fldCharType="begin"/>
      </w:r>
      <w:r>
        <w:rPr>
          <w:rFonts w:ascii="Times New Roman" w:hAnsi="Times New Roman" w:cs="Times New Roman"/>
          <w:u w:val="single"/>
        </w:rPr>
        <w:instrText xml:space="preserve"> = 3 \* ROMAN </w:instrText>
      </w:r>
      <w:r>
        <w:rPr>
          <w:rFonts w:ascii="Times New Roman" w:hAnsi="Times New Roman" w:cs="Times New Roman"/>
          <w:u w:val="single"/>
        </w:rPr>
        <w:fldChar w:fldCharType="separate"/>
      </w:r>
      <w:r>
        <w:rPr>
          <w:rFonts w:ascii="Times New Roman" w:hAnsi="Times New Roman" w:cs="Times New Roman"/>
          <w:u w:val="single"/>
        </w:rPr>
        <w:t>III</w:t>
      </w:r>
      <w:r>
        <w:rPr>
          <w:rFonts w:ascii="Times New Roman" w:hAnsi="Times New Roman" w:cs="Times New Roman"/>
          <w:u w:val="single"/>
        </w:rPr>
        <w:fldChar w:fldCharType="end"/>
      </w:r>
      <w:r>
        <w:rPr>
          <w:rFonts w:ascii="Times New Roman" w:hAnsi="Times New Roman" w:cs="Times New Roman"/>
          <w:u w:val="single"/>
        </w:rPr>
        <w:t>类一等品标准要求。</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具体化学组成及物理指标详见下表所示；。</w:t>
      </w:r>
    </w:p>
    <w:p>
      <w:pPr>
        <w:pStyle w:val="6"/>
        <w:rPr>
          <w:rFonts w:ascii="Times New Roman" w:hAnsi="Times New Roman" w:cs="Times New Roman"/>
          <w:u w:val="single"/>
        </w:rPr>
      </w:pPr>
      <w:r>
        <w:rPr>
          <w:rFonts w:ascii="Times New Roman" w:hAnsi="Times New Roman" w:cs="Times New Roman"/>
          <w:u w:val="single"/>
        </w:rPr>
        <w:t>表3.1-1</w:t>
      </w:r>
      <w:r>
        <w:rPr>
          <w:rFonts w:hint="eastAsia" w:ascii="Times New Roman" w:hAnsi="Times New Roman" w:cs="Times New Roman"/>
          <w:u w:val="single"/>
        </w:rPr>
        <w:t>2</w:t>
      </w:r>
      <w:r>
        <w:rPr>
          <w:rFonts w:ascii="Times New Roman" w:hAnsi="Times New Roman" w:cs="Times New Roman"/>
          <w:u w:val="single"/>
        </w:rPr>
        <w:t xml:space="preserve">  硫酸钴产品质量标准</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834"/>
        <w:gridCol w:w="834"/>
        <w:gridCol w:w="834"/>
        <w:gridCol w:w="834"/>
        <w:gridCol w:w="834"/>
        <w:gridCol w:w="945"/>
        <w:gridCol w:w="723"/>
        <w:gridCol w:w="835"/>
        <w:gridCol w:w="835"/>
        <w:gridCol w:w="835"/>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500" w:type="pct"/>
            <w:tcBorders>
              <w:bottom w:val="single" w:color="000000" w:sz="6" w:space="0"/>
              <w:right w:val="single" w:color="000000" w:sz="6" w:space="0"/>
            </w:tcBorders>
            <w:shd w:val="clear" w:color="auto" w:fill="auto"/>
            <w:vAlign w:val="center"/>
          </w:tcPr>
          <w:p>
            <w:pPr>
              <w:pStyle w:val="63"/>
              <w:rPr>
                <w:u w:val="single"/>
              </w:rPr>
            </w:pPr>
            <w:r>
              <w:rPr>
                <w:u w:val="single"/>
              </w:rPr>
              <w:t>组成</w:t>
            </w:r>
          </w:p>
        </w:tc>
        <w:tc>
          <w:tcPr>
            <w:tcW w:w="500" w:type="pct"/>
            <w:tcBorders>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Co</w:t>
            </w:r>
          </w:p>
        </w:tc>
        <w:tc>
          <w:tcPr>
            <w:tcW w:w="500" w:type="pct"/>
            <w:tcBorders>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Ni</w:t>
            </w:r>
          </w:p>
        </w:tc>
        <w:tc>
          <w:tcPr>
            <w:tcW w:w="500" w:type="pct"/>
            <w:tcBorders>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Zn</w:t>
            </w:r>
          </w:p>
        </w:tc>
        <w:tc>
          <w:tcPr>
            <w:tcW w:w="500" w:type="pct"/>
            <w:tcBorders>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Cu</w:t>
            </w:r>
          </w:p>
        </w:tc>
        <w:tc>
          <w:tcPr>
            <w:tcW w:w="566" w:type="pct"/>
            <w:tcBorders>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Pb</w:t>
            </w:r>
          </w:p>
        </w:tc>
        <w:tc>
          <w:tcPr>
            <w:tcW w:w="433" w:type="pct"/>
            <w:tcBorders>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Cd</w:t>
            </w:r>
          </w:p>
        </w:tc>
        <w:tc>
          <w:tcPr>
            <w:tcW w:w="500" w:type="pct"/>
            <w:tcBorders>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Mn</w:t>
            </w:r>
          </w:p>
        </w:tc>
        <w:tc>
          <w:tcPr>
            <w:tcW w:w="500" w:type="pct"/>
            <w:tcBorders>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Fe</w:t>
            </w:r>
          </w:p>
        </w:tc>
        <w:tc>
          <w:tcPr>
            <w:tcW w:w="500" w:type="pct"/>
            <w:tcBorders>
              <w:left w:val="single" w:color="000000" w:sz="6" w:space="0"/>
              <w:bottom w:val="single" w:color="000000" w:sz="6" w:space="0"/>
            </w:tcBorders>
            <w:shd w:val="clear" w:color="auto" w:fill="auto"/>
            <w:vAlign w:val="center"/>
          </w:tcPr>
          <w:p>
            <w:pPr>
              <w:pStyle w:val="63"/>
              <w:rPr>
                <w:u w:val="single"/>
              </w:rPr>
            </w:pPr>
            <w:r>
              <w:rPr>
                <w:u w:val="single"/>
              </w:rPr>
              <w:t>Mg</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500" w:type="pct"/>
            <w:tcBorders>
              <w:top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w:t>
            </w:r>
          </w:p>
        </w:tc>
        <w:tc>
          <w:tcPr>
            <w:tcW w:w="500" w:type="pct"/>
            <w:tcBorders>
              <w:top w:val="single" w:color="000000" w:sz="6" w:space="0"/>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≥20.5</w:t>
            </w:r>
          </w:p>
        </w:tc>
        <w:tc>
          <w:tcPr>
            <w:tcW w:w="500" w:type="pct"/>
            <w:tcBorders>
              <w:top w:val="single" w:color="000000" w:sz="6" w:space="0"/>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≤0.001</w:t>
            </w:r>
          </w:p>
        </w:tc>
        <w:tc>
          <w:tcPr>
            <w:tcW w:w="500" w:type="pct"/>
            <w:tcBorders>
              <w:top w:val="single" w:color="000000" w:sz="6" w:space="0"/>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≤0.001</w:t>
            </w:r>
          </w:p>
        </w:tc>
        <w:tc>
          <w:tcPr>
            <w:tcW w:w="500" w:type="pct"/>
            <w:tcBorders>
              <w:top w:val="single" w:color="000000" w:sz="6" w:space="0"/>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≤0.001</w:t>
            </w:r>
          </w:p>
        </w:tc>
        <w:tc>
          <w:tcPr>
            <w:tcW w:w="566" w:type="pct"/>
            <w:tcBorders>
              <w:top w:val="single" w:color="000000" w:sz="6" w:space="0"/>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≤0.001</w:t>
            </w:r>
          </w:p>
        </w:tc>
        <w:tc>
          <w:tcPr>
            <w:tcW w:w="433" w:type="pct"/>
            <w:tcBorders>
              <w:top w:val="single" w:color="000000" w:sz="6" w:space="0"/>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≤0.001</w:t>
            </w:r>
          </w:p>
        </w:tc>
        <w:tc>
          <w:tcPr>
            <w:tcW w:w="500" w:type="pct"/>
            <w:tcBorders>
              <w:top w:val="single" w:color="000000" w:sz="6" w:space="0"/>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≤0.001</w:t>
            </w:r>
          </w:p>
        </w:tc>
        <w:tc>
          <w:tcPr>
            <w:tcW w:w="500" w:type="pct"/>
            <w:tcBorders>
              <w:top w:val="single" w:color="000000" w:sz="6" w:space="0"/>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≤0.001</w:t>
            </w:r>
          </w:p>
        </w:tc>
        <w:tc>
          <w:tcPr>
            <w:tcW w:w="500" w:type="pct"/>
            <w:tcBorders>
              <w:top w:val="single" w:color="000000" w:sz="6" w:space="0"/>
              <w:left w:val="single" w:color="000000" w:sz="6" w:space="0"/>
              <w:bottom w:val="single" w:color="000000" w:sz="6" w:space="0"/>
            </w:tcBorders>
            <w:shd w:val="clear" w:color="auto" w:fill="auto"/>
            <w:vAlign w:val="center"/>
          </w:tcPr>
          <w:p>
            <w:pPr>
              <w:pStyle w:val="63"/>
              <w:rPr>
                <w:u w:val="single"/>
              </w:rPr>
            </w:pPr>
            <w:r>
              <w:rPr>
                <w:u w:val="single"/>
              </w:rPr>
              <w:t>≤0.02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500" w:type="pct"/>
            <w:tcBorders>
              <w:top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组成</w:t>
            </w:r>
          </w:p>
        </w:tc>
        <w:tc>
          <w:tcPr>
            <w:tcW w:w="500" w:type="pct"/>
            <w:tcBorders>
              <w:top w:val="single" w:color="000000" w:sz="6" w:space="0"/>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Ca</w:t>
            </w:r>
          </w:p>
        </w:tc>
        <w:tc>
          <w:tcPr>
            <w:tcW w:w="500" w:type="pct"/>
            <w:tcBorders>
              <w:top w:val="single" w:color="000000" w:sz="6" w:space="0"/>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Cr</w:t>
            </w:r>
          </w:p>
        </w:tc>
        <w:tc>
          <w:tcPr>
            <w:tcW w:w="500" w:type="pct"/>
            <w:tcBorders>
              <w:top w:val="single" w:color="000000" w:sz="6" w:space="0"/>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Hg</w:t>
            </w:r>
          </w:p>
        </w:tc>
        <w:tc>
          <w:tcPr>
            <w:tcW w:w="500" w:type="pct"/>
            <w:tcBorders>
              <w:top w:val="single" w:color="000000" w:sz="6" w:space="0"/>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油分</w:t>
            </w:r>
          </w:p>
        </w:tc>
        <w:tc>
          <w:tcPr>
            <w:tcW w:w="566" w:type="pct"/>
            <w:tcBorders>
              <w:top w:val="single" w:color="000000" w:sz="6" w:space="0"/>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水不溶物</w:t>
            </w:r>
          </w:p>
        </w:tc>
        <w:tc>
          <w:tcPr>
            <w:tcW w:w="433" w:type="pct"/>
            <w:tcBorders>
              <w:top w:val="single" w:color="000000" w:sz="6" w:space="0"/>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氯化物</w:t>
            </w:r>
          </w:p>
        </w:tc>
        <w:tc>
          <w:tcPr>
            <w:tcW w:w="500" w:type="pct"/>
            <w:tcBorders>
              <w:top w:val="single" w:color="000000" w:sz="6" w:space="0"/>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As</w:t>
            </w:r>
          </w:p>
        </w:tc>
        <w:tc>
          <w:tcPr>
            <w:tcW w:w="500" w:type="pct"/>
            <w:tcBorders>
              <w:top w:val="single" w:color="000000" w:sz="6" w:space="0"/>
              <w:left w:val="single" w:color="000000" w:sz="6" w:space="0"/>
              <w:bottom w:val="single" w:color="000000" w:sz="6" w:space="0"/>
              <w:right w:val="single" w:color="000000" w:sz="6" w:space="0"/>
            </w:tcBorders>
            <w:shd w:val="clear" w:color="auto" w:fill="auto"/>
            <w:vAlign w:val="center"/>
          </w:tcPr>
          <w:p>
            <w:pPr>
              <w:pStyle w:val="63"/>
              <w:rPr>
                <w:u w:val="single"/>
              </w:rPr>
            </w:pPr>
            <w:r>
              <w:rPr>
                <w:u w:val="single"/>
              </w:rPr>
              <w:t>pH 值</w:t>
            </w:r>
          </w:p>
        </w:tc>
        <w:tc>
          <w:tcPr>
            <w:tcW w:w="500" w:type="pct"/>
            <w:tcBorders>
              <w:top w:val="single" w:color="000000" w:sz="6" w:space="0"/>
              <w:left w:val="single" w:color="000000" w:sz="6" w:space="0"/>
              <w:bottom w:val="single" w:color="000000" w:sz="6" w:space="0"/>
            </w:tcBorders>
            <w:shd w:val="clear" w:color="auto" w:fill="auto"/>
            <w:vAlign w:val="center"/>
          </w:tcPr>
          <w:p>
            <w:pPr>
              <w:pStyle w:val="63"/>
              <w:rPr>
                <w:u w:val="single"/>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jc w:val="center"/>
        </w:trPr>
        <w:tc>
          <w:tcPr>
            <w:tcW w:w="500" w:type="pct"/>
            <w:tcBorders>
              <w:top w:val="single" w:color="000000" w:sz="6" w:space="0"/>
              <w:right w:val="single" w:color="000000" w:sz="6" w:space="0"/>
            </w:tcBorders>
            <w:shd w:val="clear" w:color="auto" w:fill="auto"/>
            <w:vAlign w:val="center"/>
          </w:tcPr>
          <w:p>
            <w:pPr>
              <w:pStyle w:val="63"/>
              <w:rPr>
                <w:u w:val="single"/>
              </w:rPr>
            </w:pPr>
            <w:r>
              <w:rPr>
                <w:u w:val="single"/>
              </w:rPr>
              <w:t>%</w:t>
            </w:r>
          </w:p>
        </w:tc>
        <w:tc>
          <w:tcPr>
            <w:tcW w:w="500" w:type="pct"/>
            <w:tcBorders>
              <w:top w:val="single" w:color="000000" w:sz="6" w:space="0"/>
              <w:left w:val="single" w:color="000000" w:sz="6" w:space="0"/>
              <w:right w:val="single" w:color="000000" w:sz="6" w:space="0"/>
            </w:tcBorders>
            <w:shd w:val="clear" w:color="auto" w:fill="auto"/>
            <w:vAlign w:val="center"/>
          </w:tcPr>
          <w:p>
            <w:pPr>
              <w:pStyle w:val="63"/>
              <w:rPr>
                <w:u w:val="single"/>
              </w:rPr>
            </w:pPr>
            <w:r>
              <w:rPr>
                <w:u w:val="single"/>
              </w:rPr>
              <w:t>≤0.005</w:t>
            </w:r>
          </w:p>
        </w:tc>
        <w:tc>
          <w:tcPr>
            <w:tcW w:w="500" w:type="pct"/>
            <w:tcBorders>
              <w:top w:val="single" w:color="000000" w:sz="6" w:space="0"/>
              <w:left w:val="single" w:color="000000" w:sz="6" w:space="0"/>
              <w:right w:val="single" w:color="000000" w:sz="6" w:space="0"/>
            </w:tcBorders>
            <w:shd w:val="clear" w:color="auto" w:fill="auto"/>
            <w:vAlign w:val="center"/>
          </w:tcPr>
          <w:p>
            <w:pPr>
              <w:pStyle w:val="63"/>
              <w:rPr>
                <w:u w:val="single"/>
              </w:rPr>
            </w:pPr>
            <w:r>
              <w:rPr>
                <w:u w:val="single"/>
              </w:rPr>
              <w:t>≤0.001</w:t>
            </w:r>
          </w:p>
        </w:tc>
        <w:tc>
          <w:tcPr>
            <w:tcW w:w="500" w:type="pct"/>
            <w:tcBorders>
              <w:top w:val="single" w:color="000000" w:sz="6" w:space="0"/>
              <w:left w:val="single" w:color="000000" w:sz="6" w:space="0"/>
              <w:right w:val="single" w:color="000000" w:sz="6" w:space="0"/>
            </w:tcBorders>
            <w:shd w:val="clear" w:color="auto" w:fill="auto"/>
            <w:vAlign w:val="center"/>
          </w:tcPr>
          <w:p>
            <w:pPr>
              <w:pStyle w:val="63"/>
              <w:rPr>
                <w:u w:val="single"/>
              </w:rPr>
            </w:pPr>
            <w:r>
              <w:rPr>
                <w:u w:val="single"/>
              </w:rPr>
              <w:t>≤0.001</w:t>
            </w:r>
          </w:p>
        </w:tc>
        <w:tc>
          <w:tcPr>
            <w:tcW w:w="500" w:type="pct"/>
            <w:tcBorders>
              <w:top w:val="single" w:color="000000" w:sz="6" w:space="0"/>
              <w:left w:val="single" w:color="000000" w:sz="6" w:space="0"/>
              <w:right w:val="single" w:color="000000" w:sz="6" w:space="0"/>
            </w:tcBorders>
            <w:shd w:val="clear" w:color="auto" w:fill="auto"/>
            <w:vAlign w:val="center"/>
          </w:tcPr>
          <w:p>
            <w:pPr>
              <w:pStyle w:val="63"/>
              <w:rPr>
                <w:u w:val="single"/>
              </w:rPr>
            </w:pPr>
            <w:r>
              <w:rPr>
                <w:u w:val="single"/>
              </w:rPr>
              <w:t>≤0.0005</w:t>
            </w:r>
          </w:p>
        </w:tc>
        <w:tc>
          <w:tcPr>
            <w:tcW w:w="566" w:type="pct"/>
            <w:tcBorders>
              <w:top w:val="single" w:color="000000" w:sz="6" w:space="0"/>
              <w:left w:val="single" w:color="000000" w:sz="6" w:space="0"/>
              <w:right w:val="single" w:color="000000" w:sz="6" w:space="0"/>
            </w:tcBorders>
            <w:shd w:val="clear" w:color="auto" w:fill="auto"/>
            <w:vAlign w:val="center"/>
          </w:tcPr>
          <w:p>
            <w:pPr>
              <w:pStyle w:val="63"/>
              <w:rPr>
                <w:u w:val="single"/>
              </w:rPr>
            </w:pPr>
            <w:r>
              <w:rPr>
                <w:u w:val="single"/>
              </w:rPr>
              <w:t>≤0.005</w:t>
            </w:r>
          </w:p>
        </w:tc>
        <w:tc>
          <w:tcPr>
            <w:tcW w:w="433" w:type="pct"/>
            <w:tcBorders>
              <w:top w:val="single" w:color="000000" w:sz="6" w:space="0"/>
              <w:left w:val="single" w:color="000000" w:sz="6" w:space="0"/>
              <w:right w:val="single" w:color="000000" w:sz="6" w:space="0"/>
            </w:tcBorders>
            <w:shd w:val="clear" w:color="auto" w:fill="auto"/>
            <w:vAlign w:val="center"/>
          </w:tcPr>
          <w:p>
            <w:pPr>
              <w:pStyle w:val="63"/>
              <w:rPr>
                <w:u w:val="single"/>
              </w:rPr>
            </w:pPr>
            <w:r>
              <w:rPr>
                <w:u w:val="single"/>
              </w:rPr>
              <w:t>≤0.005</w:t>
            </w:r>
          </w:p>
        </w:tc>
        <w:tc>
          <w:tcPr>
            <w:tcW w:w="500" w:type="pct"/>
            <w:tcBorders>
              <w:top w:val="single" w:color="000000" w:sz="6" w:space="0"/>
              <w:left w:val="single" w:color="000000" w:sz="6" w:space="0"/>
              <w:right w:val="single" w:color="000000" w:sz="6" w:space="0"/>
            </w:tcBorders>
            <w:shd w:val="clear" w:color="auto" w:fill="auto"/>
            <w:vAlign w:val="center"/>
          </w:tcPr>
          <w:p>
            <w:pPr>
              <w:pStyle w:val="63"/>
              <w:rPr>
                <w:u w:val="single"/>
              </w:rPr>
            </w:pPr>
            <w:r>
              <w:rPr>
                <w:u w:val="single"/>
              </w:rPr>
              <w:t>≤0.001</w:t>
            </w:r>
          </w:p>
        </w:tc>
        <w:tc>
          <w:tcPr>
            <w:tcW w:w="500" w:type="pct"/>
            <w:tcBorders>
              <w:top w:val="single" w:color="000000" w:sz="6" w:space="0"/>
              <w:left w:val="single" w:color="000000" w:sz="6" w:space="0"/>
              <w:right w:val="single" w:color="000000" w:sz="6" w:space="0"/>
            </w:tcBorders>
            <w:shd w:val="clear" w:color="auto" w:fill="auto"/>
            <w:vAlign w:val="center"/>
          </w:tcPr>
          <w:p>
            <w:pPr>
              <w:pStyle w:val="63"/>
              <w:rPr>
                <w:u w:val="single"/>
              </w:rPr>
            </w:pPr>
            <w:r>
              <w:rPr>
                <w:u w:val="single"/>
              </w:rPr>
              <w:t>4.5-6.5</w:t>
            </w:r>
          </w:p>
        </w:tc>
        <w:tc>
          <w:tcPr>
            <w:tcW w:w="500" w:type="pct"/>
            <w:tcBorders>
              <w:top w:val="single" w:color="000000" w:sz="6" w:space="0"/>
              <w:left w:val="single" w:color="000000" w:sz="6" w:space="0"/>
            </w:tcBorders>
            <w:shd w:val="clear" w:color="auto" w:fill="auto"/>
            <w:vAlign w:val="center"/>
          </w:tcPr>
          <w:p>
            <w:pPr>
              <w:pStyle w:val="63"/>
              <w:rPr>
                <w:u w:val="single"/>
              </w:rPr>
            </w:pPr>
          </w:p>
        </w:tc>
      </w:tr>
    </w:tbl>
    <w:p>
      <w:pPr>
        <w:pStyle w:val="6"/>
        <w:rPr>
          <w:rFonts w:ascii="Times New Roman" w:hAnsi="Times New Roman" w:cs="Times New Roman"/>
          <w:u w:val="single"/>
        </w:rPr>
      </w:pPr>
      <w:r>
        <w:rPr>
          <w:rFonts w:ascii="Times New Roman" w:hAnsi="Times New Roman" w:cs="Times New Roman"/>
          <w:u w:val="single"/>
        </w:rPr>
        <w:t>表3.1-1</w:t>
      </w:r>
      <w:r>
        <w:rPr>
          <w:rFonts w:hint="eastAsia" w:ascii="Times New Roman" w:hAnsi="Times New Roman" w:cs="Times New Roman"/>
          <w:u w:val="single"/>
        </w:rPr>
        <w:t>3</w:t>
      </w:r>
      <w:r>
        <w:rPr>
          <w:rFonts w:ascii="Times New Roman" w:hAnsi="Times New Roman" w:cs="Times New Roman"/>
          <w:u w:val="single"/>
        </w:rPr>
        <w:t xml:space="preserve">  硫酸镍产品质量标准</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041"/>
        <w:gridCol w:w="1043"/>
        <w:gridCol w:w="1043"/>
        <w:gridCol w:w="1043"/>
        <w:gridCol w:w="1043"/>
        <w:gridCol w:w="1043"/>
        <w:gridCol w:w="1043"/>
        <w:gridCol w:w="104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4" w:type="pct"/>
            <w:shd w:val="clear" w:color="auto" w:fill="auto"/>
            <w:vAlign w:val="center"/>
          </w:tcPr>
          <w:p>
            <w:pPr>
              <w:pStyle w:val="63"/>
              <w:rPr>
                <w:u w:val="single"/>
              </w:rPr>
            </w:pPr>
            <w:r>
              <w:rPr>
                <w:u w:val="single"/>
              </w:rPr>
              <w:t>组成</w:t>
            </w:r>
          </w:p>
        </w:tc>
        <w:tc>
          <w:tcPr>
            <w:tcW w:w="625" w:type="pct"/>
            <w:shd w:val="clear" w:color="auto" w:fill="auto"/>
            <w:vAlign w:val="center"/>
          </w:tcPr>
          <w:p>
            <w:pPr>
              <w:pStyle w:val="63"/>
              <w:rPr>
                <w:u w:val="single"/>
              </w:rPr>
            </w:pPr>
            <w:r>
              <w:rPr>
                <w:u w:val="single"/>
              </w:rPr>
              <w:t>Ni</w:t>
            </w:r>
          </w:p>
        </w:tc>
        <w:tc>
          <w:tcPr>
            <w:tcW w:w="625" w:type="pct"/>
            <w:shd w:val="clear" w:color="auto" w:fill="auto"/>
            <w:vAlign w:val="center"/>
          </w:tcPr>
          <w:p>
            <w:pPr>
              <w:pStyle w:val="63"/>
              <w:rPr>
                <w:u w:val="single"/>
              </w:rPr>
            </w:pPr>
            <w:r>
              <w:rPr>
                <w:u w:val="single"/>
              </w:rPr>
              <w:t>Co</w:t>
            </w:r>
          </w:p>
        </w:tc>
        <w:tc>
          <w:tcPr>
            <w:tcW w:w="625" w:type="pct"/>
            <w:shd w:val="clear" w:color="auto" w:fill="auto"/>
            <w:vAlign w:val="center"/>
          </w:tcPr>
          <w:p>
            <w:pPr>
              <w:pStyle w:val="63"/>
              <w:rPr>
                <w:u w:val="single"/>
              </w:rPr>
            </w:pPr>
            <w:r>
              <w:rPr>
                <w:u w:val="single"/>
              </w:rPr>
              <w:t>Zn</w:t>
            </w:r>
          </w:p>
        </w:tc>
        <w:tc>
          <w:tcPr>
            <w:tcW w:w="625" w:type="pct"/>
            <w:shd w:val="clear" w:color="auto" w:fill="auto"/>
            <w:vAlign w:val="center"/>
          </w:tcPr>
          <w:p>
            <w:pPr>
              <w:pStyle w:val="63"/>
              <w:rPr>
                <w:u w:val="single"/>
              </w:rPr>
            </w:pPr>
            <w:r>
              <w:rPr>
                <w:u w:val="single"/>
              </w:rPr>
              <w:t>Cu</w:t>
            </w:r>
          </w:p>
        </w:tc>
        <w:tc>
          <w:tcPr>
            <w:tcW w:w="625" w:type="pct"/>
            <w:shd w:val="clear" w:color="auto" w:fill="auto"/>
            <w:vAlign w:val="center"/>
          </w:tcPr>
          <w:p>
            <w:pPr>
              <w:pStyle w:val="63"/>
              <w:rPr>
                <w:u w:val="single"/>
              </w:rPr>
            </w:pPr>
            <w:r>
              <w:rPr>
                <w:u w:val="single"/>
              </w:rPr>
              <w:t>Pb</w:t>
            </w:r>
          </w:p>
        </w:tc>
        <w:tc>
          <w:tcPr>
            <w:tcW w:w="625" w:type="pct"/>
            <w:shd w:val="clear" w:color="auto" w:fill="auto"/>
            <w:vAlign w:val="center"/>
          </w:tcPr>
          <w:p>
            <w:pPr>
              <w:pStyle w:val="63"/>
              <w:rPr>
                <w:u w:val="single"/>
              </w:rPr>
            </w:pPr>
            <w:r>
              <w:rPr>
                <w:u w:val="single"/>
              </w:rPr>
              <w:t>Cd</w:t>
            </w:r>
          </w:p>
        </w:tc>
        <w:tc>
          <w:tcPr>
            <w:tcW w:w="625" w:type="pct"/>
            <w:shd w:val="clear" w:color="auto" w:fill="auto"/>
            <w:vAlign w:val="center"/>
          </w:tcPr>
          <w:p>
            <w:pPr>
              <w:pStyle w:val="63"/>
              <w:rPr>
                <w:u w:val="single"/>
              </w:rPr>
            </w:pPr>
            <w:r>
              <w:rPr>
                <w:u w:val="single"/>
              </w:rPr>
              <w:t>Mn</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4" w:type="pct"/>
            <w:shd w:val="clear" w:color="auto" w:fill="auto"/>
            <w:vAlign w:val="center"/>
          </w:tcPr>
          <w:p>
            <w:pPr>
              <w:pStyle w:val="63"/>
              <w:rPr>
                <w:u w:val="single"/>
              </w:rPr>
            </w:pPr>
            <w:r>
              <w:rPr>
                <w:u w:val="single"/>
              </w:rPr>
              <w:t>%</w:t>
            </w:r>
          </w:p>
        </w:tc>
        <w:tc>
          <w:tcPr>
            <w:tcW w:w="625" w:type="pct"/>
            <w:shd w:val="clear" w:color="auto" w:fill="auto"/>
            <w:vAlign w:val="center"/>
          </w:tcPr>
          <w:p>
            <w:pPr>
              <w:pStyle w:val="63"/>
              <w:rPr>
                <w:u w:val="single"/>
              </w:rPr>
            </w:pPr>
            <w:r>
              <w:rPr>
                <w:u w:val="single"/>
              </w:rPr>
              <w:t>≥22.1</w:t>
            </w:r>
          </w:p>
        </w:tc>
        <w:tc>
          <w:tcPr>
            <w:tcW w:w="625" w:type="pct"/>
            <w:shd w:val="clear" w:color="auto" w:fill="auto"/>
            <w:vAlign w:val="center"/>
          </w:tcPr>
          <w:p>
            <w:pPr>
              <w:pStyle w:val="63"/>
              <w:rPr>
                <w:u w:val="single"/>
              </w:rPr>
            </w:pPr>
            <w:r>
              <w:rPr>
                <w:u w:val="single"/>
              </w:rPr>
              <w:t>≤0.05</w:t>
            </w:r>
          </w:p>
        </w:tc>
        <w:tc>
          <w:tcPr>
            <w:tcW w:w="625" w:type="pct"/>
            <w:shd w:val="clear" w:color="auto" w:fill="auto"/>
            <w:vAlign w:val="center"/>
          </w:tcPr>
          <w:p>
            <w:pPr>
              <w:pStyle w:val="63"/>
              <w:rPr>
                <w:u w:val="single"/>
              </w:rPr>
            </w:pPr>
            <w:r>
              <w:rPr>
                <w:u w:val="single"/>
              </w:rPr>
              <w:t>≤0.0005</w:t>
            </w:r>
          </w:p>
        </w:tc>
        <w:tc>
          <w:tcPr>
            <w:tcW w:w="625" w:type="pct"/>
            <w:shd w:val="clear" w:color="auto" w:fill="auto"/>
            <w:vAlign w:val="center"/>
          </w:tcPr>
          <w:p>
            <w:pPr>
              <w:pStyle w:val="63"/>
              <w:rPr>
                <w:u w:val="single"/>
              </w:rPr>
            </w:pPr>
            <w:r>
              <w:rPr>
                <w:u w:val="single"/>
              </w:rPr>
              <w:t>≤0.0005</w:t>
            </w:r>
          </w:p>
        </w:tc>
        <w:tc>
          <w:tcPr>
            <w:tcW w:w="625" w:type="pct"/>
            <w:shd w:val="clear" w:color="auto" w:fill="auto"/>
            <w:vAlign w:val="center"/>
          </w:tcPr>
          <w:p>
            <w:pPr>
              <w:pStyle w:val="63"/>
              <w:rPr>
                <w:u w:val="single"/>
              </w:rPr>
            </w:pPr>
            <w:r>
              <w:rPr>
                <w:u w:val="single"/>
              </w:rPr>
              <w:t>≤0.001</w:t>
            </w:r>
          </w:p>
        </w:tc>
        <w:tc>
          <w:tcPr>
            <w:tcW w:w="625" w:type="pct"/>
            <w:shd w:val="clear" w:color="auto" w:fill="auto"/>
            <w:vAlign w:val="center"/>
          </w:tcPr>
          <w:p>
            <w:pPr>
              <w:pStyle w:val="63"/>
              <w:rPr>
                <w:u w:val="single"/>
              </w:rPr>
            </w:pPr>
            <w:r>
              <w:rPr>
                <w:u w:val="single"/>
              </w:rPr>
              <w:t>≤0.0002</w:t>
            </w:r>
          </w:p>
        </w:tc>
        <w:tc>
          <w:tcPr>
            <w:tcW w:w="625" w:type="pct"/>
            <w:shd w:val="clear" w:color="auto" w:fill="auto"/>
            <w:vAlign w:val="center"/>
          </w:tcPr>
          <w:p>
            <w:pPr>
              <w:pStyle w:val="63"/>
              <w:rPr>
                <w:u w:val="single"/>
              </w:rPr>
            </w:pPr>
            <w:r>
              <w:rPr>
                <w:u w:val="single"/>
              </w:rPr>
              <w:t>≤0.001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jc w:val="center"/>
        </w:trPr>
        <w:tc>
          <w:tcPr>
            <w:tcW w:w="624" w:type="pct"/>
            <w:shd w:val="clear" w:color="auto" w:fill="auto"/>
            <w:vAlign w:val="center"/>
          </w:tcPr>
          <w:p>
            <w:pPr>
              <w:pStyle w:val="63"/>
              <w:rPr>
                <w:u w:val="single"/>
              </w:rPr>
            </w:pPr>
            <w:r>
              <w:rPr>
                <w:u w:val="single"/>
              </w:rPr>
              <w:t>组成</w:t>
            </w:r>
          </w:p>
        </w:tc>
        <w:tc>
          <w:tcPr>
            <w:tcW w:w="625" w:type="pct"/>
            <w:shd w:val="clear" w:color="auto" w:fill="auto"/>
            <w:vAlign w:val="center"/>
          </w:tcPr>
          <w:p>
            <w:pPr>
              <w:pStyle w:val="63"/>
              <w:rPr>
                <w:u w:val="single"/>
              </w:rPr>
            </w:pPr>
            <w:r>
              <w:rPr>
                <w:u w:val="single"/>
              </w:rPr>
              <w:t>Fe</w:t>
            </w:r>
          </w:p>
        </w:tc>
        <w:tc>
          <w:tcPr>
            <w:tcW w:w="625" w:type="pct"/>
            <w:shd w:val="clear" w:color="auto" w:fill="auto"/>
            <w:vAlign w:val="center"/>
          </w:tcPr>
          <w:p>
            <w:pPr>
              <w:pStyle w:val="63"/>
              <w:rPr>
                <w:u w:val="single"/>
              </w:rPr>
            </w:pPr>
            <w:r>
              <w:rPr>
                <w:u w:val="single"/>
              </w:rPr>
              <w:t>Mg</w:t>
            </w:r>
          </w:p>
        </w:tc>
        <w:tc>
          <w:tcPr>
            <w:tcW w:w="625" w:type="pct"/>
            <w:shd w:val="clear" w:color="auto" w:fill="auto"/>
            <w:vAlign w:val="center"/>
          </w:tcPr>
          <w:p>
            <w:pPr>
              <w:pStyle w:val="63"/>
              <w:rPr>
                <w:u w:val="single"/>
              </w:rPr>
            </w:pPr>
            <w:r>
              <w:rPr>
                <w:u w:val="single"/>
              </w:rPr>
              <w:t>Ca</w:t>
            </w:r>
          </w:p>
        </w:tc>
        <w:tc>
          <w:tcPr>
            <w:tcW w:w="625" w:type="pct"/>
            <w:shd w:val="clear" w:color="auto" w:fill="auto"/>
            <w:vAlign w:val="center"/>
          </w:tcPr>
          <w:p>
            <w:pPr>
              <w:pStyle w:val="63"/>
              <w:rPr>
                <w:u w:val="single"/>
              </w:rPr>
            </w:pPr>
            <w:r>
              <w:rPr>
                <w:u w:val="single"/>
              </w:rPr>
              <w:t>Cr</w:t>
            </w:r>
          </w:p>
        </w:tc>
        <w:tc>
          <w:tcPr>
            <w:tcW w:w="625" w:type="pct"/>
            <w:shd w:val="clear" w:color="auto" w:fill="auto"/>
            <w:vAlign w:val="center"/>
          </w:tcPr>
          <w:p>
            <w:pPr>
              <w:pStyle w:val="63"/>
              <w:rPr>
                <w:u w:val="single"/>
              </w:rPr>
            </w:pPr>
            <w:r>
              <w:rPr>
                <w:u w:val="single"/>
              </w:rPr>
              <w:t>Hg</w:t>
            </w:r>
          </w:p>
        </w:tc>
        <w:tc>
          <w:tcPr>
            <w:tcW w:w="625" w:type="pct"/>
            <w:shd w:val="clear" w:color="auto" w:fill="auto"/>
            <w:vAlign w:val="center"/>
          </w:tcPr>
          <w:p>
            <w:pPr>
              <w:pStyle w:val="63"/>
              <w:rPr>
                <w:u w:val="single"/>
              </w:rPr>
            </w:pPr>
            <w:r>
              <w:rPr>
                <w:u w:val="single"/>
              </w:rPr>
              <w:t>Na</w:t>
            </w:r>
          </w:p>
        </w:tc>
        <w:tc>
          <w:tcPr>
            <w:tcW w:w="625" w:type="pct"/>
            <w:shd w:val="clear" w:color="auto" w:fill="auto"/>
            <w:vAlign w:val="center"/>
          </w:tcPr>
          <w:p>
            <w:pPr>
              <w:pStyle w:val="63"/>
              <w:rPr>
                <w:u w:val="single"/>
              </w:rPr>
            </w:pPr>
            <w:r>
              <w:rPr>
                <w:u w:val="single"/>
              </w:rPr>
              <w:t>水不溶物</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4" w:type="pct"/>
            <w:shd w:val="clear" w:color="auto" w:fill="auto"/>
            <w:vAlign w:val="center"/>
          </w:tcPr>
          <w:p>
            <w:pPr>
              <w:pStyle w:val="63"/>
              <w:rPr>
                <w:u w:val="single"/>
              </w:rPr>
            </w:pPr>
            <w:r>
              <w:rPr>
                <w:u w:val="single"/>
              </w:rPr>
              <w:t>%</w:t>
            </w:r>
          </w:p>
        </w:tc>
        <w:tc>
          <w:tcPr>
            <w:tcW w:w="625" w:type="pct"/>
            <w:shd w:val="clear" w:color="auto" w:fill="auto"/>
            <w:vAlign w:val="center"/>
          </w:tcPr>
          <w:p>
            <w:pPr>
              <w:pStyle w:val="63"/>
              <w:rPr>
                <w:u w:val="single"/>
              </w:rPr>
            </w:pPr>
            <w:r>
              <w:rPr>
                <w:u w:val="single"/>
              </w:rPr>
              <w:t>≤0.0005</w:t>
            </w:r>
          </w:p>
        </w:tc>
        <w:tc>
          <w:tcPr>
            <w:tcW w:w="625" w:type="pct"/>
            <w:shd w:val="clear" w:color="auto" w:fill="auto"/>
            <w:vAlign w:val="center"/>
          </w:tcPr>
          <w:p>
            <w:pPr>
              <w:pStyle w:val="63"/>
              <w:rPr>
                <w:u w:val="single"/>
              </w:rPr>
            </w:pPr>
            <w:r>
              <w:rPr>
                <w:u w:val="single"/>
              </w:rPr>
              <w:t>≤0.005</w:t>
            </w:r>
          </w:p>
        </w:tc>
        <w:tc>
          <w:tcPr>
            <w:tcW w:w="625" w:type="pct"/>
            <w:shd w:val="clear" w:color="auto" w:fill="auto"/>
            <w:vAlign w:val="center"/>
          </w:tcPr>
          <w:p>
            <w:pPr>
              <w:pStyle w:val="63"/>
              <w:rPr>
                <w:u w:val="single"/>
              </w:rPr>
            </w:pPr>
            <w:r>
              <w:rPr>
                <w:u w:val="single"/>
              </w:rPr>
              <w:t>≤0.005</w:t>
            </w:r>
          </w:p>
        </w:tc>
        <w:tc>
          <w:tcPr>
            <w:tcW w:w="625" w:type="pct"/>
            <w:shd w:val="clear" w:color="auto" w:fill="auto"/>
            <w:vAlign w:val="center"/>
          </w:tcPr>
          <w:p>
            <w:pPr>
              <w:pStyle w:val="63"/>
              <w:rPr>
                <w:u w:val="single"/>
              </w:rPr>
            </w:pPr>
            <w:r>
              <w:rPr>
                <w:u w:val="single"/>
              </w:rPr>
              <w:t>≤0.0005</w:t>
            </w:r>
          </w:p>
        </w:tc>
        <w:tc>
          <w:tcPr>
            <w:tcW w:w="625" w:type="pct"/>
            <w:shd w:val="clear" w:color="auto" w:fill="auto"/>
            <w:vAlign w:val="center"/>
          </w:tcPr>
          <w:p>
            <w:pPr>
              <w:pStyle w:val="63"/>
              <w:rPr>
                <w:u w:val="single"/>
              </w:rPr>
            </w:pPr>
            <w:r>
              <w:rPr>
                <w:u w:val="single"/>
              </w:rPr>
              <w:t>≤0.0003</w:t>
            </w:r>
          </w:p>
        </w:tc>
        <w:tc>
          <w:tcPr>
            <w:tcW w:w="625" w:type="pct"/>
            <w:shd w:val="clear" w:color="auto" w:fill="auto"/>
            <w:vAlign w:val="center"/>
          </w:tcPr>
          <w:p>
            <w:pPr>
              <w:pStyle w:val="63"/>
              <w:rPr>
                <w:u w:val="single"/>
              </w:rPr>
            </w:pPr>
            <w:r>
              <w:rPr>
                <w:u w:val="single"/>
              </w:rPr>
              <w:t>≤0.01</w:t>
            </w:r>
          </w:p>
        </w:tc>
        <w:tc>
          <w:tcPr>
            <w:tcW w:w="625" w:type="pct"/>
            <w:shd w:val="clear" w:color="auto" w:fill="auto"/>
            <w:vAlign w:val="center"/>
          </w:tcPr>
          <w:p>
            <w:pPr>
              <w:pStyle w:val="63"/>
              <w:rPr>
                <w:u w:val="single"/>
              </w:rPr>
            </w:pPr>
            <w:r>
              <w:rPr>
                <w:u w:val="single"/>
              </w:rPr>
              <w:t>≤0.005</w:t>
            </w:r>
          </w:p>
        </w:tc>
      </w:tr>
    </w:tbl>
    <w:p>
      <w:pPr>
        <w:pStyle w:val="6"/>
        <w:rPr>
          <w:rFonts w:ascii="Times New Roman" w:hAnsi="Times New Roman" w:cs="Times New Roman"/>
          <w:u w:val="single"/>
        </w:rPr>
      </w:pPr>
      <w:r>
        <w:rPr>
          <w:rFonts w:ascii="Times New Roman" w:hAnsi="Times New Roman" w:cs="Times New Roman"/>
          <w:u w:val="single"/>
        </w:rPr>
        <w:t>表3.1-1</w:t>
      </w:r>
      <w:r>
        <w:rPr>
          <w:rFonts w:hint="eastAsia" w:ascii="Times New Roman" w:hAnsi="Times New Roman" w:cs="Times New Roman"/>
          <w:u w:val="single"/>
        </w:rPr>
        <w:t>4</w:t>
      </w:r>
      <w:r>
        <w:rPr>
          <w:rFonts w:ascii="Times New Roman" w:hAnsi="Times New Roman" w:cs="Times New Roman"/>
          <w:u w:val="single"/>
        </w:rPr>
        <w:t xml:space="preserve">  硫酸锰产品质量标准</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041"/>
        <w:gridCol w:w="1043"/>
        <w:gridCol w:w="1043"/>
        <w:gridCol w:w="1043"/>
        <w:gridCol w:w="1043"/>
        <w:gridCol w:w="1043"/>
        <w:gridCol w:w="1043"/>
        <w:gridCol w:w="104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4" w:type="pct"/>
            <w:shd w:val="clear" w:color="auto" w:fill="auto"/>
            <w:vAlign w:val="center"/>
          </w:tcPr>
          <w:p>
            <w:pPr>
              <w:pStyle w:val="63"/>
              <w:rPr>
                <w:u w:val="single"/>
              </w:rPr>
            </w:pPr>
            <w:r>
              <w:rPr>
                <w:u w:val="single"/>
              </w:rPr>
              <w:t>组成</w:t>
            </w:r>
          </w:p>
        </w:tc>
        <w:tc>
          <w:tcPr>
            <w:tcW w:w="625" w:type="pct"/>
            <w:shd w:val="clear" w:color="auto" w:fill="auto"/>
            <w:vAlign w:val="center"/>
          </w:tcPr>
          <w:p>
            <w:pPr>
              <w:pStyle w:val="63"/>
              <w:rPr>
                <w:u w:val="single"/>
              </w:rPr>
            </w:pPr>
            <w:r>
              <w:rPr>
                <w:u w:val="single"/>
              </w:rPr>
              <w:t>Mn</w:t>
            </w:r>
          </w:p>
        </w:tc>
        <w:tc>
          <w:tcPr>
            <w:tcW w:w="625" w:type="pct"/>
            <w:shd w:val="clear" w:color="auto" w:fill="auto"/>
            <w:vAlign w:val="center"/>
          </w:tcPr>
          <w:p>
            <w:pPr>
              <w:pStyle w:val="63"/>
              <w:rPr>
                <w:u w:val="single"/>
              </w:rPr>
            </w:pPr>
            <w:r>
              <w:rPr>
                <w:u w:val="single"/>
              </w:rPr>
              <w:t>Fe</w:t>
            </w:r>
          </w:p>
        </w:tc>
        <w:tc>
          <w:tcPr>
            <w:tcW w:w="625" w:type="pct"/>
            <w:shd w:val="clear" w:color="auto" w:fill="auto"/>
            <w:vAlign w:val="center"/>
          </w:tcPr>
          <w:p>
            <w:pPr>
              <w:pStyle w:val="63"/>
              <w:rPr>
                <w:u w:val="single"/>
              </w:rPr>
            </w:pPr>
            <w:r>
              <w:rPr>
                <w:u w:val="single"/>
              </w:rPr>
              <w:t>Zn</w:t>
            </w:r>
          </w:p>
        </w:tc>
        <w:tc>
          <w:tcPr>
            <w:tcW w:w="625" w:type="pct"/>
            <w:shd w:val="clear" w:color="auto" w:fill="auto"/>
            <w:vAlign w:val="center"/>
          </w:tcPr>
          <w:p>
            <w:pPr>
              <w:pStyle w:val="63"/>
              <w:rPr>
                <w:u w:val="single"/>
              </w:rPr>
            </w:pPr>
            <w:r>
              <w:rPr>
                <w:u w:val="single"/>
              </w:rPr>
              <w:t>Cu</w:t>
            </w:r>
          </w:p>
        </w:tc>
        <w:tc>
          <w:tcPr>
            <w:tcW w:w="625" w:type="pct"/>
            <w:shd w:val="clear" w:color="auto" w:fill="auto"/>
            <w:vAlign w:val="center"/>
          </w:tcPr>
          <w:p>
            <w:pPr>
              <w:pStyle w:val="63"/>
              <w:rPr>
                <w:u w:val="single"/>
              </w:rPr>
            </w:pPr>
            <w:r>
              <w:rPr>
                <w:u w:val="single"/>
              </w:rPr>
              <w:t>Pb</w:t>
            </w:r>
          </w:p>
        </w:tc>
        <w:tc>
          <w:tcPr>
            <w:tcW w:w="625" w:type="pct"/>
            <w:shd w:val="clear" w:color="auto" w:fill="auto"/>
            <w:vAlign w:val="center"/>
          </w:tcPr>
          <w:p>
            <w:pPr>
              <w:pStyle w:val="63"/>
              <w:rPr>
                <w:u w:val="single"/>
              </w:rPr>
            </w:pPr>
            <w:r>
              <w:rPr>
                <w:u w:val="single"/>
              </w:rPr>
              <w:t>Cd</w:t>
            </w:r>
          </w:p>
        </w:tc>
        <w:tc>
          <w:tcPr>
            <w:tcW w:w="625" w:type="pct"/>
            <w:shd w:val="clear" w:color="auto" w:fill="auto"/>
            <w:vAlign w:val="center"/>
          </w:tcPr>
          <w:p>
            <w:pPr>
              <w:pStyle w:val="63"/>
              <w:rPr>
                <w:u w:val="single"/>
              </w:rPr>
            </w:pPr>
            <w:r>
              <w:rPr>
                <w:u w:val="single"/>
              </w:rPr>
              <w:t>K</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4" w:type="pct"/>
            <w:shd w:val="clear" w:color="auto" w:fill="auto"/>
            <w:vAlign w:val="center"/>
          </w:tcPr>
          <w:p>
            <w:pPr>
              <w:pStyle w:val="63"/>
              <w:rPr>
                <w:u w:val="single"/>
              </w:rPr>
            </w:pPr>
            <w:r>
              <w:rPr>
                <w:u w:val="single"/>
              </w:rPr>
              <w:t>指标</w:t>
            </w:r>
          </w:p>
        </w:tc>
        <w:tc>
          <w:tcPr>
            <w:tcW w:w="625" w:type="pct"/>
            <w:shd w:val="clear" w:color="auto" w:fill="auto"/>
            <w:vAlign w:val="center"/>
          </w:tcPr>
          <w:p>
            <w:pPr>
              <w:pStyle w:val="63"/>
              <w:rPr>
                <w:u w:val="single"/>
              </w:rPr>
            </w:pPr>
            <w:r>
              <w:rPr>
                <w:u w:val="single"/>
              </w:rPr>
              <w:t>≥32%</w:t>
            </w:r>
          </w:p>
        </w:tc>
        <w:tc>
          <w:tcPr>
            <w:tcW w:w="625" w:type="pct"/>
            <w:shd w:val="clear" w:color="auto" w:fill="auto"/>
            <w:vAlign w:val="center"/>
          </w:tcPr>
          <w:p>
            <w:pPr>
              <w:pStyle w:val="63"/>
              <w:rPr>
                <w:u w:val="single"/>
              </w:rPr>
            </w:pPr>
            <w:r>
              <w:rPr>
                <w:u w:val="single"/>
              </w:rPr>
              <w:t>≤5ppm</w:t>
            </w:r>
          </w:p>
        </w:tc>
        <w:tc>
          <w:tcPr>
            <w:tcW w:w="625" w:type="pct"/>
            <w:shd w:val="clear" w:color="auto" w:fill="auto"/>
            <w:vAlign w:val="center"/>
          </w:tcPr>
          <w:p>
            <w:pPr>
              <w:pStyle w:val="63"/>
              <w:rPr>
                <w:u w:val="single"/>
              </w:rPr>
            </w:pPr>
            <w:r>
              <w:rPr>
                <w:u w:val="single"/>
              </w:rPr>
              <w:t>≤5ppm</w:t>
            </w:r>
          </w:p>
        </w:tc>
        <w:tc>
          <w:tcPr>
            <w:tcW w:w="625" w:type="pct"/>
            <w:shd w:val="clear" w:color="auto" w:fill="auto"/>
            <w:vAlign w:val="center"/>
          </w:tcPr>
          <w:p>
            <w:pPr>
              <w:pStyle w:val="63"/>
              <w:rPr>
                <w:u w:val="single"/>
              </w:rPr>
            </w:pPr>
            <w:r>
              <w:rPr>
                <w:u w:val="single"/>
              </w:rPr>
              <w:t>≤5ppm</w:t>
            </w:r>
          </w:p>
        </w:tc>
        <w:tc>
          <w:tcPr>
            <w:tcW w:w="625" w:type="pct"/>
            <w:shd w:val="clear" w:color="auto" w:fill="auto"/>
            <w:vAlign w:val="center"/>
          </w:tcPr>
          <w:p>
            <w:pPr>
              <w:pStyle w:val="63"/>
              <w:rPr>
                <w:u w:val="single"/>
              </w:rPr>
            </w:pPr>
            <w:r>
              <w:rPr>
                <w:u w:val="single"/>
              </w:rPr>
              <w:t>≤5ppm</w:t>
            </w:r>
          </w:p>
        </w:tc>
        <w:tc>
          <w:tcPr>
            <w:tcW w:w="625" w:type="pct"/>
            <w:shd w:val="clear" w:color="auto" w:fill="auto"/>
            <w:vAlign w:val="center"/>
          </w:tcPr>
          <w:p>
            <w:pPr>
              <w:pStyle w:val="63"/>
              <w:rPr>
                <w:u w:val="single"/>
              </w:rPr>
            </w:pPr>
            <w:r>
              <w:rPr>
                <w:u w:val="single"/>
              </w:rPr>
              <w:t>≤5ppm</w:t>
            </w:r>
          </w:p>
        </w:tc>
        <w:tc>
          <w:tcPr>
            <w:tcW w:w="625" w:type="pct"/>
            <w:shd w:val="clear" w:color="auto" w:fill="auto"/>
            <w:vAlign w:val="center"/>
          </w:tcPr>
          <w:p>
            <w:pPr>
              <w:pStyle w:val="63"/>
              <w:rPr>
                <w:u w:val="single"/>
              </w:rPr>
            </w:pPr>
            <w:r>
              <w:rPr>
                <w:u w:val="single"/>
              </w:rPr>
              <w:t>≤50ppm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4" w:type="pct"/>
            <w:shd w:val="clear" w:color="auto" w:fill="auto"/>
            <w:vAlign w:val="center"/>
          </w:tcPr>
          <w:p>
            <w:pPr>
              <w:pStyle w:val="63"/>
              <w:rPr>
                <w:u w:val="single"/>
              </w:rPr>
            </w:pPr>
            <w:r>
              <w:rPr>
                <w:u w:val="single"/>
              </w:rPr>
              <w:t>组成</w:t>
            </w:r>
          </w:p>
        </w:tc>
        <w:tc>
          <w:tcPr>
            <w:tcW w:w="625" w:type="pct"/>
            <w:shd w:val="clear" w:color="auto" w:fill="auto"/>
            <w:vAlign w:val="center"/>
          </w:tcPr>
          <w:p>
            <w:pPr>
              <w:pStyle w:val="63"/>
              <w:rPr>
                <w:u w:val="single"/>
              </w:rPr>
            </w:pPr>
            <w:r>
              <w:rPr>
                <w:u w:val="single"/>
              </w:rPr>
              <w:t>Ca</w:t>
            </w:r>
          </w:p>
        </w:tc>
        <w:tc>
          <w:tcPr>
            <w:tcW w:w="625" w:type="pct"/>
            <w:shd w:val="clear" w:color="auto" w:fill="auto"/>
            <w:vAlign w:val="center"/>
          </w:tcPr>
          <w:p>
            <w:pPr>
              <w:pStyle w:val="63"/>
              <w:rPr>
                <w:u w:val="single"/>
              </w:rPr>
            </w:pPr>
            <w:r>
              <w:rPr>
                <w:u w:val="single"/>
              </w:rPr>
              <w:t>Mg</w:t>
            </w:r>
          </w:p>
        </w:tc>
        <w:tc>
          <w:tcPr>
            <w:tcW w:w="625" w:type="pct"/>
            <w:shd w:val="clear" w:color="auto" w:fill="auto"/>
            <w:vAlign w:val="center"/>
          </w:tcPr>
          <w:p>
            <w:pPr>
              <w:pStyle w:val="63"/>
              <w:rPr>
                <w:u w:val="single"/>
              </w:rPr>
            </w:pPr>
            <w:r>
              <w:rPr>
                <w:u w:val="single"/>
              </w:rPr>
              <w:t>水不溶物</w:t>
            </w:r>
          </w:p>
        </w:tc>
        <w:tc>
          <w:tcPr>
            <w:tcW w:w="625" w:type="pct"/>
            <w:shd w:val="clear" w:color="auto" w:fill="auto"/>
            <w:vAlign w:val="center"/>
          </w:tcPr>
          <w:p>
            <w:pPr>
              <w:pStyle w:val="63"/>
              <w:rPr>
                <w:u w:val="single"/>
              </w:rPr>
            </w:pPr>
            <w:r>
              <w:rPr>
                <w:u w:val="single"/>
              </w:rPr>
              <w:t>pH</w:t>
            </w:r>
          </w:p>
        </w:tc>
        <w:tc>
          <w:tcPr>
            <w:tcW w:w="625" w:type="pct"/>
            <w:shd w:val="clear" w:color="auto" w:fill="auto"/>
            <w:vAlign w:val="center"/>
          </w:tcPr>
          <w:p>
            <w:pPr>
              <w:pStyle w:val="63"/>
              <w:rPr>
                <w:u w:val="single"/>
              </w:rPr>
            </w:pPr>
            <w:r>
              <w:rPr>
                <w:u w:val="single"/>
              </w:rPr>
              <w:t>Na</w:t>
            </w:r>
          </w:p>
        </w:tc>
        <w:tc>
          <w:tcPr>
            <w:tcW w:w="1250" w:type="pct"/>
            <w:gridSpan w:val="2"/>
            <w:shd w:val="clear" w:color="auto" w:fill="auto"/>
            <w:vAlign w:val="center"/>
          </w:tcPr>
          <w:p>
            <w:pPr>
              <w:pStyle w:val="63"/>
              <w:rPr>
                <w:u w:val="single"/>
              </w:rPr>
            </w:pPr>
            <w:r>
              <w:rPr>
                <w:u w:val="single"/>
              </w:rPr>
              <w:t>细度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4" w:type="pct"/>
            <w:shd w:val="clear" w:color="auto" w:fill="auto"/>
            <w:vAlign w:val="center"/>
          </w:tcPr>
          <w:p>
            <w:pPr>
              <w:pStyle w:val="63"/>
              <w:rPr>
                <w:u w:val="single"/>
              </w:rPr>
            </w:pPr>
            <w:r>
              <w:rPr>
                <w:u w:val="single"/>
              </w:rPr>
              <w:t>指标</w:t>
            </w:r>
          </w:p>
        </w:tc>
        <w:tc>
          <w:tcPr>
            <w:tcW w:w="625" w:type="pct"/>
            <w:shd w:val="clear" w:color="auto" w:fill="auto"/>
            <w:vAlign w:val="center"/>
          </w:tcPr>
          <w:p>
            <w:pPr>
              <w:pStyle w:val="63"/>
              <w:rPr>
                <w:u w:val="single"/>
              </w:rPr>
            </w:pPr>
            <w:r>
              <w:rPr>
                <w:u w:val="single"/>
              </w:rPr>
              <w:t>≤50ppm</w:t>
            </w:r>
          </w:p>
        </w:tc>
        <w:tc>
          <w:tcPr>
            <w:tcW w:w="625" w:type="pct"/>
            <w:shd w:val="clear" w:color="auto" w:fill="auto"/>
            <w:vAlign w:val="center"/>
          </w:tcPr>
          <w:p>
            <w:pPr>
              <w:pStyle w:val="63"/>
              <w:rPr>
                <w:u w:val="single"/>
              </w:rPr>
            </w:pPr>
            <w:r>
              <w:rPr>
                <w:u w:val="single"/>
              </w:rPr>
              <w:t>≤50ppm</w:t>
            </w:r>
          </w:p>
        </w:tc>
        <w:tc>
          <w:tcPr>
            <w:tcW w:w="625" w:type="pct"/>
            <w:shd w:val="clear" w:color="auto" w:fill="auto"/>
            <w:vAlign w:val="center"/>
          </w:tcPr>
          <w:p>
            <w:pPr>
              <w:pStyle w:val="63"/>
              <w:rPr>
                <w:u w:val="single"/>
              </w:rPr>
            </w:pPr>
            <w:r>
              <w:rPr>
                <w:u w:val="single"/>
              </w:rPr>
              <w:t>≤100ppm</w:t>
            </w:r>
          </w:p>
        </w:tc>
        <w:tc>
          <w:tcPr>
            <w:tcW w:w="625" w:type="pct"/>
            <w:shd w:val="clear" w:color="auto" w:fill="auto"/>
            <w:vAlign w:val="center"/>
          </w:tcPr>
          <w:p>
            <w:pPr>
              <w:pStyle w:val="63"/>
              <w:rPr>
                <w:u w:val="single"/>
              </w:rPr>
            </w:pPr>
            <w:r>
              <w:rPr>
                <w:u w:val="single"/>
              </w:rPr>
              <w:t>4.5～6.5</w:t>
            </w:r>
          </w:p>
        </w:tc>
        <w:tc>
          <w:tcPr>
            <w:tcW w:w="625" w:type="pct"/>
            <w:shd w:val="clear" w:color="auto" w:fill="auto"/>
            <w:vAlign w:val="center"/>
          </w:tcPr>
          <w:p>
            <w:pPr>
              <w:pStyle w:val="63"/>
              <w:rPr>
                <w:u w:val="single"/>
              </w:rPr>
            </w:pPr>
            <w:r>
              <w:rPr>
                <w:u w:val="single"/>
              </w:rPr>
              <w:t>≤50ppm</w:t>
            </w:r>
          </w:p>
        </w:tc>
        <w:tc>
          <w:tcPr>
            <w:tcW w:w="1250" w:type="pct"/>
            <w:gridSpan w:val="2"/>
            <w:shd w:val="clear" w:color="auto" w:fill="auto"/>
            <w:vAlign w:val="center"/>
          </w:tcPr>
          <w:p>
            <w:pPr>
              <w:pStyle w:val="63"/>
              <w:rPr>
                <w:u w:val="single"/>
              </w:rPr>
            </w:pPr>
            <w:r>
              <w:rPr>
                <w:u w:val="single"/>
              </w:rPr>
              <w:t>100%过 60  目</w:t>
            </w:r>
          </w:p>
        </w:tc>
      </w:tr>
    </w:tbl>
    <w:p>
      <w:pPr>
        <w:pStyle w:val="6"/>
        <w:rPr>
          <w:rFonts w:ascii="Times New Roman" w:hAnsi="Times New Roman" w:cs="Times New Roman"/>
          <w:u w:val="single"/>
        </w:rPr>
      </w:pPr>
      <w:r>
        <w:rPr>
          <w:rFonts w:ascii="Times New Roman" w:hAnsi="Times New Roman" w:cs="Times New Roman"/>
          <w:u w:val="single"/>
        </w:rPr>
        <w:t>表3.1-1</w:t>
      </w:r>
      <w:r>
        <w:rPr>
          <w:rFonts w:hint="eastAsia" w:ascii="Times New Roman" w:hAnsi="Times New Roman" w:cs="Times New Roman"/>
          <w:u w:val="single"/>
        </w:rPr>
        <w:t>5</w:t>
      </w:r>
      <w:r>
        <w:rPr>
          <w:rFonts w:ascii="Times New Roman" w:hAnsi="Times New Roman" w:cs="Times New Roman"/>
          <w:u w:val="single"/>
        </w:rPr>
        <w:t xml:space="preserve">  碳酸锂产品质量标准</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0" w:type="dxa"/>
          <w:bottom w:w="0" w:type="dxa"/>
          <w:right w:w="0" w:type="dxa"/>
        </w:tblCellMar>
      </w:tblPr>
      <w:tblGrid>
        <w:gridCol w:w="1366"/>
        <w:gridCol w:w="1363"/>
        <w:gridCol w:w="1362"/>
        <w:gridCol w:w="1360"/>
        <w:gridCol w:w="1357"/>
        <w:gridCol w:w="1535"/>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819" w:type="pct"/>
            <w:shd w:val="clear" w:color="auto" w:fill="auto"/>
            <w:vAlign w:val="center"/>
          </w:tcPr>
          <w:p>
            <w:pPr>
              <w:pStyle w:val="63"/>
              <w:rPr>
                <w:u w:val="single"/>
              </w:rPr>
            </w:pPr>
            <w:r>
              <w:rPr>
                <w:u w:val="single"/>
              </w:rPr>
              <w:t>组成</w:t>
            </w:r>
          </w:p>
        </w:tc>
        <w:tc>
          <w:tcPr>
            <w:tcW w:w="817" w:type="pct"/>
            <w:shd w:val="clear" w:color="auto" w:fill="auto"/>
            <w:vAlign w:val="center"/>
          </w:tcPr>
          <w:p>
            <w:pPr>
              <w:pStyle w:val="63"/>
              <w:rPr>
                <w:u w:val="single"/>
              </w:rPr>
            </w:pPr>
            <w:r>
              <w:rPr>
                <w:u w:val="single"/>
              </w:rPr>
              <w:t>Li2CO3</w:t>
            </w:r>
          </w:p>
        </w:tc>
        <w:tc>
          <w:tcPr>
            <w:tcW w:w="816" w:type="pct"/>
            <w:shd w:val="clear" w:color="auto" w:fill="auto"/>
            <w:vAlign w:val="center"/>
          </w:tcPr>
          <w:p>
            <w:pPr>
              <w:pStyle w:val="63"/>
              <w:rPr>
                <w:u w:val="single"/>
              </w:rPr>
            </w:pPr>
            <w:r>
              <w:rPr>
                <w:u w:val="single"/>
              </w:rPr>
              <w:t>Na</w:t>
            </w:r>
          </w:p>
        </w:tc>
        <w:tc>
          <w:tcPr>
            <w:tcW w:w="815" w:type="pct"/>
            <w:shd w:val="clear" w:color="auto" w:fill="auto"/>
            <w:vAlign w:val="center"/>
          </w:tcPr>
          <w:p>
            <w:pPr>
              <w:pStyle w:val="63"/>
              <w:rPr>
                <w:u w:val="single"/>
              </w:rPr>
            </w:pPr>
            <w:r>
              <w:rPr>
                <w:u w:val="single"/>
              </w:rPr>
              <w:t>Fe</w:t>
            </w:r>
          </w:p>
        </w:tc>
        <w:tc>
          <w:tcPr>
            <w:tcW w:w="813" w:type="pct"/>
            <w:shd w:val="clear" w:color="auto" w:fill="auto"/>
            <w:vAlign w:val="center"/>
          </w:tcPr>
          <w:p>
            <w:pPr>
              <w:pStyle w:val="63"/>
              <w:rPr>
                <w:u w:val="single"/>
              </w:rPr>
            </w:pPr>
            <w:r>
              <w:rPr>
                <w:u w:val="single"/>
              </w:rPr>
              <w:t>Ca</w:t>
            </w:r>
          </w:p>
        </w:tc>
        <w:tc>
          <w:tcPr>
            <w:tcW w:w="920" w:type="pct"/>
            <w:shd w:val="clear" w:color="auto" w:fill="auto"/>
            <w:vAlign w:val="center"/>
          </w:tcPr>
          <w:p>
            <w:pPr>
              <w:pStyle w:val="63"/>
              <w:rPr>
                <w:u w:val="single"/>
              </w:rPr>
            </w:pPr>
            <w:r>
              <w:rPr>
                <w:u w:val="single"/>
              </w:rPr>
              <w:t>SO42-</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819" w:type="pct"/>
            <w:shd w:val="clear" w:color="auto" w:fill="auto"/>
            <w:vAlign w:val="center"/>
          </w:tcPr>
          <w:p>
            <w:pPr>
              <w:pStyle w:val="63"/>
              <w:rPr>
                <w:u w:val="single"/>
              </w:rPr>
            </w:pPr>
            <w:r>
              <w:rPr>
                <w:u w:val="single"/>
              </w:rPr>
              <w:t>%</w:t>
            </w:r>
          </w:p>
        </w:tc>
        <w:tc>
          <w:tcPr>
            <w:tcW w:w="817" w:type="pct"/>
            <w:shd w:val="clear" w:color="auto" w:fill="auto"/>
            <w:vAlign w:val="center"/>
          </w:tcPr>
          <w:p>
            <w:pPr>
              <w:pStyle w:val="63"/>
              <w:rPr>
                <w:u w:val="single"/>
              </w:rPr>
            </w:pPr>
            <w:r>
              <w:rPr>
                <w:u w:val="single"/>
              </w:rPr>
              <w:t>≥98.5</w:t>
            </w:r>
          </w:p>
        </w:tc>
        <w:tc>
          <w:tcPr>
            <w:tcW w:w="816" w:type="pct"/>
            <w:shd w:val="clear" w:color="auto" w:fill="auto"/>
            <w:vAlign w:val="center"/>
          </w:tcPr>
          <w:p>
            <w:pPr>
              <w:pStyle w:val="63"/>
              <w:rPr>
                <w:u w:val="single"/>
              </w:rPr>
            </w:pPr>
            <w:r>
              <w:rPr>
                <w:u w:val="single"/>
              </w:rPr>
              <w:t>≤0.2%</w:t>
            </w:r>
          </w:p>
        </w:tc>
        <w:tc>
          <w:tcPr>
            <w:tcW w:w="815" w:type="pct"/>
            <w:shd w:val="clear" w:color="auto" w:fill="auto"/>
            <w:vAlign w:val="center"/>
          </w:tcPr>
          <w:p>
            <w:pPr>
              <w:pStyle w:val="63"/>
              <w:rPr>
                <w:u w:val="single"/>
              </w:rPr>
            </w:pPr>
            <w:r>
              <w:rPr>
                <w:u w:val="single"/>
              </w:rPr>
              <w:t>≤0.007%</w:t>
            </w:r>
          </w:p>
        </w:tc>
        <w:tc>
          <w:tcPr>
            <w:tcW w:w="813" w:type="pct"/>
            <w:shd w:val="clear" w:color="auto" w:fill="auto"/>
            <w:vAlign w:val="center"/>
          </w:tcPr>
          <w:p>
            <w:pPr>
              <w:pStyle w:val="63"/>
              <w:rPr>
                <w:u w:val="single"/>
              </w:rPr>
            </w:pPr>
            <w:r>
              <w:rPr>
                <w:u w:val="single"/>
              </w:rPr>
              <w:t>≤0.07%</w:t>
            </w:r>
          </w:p>
        </w:tc>
        <w:tc>
          <w:tcPr>
            <w:tcW w:w="920" w:type="pct"/>
            <w:shd w:val="clear" w:color="auto" w:fill="auto"/>
            <w:vAlign w:val="center"/>
          </w:tcPr>
          <w:p>
            <w:pPr>
              <w:pStyle w:val="63"/>
              <w:rPr>
                <w:u w:val="single"/>
              </w:rPr>
            </w:pPr>
            <w:r>
              <w:rPr>
                <w:u w:val="single"/>
              </w:rPr>
              <w:t>≤0.5%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819" w:type="pct"/>
            <w:shd w:val="clear" w:color="auto" w:fill="auto"/>
            <w:vAlign w:val="center"/>
          </w:tcPr>
          <w:p>
            <w:pPr>
              <w:pStyle w:val="63"/>
              <w:rPr>
                <w:u w:val="single"/>
              </w:rPr>
            </w:pPr>
            <w:r>
              <w:rPr>
                <w:u w:val="single"/>
              </w:rPr>
              <w:t>组成</w:t>
            </w:r>
          </w:p>
        </w:tc>
        <w:tc>
          <w:tcPr>
            <w:tcW w:w="817" w:type="pct"/>
            <w:shd w:val="clear" w:color="auto" w:fill="auto"/>
            <w:vAlign w:val="center"/>
          </w:tcPr>
          <w:p>
            <w:pPr>
              <w:pStyle w:val="63"/>
              <w:rPr>
                <w:u w:val="single"/>
              </w:rPr>
            </w:pPr>
            <w:r>
              <w:rPr>
                <w:u w:val="single"/>
              </w:rPr>
              <w:t>水分</w:t>
            </w:r>
          </w:p>
        </w:tc>
        <w:tc>
          <w:tcPr>
            <w:tcW w:w="816" w:type="pct"/>
            <w:shd w:val="clear" w:color="auto" w:fill="auto"/>
            <w:vAlign w:val="center"/>
          </w:tcPr>
          <w:p>
            <w:pPr>
              <w:pStyle w:val="63"/>
              <w:rPr>
                <w:u w:val="single"/>
              </w:rPr>
            </w:pPr>
            <w:r>
              <w:rPr>
                <w:u w:val="single"/>
              </w:rPr>
              <w:t>Cl-</w:t>
            </w:r>
          </w:p>
        </w:tc>
        <w:tc>
          <w:tcPr>
            <w:tcW w:w="815" w:type="pct"/>
            <w:shd w:val="clear" w:color="auto" w:fill="auto"/>
            <w:vAlign w:val="center"/>
          </w:tcPr>
          <w:p>
            <w:pPr>
              <w:pStyle w:val="63"/>
              <w:rPr>
                <w:u w:val="single"/>
              </w:rPr>
            </w:pPr>
            <w:r>
              <w:rPr>
                <w:u w:val="single"/>
              </w:rPr>
              <w:t>盐酸不溶物</w:t>
            </w:r>
          </w:p>
        </w:tc>
        <w:tc>
          <w:tcPr>
            <w:tcW w:w="813" w:type="pct"/>
            <w:shd w:val="clear" w:color="auto" w:fill="auto"/>
            <w:vAlign w:val="center"/>
          </w:tcPr>
          <w:p>
            <w:pPr>
              <w:pStyle w:val="63"/>
              <w:rPr>
                <w:u w:val="single"/>
              </w:rPr>
            </w:pPr>
            <w:r>
              <w:rPr>
                <w:u w:val="single"/>
              </w:rPr>
              <w:t>Mg</w:t>
            </w:r>
          </w:p>
        </w:tc>
        <w:tc>
          <w:tcPr>
            <w:tcW w:w="920" w:type="pct"/>
            <w:shd w:val="clear" w:color="auto" w:fill="auto"/>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819" w:type="pct"/>
            <w:shd w:val="clear" w:color="auto" w:fill="auto"/>
            <w:vAlign w:val="center"/>
          </w:tcPr>
          <w:p>
            <w:pPr>
              <w:pStyle w:val="63"/>
              <w:rPr>
                <w:u w:val="single"/>
              </w:rPr>
            </w:pPr>
            <w:r>
              <w:rPr>
                <w:u w:val="single"/>
              </w:rPr>
              <w:t>%</w:t>
            </w:r>
          </w:p>
        </w:tc>
        <w:tc>
          <w:tcPr>
            <w:tcW w:w="817" w:type="pct"/>
            <w:shd w:val="clear" w:color="auto" w:fill="auto"/>
            <w:vAlign w:val="center"/>
          </w:tcPr>
          <w:p>
            <w:pPr>
              <w:pStyle w:val="63"/>
              <w:rPr>
                <w:u w:val="single"/>
              </w:rPr>
            </w:pPr>
            <w:r>
              <w:rPr>
                <w:u w:val="single"/>
              </w:rPr>
              <w:t>≤0.5%</w:t>
            </w:r>
          </w:p>
        </w:tc>
        <w:tc>
          <w:tcPr>
            <w:tcW w:w="816" w:type="pct"/>
            <w:shd w:val="clear" w:color="auto" w:fill="auto"/>
            <w:vAlign w:val="center"/>
          </w:tcPr>
          <w:p>
            <w:pPr>
              <w:pStyle w:val="63"/>
              <w:rPr>
                <w:u w:val="single"/>
              </w:rPr>
            </w:pPr>
            <w:r>
              <w:rPr>
                <w:u w:val="single"/>
              </w:rPr>
              <w:t>≤0.03%</w:t>
            </w:r>
          </w:p>
        </w:tc>
        <w:tc>
          <w:tcPr>
            <w:tcW w:w="815" w:type="pct"/>
            <w:shd w:val="clear" w:color="auto" w:fill="auto"/>
            <w:vAlign w:val="center"/>
          </w:tcPr>
          <w:p>
            <w:pPr>
              <w:pStyle w:val="63"/>
              <w:rPr>
                <w:u w:val="single"/>
              </w:rPr>
            </w:pPr>
            <w:r>
              <w:rPr>
                <w:u w:val="single"/>
              </w:rPr>
              <w:t>≤0.05%</w:t>
            </w:r>
          </w:p>
        </w:tc>
        <w:tc>
          <w:tcPr>
            <w:tcW w:w="813" w:type="pct"/>
            <w:shd w:val="clear" w:color="auto" w:fill="auto"/>
            <w:vAlign w:val="center"/>
          </w:tcPr>
          <w:p>
            <w:pPr>
              <w:pStyle w:val="63"/>
              <w:rPr>
                <w:u w:val="single"/>
              </w:rPr>
            </w:pPr>
            <w:r>
              <w:rPr>
                <w:u w:val="single"/>
              </w:rPr>
              <w:t>--</w:t>
            </w:r>
          </w:p>
        </w:tc>
        <w:tc>
          <w:tcPr>
            <w:tcW w:w="920" w:type="pct"/>
            <w:shd w:val="clear" w:color="auto" w:fill="auto"/>
            <w:vAlign w:val="center"/>
          </w:tcPr>
          <w:p>
            <w:pPr>
              <w:pStyle w:val="63"/>
              <w:rPr>
                <w:u w:val="single"/>
              </w:rPr>
            </w:pPr>
          </w:p>
        </w:tc>
      </w:tr>
    </w:tbl>
    <w:p>
      <w:pPr>
        <w:pStyle w:val="6"/>
        <w:rPr>
          <w:rFonts w:ascii="Times New Roman" w:hAnsi="Times New Roman" w:cs="Times New Roman"/>
          <w:u w:val="single"/>
        </w:rPr>
      </w:pPr>
      <w:bookmarkStart w:id="140" w:name="_Toc147848005"/>
      <w:bookmarkStart w:id="141" w:name="_Toc102658204"/>
      <w:bookmarkStart w:id="142" w:name="_Toc144236755"/>
      <w:bookmarkStart w:id="143" w:name="_Toc144276885"/>
      <w:r>
        <w:rPr>
          <w:rFonts w:ascii="Times New Roman" w:hAnsi="Times New Roman" w:cs="Times New Roman"/>
          <w:u w:val="single"/>
        </w:rPr>
        <w:t>表3.1-1</w:t>
      </w:r>
      <w:r>
        <w:rPr>
          <w:rFonts w:hint="eastAsia" w:ascii="Times New Roman" w:hAnsi="Times New Roman" w:cs="Times New Roman"/>
          <w:u w:val="single"/>
        </w:rPr>
        <w:t>6</w:t>
      </w:r>
      <w:r>
        <w:rPr>
          <w:rFonts w:ascii="Times New Roman" w:hAnsi="Times New Roman" w:cs="Times New Roman"/>
          <w:u w:val="single"/>
        </w:rPr>
        <w:t xml:space="preserve">  磷酸铁产品质量标准</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041"/>
        <w:gridCol w:w="1043"/>
        <w:gridCol w:w="1043"/>
        <w:gridCol w:w="1043"/>
        <w:gridCol w:w="1043"/>
        <w:gridCol w:w="1043"/>
        <w:gridCol w:w="1043"/>
        <w:gridCol w:w="104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4" w:type="pct"/>
            <w:shd w:val="clear" w:color="auto" w:fill="auto"/>
            <w:vAlign w:val="center"/>
          </w:tcPr>
          <w:p>
            <w:pPr>
              <w:pStyle w:val="63"/>
              <w:rPr>
                <w:u w:val="single"/>
              </w:rPr>
            </w:pPr>
            <w:r>
              <w:rPr>
                <w:u w:val="single"/>
              </w:rPr>
              <w:t>组成</w:t>
            </w:r>
          </w:p>
        </w:tc>
        <w:tc>
          <w:tcPr>
            <w:tcW w:w="625" w:type="pct"/>
            <w:shd w:val="clear" w:color="auto" w:fill="auto"/>
            <w:vAlign w:val="center"/>
          </w:tcPr>
          <w:p>
            <w:pPr>
              <w:pStyle w:val="63"/>
              <w:rPr>
                <w:u w:val="single"/>
              </w:rPr>
            </w:pPr>
            <w:r>
              <w:rPr>
                <w:u w:val="single"/>
              </w:rPr>
              <w:t>Fe</w:t>
            </w:r>
          </w:p>
        </w:tc>
        <w:tc>
          <w:tcPr>
            <w:tcW w:w="625" w:type="pct"/>
            <w:shd w:val="clear" w:color="auto" w:fill="auto"/>
            <w:vAlign w:val="center"/>
          </w:tcPr>
          <w:p>
            <w:pPr>
              <w:pStyle w:val="63"/>
              <w:rPr>
                <w:u w:val="single"/>
              </w:rPr>
            </w:pPr>
            <w:r>
              <w:rPr>
                <w:u w:val="single"/>
              </w:rPr>
              <w:t>P</w:t>
            </w:r>
          </w:p>
        </w:tc>
        <w:tc>
          <w:tcPr>
            <w:tcW w:w="625" w:type="pct"/>
            <w:shd w:val="clear" w:color="auto" w:fill="auto"/>
            <w:vAlign w:val="center"/>
          </w:tcPr>
          <w:p>
            <w:pPr>
              <w:pStyle w:val="63"/>
              <w:rPr>
                <w:u w:val="single"/>
              </w:rPr>
            </w:pPr>
            <w:r>
              <w:rPr>
                <w:u w:val="single"/>
              </w:rPr>
              <w:t>Fe：P</w:t>
            </w:r>
          </w:p>
        </w:tc>
        <w:tc>
          <w:tcPr>
            <w:tcW w:w="625" w:type="pct"/>
            <w:shd w:val="clear" w:color="auto" w:fill="auto"/>
            <w:vAlign w:val="center"/>
          </w:tcPr>
          <w:p>
            <w:pPr>
              <w:pStyle w:val="63"/>
              <w:rPr>
                <w:u w:val="single"/>
              </w:rPr>
            </w:pPr>
            <w:r>
              <w:rPr>
                <w:u w:val="single"/>
              </w:rPr>
              <w:t>Ca</w:t>
            </w:r>
          </w:p>
        </w:tc>
        <w:tc>
          <w:tcPr>
            <w:tcW w:w="625" w:type="pct"/>
            <w:shd w:val="clear" w:color="auto" w:fill="auto"/>
            <w:vAlign w:val="center"/>
          </w:tcPr>
          <w:p>
            <w:pPr>
              <w:pStyle w:val="63"/>
              <w:rPr>
                <w:u w:val="single"/>
              </w:rPr>
            </w:pPr>
            <w:r>
              <w:rPr>
                <w:u w:val="single"/>
              </w:rPr>
              <w:t>Mg</w:t>
            </w:r>
          </w:p>
        </w:tc>
        <w:tc>
          <w:tcPr>
            <w:tcW w:w="625" w:type="pct"/>
            <w:shd w:val="clear" w:color="auto" w:fill="auto"/>
            <w:vAlign w:val="center"/>
          </w:tcPr>
          <w:p>
            <w:pPr>
              <w:pStyle w:val="63"/>
              <w:rPr>
                <w:u w:val="single"/>
              </w:rPr>
            </w:pPr>
            <w:r>
              <w:rPr>
                <w:u w:val="single"/>
              </w:rPr>
              <w:t>Na</w:t>
            </w:r>
          </w:p>
        </w:tc>
        <w:tc>
          <w:tcPr>
            <w:tcW w:w="625" w:type="pct"/>
            <w:shd w:val="clear" w:color="auto" w:fill="auto"/>
            <w:vAlign w:val="center"/>
          </w:tcPr>
          <w:p>
            <w:pPr>
              <w:pStyle w:val="63"/>
              <w:rPr>
                <w:u w:val="single"/>
              </w:rPr>
            </w:pPr>
            <w:r>
              <w:rPr>
                <w:u w:val="single"/>
              </w:rPr>
              <w:t>K</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4" w:type="pct"/>
            <w:shd w:val="clear" w:color="auto" w:fill="auto"/>
            <w:vAlign w:val="center"/>
          </w:tcPr>
          <w:p>
            <w:pPr>
              <w:pStyle w:val="63"/>
              <w:rPr>
                <w:u w:val="single"/>
              </w:rPr>
            </w:pPr>
            <w:r>
              <w:rPr>
                <w:u w:val="single"/>
              </w:rPr>
              <w:t>指标</w:t>
            </w:r>
          </w:p>
        </w:tc>
        <w:tc>
          <w:tcPr>
            <w:tcW w:w="625" w:type="pct"/>
            <w:shd w:val="clear" w:color="auto" w:fill="auto"/>
            <w:vAlign w:val="center"/>
          </w:tcPr>
          <w:p>
            <w:pPr>
              <w:pStyle w:val="63"/>
              <w:rPr>
                <w:u w:val="single"/>
              </w:rPr>
            </w:pPr>
            <w:r>
              <w:rPr>
                <w:u w:val="single"/>
              </w:rPr>
              <w:t>29.0-30.0</w:t>
            </w:r>
          </w:p>
        </w:tc>
        <w:tc>
          <w:tcPr>
            <w:tcW w:w="625" w:type="pct"/>
            <w:shd w:val="clear" w:color="auto" w:fill="auto"/>
            <w:vAlign w:val="center"/>
          </w:tcPr>
          <w:p>
            <w:pPr>
              <w:pStyle w:val="63"/>
              <w:rPr>
                <w:u w:val="single"/>
              </w:rPr>
            </w:pPr>
            <w:r>
              <w:rPr>
                <w:u w:val="single"/>
              </w:rPr>
              <w:t>16.2-17.2</w:t>
            </w:r>
          </w:p>
        </w:tc>
        <w:tc>
          <w:tcPr>
            <w:tcW w:w="625" w:type="pct"/>
            <w:shd w:val="clear" w:color="auto" w:fill="auto"/>
            <w:vAlign w:val="center"/>
          </w:tcPr>
          <w:p>
            <w:pPr>
              <w:pStyle w:val="63"/>
              <w:rPr>
                <w:u w:val="single"/>
              </w:rPr>
            </w:pPr>
            <w:r>
              <w:rPr>
                <w:u w:val="single"/>
              </w:rPr>
              <w:t>0.97-1.02</w:t>
            </w:r>
          </w:p>
        </w:tc>
        <w:tc>
          <w:tcPr>
            <w:tcW w:w="625" w:type="pct"/>
            <w:shd w:val="clear" w:color="auto" w:fill="auto"/>
            <w:vAlign w:val="center"/>
          </w:tcPr>
          <w:p>
            <w:pPr>
              <w:pStyle w:val="63"/>
              <w:rPr>
                <w:u w:val="single"/>
              </w:rPr>
            </w:pPr>
            <w:r>
              <w:rPr>
                <w:u w:val="single"/>
              </w:rPr>
              <w:t>≤0.005</w:t>
            </w:r>
          </w:p>
        </w:tc>
        <w:tc>
          <w:tcPr>
            <w:tcW w:w="625" w:type="pct"/>
            <w:shd w:val="clear" w:color="auto" w:fill="auto"/>
            <w:vAlign w:val="center"/>
          </w:tcPr>
          <w:p>
            <w:pPr>
              <w:pStyle w:val="63"/>
              <w:rPr>
                <w:u w:val="single"/>
              </w:rPr>
            </w:pPr>
            <w:r>
              <w:rPr>
                <w:u w:val="single"/>
              </w:rPr>
              <w:t>≤0.005</w:t>
            </w:r>
          </w:p>
        </w:tc>
        <w:tc>
          <w:tcPr>
            <w:tcW w:w="625" w:type="pct"/>
            <w:shd w:val="clear" w:color="auto" w:fill="auto"/>
            <w:vAlign w:val="center"/>
          </w:tcPr>
          <w:p>
            <w:pPr>
              <w:pStyle w:val="63"/>
              <w:rPr>
                <w:u w:val="single"/>
              </w:rPr>
            </w:pPr>
            <w:r>
              <w:rPr>
                <w:u w:val="single"/>
              </w:rPr>
              <w:t>≤0.01</w:t>
            </w:r>
          </w:p>
        </w:tc>
        <w:tc>
          <w:tcPr>
            <w:tcW w:w="625" w:type="pct"/>
            <w:shd w:val="clear" w:color="auto" w:fill="auto"/>
            <w:vAlign w:val="center"/>
          </w:tcPr>
          <w:p>
            <w:pPr>
              <w:pStyle w:val="63"/>
              <w:rPr>
                <w:u w:val="single"/>
              </w:rPr>
            </w:pPr>
            <w:r>
              <w:rPr>
                <w:u w:val="single"/>
              </w:rPr>
              <w:t>≤0.01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4" w:type="pct"/>
            <w:shd w:val="clear" w:color="auto" w:fill="auto"/>
            <w:vAlign w:val="center"/>
          </w:tcPr>
          <w:p>
            <w:pPr>
              <w:pStyle w:val="63"/>
              <w:rPr>
                <w:u w:val="single"/>
              </w:rPr>
            </w:pPr>
            <w:r>
              <w:rPr>
                <w:u w:val="single"/>
              </w:rPr>
              <w:t>组成</w:t>
            </w:r>
          </w:p>
        </w:tc>
        <w:tc>
          <w:tcPr>
            <w:tcW w:w="625" w:type="pct"/>
            <w:shd w:val="clear" w:color="auto" w:fill="auto"/>
            <w:vAlign w:val="center"/>
          </w:tcPr>
          <w:p>
            <w:pPr>
              <w:pStyle w:val="63"/>
              <w:rPr>
                <w:u w:val="single"/>
              </w:rPr>
            </w:pPr>
            <w:r>
              <w:rPr>
                <w:u w:val="single"/>
              </w:rPr>
              <w:t>Cu</w:t>
            </w:r>
          </w:p>
        </w:tc>
        <w:tc>
          <w:tcPr>
            <w:tcW w:w="625" w:type="pct"/>
            <w:shd w:val="clear" w:color="auto" w:fill="auto"/>
            <w:vAlign w:val="center"/>
          </w:tcPr>
          <w:p>
            <w:pPr>
              <w:pStyle w:val="63"/>
              <w:rPr>
                <w:u w:val="single"/>
              </w:rPr>
            </w:pPr>
            <w:r>
              <w:rPr>
                <w:u w:val="single"/>
              </w:rPr>
              <w:t>Zn</w:t>
            </w:r>
          </w:p>
        </w:tc>
        <w:tc>
          <w:tcPr>
            <w:tcW w:w="625" w:type="pct"/>
            <w:shd w:val="clear" w:color="auto" w:fill="auto"/>
            <w:vAlign w:val="center"/>
          </w:tcPr>
          <w:p>
            <w:pPr>
              <w:pStyle w:val="63"/>
              <w:rPr>
                <w:u w:val="single"/>
              </w:rPr>
            </w:pPr>
            <w:r>
              <w:rPr>
                <w:u w:val="single"/>
              </w:rPr>
              <w:t>Ni</w:t>
            </w:r>
          </w:p>
        </w:tc>
        <w:tc>
          <w:tcPr>
            <w:tcW w:w="625" w:type="pct"/>
            <w:shd w:val="clear" w:color="auto" w:fill="auto"/>
            <w:vAlign w:val="center"/>
          </w:tcPr>
          <w:p>
            <w:pPr>
              <w:pStyle w:val="63"/>
              <w:rPr>
                <w:u w:val="single"/>
              </w:rPr>
            </w:pPr>
            <w:r>
              <w:rPr>
                <w:u w:val="single"/>
              </w:rPr>
              <w:t>SO42-</w:t>
            </w:r>
          </w:p>
        </w:tc>
        <w:tc>
          <w:tcPr>
            <w:tcW w:w="625" w:type="pct"/>
            <w:shd w:val="clear" w:color="auto" w:fill="auto"/>
            <w:vAlign w:val="center"/>
          </w:tcPr>
          <w:p>
            <w:pPr>
              <w:pStyle w:val="63"/>
              <w:rPr>
                <w:u w:val="single"/>
              </w:rPr>
            </w:pPr>
            <w:r>
              <w:rPr>
                <w:u w:val="single"/>
              </w:rPr>
              <w:t>Cl-</w:t>
            </w:r>
          </w:p>
        </w:tc>
        <w:tc>
          <w:tcPr>
            <w:tcW w:w="625" w:type="pct"/>
            <w:shd w:val="clear" w:color="auto" w:fill="auto"/>
            <w:vAlign w:val="center"/>
          </w:tcPr>
          <w:p>
            <w:pPr>
              <w:pStyle w:val="63"/>
              <w:rPr>
                <w:u w:val="single"/>
              </w:rPr>
            </w:pPr>
            <w:r>
              <w:rPr>
                <w:u w:val="single"/>
              </w:rPr>
              <w:t>水分</w:t>
            </w:r>
          </w:p>
        </w:tc>
        <w:tc>
          <w:tcPr>
            <w:tcW w:w="625" w:type="pct"/>
            <w:shd w:val="clear" w:color="auto" w:fill="auto"/>
            <w:vAlign w:val="center"/>
          </w:tcPr>
          <w:p>
            <w:pPr>
              <w:pStyle w:val="63"/>
              <w:rPr>
                <w:u w:val="single"/>
              </w:rPr>
            </w:pPr>
            <w:r>
              <w:rPr>
                <w:u w:val="single"/>
              </w:rPr>
              <w:t>粒度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4" w:type="pct"/>
            <w:shd w:val="clear" w:color="auto" w:fill="auto"/>
            <w:vAlign w:val="center"/>
          </w:tcPr>
          <w:p>
            <w:pPr>
              <w:pStyle w:val="63"/>
              <w:rPr>
                <w:u w:val="single"/>
              </w:rPr>
            </w:pPr>
            <w:r>
              <w:rPr>
                <w:u w:val="single"/>
              </w:rPr>
              <w:t>指标</w:t>
            </w:r>
          </w:p>
        </w:tc>
        <w:tc>
          <w:tcPr>
            <w:tcW w:w="625" w:type="pct"/>
            <w:shd w:val="clear" w:color="auto" w:fill="auto"/>
            <w:vAlign w:val="center"/>
          </w:tcPr>
          <w:p>
            <w:pPr>
              <w:pStyle w:val="63"/>
              <w:rPr>
                <w:u w:val="single"/>
              </w:rPr>
            </w:pPr>
            <w:r>
              <w:rPr>
                <w:u w:val="single"/>
              </w:rPr>
              <w:t>≤0.005</w:t>
            </w:r>
          </w:p>
        </w:tc>
        <w:tc>
          <w:tcPr>
            <w:tcW w:w="625" w:type="pct"/>
            <w:shd w:val="clear" w:color="auto" w:fill="auto"/>
            <w:vAlign w:val="center"/>
          </w:tcPr>
          <w:p>
            <w:pPr>
              <w:pStyle w:val="63"/>
              <w:rPr>
                <w:u w:val="single"/>
              </w:rPr>
            </w:pPr>
            <w:r>
              <w:rPr>
                <w:u w:val="single"/>
              </w:rPr>
              <w:t>≤0.005</w:t>
            </w:r>
          </w:p>
        </w:tc>
        <w:tc>
          <w:tcPr>
            <w:tcW w:w="625" w:type="pct"/>
            <w:shd w:val="clear" w:color="auto" w:fill="auto"/>
            <w:vAlign w:val="center"/>
          </w:tcPr>
          <w:p>
            <w:pPr>
              <w:pStyle w:val="63"/>
              <w:rPr>
                <w:u w:val="single"/>
              </w:rPr>
            </w:pPr>
            <w:r>
              <w:rPr>
                <w:u w:val="single"/>
              </w:rPr>
              <w:t>≤0.005</w:t>
            </w:r>
          </w:p>
        </w:tc>
        <w:tc>
          <w:tcPr>
            <w:tcW w:w="625" w:type="pct"/>
            <w:shd w:val="clear" w:color="auto" w:fill="auto"/>
            <w:vAlign w:val="center"/>
          </w:tcPr>
          <w:p>
            <w:pPr>
              <w:pStyle w:val="63"/>
              <w:rPr>
                <w:u w:val="single"/>
              </w:rPr>
            </w:pPr>
            <w:r>
              <w:rPr>
                <w:u w:val="single"/>
              </w:rPr>
              <w:t>≤0.01</w:t>
            </w:r>
          </w:p>
        </w:tc>
        <w:tc>
          <w:tcPr>
            <w:tcW w:w="625" w:type="pct"/>
            <w:shd w:val="clear" w:color="auto" w:fill="auto"/>
            <w:vAlign w:val="center"/>
          </w:tcPr>
          <w:p>
            <w:pPr>
              <w:pStyle w:val="63"/>
              <w:rPr>
                <w:u w:val="single"/>
              </w:rPr>
            </w:pPr>
            <w:r>
              <w:rPr>
                <w:u w:val="single"/>
              </w:rPr>
              <w:t>≤0.01</w:t>
            </w:r>
          </w:p>
        </w:tc>
        <w:tc>
          <w:tcPr>
            <w:tcW w:w="625" w:type="pct"/>
            <w:shd w:val="clear" w:color="auto" w:fill="auto"/>
            <w:vAlign w:val="center"/>
          </w:tcPr>
          <w:p>
            <w:pPr>
              <w:pStyle w:val="63"/>
              <w:rPr>
                <w:u w:val="single"/>
              </w:rPr>
            </w:pPr>
            <w:r>
              <w:rPr>
                <w:u w:val="single"/>
              </w:rPr>
              <w:t>19.0-21.0</w:t>
            </w:r>
          </w:p>
        </w:tc>
        <w:tc>
          <w:tcPr>
            <w:tcW w:w="625" w:type="pct"/>
            <w:shd w:val="clear" w:color="auto" w:fill="auto"/>
            <w:vAlign w:val="center"/>
          </w:tcPr>
          <w:p>
            <w:pPr>
              <w:pStyle w:val="63"/>
              <w:rPr>
                <w:u w:val="single"/>
              </w:rPr>
            </w:pPr>
            <w:r>
              <w:rPr>
                <w:u w:val="single"/>
              </w:rPr>
              <w:t>2-6</w:t>
            </w:r>
          </w:p>
        </w:tc>
      </w:tr>
    </w:tbl>
    <w:p>
      <w:pPr>
        <w:pStyle w:val="6"/>
        <w:rPr>
          <w:u w:val="single"/>
        </w:rPr>
      </w:pPr>
      <w:r>
        <w:rPr>
          <w:u w:val="single"/>
        </w:rPr>
        <w:t>表3.1-1</w:t>
      </w:r>
      <w:r>
        <w:rPr>
          <w:rFonts w:hint="eastAsia"/>
          <w:u w:val="single"/>
        </w:rPr>
        <w:t>7</w:t>
      </w:r>
      <w:r>
        <w:rPr>
          <w:u w:val="single"/>
        </w:rPr>
        <w:t xml:space="preserve">  工业硫酸钠产品质量标准</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0" w:type="dxa"/>
          <w:bottom w:w="0" w:type="dxa"/>
          <w:right w:w="0" w:type="dxa"/>
        </w:tblCellMar>
      </w:tblPr>
      <w:tblGrid>
        <w:gridCol w:w="1146"/>
        <w:gridCol w:w="1276"/>
        <w:gridCol w:w="1278"/>
        <w:gridCol w:w="1278"/>
        <w:gridCol w:w="1417"/>
        <w:gridCol w:w="1948"/>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687" w:type="pct"/>
            <w:shd w:val="clear" w:color="auto" w:fill="auto"/>
            <w:vAlign w:val="center"/>
          </w:tcPr>
          <w:p>
            <w:pPr>
              <w:pStyle w:val="63"/>
              <w:rPr>
                <w:u w:val="single"/>
              </w:rPr>
            </w:pPr>
            <w:r>
              <w:rPr>
                <w:u w:val="single"/>
              </w:rPr>
              <w:t>组成</w:t>
            </w:r>
          </w:p>
        </w:tc>
        <w:tc>
          <w:tcPr>
            <w:tcW w:w="765" w:type="pct"/>
            <w:shd w:val="clear" w:color="auto" w:fill="auto"/>
            <w:vAlign w:val="center"/>
          </w:tcPr>
          <w:p>
            <w:pPr>
              <w:pStyle w:val="63"/>
              <w:rPr>
                <w:u w:val="single"/>
              </w:rPr>
            </w:pPr>
            <w:r>
              <w:rPr>
                <w:u w:val="single"/>
              </w:rPr>
              <w:t>Na</w:t>
            </w:r>
            <w:r>
              <w:rPr>
                <w:u w:val="single"/>
                <w:vertAlign w:val="subscript"/>
              </w:rPr>
              <w:t>2</w:t>
            </w:r>
            <w:r>
              <w:rPr>
                <w:u w:val="single"/>
              </w:rPr>
              <w:t>SO</w:t>
            </w:r>
            <w:r>
              <w:rPr>
                <w:u w:val="single"/>
                <w:vertAlign w:val="subscript"/>
              </w:rPr>
              <w:t>4</w:t>
            </w:r>
          </w:p>
        </w:tc>
        <w:tc>
          <w:tcPr>
            <w:tcW w:w="766" w:type="pct"/>
            <w:shd w:val="clear" w:color="auto" w:fill="auto"/>
            <w:vAlign w:val="center"/>
          </w:tcPr>
          <w:p>
            <w:pPr>
              <w:pStyle w:val="63"/>
              <w:rPr>
                <w:u w:val="single"/>
              </w:rPr>
            </w:pPr>
            <w:r>
              <w:rPr>
                <w:u w:val="single"/>
              </w:rPr>
              <w:t>水不溶物</w:t>
            </w:r>
          </w:p>
        </w:tc>
        <w:tc>
          <w:tcPr>
            <w:tcW w:w="766" w:type="pct"/>
            <w:shd w:val="clear" w:color="auto" w:fill="auto"/>
            <w:vAlign w:val="center"/>
          </w:tcPr>
          <w:p>
            <w:pPr>
              <w:pStyle w:val="63"/>
              <w:rPr>
                <w:u w:val="single"/>
              </w:rPr>
            </w:pPr>
            <w:r>
              <w:rPr>
                <w:u w:val="single"/>
              </w:rPr>
              <w:t>钙和镁</w:t>
            </w:r>
          </w:p>
        </w:tc>
        <w:tc>
          <w:tcPr>
            <w:tcW w:w="849" w:type="pct"/>
            <w:shd w:val="clear" w:color="auto" w:fill="auto"/>
            <w:vAlign w:val="center"/>
          </w:tcPr>
          <w:p>
            <w:pPr>
              <w:pStyle w:val="63"/>
              <w:rPr>
                <w:u w:val="single"/>
              </w:rPr>
            </w:pPr>
            <w:r>
              <w:rPr>
                <w:u w:val="single"/>
              </w:rPr>
              <w:t>Ca</w:t>
            </w:r>
          </w:p>
        </w:tc>
        <w:tc>
          <w:tcPr>
            <w:tcW w:w="1167" w:type="pct"/>
            <w:shd w:val="clear" w:color="auto" w:fill="auto"/>
            <w:vAlign w:val="center"/>
          </w:tcPr>
          <w:p>
            <w:pPr>
              <w:pStyle w:val="63"/>
              <w:rPr>
                <w:u w:val="single"/>
              </w:rPr>
            </w:pPr>
            <w:r>
              <w:rPr>
                <w:u w:val="single"/>
              </w:rPr>
              <w:t>Mg</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687" w:type="pct"/>
            <w:shd w:val="clear" w:color="auto" w:fill="auto"/>
            <w:vAlign w:val="center"/>
          </w:tcPr>
          <w:p>
            <w:pPr>
              <w:pStyle w:val="63"/>
              <w:rPr>
                <w:u w:val="single"/>
              </w:rPr>
            </w:pPr>
            <w:r>
              <w:rPr>
                <w:u w:val="single"/>
              </w:rPr>
              <w:t>%</w:t>
            </w:r>
          </w:p>
        </w:tc>
        <w:tc>
          <w:tcPr>
            <w:tcW w:w="765" w:type="pct"/>
            <w:shd w:val="clear" w:color="auto" w:fill="auto"/>
            <w:vAlign w:val="center"/>
          </w:tcPr>
          <w:p>
            <w:pPr>
              <w:pStyle w:val="63"/>
              <w:rPr>
                <w:u w:val="single"/>
              </w:rPr>
            </w:pPr>
            <w:r>
              <w:rPr>
                <w:u w:val="single"/>
              </w:rPr>
              <w:t>≥95.0</w:t>
            </w:r>
          </w:p>
        </w:tc>
        <w:tc>
          <w:tcPr>
            <w:tcW w:w="766" w:type="pct"/>
            <w:shd w:val="clear" w:color="auto" w:fill="auto"/>
            <w:vAlign w:val="center"/>
          </w:tcPr>
          <w:p>
            <w:pPr>
              <w:pStyle w:val="63"/>
              <w:rPr>
                <w:u w:val="single"/>
              </w:rPr>
            </w:pPr>
            <w:r>
              <w:rPr>
                <w:u w:val="single"/>
              </w:rPr>
              <w:t>--</w:t>
            </w:r>
          </w:p>
        </w:tc>
        <w:tc>
          <w:tcPr>
            <w:tcW w:w="766" w:type="pct"/>
            <w:shd w:val="clear" w:color="auto" w:fill="auto"/>
            <w:vAlign w:val="center"/>
          </w:tcPr>
          <w:p>
            <w:pPr>
              <w:pStyle w:val="63"/>
              <w:rPr>
                <w:u w:val="single"/>
              </w:rPr>
            </w:pPr>
            <w:r>
              <w:rPr>
                <w:u w:val="single"/>
              </w:rPr>
              <w:t>0.6</w:t>
            </w:r>
          </w:p>
        </w:tc>
        <w:tc>
          <w:tcPr>
            <w:tcW w:w="849" w:type="pct"/>
            <w:shd w:val="clear" w:color="auto" w:fill="auto"/>
            <w:vAlign w:val="center"/>
          </w:tcPr>
          <w:p>
            <w:pPr>
              <w:pStyle w:val="63"/>
              <w:rPr>
                <w:u w:val="single"/>
              </w:rPr>
            </w:pPr>
            <w:r>
              <w:rPr>
                <w:u w:val="single"/>
              </w:rPr>
              <w:t>--</w:t>
            </w:r>
          </w:p>
        </w:tc>
        <w:tc>
          <w:tcPr>
            <w:tcW w:w="1167" w:type="pct"/>
            <w:shd w:val="clear" w:color="auto" w:fill="auto"/>
            <w:vAlign w:val="center"/>
          </w:tcPr>
          <w:p>
            <w:pPr>
              <w:pStyle w:val="63"/>
              <w:rPr>
                <w:u w:val="single"/>
              </w:rPr>
            </w:pPr>
            <w:r>
              <w:rPr>
                <w:u w:val="single"/>
              </w:rPr>
              <w:t>--</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687" w:type="pct"/>
            <w:shd w:val="clear" w:color="auto" w:fill="auto"/>
            <w:vAlign w:val="center"/>
          </w:tcPr>
          <w:p>
            <w:pPr>
              <w:pStyle w:val="63"/>
              <w:rPr>
                <w:u w:val="single"/>
              </w:rPr>
            </w:pPr>
            <w:r>
              <w:rPr>
                <w:u w:val="single"/>
              </w:rPr>
              <w:t>组成</w:t>
            </w:r>
          </w:p>
        </w:tc>
        <w:tc>
          <w:tcPr>
            <w:tcW w:w="765" w:type="pct"/>
            <w:shd w:val="clear" w:color="auto" w:fill="auto"/>
            <w:vAlign w:val="center"/>
          </w:tcPr>
          <w:p>
            <w:pPr>
              <w:pStyle w:val="63"/>
              <w:rPr>
                <w:u w:val="single"/>
              </w:rPr>
            </w:pPr>
            <w:r>
              <w:rPr>
                <w:u w:val="single"/>
              </w:rPr>
              <w:t>氯化物</w:t>
            </w:r>
          </w:p>
        </w:tc>
        <w:tc>
          <w:tcPr>
            <w:tcW w:w="766" w:type="pct"/>
            <w:shd w:val="clear" w:color="auto" w:fill="auto"/>
            <w:vAlign w:val="center"/>
          </w:tcPr>
          <w:p>
            <w:pPr>
              <w:pStyle w:val="63"/>
              <w:rPr>
                <w:u w:val="single"/>
              </w:rPr>
            </w:pPr>
            <w:r>
              <w:rPr>
                <w:u w:val="single"/>
              </w:rPr>
              <w:t>Fe</w:t>
            </w:r>
          </w:p>
        </w:tc>
        <w:tc>
          <w:tcPr>
            <w:tcW w:w="766" w:type="pct"/>
            <w:shd w:val="clear" w:color="auto" w:fill="auto"/>
            <w:vAlign w:val="center"/>
          </w:tcPr>
          <w:p>
            <w:pPr>
              <w:pStyle w:val="63"/>
              <w:rPr>
                <w:u w:val="single"/>
              </w:rPr>
            </w:pPr>
            <w:r>
              <w:rPr>
                <w:u w:val="single"/>
              </w:rPr>
              <w:t>水分</w:t>
            </w:r>
          </w:p>
        </w:tc>
        <w:tc>
          <w:tcPr>
            <w:tcW w:w="849" w:type="pct"/>
            <w:shd w:val="clear" w:color="auto" w:fill="auto"/>
            <w:vAlign w:val="center"/>
          </w:tcPr>
          <w:p>
            <w:pPr>
              <w:pStyle w:val="63"/>
              <w:rPr>
                <w:u w:val="single"/>
              </w:rPr>
            </w:pPr>
            <w:r>
              <w:rPr>
                <w:u w:val="single"/>
              </w:rPr>
              <w:t>白度（R457）</w:t>
            </w:r>
          </w:p>
        </w:tc>
        <w:tc>
          <w:tcPr>
            <w:tcW w:w="1167" w:type="pct"/>
            <w:shd w:val="clear" w:color="auto" w:fill="auto"/>
            <w:vAlign w:val="center"/>
          </w:tcPr>
          <w:p>
            <w:pPr>
              <w:pStyle w:val="63"/>
              <w:rPr>
                <w:u w:val="single"/>
              </w:rPr>
            </w:pPr>
            <w:r>
              <w:rPr>
                <w:u w:val="single"/>
              </w:rPr>
              <w:t>pH（50g/L水溶液）</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687" w:type="pct"/>
            <w:shd w:val="clear" w:color="auto" w:fill="auto"/>
            <w:vAlign w:val="center"/>
          </w:tcPr>
          <w:p>
            <w:pPr>
              <w:pStyle w:val="63"/>
              <w:rPr>
                <w:u w:val="single"/>
              </w:rPr>
            </w:pPr>
            <w:r>
              <w:rPr>
                <w:u w:val="single"/>
              </w:rPr>
              <w:t>%</w:t>
            </w:r>
          </w:p>
        </w:tc>
        <w:tc>
          <w:tcPr>
            <w:tcW w:w="765" w:type="pct"/>
            <w:shd w:val="clear" w:color="auto" w:fill="auto"/>
            <w:vAlign w:val="center"/>
          </w:tcPr>
          <w:p>
            <w:pPr>
              <w:pStyle w:val="63"/>
              <w:rPr>
                <w:u w:val="single"/>
              </w:rPr>
            </w:pPr>
            <w:r>
              <w:rPr>
                <w:u w:val="single"/>
              </w:rPr>
              <w:t>2.0</w:t>
            </w:r>
          </w:p>
        </w:tc>
        <w:tc>
          <w:tcPr>
            <w:tcW w:w="766" w:type="pct"/>
            <w:shd w:val="clear" w:color="auto" w:fill="auto"/>
            <w:vAlign w:val="center"/>
          </w:tcPr>
          <w:p>
            <w:pPr>
              <w:pStyle w:val="63"/>
              <w:rPr>
                <w:u w:val="single"/>
              </w:rPr>
            </w:pPr>
            <w:r>
              <w:rPr>
                <w:u w:val="single"/>
              </w:rPr>
              <w:t>0.040</w:t>
            </w:r>
          </w:p>
        </w:tc>
        <w:tc>
          <w:tcPr>
            <w:tcW w:w="766" w:type="pct"/>
            <w:shd w:val="clear" w:color="auto" w:fill="auto"/>
            <w:vAlign w:val="center"/>
          </w:tcPr>
          <w:p>
            <w:pPr>
              <w:pStyle w:val="63"/>
              <w:rPr>
                <w:u w:val="single"/>
              </w:rPr>
            </w:pPr>
            <w:r>
              <w:rPr>
                <w:u w:val="single"/>
              </w:rPr>
              <w:t>1.5</w:t>
            </w:r>
          </w:p>
        </w:tc>
        <w:tc>
          <w:tcPr>
            <w:tcW w:w="849" w:type="pct"/>
            <w:shd w:val="clear" w:color="auto" w:fill="auto"/>
            <w:vAlign w:val="center"/>
          </w:tcPr>
          <w:p>
            <w:pPr>
              <w:pStyle w:val="63"/>
              <w:rPr>
                <w:u w:val="single"/>
              </w:rPr>
            </w:pPr>
            <w:r>
              <w:rPr>
                <w:u w:val="single"/>
              </w:rPr>
              <w:t>--</w:t>
            </w:r>
          </w:p>
        </w:tc>
        <w:tc>
          <w:tcPr>
            <w:tcW w:w="1167" w:type="pct"/>
            <w:shd w:val="clear" w:color="auto" w:fill="auto"/>
            <w:vAlign w:val="center"/>
          </w:tcPr>
          <w:p>
            <w:pPr>
              <w:pStyle w:val="63"/>
              <w:rPr>
                <w:u w:val="single"/>
              </w:rPr>
            </w:pPr>
            <w:r>
              <w:rPr>
                <w:u w:val="single"/>
              </w:rPr>
              <w:t>--</w:t>
            </w:r>
          </w:p>
        </w:tc>
      </w:tr>
    </w:tbl>
    <w:p>
      <w:pPr>
        <w:pStyle w:val="4"/>
        <w:rPr>
          <w:rFonts w:ascii="Times New Roman" w:hAnsi="Times New Roman" w:cs="Times New Roman"/>
        </w:rPr>
      </w:pPr>
      <w:r>
        <w:rPr>
          <w:rFonts w:ascii="Times New Roman" w:hAnsi="Times New Roman" w:cs="Times New Roman"/>
        </w:rPr>
        <w:t>3.1.5 主要原辅材料消耗</w:t>
      </w:r>
      <w:bookmarkEnd w:id="140"/>
      <w:bookmarkEnd w:id="141"/>
      <w:bookmarkEnd w:id="142"/>
      <w:bookmarkEnd w:id="143"/>
    </w:p>
    <w:p>
      <w:pPr>
        <w:pStyle w:val="5"/>
        <w:ind w:firstLine="482"/>
        <w:rPr>
          <w:rFonts w:ascii="Times New Roman" w:hAnsi="Times New Roman" w:cs="Times New Roman" w:eastAsiaTheme="minorEastAsia"/>
        </w:rPr>
      </w:pPr>
      <w:r>
        <w:rPr>
          <w:rFonts w:ascii="Times New Roman" w:hAnsi="Times New Roman" w:cs="Times New Roman" w:eastAsiaTheme="minorEastAsia"/>
        </w:rPr>
        <w:t>3.1.5.1 主要原辅材料消耗</w:t>
      </w:r>
    </w:p>
    <w:p>
      <w:pPr>
        <w:spacing w:line="360" w:lineRule="auto"/>
        <w:ind w:firstLine="480" w:firstLineChars="200"/>
        <w:rPr>
          <w:rFonts w:ascii="Times New Roman" w:hAnsi="Times New Roman" w:cs="Times New Roman"/>
        </w:rPr>
      </w:pPr>
      <w:r>
        <w:rPr>
          <w:rFonts w:ascii="Times New Roman" w:hAnsi="Times New Roman" w:cs="Times New Roman"/>
        </w:rPr>
        <w:t>（1）原辅材料消耗</w:t>
      </w:r>
    </w:p>
    <w:p>
      <w:pPr>
        <w:spacing w:line="360" w:lineRule="auto"/>
        <w:ind w:firstLine="480" w:firstLineChars="200"/>
        <w:rPr>
          <w:rFonts w:ascii="Times New Roman" w:hAnsi="Times New Roman" w:cs="Times New Roman"/>
        </w:rPr>
      </w:pPr>
      <w:r>
        <w:rPr>
          <w:rFonts w:ascii="Times New Roman" w:hAnsi="Times New Roman" w:cs="Times New Roman"/>
        </w:rPr>
        <w:t>本项目所用主要原料废旧三元锂电池和废旧磷酸铁锂电池均为废旧的车用动力锂电池。项目所处理的废旧三元锂电池和废旧磷酸铁锂电池入场形态均为较为完整的电池包（固态），其均在原料前端企业进行了检测分类，前端原料企业已将能进行梯次利用的和不能进行梯次利用（即可直接再生利用）的进行了分类。</w:t>
      </w:r>
    </w:p>
    <w:p>
      <w:pPr>
        <w:spacing w:line="360" w:lineRule="auto"/>
        <w:ind w:firstLine="480" w:firstLineChars="200"/>
        <w:rPr>
          <w:rFonts w:ascii="Times New Roman" w:hAnsi="Times New Roman" w:cs="Times New Roman"/>
        </w:rPr>
      </w:pPr>
      <w:r>
        <w:rPr>
          <w:rFonts w:ascii="Times New Roman" w:hAnsi="Times New Roman" w:cs="Times New Roman"/>
        </w:rPr>
        <w:t>通过原料前端企业的检测分离，项目极少收集破损的废旧锂电池。同时项目废旧锂电池采用专业的运输车辆进行运输，运输车间直接进入原料仓房内，厂房四周设有沟槽和收集池，且进行了防渗。</w:t>
      </w:r>
    </w:p>
    <w:p>
      <w:pPr>
        <w:spacing w:line="360" w:lineRule="auto"/>
        <w:ind w:firstLine="480" w:firstLineChars="200"/>
        <w:rPr>
          <w:rFonts w:ascii="Times New Roman" w:hAnsi="Times New Roman" w:cs="Times New Roman"/>
        </w:rPr>
      </w:pPr>
      <w:r>
        <w:rPr>
          <w:rFonts w:ascii="Times New Roman" w:hAnsi="Times New Roman" w:cs="Times New Roman"/>
        </w:rPr>
        <w:t>拟建项目原辅材料消耗情况见下表。</w:t>
      </w:r>
    </w:p>
    <w:p>
      <w:pPr>
        <w:pStyle w:val="6"/>
        <w:rPr>
          <w:rFonts w:ascii="Times New Roman" w:hAnsi="Times New Roman" w:cs="Times New Roman"/>
        </w:rPr>
      </w:pPr>
      <w:bookmarkStart w:id="144" w:name="_Hlk97885470"/>
      <w:r>
        <w:rPr>
          <w:rFonts w:ascii="Times New Roman" w:hAnsi="Times New Roman" w:cs="Times New Roman"/>
        </w:rPr>
        <w:t>表3.1-1</w:t>
      </w:r>
      <w:r>
        <w:rPr>
          <w:rFonts w:hint="eastAsia" w:ascii="Times New Roman" w:hAnsi="Times New Roman" w:cs="Times New Roman"/>
        </w:rPr>
        <w:t>8</w:t>
      </w:r>
      <w:r>
        <w:rPr>
          <w:rFonts w:ascii="Times New Roman" w:hAnsi="Times New Roman" w:cs="Times New Roman"/>
        </w:rPr>
        <w:t xml:space="preserve">  拟建项目全厂原辅材料消耗情况——废旧三元锂电池</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28"/>
        <w:gridCol w:w="1789"/>
        <w:gridCol w:w="993"/>
        <w:gridCol w:w="1221"/>
        <w:gridCol w:w="919"/>
        <w:gridCol w:w="791"/>
        <w:gridCol w:w="1046"/>
        <w:gridCol w:w="10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27" w:type="pct"/>
            <w:vAlign w:val="center"/>
          </w:tcPr>
          <w:p>
            <w:pPr>
              <w:pStyle w:val="63"/>
            </w:pPr>
            <w:r>
              <w:t>序号</w:t>
            </w:r>
          </w:p>
        </w:tc>
        <w:tc>
          <w:tcPr>
            <w:tcW w:w="1049" w:type="pct"/>
            <w:vAlign w:val="center"/>
          </w:tcPr>
          <w:p>
            <w:pPr>
              <w:pStyle w:val="63"/>
            </w:pPr>
            <w:r>
              <w:t>辅助材料消耗</w:t>
            </w:r>
          </w:p>
        </w:tc>
        <w:tc>
          <w:tcPr>
            <w:tcW w:w="582" w:type="pct"/>
            <w:vAlign w:val="center"/>
          </w:tcPr>
          <w:p>
            <w:pPr>
              <w:pStyle w:val="63"/>
            </w:pPr>
            <w:r>
              <w:t>单位</w:t>
            </w:r>
          </w:p>
        </w:tc>
        <w:tc>
          <w:tcPr>
            <w:tcW w:w="716" w:type="pct"/>
            <w:vAlign w:val="center"/>
          </w:tcPr>
          <w:p>
            <w:pPr>
              <w:pStyle w:val="63"/>
            </w:pPr>
            <w:r>
              <w:t>年使用量t</w:t>
            </w:r>
          </w:p>
        </w:tc>
        <w:tc>
          <w:tcPr>
            <w:tcW w:w="539" w:type="pct"/>
            <w:vAlign w:val="center"/>
          </w:tcPr>
          <w:p>
            <w:pPr>
              <w:pStyle w:val="63"/>
            </w:pPr>
            <w:r>
              <w:t>最大储存量/t</w:t>
            </w:r>
          </w:p>
        </w:tc>
        <w:tc>
          <w:tcPr>
            <w:tcW w:w="464" w:type="pct"/>
            <w:vAlign w:val="center"/>
          </w:tcPr>
          <w:p>
            <w:pPr>
              <w:pStyle w:val="63"/>
            </w:pPr>
            <w:r>
              <w:t>存放方式</w:t>
            </w:r>
          </w:p>
        </w:tc>
        <w:tc>
          <w:tcPr>
            <w:tcW w:w="613" w:type="pct"/>
            <w:vAlign w:val="center"/>
          </w:tcPr>
          <w:p>
            <w:pPr>
              <w:pStyle w:val="63"/>
            </w:pPr>
            <w:r>
              <w:t>储存位置</w:t>
            </w:r>
          </w:p>
        </w:tc>
        <w:tc>
          <w:tcPr>
            <w:tcW w:w="610" w:type="pct"/>
            <w:vAlign w:val="center"/>
          </w:tcPr>
          <w:p>
            <w:pPr>
              <w:pStyle w:val="63"/>
            </w:pPr>
            <w: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27" w:type="pct"/>
            <w:vAlign w:val="center"/>
          </w:tcPr>
          <w:p>
            <w:pPr>
              <w:pStyle w:val="63"/>
            </w:pPr>
            <w:r>
              <w:t>1</w:t>
            </w:r>
          </w:p>
        </w:tc>
        <w:tc>
          <w:tcPr>
            <w:tcW w:w="1049" w:type="pct"/>
            <w:vAlign w:val="center"/>
          </w:tcPr>
          <w:p>
            <w:pPr>
              <w:pStyle w:val="63"/>
            </w:pPr>
            <w:r>
              <w:t>废旧三元锂电池</w:t>
            </w:r>
          </w:p>
        </w:tc>
        <w:tc>
          <w:tcPr>
            <w:tcW w:w="582" w:type="pct"/>
            <w:vAlign w:val="center"/>
          </w:tcPr>
          <w:p>
            <w:pPr>
              <w:pStyle w:val="63"/>
            </w:pPr>
            <w:r>
              <w:t>t/a</w:t>
            </w:r>
          </w:p>
        </w:tc>
        <w:tc>
          <w:tcPr>
            <w:tcW w:w="716" w:type="pct"/>
            <w:vAlign w:val="center"/>
          </w:tcPr>
          <w:p>
            <w:pPr>
              <w:pStyle w:val="63"/>
            </w:pPr>
            <w:r>
              <w:t>10000</w:t>
            </w:r>
          </w:p>
        </w:tc>
        <w:tc>
          <w:tcPr>
            <w:tcW w:w="539" w:type="pct"/>
            <w:vAlign w:val="center"/>
          </w:tcPr>
          <w:p>
            <w:pPr>
              <w:pStyle w:val="63"/>
            </w:pPr>
            <w:r>
              <w:t>500</w:t>
            </w:r>
          </w:p>
        </w:tc>
        <w:tc>
          <w:tcPr>
            <w:tcW w:w="464" w:type="pct"/>
            <w:vAlign w:val="center"/>
          </w:tcPr>
          <w:p>
            <w:pPr>
              <w:pStyle w:val="63"/>
            </w:pPr>
            <w:r>
              <w:t>袋装</w:t>
            </w:r>
          </w:p>
        </w:tc>
        <w:tc>
          <w:tcPr>
            <w:tcW w:w="613" w:type="pct"/>
            <w:vAlign w:val="center"/>
          </w:tcPr>
          <w:p>
            <w:pPr>
              <w:pStyle w:val="63"/>
            </w:pPr>
            <w:r>
              <w:t>原料仓库</w:t>
            </w:r>
          </w:p>
        </w:tc>
        <w:tc>
          <w:tcPr>
            <w:tcW w:w="610" w:type="pct"/>
            <w:vAlign w:val="center"/>
          </w:tcPr>
          <w:p>
            <w:pPr>
              <w:pStyle w:val="63"/>
            </w:pPr>
            <w:r>
              <w:t>全部进行再生利用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27" w:type="pct"/>
            <w:vAlign w:val="center"/>
          </w:tcPr>
          <w:p>
            <w:pPr>
              <w:pStyle w:val="63"/>
            </w:pPr>
            <w:r>
              <w:t>2</w:t>
            </w:r>
          </w:p>
        </w:tc>
        <w:tc>
          <w:tcPr>
            <w:tcW w:w="1049" w:type="pct"/>
            <w:vAlign w:val="center"/>
          </w:tcPr>
          <w:p>
            <w:pPr>
              <w:pStyle w:val="63"/>
            </w:pPr>
            <w:r>
              <w:t>98%工业硫酸</w:t>
            </w:r>
          </w:p>
        </w:tc>
        <w:tc>
          <w:tcPr>
            <w:tcW w:w="582" w:type="pct"/>
            <w:vAlign w:val="center"/>
          </w:tcPr>
          <w:p>
            <w:pPr>
              <w:pStyle w:val="63"/>
            </w:pPr>
            <w:r>
              <w:t>t/a</w:t>
            </w:r>
          </w:p>
        </w:tc>
        <w:tc>
          <w:tcPr>
            <w:tcW w:w="716" w:type="pct"/>
            <w:vAlign w:val="center"/>
          </w:tcPr>
          <w:p>
            <w:pPr>
              <w:pStyle w:val="63"/>
            </w:pPr>
            <w:r>
              <w:t>5665</w:t>
            </w:r>
          </w:p>
        </w:tc>
        <w:tc>
          <w:tcPr>
            <w:tcW w:w="539" w:type="pct"/>
            <w:vAlign w:val="center"/>
          </w:tcPr>
          <w:p>
            <w:pPr>
              <w:pStyle w:val="63"/>
            </w:pPr>
            <w:r>
              <w:t>200</w:t>
            </w:r>
          </w:p>
        </w:tc>
        <w:tc>
          <w:tcPr>
            <w:tcW w:w="464" w:type="pct"/>
            <w:vAlign w:val="center"/>
          </w:tcPr>
          <w:p>
            <w:pPr>
              <w:pStyle w:val="63"/>
            </w:pPr>
            <w:r>
              <w:t>储罐</w:t>
            </w:r>
          </w:p>
        </w:tc>
        <w:tc>
          <w:tcPr>
            <w:tcW w:w="613" w:type="pct"/>
            <w:vAlign w:val="center"/>
          </w:tcPr>
          <w:p>
            <w:pPr>
              <w:pStyle w:val="63"/>
            </w:pPr>
            <w:r>
              <w:t>硫酸罐区</w:t>
            </w:r>
          </w:p>
        </w:tc>
        <w:tc>
          <w:tcPr>
            <w:tcW w:w="610" w:type="pct"/>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27" w:type="pct"/>
            <w:vAlign w:val="center"/>
          </w:tcPr>
          <w:p>
            <w:pPr>
              <w:pStyle w:val="63"/>
            </w:pPr>
            <w:r>
              <w:t>3</w:t>
            </w:r>
          </w:p>
        </w:tc>
        <w:tc>
          <w:tcPr>
            <w:tcW w:w="1049" w:type="pct"/>
            <w:vAlign w:val="center"/>
          </w:tcPr>
          <w:p>
            <w:pPr>
              <w:pStyle w:val="63"/>
            </w:pPr>
            <w:r>
              <w:t>液碱</w:t>
            </w:r>
          </w:p>
        </w:tc>
        <w:tc>
          <w:tcPr>
            <w:tcW w:w="582" w:type="pct"/>
            <w:vAlign w:val="center"/>
          </w:tcPr>
          <w:p>
            <w:pPr>
              <w:pStyle w:val="63"/>
            </w:pPr>
            <w:r>
              <w:t>t/a</w:t>
            </w:r>
          </w:p>
        </w:tc>
        <w:tc>
          <w:tcPr>
            <w:tcW w:w="716" w:type="pct"/>
            <w:vAlign w:val="center"/>
          </w:tcPr>
          <w:p>
            <w:pPr>
              <w:pStyle w:val="63"/>
            </w:pPr>
            <w:r>
              <w:t>50</w:t>
            </w:r>
          </w:p>
        </w:tc>
        <w:tc>
          <w:tcPr>
            <w:tcW w:w="539" w:type="pct"/>
            <w:vAlign w:val="center"/>
          </w:tcPr>
          <w:p>
            <w:pPr>
              <w:pStyle w:val="63"/>
            </w:pPr>
            <w:r>
              <w:t>100</w:t>
            </w:r>
          </w:p>
        </w:tc>
        <w:tc>
          <w:tcPr>
            <w:tcW w:w="464" w:type="pct"/>
            <w:vAlign w:val="center"/>
          </w:tcPr>
          <w:p>
            <w:pPr>
              <w:pStyle w:val="63"/>
            </w:pPr>
            <w:r>
              <w:t>储罐</w:t>
            </w:r>
          </w:p>
        </w:tc>
        <w:tc>
          <w:tcPr>
            <w:tcW w:w="613" w:type="pct"/>
            <w:vAlign w:val="center"/>
          </w:tcPr>
          <w:p>
            <w:pPr>
              <w:pStyle w:val="63"/>
            </w:pPr>
            <w:r>
              <w:t>液碱储罐</w:t>
            </w:r>
          </w:p>
        </w:tc>
        <w:tc>
          <w:tcPr>
            <w:tcW w:w="610" w:type="pct"/>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27" w:type="pct"/>
            <w:vAlign w:val="center"/>
          </w:tcPr>
          <w:p>
            <w:pPr>
              <w:pStyle w:val="63"/>
            </w:pPr>
            <w:r>
              <w:t>4</w:t>
            </w:r>
          </w:p>
        </w:tc>
        <w:tc>
          <w:tcPr>
            <w:tcW w:w="1049" w:type="pct"/>
            <w:vAlign w:val="center"/>
          </w:tcPr>
          <w:p>
            <w:pPr>
              <w:pStyle w:val="63"/>
            </w:pPr>
            <w:r>
              <w:t>硫代硫酸钠</w:t>
            </w:r>
          </w:p>
        </w:tc>
        <w:tc>
          <w:tcPr>
            <w:tcW w:w="582" w:type="pct"/>
            <w:vAlign w:val="center"/>
          </w:tcPr>
          <w:p>
            <w:pPr>
              <w:pStyle w:val="63"/>
            </w:pPr>
            <w:r>
              <w:t>t/a</w:t>
            </w:r>
          </w:p>
        </w:tc>
        <w:tc>
          <w:tcPr>
            <w:tcW w:w="716" w:type="pct"/>
            <w:vAlign w:val="center"/>
          </w:tcPr>
          <w:p>
            <w:pPr>
              <w:pStyle w:val="63"/>
            </w:pPr>
            <w:r>
              <w:t>5405</w:t>
            </w:r>
          </w:p>
        </w:tc>
        <w:tc>
          <w:tcPr>
            <w:tcW w:w="539" w:type="pct"/>
            <w:vAlign w:val="center"/>
          </w:tcPr>
          <w:p>
            <w:pPr>
              <w:pStyle w:val="63"/>
            </w:pPr>
            <w:r>
              <w:t>100</w:t>
            </w:r>
          </w:p>
        </w:tc>
        <w:tc>
          <w:tcPr>
            <w:tcW w:w="464" w:type="pct"/>
            <w:vAlign w:val="center"/>
          </w:tcPr>
          <w:p>
            <w:pPr>
              <w:pStyle w:val="63"/>
            </w:pPr>
            <w:r>
              <w:t>袋装</w:t>
            </w:r>
          </w:p>
        </w:tc>
        <w:tc>
          <w:tcPr>
            <w:tcW w:w="613" w:type="pct"/>
            <w:vMerge w:val="restart"/>
            <w:vAlign w:val="center"/>
          </w:tcPr>
          <w:p>
            <w:pPr>
              <w:pStyle w:val="63"/>
            </w:pPr>
            <w:r>
              <w:t>仓库</w:t>
            </w:r>
          </w:p>
        </w:tc>
        <w:tc>
          <w:tcPr>
            <w:tcW w:w="610" w:type="pct"/>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27" w:type="pct"/>
            <w:vAlign w:val="center"/>
          </w:tcPr>
          <w:p>
            <w:pPr>
              <w:pStyle w:val="63"/>
            </w:pPr>
            <w:r>
              <w:t>5</w:t>
            </w:r>
          </w:p>
        </w:tc>
        <w:tc>
          <w:tcPr>
            <w:tcW w:w="1049" w:type="pct"/>
            <w:vAlign w:val="center"/>
          </w:tcPr>
          <w:p>
            <w:pPr>
              <w:pStyle w:val="63"/>
            </w:pPr>
            <w:r>
              <w:t>碳酸钠</w:t>
            </w:r>
          </w:p>
        </w:tc>
        <w:tc>
          <w:tcPr>
            <w:tcW w:w="582" w:type="pct"/>
            <w:vAlign w:val="center"/>
          </w:tcPr>
          <w:p>
            <w:pPr>
              <w:pStyle w:val="63"/>
            </w:pPr>
            <w:r>
              <w:t>t/a</w:t>
            </w:r>
          </w:p>
        </w:tc>
        <w:tc>
          <w:tcPr>
            <w:tcW w:w="716" w:type="pct"/>
            <w:vAlign w:val="center"/>
          </w:tcPr>
          <w:p>
            <w:pPr>
              <w:pStyle w:val="63"/>
            </w:pPr>
            <w:r>
              <w:t>3984</w:t>
            </w:r>
          </w:p>
        </w:tc>
        <w:tc>
          <w:tcPr>
            <w:tcW w:w="539" w:type="pct"/>
            <w:vAlign w:val="center"/>
          </w:tcPr>
          <w:p>
            <w:pPr>
              <w:pStyle w:val="63"/>
            </w:pPr>
            <w:r>
              <w:t>100</w:t>
            </w:r>
          </w:p>
        </w:tc>
        <w:tc>
          <w:tcPr>
            <w:tcW w:w="464" w:type="pct"/>
            <w:vAlign w:val="center"/>
          </w:tcPr>
          <w:p>
            <w:pPr>
              <w:pStyle w:val="63"/>
            </w:pPr>
            <w:r>
              <w:t>袋装</w:t>
            </w:r>
          </w:p>
        </w:tc>
        <w:tc>
          <w:tcPr>
            <w:tcW w:w="613" w:type="pct"/>
            <w:vMerge w:val="continue"/>
            <w:vAlign w:val="center"/>
          </w:tcPr>
          <w:p>
            <w:pPr>
              <w:pStyle w:val="63"/>
            </w:pPr>
          </w:p>
        </w:tc>
        <w:tc>
          <w:tcPr>
            <w:tcW w:w="610" w:type="pct"/>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27" w:type="pct"/>
            <w:vAlign w:val="center"/>
          </w:tcPr>
          <w:p>
            <w:pPr>
              <w:pStyle w:val="63"/>
            </w:pPr>
            <w:r>
              <w:t>6</w:t>
            </w:r>
          </w:p>
        </w:tc>
        <w:tc>
          <w:tcPr>
            <w:tcW w:w="1049" w:type="pct"/>
            <w:vAlign w:val="center"/>
          </w:tcPr>
          <w:p>
            <w:pPr>
              <w:pStyle w:val="63"/>
            </w:pPr>
            <w:r>
              <w:t>萃取剂C272</w:t>
            </w:r>
          </w:p>
        </w:tc>
        <w:tc>
          <w:tcPr>
            <w:tcW w:w="582" w:type="pct"/>
            <w:vAlign w:val="center"/>
          </w:tcPr>
          <w:p>
            <w:pPr>
              <w:pStyle w:val="63"/>
            </w:pPr>
            <w:r>
              <w:t>t/a</w:t>
            </w:r>
          </w:p>
        </w:tc>
        <w:tc>
          <w:tcPr>
            <w:tcW w:w="716" w:type="pct"/>
            <w:vAlign w:val="center"/>
          </w:tcPr>
          <w:p>
            <w:pPr>
              <w:pStyle w:val="63"/>
            </w:pPr>
            <w:r>
              <w:t>35</w:t>
            </w:r>
          </w:p>
        </w:tc>
        <w:tc>
          <w:tcPr>
            <w:tcW w:w="539" w:type="pct"/>
            <w:vAlign w:val="center"/>
          </w:tcPr>
          <w:p>
            <w:pPr>
              <w:pStyle w:val="63"/>
            </w:pPr>
            <w:r>
              <w:t>25</w:t>
            </w:r>
          </w:p>
        </w:tc>
        <w:tc>
          <w:tcPr>
            <w:tcW w:w="464" w:type="pct"/>
            <w:vAlign w:val="center"/>
          </w:tcPr>
          <w:p>
            <w:pPr>
              <w:pStyle w:val="63"/>
            </w:pPr>
            <w:r>
              <w:t>储罐</w:t>
            </w:r>
          </w:p>
        </w:tc>
        <w:tc>
          <w:tcPr>
            <w:tcW w:w="613" w:type="pct"/>
            <w:vMerge w:val="restart"/>
            <w:vAlign w:val="center"/>
          </w:tcPr>
          <w:p>
            <w:pPr>
              <w:pStyle w:val="63"/>
            </w:pPr>
            <w:r>
              <w:t>萃取车间</w:t>
            </w:r>
          </w:p>
        </w:tc>
        <w:tc>
          <w:tcPr>
            <w:tcW w:w="610" w:type="pct"/>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27" w:type="pct"/>
            <w:vAlign w:val="center"/>
          </w:tcPr>
          <w:p>
            <w:pPr>
              <w:pStyle w:val="63"/>
            </w:pPr>
            <w:r>
              <w:t>7</w:t>
            </w:r>
          </w:p>
        </w:tc>
        <w:tc>
          <w:tcPr>
            <w:tcW w:w="1049" w:type="pct"/>
            <w:vAlign w:val="center"/>
          </w:tcPr>
          <w:p>
            <w:pPr>
              <w:pStyle w:val="63"/>
            </w:pPr>
            <w:r>
              <w:t>萃取剂P507</w:t>
            </w:r>
          </w:p>
        </w:tc>
        <w:tc>
          <w:tcPr>
            <w:tcW w:w="582" w:type="pct"/>
            <w:vAlign w:val="center"/>
          </w:tcPr>
          <w:p>
            <w:pPr>
              <w:pStyle w:val="63"/>
            </w:pPr>
            <w:r>
              <w:t>t/a</w:t>
            </w:r>
          </w:p>
        </w:tc>
        <w:tc>
          <w:tcPr>
            <w:tcW w:w="716" w:type="pct"/>
            <w:vAlign w:val="center"/>
          </w:tcPr>
          <w:p>
            <w:pPr>
              <w:pStyle w:val="63"/>
            </w:pPr>
            <w:r>
              <w:t>35</w:t>
            </w:r>
          </w:p>
        </w:tc>
        <w:tc>
          <w:tcPr>
            <w:tcW w:w="539" w:type="pct"/>
            <w:vAlign w:val="center"/>
          </w:tcPr>
          <w:p>
            <w:pPr>
              <w:pStyle w:val="63"/>
            </w:pPr>
            <w:r>
              <w:t>25</w:t>
            </w:r>
          </w:p>
        </w:tc>
        <w:tc>
          <w:tcPr>
            <w:tcW w:w="464" w:type="pct"/>
            <w:vAlign w:val="center"/>
          </w:tcPr>
          <w:p>
            <w:pPr>
              <w:pStyle w:val="63"/>
            </w:pPr>
            <w:r>
              <w:t>储罐</w:t>
            </w:r>
          </w:p>
        </w:tc>
        <w:tc>
          <w:tcPr>
            <w:tcW w:w="613" w:type="pct"/>
            <w:vMerge w:val="continue"/>
            <w:vAlign w:val="center"/>
          </w:tcPr>
          <w:p>
            <w:pPr>
              <w:pStyle w:val="63"/>
            </w:pPr>
          </w:p>
        </w:tc>
        <w:tc>
          <w:tcPr>
            <w:tcW w:w="610" w:type="pct"/>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27" w:type="pct"/>
            <w:vAlign w:val="center"/>
          </w:tcPr>
          <w:p>
            <w:pPr>
              <w:pStyle w:val="63"/>
            </w:pPr>
            <w:r>
              <w:t>8</w:t>
            </w:r>
          </w:p>
        </w:tc>
        <w:tc>
          <w:tcPr>
            <w:tcW w:w="1049" w:type="pct"/>
            <w:vAlign w:val="center"/>
          </w:tcPr>
          <w:p>
            <w:pPr>
              <w:pStyle w:val="63"/>
            </w:pPr>
            <w:r>
              <w:t>萃取剂P204</w:t>
            </w:r>
          </w:p>
        </w:tc>
        <w:tc>
          <w:tcPr>
            <w:tcW w:w="582" w:type="pct"/>
            <w:vAlign w:val="center"/>
          </w:tcPr>
          <w:p>
            <w:pPr>
              <w:pStyle w:val="63"/>
            </w:pPr>
            <w:r>
              <w:t>t/a</w:t>
            </w:r>
          </w:p>
        </w:tc>
        <w:tc>
          <w:tcPr>
            <w:tcW w:w="716" w:type="pct"/>
            <w:vAlign w:val="center"/>
          </w:tcPr>
          <w:p>
            <w:pPr>
              <w:pStyle w:val="63"/>
            </w:pPr>
            <w:r>
              <w:t>35</w:t>
            </w:r>
          </w:p>
        </w:tc>
        <w:tc>
          <w:tcPr>
            <w:tcW w:w="539" w:type="pct"/>
            <w:vAlign w:val="center"/>
          </w:tcPr>
          <w:p>
            <w:pPr>
              <w:pStyle w:val="63"/>
            </w:pPr>
            <w:r>
              <w:t>25</w:t>
            </w:r>
          </w:p>
        </w:tc>
        <w:tc>
          <w:tcPr>
            <w:tcW w:w="464" w:type="pct"/>
            <w:vAlign w:val="center"/>
          </w:tcPr>
          <w:p>
            <w:pPr>
              <w:pStyle w:val="63"/>
            </w:pPr>
            <w:r>
              <w:t>储罐</w:t>
            </w:r>
          </w:p>
        </w:tc>
        <w:tc>
          <w:tcPr>
            <w:tcW w:w="613" w:type="pct"/>
            <w:vMerge w:val="continue"/>
            <w:vAlign w:val="center"/>
          </w:tcPr>
          <w:p>
            <w:pPr>
              <w:pStyle w:val="63"/>
            </w:pPr>
          </w:p>
        </w:tc>
        <w:tc>
          <w:tcPr>
            <w:tcW w:w="610" w:type="pct"/>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27" w:type="pct"/>
            <w:vAlign w:val="center"/>
          </w:tcPr>
          <w:p>
            <w:pPr>
              <w:pStyle w:val="63"/>
            </w:pPr>
            <w:r>
              <w:t>9</w:t>
            </w:r>
          </w:p>
        </w:tc>
        <w:tc>
          <w:tcPr>
            <w:tcW w:w="1049" w:type="pct"/>
            <w:vAlign w:val="center"/>
          </w:tcPr>
          <w:p>
            <w:pPr>
              <w:pStyle w:val="63"/>
            </w:pPr>
            <w:r>
              <w:t>磺化煤油（260号溶剂油）</w:t>
            </w:r>
          </w:p>
        </w:tc>
        <w:tc>
          <w:tcPr>
            <w:tcW w:w="582" w:type="pct"/>
            <w:vAlign w:val="center"/>
          </w:tcPr>
          <w:p>
            <w:pPr>
              <w:pStyle w:val="63"/>
            </w:pPr>
            <w:r>
              <w:t>t/a</w:t>
            </w:r>
          </w:p>
        </w:tc>
        <w:tc>
          <w:tcPr>
            <w:tcW w:w="716" w:type="pct"/>
            <w:vAlign w:val="center"/>
          </w:tcPr>
          <w:p>
            <w:pPr>
              <w:pStyle w:val="63"/>
            </w:pPr>
            <w:r>
              <w:t>35</w:t>
            </w:r>
          </w:p>
        </w:tc>
        <w:tc>
          <w:tcPr>
            <w:tcW w:w="539" w:type="pct"/>
            <w:vAlign w:val="center"/>
          </w:tcPr>
          <w:p>
            <w:pPr>
              <w:pStyle w:val="63"/>
            </w:pPr>
            <w:r>
              <w:t>20</w:t>
            </w:r>
          </w:p>
        </w:tc>
        <w:tc>
          <w:tcPr>
            <w:tcW w:w="464" w:type="pct"/>
            <w:vAlign w:val="center"/>
          </w:tcPr>
          <w:p>
            <w:pPr>
              <w:pStyle w:val="63"/>
            </w:pPr>
            <w:r>
              <w:t>储罐</w:t>
            </w:r>
          </w:p>
        </w:tc>
        <w:tc>
          <w:tcPr>
            <w:tcW w:w="613" w:type="pct"/>
            <w:vMerge w:val="continue"/>
            <w:vAlign w:val="center"/>
          </w:tcPr>
          <w:p>
            <w:pPr>
              <w:pStyle w:val="63"/>
            </w:pPr>
          </w:p>
        </w:tc>
        <w:tc>
          <w:tcPr>
            <w:tcW w:w="610" w:type="pct"/>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27" w:type="pct"/>
            <w:vAlign w:val="center"/>
          </w:tcPr>
          <w:p>
            <w:pPr>
              <w:pStyle w:val="63"/>
            </w:pPr>
            <w:r>
              <w:t>10</w:t>
            </w:r>
          </w:p>
        </w:tc>
        <w:tc>
          <w:tcPr>
            <w:tcW w:w="1049" w:type="pct"/>
            <w:vAlign w:val="center"/>
          </w:tcPr>
          <w:p>
            <w:pPr>
              <w:pStyle w:val="63"/>
            </w:pPr>
            <w:r>
              <w:t>铁粉</w:t>
            </w:r>
          </w:p>
        </w:tc>
        <w:tc>
          <w:tcPr>
            <w:tcW w:w="582" w:type="pct"/>
            <w:vAlign w:val="center"/>
          </w:tcPr>
          <w:p>
            <w:pPr>
              <w:pStyle w:val="63"/>
            </w:pPr>
            <w:r>
              <w:t>t/a</w:t>
            </w:r>
          </w:p>
        </w:tc>
        <w:tc>
          <w:tcPr>
            <w:tcW w:w="716" w:type="pct"/>
            <w:vAlign w:val="center"/>
          </w:tcPr>
          <w:p>
            <w:pPr>
              <w:pStyle w:val="63"/>
            </w:pPr>
            <w:r>
              <w:t>80</w:t>
            </w:r>
          </w:p>
        </w:tc>
        <w:tc>
          <w:tcPr>
            <w:tcW w:w="539" w:type="pct"/>
            <w:vAlign w:val="center"/>
          </w:tcPr>
          <w:p>
            <w:pPr>
              <w:pStyle w:val="63"/>
            </w:pPr>
            <w:r>
              <w:t>5</w:t>
            </w:r>
          </w:p>
        </w:tc>
        <w:tc>
          <w:tcPr>
            <w:tcW w:w="464" w:type="pct"/>
            <w:vAlign w:val="center"/>
          </w:tcPr>
          <w:p>
            <w:pPr>
              <w:pStyle w:val="63"/>
            </w:pPr>
            <w:r>
              <w:t>袋装</w:t>
            </w:r>
          </w:p>
        </w:tc>
        <w:tc>
          <w:tcPr>
            <w:tcW w:w="613" w:type="pct"/>
            <w:vAlign w:val="center"/>
          </w:tcPr>
          <w:p>
            <w:pPr>
              <w:pStyle w:val="63"/>
            </w:pPr>
            <w:r>
              <w:t>仓库</w:t>
            </w:r>
          </w:p>
        </w:tc>
        <w:tc>
          <w:tcPr>
            <w:tcW w:w="610" w:type="pct"/>
            <w:vAlign w:val="center"/>
          </w:tcPr>
          <w:p>
            <w:pPr>
              <w:pStyle w:val="63"/>
            </w:pPr>
            <w:r>
              <w:t>/</w:t>
            </w:r>
          </w:p>
        </w:tc>
      </w:tr>
    </w:tbl>
    <w:p>
      <w:pPr>
        <w:pStyle w:val="6"/>
        <w:rPr>
          <w:rFonts w:ascii="Times New Roman" w:hAnsi="Times New Roman" w:cs="Times New Roman"/>
        </w:rPr>
      </w:pPr>
      <w:r>
        <w:rPr>
          <w:rFonts w:ascii="Times New Roman" w:hAnsi="Times New Roman" w:cs="Times New Roman"/>
        </w:rPr>
        <w:t>表3.1-</w:t>
      </w:r>
      <w:r>
        <w:rPr>
          <w:rFonts w:hint="eastAsia" w:ascii="Times New Roman" w:hAnsi="Times New Roman" w:cs="Times New Roman"/>
        </w:rPr>
        <w:t>19</w:t>
      </w:r>
      <w:r>
        <w:rPr>
          <w:rFonts w:ascii="Times New Roman" w:hAnsi="Times New Roman" w:cs="Times New Roman"/>
        </w:rPr>
        <w:t xml:space="preserve">  拟建项目全厂原辅材料消耗情况——废旧磷酸铁锂电池</w:t>
      </w:r>
    </w:p>
    <w:bookmarkEnd w:id="144"/>
    <w:p>
      <w:pPr>
        <w:spacing w:line="360" w:lineRule="auto"/>
        <w:ind w:firstLine="480" w:firstLineChars="200"/>
        <w:rPr>
          <w:rFonts w:ascii="Times New Roman" w:hAnsi="Times New Roman" w:cs="Times New Roman"/>
        </w:rPr>
      </w:pPr>
      <w:r>
        <w:rPr>
          <w:rFonts w:hint="eastAsia" w:ascii="Times New Roman" w:hAnsi="Times New Roman" w:cs="Times New Roman"/>
        </w:rPr>
        <w:t>本项目梯次利用厂区共回收废磷酸铁锂电池包</w:t>
      </w:r>
      <w:r>
        <w:rPr>
          <w:rFonts w:ascii="Times New Roman" w:hAnsi="Times New Roman" w:cs="Times New Roman"/>
        </w:rPr>
        <w:t>25000</w:t>
      </w:r>
      <w:r>
        <w:rPr>
          <w:rFonts w:hint="eastAsia" w:ascii="Times New Roman" w:hAnsi="Times New Roman" w:cs="Times New Roman"/>
        </w:rPr>
        <w:t>t/a，其中约50%可进行梯次利用，剩余50%（12500t/a电池包，折算为废电芯为</w:t>
      </w:r>
      <w:r>
        <w:rPr>
          <w:rFonts w:ascii="Times New Roman" w:hAnsi="Times New Roman" w:cs="Times New Roman"/>
        </w:rPr>
        <w:t>8750</w:t>
      </w:r>
      <w:r>
        <w:rPr>
          <w:rFonts w:hint="eastAsia" w:ascii="Times New Roman" w:hAnsi="Times New Roman" w:cs="Times New Roman"/>
        </w:rPr>
        <w:t>t/a）进入后续综合利用厂区，综合利用厂区回收废磷酸铁锂电池</w:t>
      </w:r>
      <w:r>
        <w:rPr>
          <w:rFonts w:ascii="Times New Roman" w:hAnsi="Times New Roman" w:cs="Times New Roman"/>
        </w:rPr>
        <w:t>21250</w:t>
      </w:r>
      <w:r>
        <w:rPr>
          <w:rFonts w:hint="eastAsia" w:ascii="Times New Roman" w:hAnsi="Times New Roman" w:cs="Times New Roman"/>
        </w:rPr>
        <w:t>t/a。</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28"/>
        <w:gridCol w:w="2231"/>
        <w:gridCol w:w="745"/>
        <w:gridCol w:w="1027"/>
        <w:gridCol w:w="919"/>
        <w:gridCol w:w="791"/>
        <w:gridCol w:w="1046"/>
        <w:gridCol w:w="10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7" w:type="pct"/>
            <w:vAlign w:val="center"/>
          </w:tcPr>
          <w:p>
            <w:pPr>
              <w:pStyle w:val="63"/>
            </w:pPr>
            <w:r>
              <w:t>序号</w:t>
            </w:r>
          </w:p>
        </w:tc>
        <w:tc>
          <w:tcPr>
            <w:tcW w:w="1308" w:type="pct"/>
            <w:vAlign w:val="center"/>
          </w:tcPr>
          <w:p>
            <w:pPr>
              <w:pStyle w:val="63"/>
            </w:pPr>
            <w:r>
              <w:t>辅助材料消耗</w:t>
            </w:r>
          </w:p>
        </w:tc>
        <w:tc>
          <w:tcPr>
            <w:tcW w:w="437" w:type="pct"/>
            <w:vAlign w:val="center"/>
          </w:tcPr>
          <w:p>
            <w:pPr>
              <w:pStyle w:val="63"/>
            </w:pPr>
            <w:r>
              <w:t>单位</w:t>
            </w:r>
          </w:p>
        </w:tc>
        <w:tc>
          <w:tcPr>
            <w:tcW w:w="602" w:type="pct"/>
            <w:vAlign w:val="center"/>
          </w:tcPr>
          <w:p>
            <w:pPr>
              <w:pStyle w:val="63"/>
            </w:pPr>
            <w:r>
              <w:t>年使用量</w:t>
            </w:r>
          </w:p>
        </w:tc>
        <w:tc>
          <w:tcPr>
            <w:tcW w:w="539" w:type="pct"/>
            <w:vAlign w:val="center"/>
          </w:tcPr>
          <w:p>
            <w:pPr>
              <w:pStyle w:val="63"/>
            </w:pPr>
            <w:r>
              <w:t>最大储存量/t</w:t>
            </w:r>
          </w:p>
        </w:tc>
        <w:tc>
          <w:tcPr>
            <w:tcW w:w="464" w:type="pct"/>
            <w:vAlign w:val="center"/>
          </w:tcPr>
          <w:p>
            <w:pPr>
              <w:pStyle w:val="63"/>
            </w:pPr>
            <w:r>
              <w:t>存放方式</w:t>
            </w:r>
          </w:p>
        </w:tc>
        <w:tc>
          <w:tcPr>
            <w:tcW w:w="613" w:type="pct"/>
            <w:vAlign w:val="center"/>
          </w:tcPr>
          <w:p>
            <w:pPr>
              <w:pStyle w:val="63"/>
            </w:pPr>
            <w:r>
              <w:t>储存位置</w:t>
            </w:r>
          </w:p>
        </w:tc>
        <w:tc>
          <w:tcPr>
            <w:tcW w:w="610" w:type="pct"/>
            <w:vAlign w:val="center"/>
          </w:tcPr>
          <w:p>
            <w:pPr>
              <w:pStyle w:val="63"/>
            </w:pPr>
            <w: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7" w:type="pct"/>
            <w:vAlign w:val="center"/>
          </w:tcPr>
          <w:p>
            <w:pPr>
              <w:pStyle w:val="63"/>
            </w:pPr>
            <w:r>
              <w:t>1</w:t>
            </w:r>
          </w:p>
        </w:tc>
        <w:tc>
          <w:tcPr>
            <w:tcW w:w="1308" w:type="pct"/>
            <w:vAlign w:val="center"/>
          </w:tcPr>
          <w:p>
            <w:pPr>
              <w:pStyle w:val="63"/>
            </w:pPr>
            <w:r>
              <w:t>废磷酸铁锂电池</w:t>
            </w:r>
          </w:p>
        </w:tc>
        <w:tc>
          <w:tcPr>
            <w:tcW w:w="437" w:type="pct"/>
            <w:vAlign w:val="center"/>
          </w:tcPr>
          <w:p>
            <w:pPr>
              <w:pStyle w:val="63"/>
            </w:pPr>
            <w:r>
              <w:t>t/a</w:t>
            </w:r>
          </w:p>
        </w:tc>
        <w:tc>
          <w:tcPr>
            <w:tcW w:w="602" w:type="pct"/>
            <w:vAlign w:val="center"/>
          </w:tcPr>
          <w:p>
            <w:pPr>
              <w:pStyle w:val="63"/>
            </w:pPr>
            <w:r>
              <w:t>25000</w:t>
            </w:r>
          </w:p>
        </w:tc>
        <w:tc>
          <w:tcPr>
            <w:tcW w:w="539" w:type="pct"/>
            <w:vAlign w:val="center"/>
          </w:tcPr>
          <w:p>
            <w:pPr>
              <w:pStyle w:val="63"/>
            </w:pPr>
            <w:r>
              <w:t>500</w:t>
            </w:r>
          </w:p>
        </w:tc>
        <w:tc>
          <w:tcPr>
            <w:tcW w:w="464" w:type="pct"/>
            <w:vAlign w:val="center"/>
          </w:tcPr>
          <w:p>
            <w:pPr>
              <w:pStyle w:val="63"/>
            </w:pPr>
            <w:r>
              <w:t>袋装</w:t>
            </w:r>
          </w:p>
        </w:tc>
        <w:tc>
          <w:tcPr>
            <w:tcW w:w="613" w:type="pct"/>
            <w:vAlign w:val="center"/>
          </w:tcPr>
          <w:p>
            <w:pPr>
              <w:pStyle w:val="63"/>
            </w:pPr>
            <w:r>
              <w:t>原料仓库</w:t>
            </w:r>
          </w:p>
        </w:tc>
        <w:tc>
          <w:tcPr>
            <w:tcW w:w="610" w:type="pct"/>
            <w:vAlign w:val="center"/>
          </w:tcPr>
          <w:p>
            <w:pPr>
              <w:pStyle w:val="63"/>
            </w:pPr>
            <w:r>
              <w:t>梯次利用</w:t>
            </w:r>
            <w:r>
              <w:rPr>
                <w:rFonts w:hint="eastAsia"/>
              </w:rPr>
              <w:t>车间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7" w:type="pct"/>
            <w:vAlign w:val="center"/>
          </w:tcPr>
          <w:p>
            <w:pPr>
              <w:pStyle w:val="63"/>
            </w:pPr>
            <w:r>
              <w:t>2</w:t>
            </w:r>
          </w:p>
        </w:tc>
        <w:tc>
          <w:tcPr>
            <w:tcW w:w="1308" w:type="pct"/>
            <w:vAlign w:val="center"/>
          </w:tcPr>
          <w:p>
            <w:pPr>
              <w:pStyle w:val="63"/>
            </w:pPr>
            <w:r>
              <w:t>废磷酸铁锂电池</w:t>
            </w:r>
          </w:p>
        </w:tc>
        <w:tc>
          <w:tcPr>
            <w:tcW w:w="437" w:type="pct"/>
            <w:vAlign w:val="center"/>
          </w:tcPr>
          <w:p>
            <w:pPr>
              <w:pStyle w:val="63"/>
            </w:pPr>
            <w:r>
              <w:t>t/a</w:t>
            </w:r>
          </w:p>
        </w:tc>
        <w:tc>
          <w:tcPr>
            <w:tcW w:w="602" w:type="pct"/>
            <w:vAlign w:val="center"/>
          </w:tcPr>
          <w:p>
            <w:pPr>
              <w:pStyle w:val="63"/>
            </w:pPr>
            <w:r>
              <w:t>21250</w:t>
            </w:r>
          </w:p>
        </w:tc>
        <w:tc>
          <w:tcPr>
            <w:tcW w:w="539" w:type="pct"/>
            <w:vAlign w:val="center"/>
          </w:tcPr>
          <w:p>
            <w:pPr>
              <w:pStyle w:val="63"/>
            </w:pPr>
            <w:r>
              <w:t>400</w:t>
            </w:r>
          </w:p>
        </w:tc>
        <w:tc>
          <w:tcPr>
            <w:tcW w:w="464" w:type="pct"/>
            <w:vAlign w:val="center"/>
          </w:tcPr>
          <w:p>
            <w:pPr>
              <w:pStyle w:val="63"/>
            </w:pPr>
            <w:r>
              <w:t>袋装</w:t>
            </w:r>
          </w:p>
        </w:tc>
        <w:tc>
          <w:tcPr>
            <w:tcW w:w="613" w:type="pct"/>
            <w:vAlign w:val="center"/>
          </w:tcPr>
          <w:p>
            <w:pPr>
              <w:pStyle w:val="63"/>
            </w:pPr>
            <w:r>
              <w:t>原料仓库</w:t>
            </w:r>
          </w:p>
        </w:tc>
        <w:tc>
          <w:tcPr>
            <w:tcW w:w="610" w:type="pct"/>
            <w:vAlign w:val="center"/>
          </w:tcPr>
          <w:p>
            <w:pPr>
              <w:pStyle w:val="63"/>
            </w:pPr>
            <w:r>
              <w:t>全部进行再生利用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7" w:type="pct"/>
            <w:vAlign w:val="center"/>
          </w:tcPr>
          <w:p>
            <w:pPr>
              <w:pStyle w:val="63"/>
            </w:pPr>
            <w:r>
              <w:t>3</w:t>
            </w:r>
          </w:p>
        </w:tc>
        <w:tc>
          <w:tcPr>
            <w:tcW w:w="1308" w:type="pct"/>
            <w:vAlign w:val="center"/>
          </w:tcPr>
          <w:p>
            <w:pPr>
              <w:pStyle w:val="63"/>
            </w:pPr>
            <w:r>
              <w:t>硫酸</w:t>
            </w:r>
          </w:p>
        </w:tc>
        <w:tc>
          <w:tcPr>
            <w:tcW w:w="437" w:type="pct"/>
            <w:vAlign w:val="center"/>
          </w:tcPr>
          <w:p>
            <w:pPr>
              <w:pStyle w:val="63"/>
            </w:pPr>
            <w:r>
              <w:t>t/a</w:t>
            </w:r>
          </w:p>
        </w:tc>
        <w:tc>
          <w:tcPr>
            <w:tcW w:w="602" w:type="pct"/>
            <w:vAlign w:val="center"/>
          </w:tcPr>
          <w:p>
            <w:pPr>
              <w:pStyle w:val="63"/>
            </w:pPr>
            <w:r>
              <w:t>5815</w:t>
            </w:r>
          </w:p>
        </w:tc>
        <w:tc>
          <w:tcPr>
            <w:tcW w:w="539" w:type="pct"/>
            <w:vAlign w:val="center"/>
          </w:tcPr>
          <w:p>
            <w:pPr>
              <w:pStyle w:val="63"/>
            </w:pPr>
            <w:r>
              <w:t>200</w:t>
            </w:r>
          </w:p>
        </w:tc>
        <w:tc>
          <w:tcPr>
            <w:tcW w:w="464" w:type="pct"/>
            <w:vAlign w:val="center"/>
          </w:tcPr>
          <w:p>
            <w:pPr>
              <w:pStyle w:val="63"/>
            </w:pPr>
            <w:r>
              <w:t>储罐</w:t>
            </w:r>
          </w:p>
        </w:tc>
        <w:tc>
          <w:tcPr>
            <w:tcW w:w="613" w:type="pct"/>
            <w:vAlign w:val="center"/>
          </w:tcPr>
          <w:p>
            <w:pPr>
              <w:pStyle w:val="63"/>
            </w:pPr>
            <w:r>
              <w:t>硫酸罐区</w:t>
            </w:r>
          </w:p>
        </w:tc>
        <w:tc>
          <w:tcPr>
            <w:tcW w:w="610" w:type="pct"/>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7" w:type="pct"/>
            <w:vAlign w:val="center"/>
          </w:tcPr>
          <w:p>
            <w:pPr>
              <w:pStyle w:val="63"/>
            </w:pPr>
            <w:r>
              <w:t>4</w:t>
            </w:r>
          </w:p>
        </w:tc>
        <w:tc>
          <w:tcPr>
            <w:tcW w:w="1308" w:type="pct"/>
            <w:vAlign w:val="center"/>
          </w:tcPr>
          <w:p>
            <w:pPr>
              <w:pStyle w:val="63"/>
            </w:pPr>
            <w:r>
              <w:t>氯酸钠</w:t>
            </w:r>
          </w:p>
        </w:tc>
        <w:tc>
          <w:tcPr>
            <w:tcW w:w="437" w:type="pct"/>
            <w:vAlign w:val="center"/>
          </w:tcPr>
          <w:p>
            <w:pPr>
              <w:pStyle w:val="63"/>
            </w:pPr>
            <w:r>
              <w:t>t/a</w:t>
            </w:r>
          </w:p>
        </w:tc>
        <w:tc>
          <w:tcPr>
            <w:tcW w:w="602" w:type="pct"/>
            <w:vAlign w:val="center"/>
          </w:tcPr>
          <w:p>
            <w:pPr>
              <w:pStyle w:val="63"/>
            </w:pPr>
            <w:r>
              <w:t>1737</w:t>
            </w:r>
          </w:p>
        </w:tc>
        <w:tc>
          <w:tcPr>
            <w:tcW w:w="539" w:type="pct"/>
            <w:vAlign w:val="center"/>
          </w:tcPr>
          <w:p>
            <w:pPr>
              <w:pStyle w:val="63"/>
            </w:pPr>
            <w:r>
              <w:t>100</w:t>
            </w:r>
          </w:p>
        </w:tc>
        <w:tc>
          <w:tcPr>
            <w:tcW w:w="464" w:type="pct"/>
            <w:vAlign w:val="center"/>
          </w:tcPr>
          <w:p>
            <w:pPr>
              <w:pStyle w:val="63"/>
            </w:pPr>
            <w:r>
              <w:t>袋装</w:t>
            </w:r>
          </w:p>
        </w:tc>
        <w:tc>
          <w:tcPr>
            <w:tcW w:w="613" w:type="pct"/>
            <w:vAlign w:val="center"/>
          </w:tcPr>
          <w:p>
            <w:pPr>
              <w:pStyle w:val="63"/>
            </w:pPr>
            <w:r>
              <w:t>仓库</w:t>
            </w:r>
          </w:p>
        </w:tc>
        <w:tc>
          <w:tcPr>
            <w:tcW w:w="610" w:type="pct"/>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7" w:type="pct"/>
            <w:vAlign w:val="center"/>
          </w:tcPr>
          <w:p>
            <w:pPr>
              <w:pStyle w:val="63"/>
            </w:pPr>
            <w:r>
              <w:t>5</w:t>
            </w:r>
          </w:p>
        </w:tc>
        <w:tc>
          <w:tcPr>
            <w:tcW w:w="1308" w:type="pct"/>
            <w:vAlign w:val="center"/>
          </w:tcPr>
          <w:p>
            <w:pPr>
              <w:pStyle w:val="63"/>
            </w:pPr>
            <w:r>
              <w:t>碳酸钠</w:t>
            </w:r>
          </w:p>
        </w:tc>
        <w:tc>
          <w:tcPr>
            <w:tcW w:w="437" w:type="pct"/>
            <w:vAlign w:val="center"/>
          </w:tcPr>
          <w:p>
            <w:pPr>
              <w:pStyle w:val="63"/>
            </w:pPr>
            <w:r>
              <w:t>t/a</w:t>
            </w:r>
          </w:p>
        </w:tc>
        <w:tc>
          <w:tcPr>
            <w:tcW w:w="602" w:type="pct"/>
            <w:vAlign w:val="center"/>
          </w:tcPr>
          <w:p>
            <w:pPr>
              <w:pStyle w:val="63"/>
            </w:pPr>
            <w:r>
              <w:t>5643</w:t>
            </w:r>
          </w:p>
        </w:tc>
        <w:tc>
          <w:tcPr>
            <w:tcW w:w="539" w:type="pct"/>
            <w:vAlign w:val="center"/>
          </w:tcPr>
          <w:p>
            <w:pPr>
              <w:pStyle w:val="63"/>
            </w:pPr>
            <w:r>
              <w:t>100</w:t>
            </w:r>
          </w:p>
        </w:tc>
        <w:tc>
          <w:tcPr>
            <w:tcW w:w="464" w:type="pct"/>
            <w:vAlign w:val="center"/>
          </w:tcPr>
          <w:p>
            <w:pPr>
              <w:pStyle w:val="63"/>
            </w:pPr>
            <w:r>
              <w:t>袋装</w:t>
            </w:r>
          </w:p>
        </w:tc>
        <w:tc>
          <w:tcPr>
            <w:tcW w:w="613" w:type="pct"/>
            <w:vAlign w:val="center"/>
          </w:tcPr>
          <w:p>
            <w:pPr>
              <w:pStyle w:val="63"/>
            </w:pPr>
            <w:r>
              <w:t>仓库</w:t>
            </w:r>
          </w:p>
        </w:tc>
        <w:tc>
          <w:tcPr>
            <w:tcW w:w="610" w:type="pct"/>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27" w:type="pct"/>
            <w:vAlign w:val="center"/>
          </w:tcPr>
          <w:p>
            <w:pPr>
              <w:pStyle w:val="63"/>
            </w:pPr>
            <w:r>
              <w:t>5</w:t>
            </w:r>
          </w:p>
        </w:tc>
        <w:tc>
          <w:tcPr>
            <w:tcW w:w="1308" w:type="pct"/>
            <w:vAlign w:val="center"/>
          </w:tcPr>
          <w:p>
            <w:pPr>
              <w:pStyle w:val="63"/>
            </w:pPr>
            <w:r>
              <w:t>液碱</w:t>
            </w:r>
          </w:p>
        </w:tc>
        <w:tc>
          <w:tcPr>
            <w:tcW w:w="437" w:type="pct"/>
            <w:vAlign w:val="center"/>
          </w:tcPr>
          <w:p>
            <w:pPr>
              <w:pStyle w:val="63"/>
            </w:pPr>
            <w:r>
              <w:t>t/a</w:t>
            </w:r>
          </w:p>
        </w:tc>
        <w:tc>
          <w:tcPr>
            <w:tcW w:w="602" w:type="pct"/>
            <w:vAlign w:val="center"/>
          </w:tcPr>
          <w:p>
            <w:pPr>
              <w:pStyle w:val="63"/>
            </w:pPr>
            <w:r>
              <w:t>4321</w:t>
            </w:r>
          </w:p>
        </w:tc>
        <w:tc>
          <w:tcPr>
            <w:tcW w:w="539" w:type="pct"/>
            <w:vAlign w:val="center"/>
          </w:tcPr>
          <w:p>
            <w:pPr>
              <w:pStyle w:val="63"/>
            </w:pPr>
            <w:r>
              <w:t>100</w:t>
            </w:r>
          </w:p>
        </w:tc>
        <w:tc>
          <w:tcPr>
            <w:tcW w:w="464" w:type="pct"/>
            <w:vAlign w:val="center"/>
          </w:tcPr>
          <w:p>
            <w:pPr>
              <w:pStyle w:val="63"/>
            </w:pPr>
            <w:r>
              <w:t>袋装</w:t>
            </w:r>
          </w:p>
        </w:tc>
        <w:tc>
          <w:tcPr>
            <w:tcW w:w="613" w:type="pct"/>
            <w:vAlign w:val="center"/>
          </w:tcPr>
          <w:p>
            <w:pPr>
              <w:pStyle w:val="63"/>
            </w:pPr>
            <w:r>
              <w:t>仓库</w:t>
            </w:r>
          </w:p>
        </w:tc>
        <w:tc>
          <w:tcPr>
            <w:tcW w:w="610" w:type="pct"/>
            <w:vAlign w:val="center"/>
          </w:tcPr>
          <w:p>
            <w:pPr>
              <w:pStyle w:val="63"/>
            </w:pPr>
            <w:r>
              <w:t>/</w:t>
            </w:r>
          </w:p>
        </w:tc>
      </w:tr>
    </w:tbl>
    <w:p/>
    <w:p>
      <w:pPr>
        <w:pStyle w:val="5"/>
        <w:ind w:firstLine="482"/>
        <w:rPr>
          <w:rFonts w:ascii="Times New Roman" w:hAnsi="Times New Roman" w:cs="Times New Roman" w:eastAsiaTheme="minorEastAsia"/>
        </w:rPr>
      </w:pPr>
      <w:r>
        <w:rPr>
          <w:rFonts w:ascii="Times New Roman" w:hAnsi="Times New Roman" w:cs="Times New Roman" w:eastAsiaTheme="minorEastAsia"/>
        </w:rPr>
        <w:t>3.1.5.2 理化性质</w:t>
      </w:r>
    </w:p>
    <w:p>
      <w:pPr>
        <w:spacing w:line="360" w:lineRule="auto"/>
        <w:ind w:firstLine="480" w:firstLineChars="200"/>
        <w:rPr>
          <w:rFonts w:ascii="Times New Roman" w:hAnsi="Times New Roman" w:cs="Times New Roman"/>
        </w:rPr>
      </w:pPr>
      <w:r>
        <w:rPr>
          <w:rFonts w:ascii="Times New Roman" w:hAnsi="Times New Roman" w:cs="Times New Roman"/>
        </w:rPr>
        <w:t>（1）废旧锂电池</w:t>
      </w:r>
    </w:p>
    <w:p>
      <w:pPr>
        <w:spacing w:line="360" w:lineRule="auto"/>
        <w:ind w:firstLine="480" w:firstLineChars="200"/>
        <w:rPr>
          <w:rFonts w:ascii="Times New Roman" w:hAnsi="Times New Roman" w:cs="Times New Roman"/>
        </w:rPr>
      </w:pPr>
      <w:r>
        <w:rPr>
          <w:rFonts w:hint="eastAsia" w:ascii="宋体" w:hAnsi="宋体" w:eastAsia="宋体" w:cs="宋体"/>
        </w:rPr>
        <w:t>①</w:t>
      </w:r>
      <w:r>
        <w:rPr>
          <w:rFonts w:ascii="Times New Roman" w:hAnsi="Times New Roman" w:cs="Times New Roman"/>
        </w:rPr>
        <w:t>废旧锂离子电池环境管理</w:t>
      </w:r>
    </w:p>
    <w:p>
      <w:pPr>
        <w:spacing w:line="360" w:lineRule="auto"/>
        <w:ind w:firstLine="480" w:firstLineChars="200"/>
        <w:rPr>
          <w:rFonts w:ascii="Times New Roman" w:hAnsi="Times New Roman" w:cs="Times New Roman"/>
        </w:rPr>
      </w:pPr>
      <w:r>
        <w:rPr>
          <w:rFonts w:ascii="Times New Roman" w:hAnsi="Times New Roman" w:cs="Times New Roman"/>
        </w:rPr>
        <w:t>根据环境保护部 2016 年 12 月发布的《废电池污染防治技术政策》（公告 2016 年第 82号）可知国家重点控制的废电池包括废的铅蓄电池、锂离子电池、氢镍电池、镉镍电池和含汞扣式电池，本项目使用的废锂离子电池属于该污染防治技术政策所述的废锂离子电池；另外，根据《国家危险废物名录》（2021 年版）所示，废弃的铅蓄电池、镉镍电池、氧化汞电池属于危险废物，本项目回收的电池为废锂离子电池，不属于废氧化汞电池、废镉镍电池、废铅酸蓄电池，不在《国家危险废物名录》（2021 年版）范畴内。同时《关于废旧锂电池收集处置有关问题的复函》（环发函[2014]1621 号）明确：废旧锂离子电池不属于危险废物。综上，本项目综合利用的废旧锂离子电池不属于危险废物。</w:t>
      </w:r>
    </w:p>
    <w:p>
      <w:pPr>
        <w:spacing w:line="360" w:lineRule="auto"/>
        <w:ind w:firstLine="480" w:firstLineChars="200"/>
        <w:rPr>
          <w:rFonts w:ascii="Times New Roman" w:hAnsi="Times New Roman" w:cs="Times New Roman"/>
        </w:rPr>
      </w:pPr>
      <w:r>
        <w:rPr>
          <w:rFonts w:ascii="Times New Roman" w:hAnsi="Times New Roman" w:cs="Times New Roman"/>
        </w:rPr>
        <w:t>本项目拟拆解回收利用的废旧锂电池种类为车用动力型锂离子电池，废旧锂电池均来自于合法建立的回收服务网点或梯次利用企业。进厂后的废旧锂电池在车间内部经拆解设备拆解后，被分散的单体蓄电池或蓄电池模块通过传送装置，传送到余能检测中心进行余能检测，对于外观有变形、裂纹、烧坏、鼓胀、漏液等的动力蓄电池，为了安全起见严禁进行余能检测。按照国家动力蓄电池回收利用过程中“建立动力蓄电池产品来源可查、去向可追、节点可控的溯源机制”的政策规定，在进行余能检测的同时，利用专门的国家网络信息平台，落实动力蓄电池的各项可追溯信息登记工作。</w:t>
      </w:r>
    </w:p>
    <w:p>
      <w:pPr>
        <w:jc w:val="center"/>
        <w:rPr>
          <w:rFonts w:ascii="Times New Roman" w:hAnsi="Times New Roman" w:cs="Times New Roman"/>
        </w:rPr>
      </w:pPr>
      <w:r>
        <w:rPr>
          <w:rFonts w:ascii="Times New Roman" w:hAnsi="Times New Roman" w:cs="Times New Roman"/>
        </w:rPr>
        <w:drawing>
          <wp:inline distT="0" distB="0" distL="0" distR="0">
            <wp:extent cx="4319905" cy="3557270"/>
            <wp:effectExtent l="0" t="0" r="4445" b="508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4320000" cy="3557646"/>
                    </a:xfrm>
                    <a:prstGeom prst="rect">
                      <a:avLst/>
                    </a:prstGeom>
                    <a:noFill/>
                    <a:ln>
                      <a:noFill/>
                    </a:ln>
                  </pic:spPr>
                </pic:pic>
              </a:graphicData>
            </a:graphic>
          </wp:inline>
        </w:drawing>
      </w:r>
    </w:p>
    <w:p>
      <w:pPr>
        <w:pStyle w:val="6"/>
        <w:rPr>
          <w:rFonts w:ascii="Times New Roman" w:hAnsi="Times New Roman" w:cs="Times New Roman"/>
        </w:rPr>
      </w:pPr>
      <w:r>
        <w:rPr>
          <w:rFonts w:ascii="Times New Roman" w:hAnsi="Times New Roman" w:cs="Times New Roman"/>
        </w:rPr>
        <w:t>图3.1-1  典型汽车动力锂电池包的构成示意图</w:t>
      </w:r>
    </w:p>
    <w:p>
      <w:pPr>
        <w:spacing w:line="360" w:lineRule="auto"/>
        <w:jc w:val="center"/>
        <w:rPr>
          <w:rFonts w:ascii="Times New Roman" w:hAnsi="Times New Roman" w:cs="Times New Roman"/>
        </w:rPr>
      </w:pPr>
      <w:r>
        <w:rPr>
          <w:rFonts w:ascii="Times New Roman" w:hAnsi="Times New Roman" w:cs="Times New Roman"/>
        </w:rPr>
        <w:drawing>
          <wp:inline distT="0" distB="0" distL="0" distR="0">
            <wp:extent cx="4495800" cy="210312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4505454" cy="2107664"/>
                    </a:xfrm>
                    <a:prstGeom prst="rect">
                      <a:avLst/>
                    </a:prstGeom>
                    <a:noFill/>
                    <a:ln>
                      <a:noFill/>
                    </a:ln>
                  </pic:spPr>
                </pic:pic>
              </a:graphicData>
            </a:graphic>
          </wp:inline>
        </w:drawing>
      </w:r>
    </w:p>
    <w:p>
      <w:pPr>
        <w:pStyle w:val="6"/>
        <w:rPr>
          <w:rFonts w:ascii="Times New Roman" w:hAnsi="Times New Roman" w:cs="Times New Roman"/>
        </w:rPr>
      </w:pPr>
      <w:r>
        <w:rPr>
          <w:rFonts w:ascii="Times New Roman" w:hAnsi="Times New Roman" w:cs="Times New Roman"/>
        </w:rPr>
        <w:t>图3.1-2  典型汽车动力锂电池包内部电池单体</w:t>
      </w:r>
    </w:p>
    <w:p>
      <w:pPr>
        <w:jc w:val="center"/>
        <w:rPr>
          <w:rFonts w:ascii="Times New Roman" w:hAnsi="Times New Roman" w:cs="Times New Roman"/>
        </w:rPr>
      </w:pPr>
      <w:r>
        <w:rPr>
          <w:rFonts w:ascii="Times New Roman" w:hAnsi="Times New Roman" w:cs="Times New Roman"/>
        </w:rPr>
        <w:drawing>
          <wp:inline distT="0" distB="0" distL="0" distR="0">
            <wp:extent cx="4319905" cy="2600325"/>
            <wp:effectExtent l="0" t="0" r="4445"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4320000" cy="2600907"/>
                    </a:xfrm>
                    <a:prstGeom prst="rect">
                      <a:avLst/>
                    </a:prstGeom>
                    <a:noFill/>
                    <a:ln>
                      <a:noFill/>
                    </a:ln>
                  </pic:spPr>
                </pic:pic>
              </a:graphicData>
            </a:graphic>
          </wp:inline>
        </w:drawing>
      </w:r>
    </w:p>
    <w:p>
      <w:pPr>
        <w:pStyle w:val="6"/>
        <w:rPr>
          <w:rFonts w:ascii="Times New Roman" w:hAnsi="Times New Roman" w:cs="Times New Roman"/>
        </w:rPr>
      </w:pPr>
      <w:r>
        <w:rPr>
          <w:rFonts w:ascii="Times New Roman" w:hAnsi="Times New Roman" w:cs="Times New Roman"/>
        </w:rPr>
        <w:t>图3.1-3  典型汽车动力锂电池包内部单体电池包</w:t>
      </w:r>
    </w:p>
    <w:p>
      <w:pPr>
        <w:jc w:val="center"/>
        <w:rPr>
          <w:rFonts w:ascii="Times New Roman" w:hAnsi="Times New Roman" w:cs="Times New Roman"/>
        </w:rPr>
      </w:pPr>
      <w:r>
        <w:rPr>
          <w:rFonts w:ascii="Times New Roman" w:hAnsi="Times New Roman" w:cs="Times New Roman"/>
        </w:rPr>
        <w:drawing>
          <wp:inline distT="0" distB="0" distL="0" distR="0">
            <wp:extent cx="4319905" cy="2532380"/>
            <wp:effectExtent l="0" t="0" r="4445" b="12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4320000" cy="2532414"/>
                    </a:xfrm>
                    <a:prstGeom prst="rect">
                      <a:avLst/>
                    </a:prstGeom>
                    <a:noFill/>
                    <a:ln>
                      <a:noFill/>
                    </a:ln>
                  </pic:spPr>
                </pic:pic>
              </a:graphicData>
            </a:graphic>
          </wp:inline>
        </w:drawing>
      </w:r>
    </w:p>
    <w:p>
      <w:pPr>
        <w:pStyle w:val="6"/>
        <w:rPr>
          <w:rFonts w:ascii="Times New Roman" w:hAnsi="Times New Roman" w:cs="Times New Roman"/>
        </w:rPr>
      </w:pPr>
      <w:r>
        <w:rPr>
          <w:rFonts w:ascii="Times New Roman" w:hAnsi="Times New Roman" w:cs="Times New Roman"/>
        </w:rPr>
        <w:t>图3.1-4  典型汽车动力锂电池包内部模组结构</w:t>
      </w:r>
    </w:p>
    <w:p>
      <w:pPr>
        <w:jc w:val="center"/>
        <w:rPr>
          <w:rFonts w:ascii="Times New Roman" w:hAnsi="Times New Roman" w:cs="Times New Roman"/>
        </w:rPr>
      </w:pPr>
      <w:r>
        <w:rPr>
          <w:rFonts w:ascii="Times New Roman" w:hAnsi="Times New Roman" w:cs="Times New Roman"/>
        </w:rPr>
        <w:drawing>
          <wp:inline distT="0" distB="0" distL="0" distR="0">
            <wp:extent cx="4319905" cy="2636520"/>
            <wp:effectExtent l="0" t="0" r="444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4320000" cy="2636775"/>
                    </a:xfrm>
                    <a:prstGeom prst="rect">
                      <a:avLst/>
                    </a:prstGeom>
                    <a:noFill/>
                    <a:ln>
                      <a:noFill/>
                    </a:ln>
                  </pic:spPr>
                </pic:pic>
              </a:graphicData>
            </a:graphic>
          </wp:inline>
        </w:drawing>
      </w:r>
    </w:p>
    <w:p>
      <w:pPr>
        <w:pStyle w:val="6"/>
        <w:rPr>
          <w:rFonts w:ascii="Times New Roman" w:hAnsi="Times New Roman" w:cs="Times New Roman"/>
        </w:rPr>
      </w:pPr>
      <w:r>
        <w:rPr>
          <w:rFonts w:ascii="Times New Roman" w:hAnsi="Times New Roman" w:cs="Times New Roman"/>
        </w:rPr>
        <w:t>图3.1-5  典型汽车动力锂电池内部结构实物</w:t>
      </w:r>
    </w:p>
    <w:p>
      <w:pPr>
        <w:jc w:val="center"/>
        <w:rPr>
          <w:rFonts w:ascii="Times New Roman" w:hAnsi="Times New Roman" w:cs="Times New Roman"/>
        </w:rPr>
      </w:pPr>
      <w:r>
        <w:rPr>
          <w:rFonts w:ascii="Times New Roman" w:hAnsi="Times New Roman" w:cs="Times New Roman"/>
        </w:rPr>
        <w:drawing>
          <wp:inline distT="0" distB="0" distL="0" distR="0">
            <wp:extent cx="4319905" cy="2600325"/>
            <wp:effectExtent l="0" t="0" r="4445"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4320000" cy="2600554"/>
                    </a:xfrm>
                    <a:prstGeom prst="rect">
                      <a:avLst/>
                    </a:prstGeom>
                    <a:noFill/>
                    <a:ln>
                      <a:noFill/>
                    </a:ln>
                  </pic:spPr>
                </pic:pic>
              </a:graphicData>
            </a:graphic>
          </wp:inline>
        </w:drawing>
      </w:r>
    </w:p>
    <w:p>
      <w:pPr>
        <w:pStyle w:val="6"/>
        <w:rPr>
          <w:rFonts w:ascii="Times New Roman" w:hAnsi="Times New Roman" w:cs="Times New Roman"/>
        </w:rPr>
      </w:pPr>
      <w:r>
        <w:rPr>
          <w:rFonts w:ascii="Times New Roman" w:hAnsi="Times New Roman" w:cs="Times New Roman"/>
        </w:rPr>
        <w:t>图3.1-6  典型动力锂电池电芯构成示意图</w:t>
      </w:r>
    </w:p>
    <w:p>
      <w:pPr>
        <w:spacing w:line="360" w:lineRule="auto"/>
        <w:ind w:firstLine="480" w:firstLineChars="200"/>
        <w:rPr>
          <w:rFonts w:ascii="Times New Roman" w:hAnsi="Times New Roman" w:cs="Times New Roman"/>
        </w:rPr>
      </w:pPr>
      <w:r>
        <w:rPr>
          <w:rFonts w:hint="eastAsia" w:ascii="宋体" w:hAnsi="宋体" w:eastAsia="宋体" w:cs="宋体"/>
        </w:rPr>
        <w:t>②</w:t>
      </w:r>
      <w:r>
        <w:rPr>
          <w:rFonts w:ascii="Times New Roman" w:hAnsi="Times New Roman" w:cs="Times New Roman"/>
        </w:rPr>
        <w:t>锂离子电池特性分析</w:t>
      </w:r>
    </w:p>
    <w:p>
      <w:pPr>
        <w:spacing w:line="360" w:lineRule="auto"/>
        <w:ind w:firstLine="480" w:firstLineChars="200"/>
        <w:rPr>
          <w:rFonts w:ascii="Times New Roman" w:hAnsi="Times New Roman" w:cs="Times New Roman"/>
        </w:rPr>
      </w:pPr>
      <w:r>
        <w:rPr>
          <w:rFonts w:ascii="Times New Roman" w:hAnsi="Times New Roman" w:cs="Times New Roman"/>
        </w:rPr>
        <w:t>废旧锂离子电池一般包括以下部件：正极片、负极片、电解液、隔膜纸、电池壳、线路控制板（含零部件）等。其中电池壳主要分为铝壳、钢壳和软包等；正极片是将正极材料、粘结剂（PVDF：聚偏氟乙烯）混合后均匀涂布在铝箔上；负极片是将负极材料石墨涂布在铜箔上；隔膜纸成分为聚乙烯。锂离子电池中含有大量的锂、镍、钴、锰等有价金属元素。</w:t>
      </w:r>
    </w:p>
    <w:p>
      <w:pPr>
        <w:spacing w:line="360" w:lineRule="auto"/>
        <w:ind w:firstLine="480" w:firstLineChars="200"/>
        <w:rPr>
          <w:rFonts w:ascii="Times New Roman" w:hAnsi="Times New Roman" w:cs="Times New Roman"/>
        </w:rPr>
      </w:pPr>
      <w:r>
        <w:rPr>
          <w:rFonts w:ascii="Times New Roman" w:hAnsi="Times New Roman" w:cs="Times New Roman"/>
        </w:rPr>
        <w:t>根据建设单位提供资料和相关文献材料确本项目回收的废旧锂电池组成如下表。</w:t>
      </w:r>
    </w:p>
    <w:p>
      <w:pPr>
        <w:pStyle w:val="6"/>
        <w:rPr>
          <w:rFonts w:ascii="Times New Roman" w:hAnsi="Times New Roman" w:cs="Times New Roman"/>
        </w:rPr>
      </w:pPr>
      <w:r>
        <w:rPr>
          <w:rFonts w:ascii="Times New Roman" w:hAnsi="Times New Roman" w:cs="Times New Roman"/>
        </w:rPr>
        <w:t>表3.1-</w:t>
      </w:r>
      <w:r>
        <w:rPr>
          <w:rFonts w:hint="eastAsia" w:ascii="Times New Roman" w:hAnsi="Times New Roman" w:cs="Times New Roman"/>
        </w:rPr>
        <w:t>20</w:t>
      </w:r>
      <w:r>
        <w:rPr>
          <w:rFonts w:ascii="Times New Roman" w:hAnsi="Times New Roman" w:cs="Times New Roman"/>
        </w:rPr>
        <w:t xml:space="preserve">  废旧锂电池组成一览表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60"/>
        <w:gridCol w:w="769"/>
        <w:gridCol w:w="769"/>
        <w:gridCol w:w="764"/>
        <w:gridCol w:w="764"/>
        <w:gridCol w:w="855"/>
        <w:gridCol w:w="855"/>
        <w:gridCol w:w="967"/>
        <w:gridCol w:w="967"/>
        <w:gridCol w:w="95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4" w:type="pct"/>
            <w:vMerge w:val="restar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物料名称</w:t>
            </w:r>
          </w:p>
        </w:tc>
        <w:tc>
          <w:tcPr>
            <w:tcW w:w="451"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铁壳</w:t>
            </w:r>
          </w:p>
        </w:tc>
        <w:tc>
          <w:tcPr>
            <w:tcW w:w="451"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塑料</w:t>
            </w:r>
          </w:p>
        </w:tc>
        <w:tc>
          <w:tcPr>
            <w:tcW w:w="448"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隔膜</w:t>
            </w:r>
          </w:p>
        </w:tc>
        <w:tc>
          <w:tcPr>
            <w:tcW w:w="448"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铜</w:t>
            </w:r>
          </w:p>
        </w:tc>
        <w:tc>
          <w:tcPr>
            <w:tcW w:w="501"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铝</w:t>
            </w:r>
          </w:p>
        </w:tc>
        <w:tc>
          <w:tcPr>
            <w:tcW w:w="501"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电解液</w:t>
            </w:r>
          </w:p>
        </w:tc>
        <w:tc>
          <w:tcPr>
            <w:tcW w:w="567" w:type="pct"/>
            <w:vAlign w:val="center"/>
          </w:tcPr>
          <w:p>
            <w:pPr>
              <w:jc w:val="center"/>
              <w:rPr>
                <w:rFonts w:ascii="Times New Roman" w:hAnsi="Times New Roman" w:cs="Times New Roman"/>
                <w:sz w:val="21"/>
                <w:szCs w:val="21"/>
              </w:rPr>
            </w:pPr>
            <w:r>
              <w:rPr>
                <w:rFonts w:ascii="Times New Roman" w:hAnsi="Times New Roman" w:cs="Times New Roman"/>
                <w:sz w:val="21"/>
                <w:szCs w:val="21"/>
              </w:rPr>
              <w:t>粘结剂</w:t>
            </w:r>
          </w:p>
        </w:tc>
        <w:tc>
          <w:tcPr>
            <w:tcW w:w="567"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正极材料</w:t>
            </w:r>
          </w:p>
        </w:tc>
        <w:tc>
          <w:tcPr>
            <w:tcW w:w="562"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负极材料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4" w:type="pct"/>
            <w:vMerge w:val="continue"/>
            <w:shd w:val="clear" w:color="auto" w:fill="auto"/>
            <w:vAlign w:val="center"/>
          </w:tcPr>
          <w:p>
            <w:pPr>
              <w:rPr>
                <w:rFonts w:ascii="Times New Roman" w:hAnsi="Times New Roman" w:cs="Times New Roman"/>
                <w:sz w:val="21"/>
                <w:szCs w:val="21"/>
              </w:rPr>
            </w:pPr>
          </w:p>
        </w:tc>
        <w:tc>
          <w:tcPr>
            <w:tcW w:w="451"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451"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448"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448"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501"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501"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567"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567"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562"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4"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废旧磷酸铁锂电池</w:t>
            </w:r>
          </w:p>
        </w:tc>
        <w:tc>
          <w:tcPr>
            <w:tcW w:w="451"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10</w:t>
            </w:r>
          </w:p>
        </w:tc>
        <w:tc>
          <w:tcPr>
            <w:tcW w:w="451"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6.1</w:t>
            </w:r>
          </w:p>
        </w:tc>
        <w:tc>
          <w:tcPr>
            <w:tcW w:w="448"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3</w:t>
            </w:r>
          </w:p>
        </w:tc>
        <w:tc>
          <w:tcPr>
            <w:tcW w:w="448"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5</w:t>
            </w:r>
          </w:p>
        </w:tc>
        <w:tc>
          <w:tcPr>
            <w:tcW w:w="501"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11</w:t>
            </w:r>
          </w:p>
        </w:tc>
        <w:tc>
          <w:tcPr>
            <w:tcW w:w="501"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4</w:t>
            </w:r>
          </w:p>
        </w:tc>
        <w:tc>
          <w:tcPr>
            <w:tcW w:w="567" w:type="pct"/>
            <w:vAlign w:val="center"/>
          </w:tcPr>
          <w:p>
            <w:pPr>
              <w:jc w:val="center"/>
              <w:rPr>
                <w:rFonts w:ascii="Times New Roman" w:hAnsi="Times New Roman" w:cs="Times New Roman"/>
                <w:sz w:val="21"/>
                <w:szCs w:val="21"/>
              </w:rPr>
            </w:pPr>
            <w:r>
              <w:rPr>
                <w:rFonts w:ascii="Times New Roman" w:hAnsi="Times New Roman" w:cs="Times New Roman"/>
                <w:sz w:val="21"/>
                <w:szCs w:val="21"/>
              </w:rPr>
              <w:t>3</w:t>
            </w:r>
          </w:p>
        </w:tc>
        <w:tc>
          <w:tcPr>
            <w:tcW w:w="567"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40</w:t>
            </w:r>
          </w:p>
        </w:tc>
        <w:tc>
          <w:tcPr>
            <w:tcW w:w="562"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17.9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4"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废旧三元电池</w:t>
            </w:r>
          </w:p>
        </w:tc>
        <w:tc>
          <w:tcPr>
            <w:tcW w:w="451"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12</w:t>
            </w:r>
          </w:p>
        </w:tc>
        <w:tc>
          <w:tcPr>
            <w:tcW w:w="451"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3</w:t>
            </w:r>
          </w:p>
        </w:tc>
        <w:tc>
          <w:tcPr>
            <w:tcW w:w="448"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3</w:t>
            </w:r>
          </w:p>
        </w:tc>
        <w:tc>
          <w:tcPr>
            <w:tcW w:w="448"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5</w:t>
            </w:r>
          </w:p>
        </w:tc>
        <w:tc>
          <w:tcPr>
            <w:tcW w:w="501"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16</w:t>
            </w:r>
          </w:p>
        </w:tc>
        <w:tc>
          <w:tcPr>
            <w:tcW w:w="501"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4</w:t>
            </w:r>
          </w:p>
        </w:tc>
        <w:tc>
          <w:tcPr>
            <w:tcW w:w="567" w:type="pct"/>
            <w:vAlign w:val="center"/>
          </w:tcPr>
          <w:p>
            <w:pPr>
              <w:jc w:val="center"/>
              <w:rPr>
                <w:rFonts w:ascii="Times New Roman" w:hAnsi="Times New Roman" w:cs="Times New Roman"/>
                <w:sz w:val="21"/>
                <w:szCs w:val="21"/>
              </w:rPr>
            </w:pPr>
            <w:r>
              <w:rPr>
                <w:rFonts w:ascii="Times New Roman" w:hAnsi="Times New Roman" w:cs="Times New Roman"/>
                <w:sz w:val="21"/>
                <w:szCs w:val="21"/>
              </w:rPr>
              <w:t>3</w:t>
            </w:r>
          </w:p>
        </w:tc>
        <w:tc>
          <w:tcPr>
            <w:tcW w:w="567"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38</w:t>
            </w:r>
          </w:p>
        </w:tc>
        <w:tc>
          <w:tcPr>
            <w:tcW w:w="562" w:type="pct"/>
            <w:shd w:val="clear" w:color="auto" w:fill="auto"/>
            <w:vAlign w:val="center"/>
          </w:tcPr>
          <w:p>
            <w:pPr>
              <w:jc w:val="center"/>
              <w:rPr>
                <w:rFonts w:ascii="Times New Roman" w:hAnsi="Times New Roman" w:cs="Times New Roman"/>
                <w:sz w:val="21"/>
                <w:szCs w:val="21"/>
              </w:rPr>
            </w:pPr>
            <w:r>
              <w:rPr>
                <w:rFonts w:ascii="Times New Roman" w:hAnsi="Times New Roman" w:cs="Times New Roman"/>
                <w:sz w:val="21"/>
                <w:szCs w:val="21"/>
              </w:rPr>
              <w:t>16</w:t>
            </w:r>
          </w:p>
        </w:tc>
      </w:tr>
    </w:tbl>
    <w:p>
      <w:pPr>
        <w:pStyle w:val="6"/>
        <w:rPr>
          <w:rFonts w:ascii="Times New Roman" w:hAnsi="Times New Roman" w:cs="Times New Roman"/>
        </w:rPr>
      </w:pPr>
      <w:r>
        <w:rPr>
          <w:rFonts w:ascii="Times New Roman" w:hAnsi="Times New Roman" w:cs="Times New Roman"/>
        </w:rPr>
        <w:t>表3.1-</w:t>
      </w:r>
      <w:r>
        <w:rPr>
          <w:rFonts w:hint="eastAsia" w:ascii="Times New Roman" w:hAnsi="Times New Roman" w:cs="Times New Roman"/>
        </w:rPr>
        <w:t>21</w:t>
      </w:r>
      <w:r>
        <w:rPr>
          <w:rFonts w:ascii="Times New Roman" w:hAnsi="Times New Roman" w:cs="Times New Roman"/>
        </w:rPr>
        <w:t xml:space="preserve">  废旧锂离子电池材料中各元素组成（单位：%）</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271"/>
        <w:gridCol w:w="707"/>
        <w:gridCol w:w="707"/>
        <w:gridCol w:w="707"/>
        <w:gridCol w:w="706"/>
        <w:gridCol w:w="707"/>
        <w:gridCol w:w="707"/>
        <w:gridCol w:w="707"/>
        <w:gridCol w:w="707"/>
        <w:gridCol w:w="710"/>
        <w:gridCol w:w="70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62" w:type="pct"/>
            <w:vMerge w:val="restart"/>
            <w:shd w:val="clear" w:color="auto" w:fill="auto"/>
            <w:vAlign w:val="center"/>
          </w:tcPr>
          <w:p>
            <w:pPr>
              <w:pStyle w:val="63"/>
            </w:pPr>
            <w:r>
              <w:t>元素种类</w:t>
            </w:r>
          </w:p>
        </w:tc>
        <w:tc>
          <w:tcPr>
            <w:tcW w:w="424" w:type="pct"/>
            <w:shd w:val="clear" w:color="auto" w:fill="auto"/>
            <w:vAlign w:val="center"/>
          </w:tcPr>
          <w:p>
            <w:pPr>
              <w:pStyle w:val="63"/>
            </w:pPr>
            <w:r>
              <w:t>Li</w:t>
            </w:r>
          </w:p>
        </w:tc>
        <w:tc>
          <w:tcPr>
            <w:tcW w:w="424" w:type="pct"/>
            <w:shd w:val="clear" w:color="auto" w:fill="auto"/>
            <w:vAlign w:val="center"/>
          </w:tcPr>
          <w:p>
            <w:pPr>
              <w:pStyle w:val="63"/>
            </w:pPr>
            <w:r>
              <w:t>Ni</w:t>
            </w:r>
          </w:p>
        </w:tc>
        <w:tc>
          <w:tcPr>
            <w:tcW w:w="424" w:type="pct"/>
            <w:shd w:val="clear" w:color="auto" w:fill="auto"/>
            <w:vAlign w:val="center"/>
          </w:tcPr>
          <w:p>
            <w:pPr>
              <w:pStyle w:val="63"/>
            </w:pPr>
            <w:r>
              <w:t>Co</w:t>
            </w:r>
          </w:p>
        </w:tc>
        <w:tc>
          <w:tcPr>
            <w:tcW w:w="423" w:type="pct"/>
            <w:shd w:val="clear" w:color="auto" w:fill="auto"/>
            <w:vAlign w:val="center"/>
          </w:tcPr>
          <w:p>
            <w:pPr>
              <w:pStyle w:val="63"/>
            </w:pPr>
            <w:r>
              <w:t>Mn</w:t>
            </w:r>
          </w:p>
        </w:tc>
        <w:tc>
          <w:tcPr>
            <w:tcW w:w="424" w:type="pct"/>
            <w:shd w:val="clear" w:color="auto" w:fill="auto"/>
            <w:vAlign w:val="center"/>
          </w:tcPr>
          <w:p>
            <w:pPr>
              <w:pStyle w:val="63"/>
            </w:pPr>
            <w:r>
              <w:t>Al</w:t>
            </w:r>
          </w:p>
        </w:tc>
        <w:tc>
          <w:tcPr>
            <w:tcW w:w="424" w:type="pct"/>
            <w:shd w:val="clear" w:color="auto" w:fill="auto"/>
            <w:vAlign w:val="center"/>
          </w:tcPr>
          <w:p>
            <w:pPr>
              <w:pStyle w:val="63"/>
            </w:pPr>
            <w:r>
              <w:t>Cu</w:t>
            </w:r>
          </w:p>
        </w:tc>
        <w:tc>
          <w:tcPr>
            <w:tcW w:w="424" w:type="pct"/>
            <w:shd w:val="clear" w:color="auto" w:fill="auto"/>
            <w:vAlign w:val="center"/>
          </w:tcPr>
          <w:p>
            <w:pPr>
              <w:pStyle w:val="63"/>
            </w:pPr>
            <w:r>
              <w:t>Ca</w:t>
            </w:r>
          </w:p>
        </w:tc>
        <w:tc>
          <w:tcPr>
            <w:tcW w:w="423" w:type="pct"/>
            <w:shd w:val="clear" w:color="auto" w:fill="auto"/>
            <w:vAlign w:val="center"/>
          </w:tcPr>
          <w:p>
            <w:pPr>
              <w:pStyle w:val="63"/>
            </w:pPr>
            <w:r>
              <w:t>Mg</w:t>
            </w:r>
          </w:p>
        </w:tc>
        <w:tc>
          <w:tcPr>
            <w:tcW w:w="425" w:type="pct"/>
            <w:shd w:val="clear" w:color="auto" w:fill="auto"/>
            <w:vAlign w:val="center"/>
          </w:tcPr>
          <w:p>
            <w:pPr>
              <w:pStyle w:val="63"/>
            </w:pPr>
            <w:r>
              <w:t>C</w:t>
            </w:r>
          </w:p>
        </w:tc>
        <w:tc>
          <w:tcPr>
            <w:tcW w:w="423" w:type="pct"/>
            <w:shd w:val="clear" w:color="auto" w:fill="auto"/>
            <w:vAlign w:val="center"/>
          </w:tcPr>
          <w:p>
            <w:pPr>
              <w:pStyle w:val="63"/>
            </w:pPr>
            <w:r>
              <w:t>PO4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62" w:type="pct"/>
            <w:vMerge w:val="continue"/>
            <w:shd w:val="clear" w:color="auto" w:fill="auto"/>
            <w:vAlign w:val="center"/>
          </w:tcPr>
          <w:p>
            <w:pPr>
              <w:pStyle w:val="63"/>
            </w:pPr>
          </w:p>
        </w:tc>
        <w:tc>
          <w:tcPr>
            <w:tcW w:w="424" w:type="pct"/>
            <w:shd w:val="clear" w:color="auto" w:fill="auto"/>
            <w:vAlign w:val="center"/>
          </w:tcPr>
          <w:p>
            <w:pPr>
              <w:pStyle w:val="63"/>
            </w:pPr>
            <w:r>
              <w:t>%</w:t>
            </w:r>
          </w:p>
        </w:tc>
        <w:tc>
          <w:tcPr>
            <w:tcW w:w="424" w:type="pct"/>
            <w:shd w:val="clear" w:color="auto" w:fill="auto"/>
            <w:vAlign w:val="center"/>
          </w:tcPr>
          <w:p>
            <w:pPr>
              <w:pStyle w:val="63"/>
            </w:pPr>
            <w:r>
              <w:t>%</w:t>
            </w:r>
          </w:p>
        </w:tc>
        <w:tc>
          <w:tcPr>
            <w:tcW w:w="424" w:type="pct"/>
            <w:shd w:val="clear" w:color="auto" w:fill="auto"/>
            <w:vAlign w:val="center"/>
          </w:tcPr>
          <w:p>
            <w:pPr>
              <w:pStyle w:val="63"/>
            </w:pPr>
            <w:r>
              <w:t>%</w:t>
            </w:r>
          </w:p>
        </w:tc>
        <w:tc>
          <w:tcPr>
            <w:tcW w:w="423" w:type="pct"/>
            <w:shd w:val="clear" w:color="auto" w:fill="auto"/>
            <w:vAlign w:val="center"/>
          </w:tcPr>
          <w:p>
            <w:pPr>
              <w:pStyle w:val="63"/>
            </w:pPr>
            <w:r>
              <w:t>%</w:t>
            </w:r>
          </w:p>
        </w:tc>
        <w:tc>
          <w:tcPr>
            <w:tcW w:w="424" w:type="pct"/>
            <w:shd w:val="clear" w:color="auto" w:fill="auto"/>
            <w:vAlign w:val="center"/>
          </w:tcPr>
          <w:p>
            <w:pPr>
              <w:pStyle w:val="63"/>
            </w:pPr>
            <w:r>
              <w:t>%</w:t>
            </w:r>
          </w:p>
        </w:tc>
        <w:tc>
          <w:tcPr>
            <w:tcW w:w="424" w:type="pct"/>
            <w:shd w:val="clear" w:color="auto" w:fill="auto"/>
            <w:vAlign w:val="center"/>
          </w:tcPr>
          <w:p>
            <w:pPr>
              <w:pStyle w:val="63"/>
            </w:pPr>
            <w:r>
              <w:t>%</w:t>
            </w:r>
          </w:p>
        </w:tc>
        <w:tc>
          <w:tcPr>
            <w:tcW w:w="424" w:type="pct"/>
            <w:shd w:val="clear" w:color="auto" w:fill="auto"/>
            <w:vAlign w:val="center"/>
          </w:tcPr>
          <w:p>
            <w:pPr>
              <w:pStyle w:val="63"/>
            </w:pPr>
            <w:r>
              <w:t>%</w:t>
            </w:r>
          </w:p>
        </w:tc>
        <w:tc>
          <w:tcPr>
            <w:tcW w:w="423" w:type="pct"/>
            <w:shd w:val="clear" w:color="auto" w:fill="auto"/>
            <w:vAlign w:val="center"/>
          </w:tcPr>
          <w:p>
            <w:pPr>
              <w:pStyle w:val="63"/>
            </w:pPr>
            <w:r>
              <w:t>%</w:t>
            </w:r>
          </w:p>
        </w:tc>
        <w:tc>
          <w:tcPr>
            <w:tcW w:w="425" w:type="pct"/>
            <w:shd w:val="clear" w:color="auto" w:fill="auto"/>
            <w:vAlign w:val="center"/>
          </w:tcPr>
          <w:p>
            <w:pPr>
              <w:pStyle w:val="63"/>
            </w:pPr>
            <w:r>
              <w:t>%</w:t>
            </w:r>
          </w:p>
        </w:tc>
        <w:tc>
          <w:tcPr>
            <w:tcW w:w="423" w:type="pct"/>
            <w:shd w:val="clear" w:color="auto" w:fill="auto"/>
            <w:vAlign w:val="center"/>
          </w:tcPr>
          <w:p>
            <w:pPr>
              <w:pStyle w:val="63"/>
            </w:pPr>
            <w: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62" w:type="pct"/>
            <w:shd w:val="clear" w:color="auto" w:fill="auto"/>
            <w:vAlign w:val="center"/>
          </w:tcPr>
          <w:p>
            <w:pPr>
              <w:pStyle w:val="63"/>
            </w:pPr>
            <w:r>
              <w:t>废旧磷酸铁锂单体电池</w:t>
            </w:r>
          </w:p>
        </w:tc>
        <w:tc>
          <w:tcPr>
            <w:tcW w:w="424" w:type="pct"/>
            <w:shd w:val="clear" w:color="auto" w:fill="auto"/>
            <w:vAlign w:val="center"/>
          </w:tcPr>
          <w:p>
            <w:pPr>
              <w:pStyle w:val="63"/>
            </w:pPr>
            <w:r>
              <w:rPr>
                <w:szCs w:val="21"/>
              </w:rPr>
              <w:t>1</w:t>
            </w:r>
          </w:p>
        </w:tc>
        <w:tc>
          <w:tcPr>
            <w:tcW w:w="424" w:type="pct"/>
            <w:shd w:val="clear" w:color="auto" w:fill="auto"/>
            <w:vAlign w:val="center"/>
          </w:tcPr>
          <w:p>
            <w:pPr>
              <w:pStyle w:val="63"/>
            </w:pPr>
            <w:r>
              <w:rPr>
                <w:szCs w:val="21"/>
              </w:rPr>
              <w:t>--</w:t>
            </w:r>
          </w:p>
        </w:tc>
        <w:tc>
          <w:tcPr>
            <w:tcW w:w="424" w:type="pct"/>
            <w:shd w:val="clear" w:color="auto" w:fill="auto"/>
            <w:vAlign w:val="center"/>
          </w:tcPr>
          <w:p>
            <w:pPr>
              <w:pStyle w:val="63"/>
            </w:pPr>
            <w:r>
              <w:rPr>
                <w:szCs w:val="21"/>
              </w:rPr>
              <w:t>--</w:t>
            </w:r>
          </w:p>
        </w:tc>
        <w:tc>
          <w:tcPr>
            <w:tcW w:w="423" w:type="pct"/>
            <w:shd w:val="clear" w:color="auto" w:fill="auto"/>
            <w:vAlign w:val="center"/>
          </w:tcPr>
          <w:p>
            <w:pPr>
              <w:pStyle w:val="63"/>
            </w:pPr>
            <w:r>
              <w:rPr>
                <w:szCs w:val="21"/>
              </w:rPr>
              <w:t>--</w:t>
            </w:r>
          </w:p>
        </w:tc>
        <w:tc>
          <w:tcPr>
            <w:tcW w:w="424" w:type="pct"/>
            <w:shd w:val="clear" w:color="auto" w:fill="auto"/>
            <w:vAlign w:val="center"/>
          </w:tcPr>
          <w:p>
            <w:pPr>
              <w:pStyle w:val="63"/>
            </w:pPr>
            <w:r>
              <w:rPr>
                <w:szCs w:val="21"/>
              </w:rPr>
              <w:t>12</w:t>
            </w:r>
          </w:p>
        </w:tc>
        <w:tc>
          <w:tcPr>
            <w:tcW w:w="424" w:type="pct"/>
            <w:shd w:val="clear" w:color="auto" w:fill="auto"/>
            <w:vAlign w:val="center"/>
          </w:tcPr>
          <w:p>
            <w:pPr>
              <w:pStyle w:val="63"/>
            </w:pPr>
            <w:r>
              <w:rPr>
                <w:szCs w:val="21"/>
              </w:rPr>
              <w:t>5.97</w:t>
            </w:r>
          </w:p>
        </w:tc>
        <w:tc>
          <w:tcPr>
            <w:tcW w:w="424" w:type="pct"/>
            <w:shd w:val="clear" w:color="auto" w:fill="auto"/>
            <w:vAlign w:val="center"/>
          </w:tcPr>
          <w:p>
            <w:pPr>
              <w:pStyle w:val="63"/>
            </w:pPr>
            <w:r>
              <w:rPr>
                <w:szCs w:val="21"/>
              </w:rPr>
              <w:t>0.02</w:t>
            </w:r>
          </w:p>
        </w:tc>
        <w:tc>
          <w:tcPr>
            <w:tcW w:w="423" w:type="pct"/>
            <w:shd w:val="clear" w:color="auto" w:fill="auto"/>
            <w:vAlign w:val="center"/>
          </w:tcPr>
          <w:p>
            <w:pPr>
              <w:pStyle w:val="63"/>
            </w:pPr>
            <w:r>
              <w:rPr>
                <w:szCs w:val="21"/>
              </w:rPr>
              <w:t>0.01</w:t>
            </w:r>
          </w:p>
        </w:tc>
        <w:tc>
          <w:tcPr>
            <w:tcW w:w="425" w:type="pct"/>
            <w:shd w:val="clear" w:color="auto" w:fill="auto"/>
            <w:vAlign w:val="center"/>
          </w:tcPr>
          <w:p>
            <w:pPr>
              <w:pStyle w:val="63"/>
            </w:pPr>
            <w:r>
              <w:rPr>
                <w:szCs w:val="21"/>
              </w:rPr>
              <w:t>11</w:t>
            </w:r>
          </w:p>
        </w:tc>
        <w:tc>
          <w:tcPr>
            <w:tcW w:w="423" w:type="pct"/>
            <w:shd w:val="clear" w:color="auto" w:fill="auto"/>
            <w:vAlign w:val="center"/>
          </w:tcPr>
          <w:p>
            <w:pPr>
              <w:pStyle w:val="63"/>
            </w:pPr>
            <w:r>
              <w:rPr>
                <w:szCs w:val="21"/>
              </w:rPr>
              <w:t>27.9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762" w:type="pct"/>
            <w:shd w:val="clear" w:color="auto" w:fill="auto"/>
            <w:vAlign w:val="center"/>
          </w:tcPr>
          <w:p>
            <w:pPr>
              <w:pStyle w:val="63"/>
            </w:pPr>
            <w:r>
              <w:t>废旧三元单体电池</w:t>
            </w:r>
          </w:p>
        </w:tc>
        <w:tc>
          <w:tcPr>
            <w:tcW w:w="424" w:type="pct"/>
            <w:shd w:val="clear" w:color="auto" w:fill="auto"/>
            <w:vAlign w:val="center"/>
          </w:tcPr>
          <w:p>
            <w:pPr>
              <w:pStyle w:val="63"/>
            </w:pPr>
            <w:r>
              <w:rPr>
                <w:szCs w:val="21"/>
              </w:rPr>
              <w:t>2</w:t>
            </w:r>
          </w:p>
        </w:tc>
        <w:tc>
          <w:tcPr>
            <w:tcW w:w="424" w:type="pct"/>
            <w:shd w:val="clear" w:color="auto" w:fill="auto"/>
            <w:vAlign w:val="center"/>
          </w:tcPr>
          <w:p>
            <w:pPr>
              <w:pStyle w:val="63"/>
            </w:pPr>
            <w:r>
              <w:rPr>
                <w:szCs w:val="21"/>
              </w:rPr>
              <w:t>8</w:t>
            </w:r>
          </w:p>
        </w:tc>
        <w:tc>
          <w:tcPr>
            <w:tcW w:w="424" w:type="pct"/>
            <w:shd w:val="clear" w:color="auto" w:fill="auto"/>
            <w:vAlign w:val="center"/>
          </w:tcPr>
          <w:p>
            <w:pPr>
              <w:pStyle w:val="63"/>
            </w:pPr>
            <w:r>
              <w:rPr>
                <w:szCs w:val="21"/>
              </w:rPr>
              <w:t>4</w:t>
            </w:r>
          </w:p>
        </w:tc>
        <w:tc>
          <w:tcPr>
            <w:tcW w:w="423" w:type="pct"/>
            <w:shd w:val="clear" w:color="auto" w:fill="auto"/>
            <w:vAlign w:val="center"/>
          </w:tcPr>
          <w:p>
            <w:pPr>
              <w:pStyle w:val="63"/>
            </w:pPr>
            <w:r>
              <w:rPr>
                <w:szCs w:val="21"/>
              </w:rPr>
              <w:t>5</w:t>
            </w:r>
          </w:p>
        </w:tc>
        <w:tc>
          <w:tcPr>
            <w:tcW w:w="424" w:type="pct"/>
            <w:shd w:val="clear" w:color="auto" w:fill="auto"/>
            <w:vAlign w:val="center"/>
          </w:tcPr>
          <w:p>
            <w:pPr>
              <w:pStyle w:val="63"/>
            </w:pPr>
            <w:r>
              <w:rPr>
                <w:szCs w:val="21"/>
              </w:rPr>
              <w:t>15</w:t>
            </w:r>
          </w:p>
        </w:tc>
        <w:tc>
          <w:tcPr>
            <w:tcW w:w="424" w:type="pct"/>
            <w:shd w:val="clear" w:color="auto" w:fill="auto"/>
            <w:vAlign w:val="center"/>
          </w:tcPr>
          <w:p>
            <w:pPr>
              <w:pStyle w:val="63"/>
            </w:pPr>
            <w:r>
              <w:rPr>
                <w:szCs w:val="21"/>
              </w:rPr>
              <w:t>4.96</w:t>
            </w:r>
          </w:p>
        </w:tc>
        <w:tc>
          <w:tcPr>
            <w:tcW w:w="424" w:type="pct"/>
            <w:shd w:val="clear" w:color="auto" w:fill="auto"/>
            <w:vAlign w:val="center"/>
          </w:tcPr>
          <w:p>
            <w:pPr>
              <w:pStyle w:val="63"/>
            </w:pPr>
            <w:r>
              <w:rPr>
                <w:szCs w:val="21"/>
              </w:rPr>
              <w:t>0.02</w:t>
            </w:r>
          </w:p>
        </w:tc>
        <w:tc>
          <w:tcPr>
            <w:tcW w:w="423" w:type="pct"/>
            <w:shd w:val="clear" w:color="auto" w:fill="auto"/>
            <w:vAlign w:val="center"/>
          </w:tcPr>
          <w:p>
            <w:pPr>
              <w:pStyle w:val="63"/>
            </w:pPr>
            <w:r>
              <w:rPr>
                <w:szCs w:val="21"/>
              </w:rPr>
              <w:t>0.02</w:t>
            </w:r>
          </w:p>
        </w:tc>
        <w:tc>
          <w:tcPr>
            <w:tcW w:w="425" w:type="pct"/>
            <w:shd w:val="clear" w:color="auto" w:fill="auto"/>
            <w:vAlign w:val="center"/>
          </w:tcPr>
          <w:p>
            <w:pPr>
              <w:pStyle w:val="63"/>
            </w:pPr>
            <w:r>
              <w:rPr>
                <w:szCs w:val="21"/>
              </w:rPr>
              <w:t>15</w:t>
            </w:r>
          </w:p>
        </w:tc>
        <w:tc>
          <w:tcPr>
            <w:tcW w:w="423" w:type="pct"/>
            <w:shd w:val="clear" w:color="auto" w:fill="auto"/>
            <w:vAlign w:val="center"/>
          </w:tcPr>
          <w:p>
            <w:pPr>
              <w:pStyle w:val="63"/>
            </w:pPr>
            <w:r>
              <w:t>——</w:t>
            </w:r>
          </w:p>
        </w:tc>
      </w:tr>
    </w:tbl>
    <w:p>
      <w:pPr>
        <w:spacing w:line="360" w:lineRule="auto"/>
        <w:ind w:firstLine="480" w:firstLineChars="200"/>
        <w:rPr>
          <w:rFonts w:ascii="Times New Roman" w:hAnsi="Times New Roman" w:cs="Times New Roman"/>
        </w:rPr>
      </w:pPr>
      <w:r>
        <w:rPr>
          <w:rFonts w:ascii="Times New Roman" w:hAnsi="Times New Roman" w:cs="Times New Roman"/>
        </w:rPr>
        <w:t>锂离子电池中电解液一般由高纯度有机溶剂、电解质（溶质）等材料在一定条件下，按一定比例配制而成，溶剂主要由碳酸乙烯酯（EC）、碳酸丙烯酯（PC）、碳酸二乙酯（DEC）、碳酸二甲酯（DMC）、碳酸甲乙酯（EMC）组成，电解质主要是六氟磷酸锂。</w:t>
      </w:r>
    </w:p>
    <w:p>
      <w:pPr>
        <w:spacing w:line="360" w:lineRule="auto"/>
        <w:ind w:firstLine="480" w:firstLineChars="200"/>
        <w:rPr>
          <w:rFonts w:ascii="Times New Roman" w:hAnsi="Times New Roman" w:cs="Times New Roman"/>
        </w:rPr>
      </w:pPr>
      <w:r>
        <w:rPr>
          <w:rFonts w:ascii="Times New Roman" w:hAnsi="Times New Roman" w:cs="Times New Roman"/>
        </w:rPr>
        <w:t>（2）其他原辅料理化特性</w:t>
      </w:r>
    </w:p>
    <w:p>
      <w:pPr>
        <w:spacing w:line="360" w:lineRule="auto"/>
        <w:ind w:firstLine="480" w:firstLineChars="200"/>
        <w:rPr>
          <w:rFonts w:ascii="Times New Roman" w:hAnsi="Times New Roman" w:cs="Times New Roman"/>
        </w:rPr>
        <w:sectPr>
          <w:pgSz w:w="11907" w:h="16840"/>
          <w:pgMar w:top="1440" w:right="1797" w:bottom="1440" w:left="1797" w:header="964" w:footer="851" w:gutter="0"/>
          <w:cols w:space="720" w:num="1"/>
          <w:docGrid w:linePitch="297" w:charSpace="200"/>
        </w:sectPr>
      </w:pPr>
      <w:r>
        <w:rPr>
          <w:rFonts w:ascii="Times New Roman" w:hAnsi="Times New Roman" w:cs="Times New Roman"/>
        </w:rPr>
        <w:t>其他原辅材料的理化性质见下表所示。</w:t>
      </w:r>
    </w:p>
    <w:p>
      <w:pPr>
        <w:pStyle w:val="6"/>
        <w:rPr>
          <w:rFonts w:ascii="Times New Roman" w:hAnsi="Times New Roman" w:cs="Times New Roman"/>
        </w:rPr>
      </w:pPr>
      <w:r>
        <w:rPr>
          <w:rFonts w:ascii="Times New Roman" w:hAnsi="Times New Roman" w:cs="Times New Roman"/>
        </w:rPr>
        <w:t>表3.1-2</w:t>
      </w:r>
      <w:r>
        <w:rPr>
          <w:rFonts w:hint="eastAsia" w:ascii="Times New Roman" w:hAnsi="Times New Roman" w:cs="Times New Roman"/>
        </w:rPr>
        <w:t>2</w:t>
      </w:r>
      <w:r>
        <w:rPr>
          <w:rFonts w:ascii="Times New Roman" w:hAnsi="Times New Roman" w:cs="Times New Roman"/>
        </w:rPr>
        <w:t xml:space="preserve">  电解液主要成分理化性质一览表</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750"/>
        <w:gridCol w:w="1178"/>
        <w:gridCol w:w="8721"/>
        <w:gridCol w:w="1133"/>
        <w:gridCol w:w="220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68" w:type="pct"/>
            <w:shd w:val="clear" w:color="auto" w:fill="auto"/>
            <w:vAlign w:val="center"/>
          </w:tcPr>
          <w:p>
            <w:pPr>
              <w:pStyle w:val="63"/>
            </w:pPr>
            <w:r>
              <w:t>组成</w:t>
            </w:r>
          </w:p>
        </w:tc>
        <w:tc>
          <w:tcPr>
            <w:tcW w:w="421" w:type="pct"/>
            <w:shd w:val="clear" w:color="auto" w:fill="auto"/>
            <w:vAlign w:val="center"/>
          </w:tcPr>
          <w:p>
            <w:pPr>
              <w:pStyle w:val="63"/>
            </w:pPr>
            <w:r>
              <w:t>名称</w:t>
            </w:r>
          </w:p>
        </w:tc>
        <w:tc>
          <w:tcPr>
            <w:tcW w:w="3117" w:type="pct"/>
            <w:shd w:val="clear" w:color="auto" w:fill="auto"/>
            <w:vAlign w:val="center"/>
          </w:tcPr>
          <w:p>
            <w:pPr>
              <w:pStyle w:val="63"/>
            </w:pPr>
            <w:r>
              <w:t>理化性质</w:t>
            </w:r>
          </w:p>
        </w:tc>
        <w:tc>
          <w:tcPr>
            <w:tcW w:w="405" w:type="pct"/>
            <w:shd w:val="clear" w:color="auto" w:fill="auto"/>
            <w:vAlign w:val="center"/>
          </w:tcPr>
          <w:p>
            <w:pPr>
              <w:pStyle w:val="63"/>
            </w:pPr>
            <w:r>
              <w:t>燃烧爆炸性</w:t>
            </w:r>
          </w:p>
        </w:tc>
        <w:tc>
          <w:tcPr>
            <w:tcW w:w="789" w:type="pct"/>
            <w:shd w:val="clear" w:color="auto" w:fill="auto"/>
            <w:vAlign w:val="center"/>
          </w:tcPr>
          <w:p>
            <w:pPr>
              <w:pStyle w:val="63"/>
            </w:pPr>
            <w:r>
              <w:t>毒理毒性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68" w:type="pct"/>
            <w:vMerge w:val="restart"/>
            <w:shd w:val="clear" w:color="auto" w:fill="auto"/>
            <w:vAlign w:val="center"/>
          </w:tcPr>
          <w:p>
            <w:pPr>
              <w:pStyle w:val="63"/>
            </w:pPr>
            <w:r>
              <w:t>溶剂</w:t>
            </w:r>
          </w:p>
        </w:tc>
        <w:tc>
          <w:tcPr>
            <w:tcW w:w="421" w:type="pct"/>
            <w:shd w:val="clear" w:color="auto" w:fill="auto"/>
            <w:vAlign w:val="center"/>
          </w:tcPr>
          <w:p>
            <w:pPr>
              <w:pStyle w:val="63"/>
            </w:pPr>
            <w:r>
              <w:t>碳酸乙烯酯（EC）</w:t>
            </w:r>
          </w:p>
        </w:tc>
        <w:tc>
          <w:tcPr>
            <w:tcW w:w="3117" w:type="pct"/>
            <w:shd w:val="clear" w:color="auto" w:fill="auto"/>
            <w:vAlign w:val="center"/>
          </w:tcPr>
          <w:p>
            <w:pPr>
              <w:pStyle w:val="63"/>
            </w:pPr>
            <w:r>
              <w:t>CAS：96-49-1；EINECS：202-510-0；分子式：C3H5O4，透明无色液体（＞35</w:t>
            </w:r>
            <w:r>
              <w:rPr>
                <w:rFonts w:hint="eastAsia" w:ascii="宋体" w:hAnsi="宋体" w:eastAsia="宋体" w:cs="宋体"/>
              </w:rPr>
              <w:t>℃</w:t>
            </w:r>
            <w:r>
              <w:t>），室温时为结晶固体，沸点：248</w:t>
            </w:r>
            <w:r>
              <w:rPr>
                <w:rFonts w:hint="eastAsia" w:ascii="宋体" w:hAnsi="宋体" w:eastAsia="宋体" w:cs="宋体"/>
              </w:rPr>
              <w:t>℃</w:t>
            </w:r>
            <w:r>
              <w:t>/760mmHg，243-244</w:t>
            </w:r>
            <w:r>
              <w:rPr>
                <w:rFonts w:hint="eastAsia" w:ascii="宋体" w:hAnsi="宋体" w:eastAsia="宋体" w:cs="宋体"/>
              </w:rPr>
              <w:t>℃</w:t>
            </w:r>
            <w:r>
              <w:t>/740mmHg；闪点：160</w:t>
            </w:r>
            <w:r>
              <w:rPr>
                <w:rFonts w:hint="eastAsia" w:ascii="宋体" w:hAnsi="宋体" w:eastAsia="宋体" w:cs="宋体"/>
              </w:rPr>
              <w:t>℃</w:t>
            </w:r>
            <w:r>
              <w:t>；密度：1.3218；折光率：1.4158（50</w:t>
            </w:r>
            <w:r>
              <w:rPr>
                <w:rFonts w:hint="eastAsia" w:ascii="宋体" w:hAnsi="宋体" w:eastAsia="宋体" w:cs="宋体"/>
              </w:rPr>
              <w:t>℃</w:t>
            </w:r>
            <w:r>
              <w:t>）；熔点：35-38</w:t>
            </w:r>
            <w:r>
              <w:rPr>
                <w:rFonts w:hint="eastAsia" w:ascii="宋体" w:hAnsi="宋体" w:eastAsia="宋体" w:cs="宋体"/>
              </w:rPr>
              <w:t>℃</w:t>
            </w:r>
            <w:r>
              <w:t>；本品是聚丙烯腈、聚氧乙烯的良好溶剂，可用作纺织上的抽丝液，也可直接作为脱除酸性气体的溶剂及混凝土的添加剂；在电池工业上，可作为锂电池电解液的优良溶剂，不易挥发。</w:t>
            </w:r>
          </w:p>
        </w:tc>
        <w:tc>
          <w:tcPr>
            <w:tcW w:w="405" w:type="pct"/>
            <w:shd w:val="clear" w:color="auto" w:fill="auto"/>
            <w:vAlign w:val="center"/>
          </w:tcPr>
          <w:p>
            <w:pPr>
              <w:pStyle w:val="63"/>
            </w:pPr>
            <w:r>
              <w:t>可燃</w:t>
            </w:r>
          </w:p>
        </w:tc>
        <w:tc>
          <w:tcPr>
            <w:tcW w:w="789" w:type="pct"/>
            <w:shd w:val="clear" w:color="auto" w:fill="auto"/>
            <w:vAlign w:val="center"/>
          </w:tcPr>
          <w:p>
            <w:pPr>
              <w:pStyle w:val="63"/>
            </w:pPr>
            <w:r>
              <w:t>微毒，避免直接接触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68" w:type="pct"/>
            <w:vMerge w:val="continue"/>
            <w:shd w:val="clear" w:color="auto" w:fill="auto"/>
            <w:vAlign w:val="center"/>
          </w:tcPr>
          <w:p>
            <w:pPr>
              <w:pStyle w:val="63"/>
            </w:pPr>
          </w:p>
        </w:tc>
        <w:tc>
          <w:tcPr>
            <w:tcW w:w="421" w:type="pct"/>
            <w:shd w:val="clear" w:color="auto" w:fill="auto"/>
            <w:vAlign w:val="center"/>
          </w:tcPr>
          <w:p>
            <w:pPr>
              <w:pStyle w:val="63"/>
            </w:pPr>
            <w:r>
              <w:t>碳酸丙烯酯（PC）</w:t>
            </w:r>
          </w:p>
        </w:tc>
        <w:tc>
          <w:tcPr>
            <w:tcW w:w="3117" w:type="pct"/>
            <w:shd w:val="clear" w:color="auto" w:fill="auto"/>
            <w:vAlign w:val="center"/>
          </w:tcPr>
          <w:p>
            <w:pPr>
              <w:pStyle w:val="63"/>
            </w:pPr>
            <w:r>
              <w:t>CAS：108-32-7；分子式：C4H6O3，无色无气味，或淡黄色透明液体，溶于水和四氯化碳，与乙醚，丙酮，苯等混溶。是一种优良的极性溶剂。本产品主要用于高分子作业、气体分离工艺及电化学。特别是用来吸收天然气、石化厂合成氨原料其中的二氧化碳，还可用作增塑剂、纺丝溶剂、烯烃和芳烃萃取剂等。不易挥发。</w:t>
            </w:r>
          </w:p>
        </w:tc>
        <w:tc>
          <w:tcPr>
            <w:tcW w:w="405" w:type="pct"/>
            <w:shd w:val="clear" w:color="auto" w:fill="auto"/>
            <w:vAlign w:val="center"/>
          </w:tcPr>
          <w:p>
            <w:pPr>
              <w:pStyle w:val="63"/>
            </w:pPr>
            <w:r>
              <w:t>易燃</w:t>
            </w:r>
          </w:p>
        </w:tc>
        <w:tc>
          <w:tcPr>
            <w:tcW w:w="789" w:type="pct"/>
            <w:shd w:val="clear" w:color="auto" w:fill="auto"/>
            <w:vAlign w:val="center"/>
          </w:tcPr>
          <w:p>
            <w:pPr>
              <w:pStyle w:val="63"/>
            </w:pPr>
            <w:r>
              <w:t>急性毒性：口服大鼠LD50：34900mg/kg；口服-小鼠：LD50：20700mg/kg</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68" w:type="pct"/>
            <w:vMerge w:val="continue"/>
            <w:shd w:val="clear" w:color="auto" w:fill="auto"/>
            <w:vAlign w:val="center"/>
          </w:tcPr>
          <w:p>
            <w:pPr>
              <w:pStyle w:val="63"/>
            </w:pPr>
          </w:p>
        </w:tc>
        <w:tc>
          <w:tcPr>
            <w:tcW w:w="421" w:type="pct"/>
            <w:shd w:val="clear" w:color="auto" w:fill="auto"/>
            <w:vAlign w:val="center"/>
          </w:tcPr>
          <w:p>
            <w:pPr>
              <w:pStyle w:val="63"/>
            </w:pPr>
            <w:r>
              <w:t>碳酸二乙酯（DEC）</w:t>
            </w:r>
          </w:p>
        </w:tc>
        <w:tc>
          <w:tcPr>
            <w:tcW w:w="3117" w:type="pct"/>
            <w:shd w:val="clear" w:color="auto" w:fill="auto"/>
            <w:vAlign w:val="center"/>
          </w:tcPr>
          <w:p>
            <w:pPr>
              <w:pStyle w:val="63"/>
            </w:pPr>
            <w:r>
              <w:t>CAS：105-58-8；EINECS：212-786-4；无色液体，稍有气味，饱和蒸气压（kPa）：1.1（20</w:t>
            </w:r>
            <w:r>
              <w:rPr>
                <w:rFonts w:hint="eastAsia" w:ascii="宋体" w:hAnsi="宋体" w:eastAsia="宋体" w:cs="宋体"/>
              </w:rPr>
              <w:t>℃</w:t>
            </w:r>
            <w:r>
              <w:t>）；闪点（</w:t>
            </w:r>
            <w:r>
              <w:rPr>
                <w:rFonts w:hint="eastAsia" w:ascii="宋体" w:hAnsi="宋体" w:eastAsia="宋体" w:cs="宋体"/>
              </w:rPr>
              <w:t>℃</w:t>
            </w:r>
            <w:r>
              <w:t>）：25（CC）；熔点（</w:t>
            </w:r>
            <w:r>
              <w:rPr>
                <w:rFonts w:hint="eastAsia" w:ascii="宋体" w:hAnsi="宋体" w:eastAsia="宋体" w:cs="宋体"/>
              </w:rPr>
              <w:t>℃</w:t>
            </w:r>
            <w:r>
              <w:t>）：-43；沸点（</w:t>
            </w:r>
            <w:r>
              <w:rPr>
                <w:rFonts w:hint="eastAsia" w:ascii="宋体" w:hAnsi="宋体" w:eastAsia="宋体" w:cs="宋体"/>
              </w:rPr>
              <w:t>℃</w:t>
            </w:r>
            <w:r>
              <w:t>）：126-128；相对密度（水=1）：0.98（20</w:t>
            </w:r>
            <w:r>
              <w:rPr>
                <w:rFonts w:hint="eastAsia" w:ascii="宋体" w:hAnsi="宋体" w:eastAsia="宋体" w:cs="宋体"/>
              </w:rPr>
              <w:t>℃</w:t>
            </w:r>
            <w:r>
              <w:t>）；相对蒸气密度（空气=1）：4.07；主要用作溶剂及用于有机合成。</w:t>
            </w:r>
          </w:p>
        </w:tc>
        <w:tc>
          <w:tcPr>
            <w:tcW w:w="405" w:type="pct"/>
            <w:shd w:val="clear" w:color="auto" w:fill="auto"/>
            <w:vAlign w:val="center"/>
          </w:tcPr>
          <w:p>
            <w:pPr>
              <w:pStyle w:val="63"/>
            </w:pPr>
            <w:r>
              <w:t>易燃</w:t>
            </w:r>
          </w:p>
        </w:tc>
        <w:tc>
          <w:tcPr>
            <w:tcW w:w="789" w:type="pct"/>
            <w:shd w:val="clear" w:color="auto" w:fill="auto"/>
            <w:vAlign w:val="center"/>
          </w:tcPr>
          <w:p>
            <w:pPr>
              <w:pStyle w:val="63"/>
            </w:pPr>
            <w:r>
              <w:t>急性毒性：LD50：1570mg/kg（大鼠经口）；人吸入20mg/L（蒸气）×10分钟，流泪及鼻粘膜刺激</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68" w:type="pct"/>
            <w:vMerge w:val="continue"/>
            <w:shd w:val="clear" w:color="auto" w:fill="auto"/>
            <w:vAlign w:val="center"/>
          </w:tcPr>
          <w:p>
            <w:pPr>
              <w:pStyle w:val="63"/>
            </w:pPr>
          </w:p>
        </w:tc>
        <w:tc>
          <w:tcPr>
            <w:tcW w:w="421" w:type="pct"/>
            <w:shd w:val="clear" w:color="auto" w:fill="auto"/>
            <w:vAlign w:val="center"/>
          </w:tcPr>
          <w:p>
            <w:pPr>
              <w:pStyle w:val="63"/>
            </w:pPr>
            <w:r>
              <w:t>碳酸二甲酯</w:t>
            </w:r>
          </w:p>
          <w:p>
            <w:pPr>
              <w:pStyle w:val="63"/>
            </w:pPr>
            <w:r>
              <w:t>（DMC）</w:t>
            </w:r>
          </w:p>
        </w:tc>
        <w:tc>
          <w:tcPr>
            <w:tcW w:w="3117" w:type="pct"/>
            <w:shd w:val="clear" w:color="auto" w:fill="auto"/>
            <w:vAlign w:val="center"/>
          </w:tcPr>
          <w:p>
            <w:pPr>
              <w:pStyle w:val="63"/>
            </w:pPr>
            <w:r>
              <w:t>CAS：616-38-6；EINECS：210-478-4；分子式：C3H6O3，无色透明、略有气味、微甜的液体，是一种低毒、环保性能优异、用途广泛的化工原料，它是一种重要的有机合成中间体，分子结构中含有羰基、甲基和甲氧基等</w:t>
            </w:r>
            <w:r>
              <w:fldChar w:fldCharType="begin"/>
            </w:r>
            <w:r>
              <w:instrText xml:space="preserve"> HYPERLINK "https://baike.so.com/doc/5284860-5519170.html" \h </w:instrText>
            </w:r>
            <w:r>
              <w:fldChar w:fldCharType="separate"/>
            </w:r>
            <w:r>
              <w:rPr>
                <w:rStyle w:val="39"/>
                <w:color w:val="auto"/>
                <w:u w:val="none"/>
              </w:rPr>
              <w:t>官能团</w:t>
            </w:r>
            <w:r>
              <w:rPr>
                <w:rStyle w:val="39"/>
                <w:color w:val="auto"/>
                <w:u w:val="none"/>
              </w:rPr>
              <w:fldChar w:fldCharType="end"/>
            </w:r>
            <w:r>
              <w:t>，具有多种反应性能；常温时是一种无色透明、略有气味、微甜的液体，熔点4</w:t>
            </w:r>
            <w:r>
              <w:rPr>
                <w:rFonts w:hint="eastAsia" w:ascii="宋体" w:hAnsi="宋体" w:eastAsia="宋体" w:cs="宋体"/>
              </w:rPr>
              <w:t>℃</w:t>
            </w:r>
            <w:r>
              <w:t>，沸点90.1</w:t>
            </w:r>
            <w:r>
              <w:rPr>
                <w:rFonts w:hint="eastAsia" w:ascii="宋体" w:hAnsi="宋体" w:eastAsia="宋体" w:cs="宋体"/>
              </w:rPr>
              <w:t>℃</w:t>
            </w:r>
            <w:r>
              <w:t>，密度1.069g/cm3，难溶于水，但可以与醇、醚、酮等几乎所有的</w:t>
            </w:r>
            <w:r>
              <w:fldChar w:fldCharType="begin"/>
            </w:r>
            <w:r>
              <w:instrText xml:space="preserve"> HYPERLINK "https://baike.so.com/doc/4792021-5008084.html" \h </w:instrText>
            </w:r>
            <w:r>
              <w:fldChar w:fldCharType="separate"/>
            </w:r>
            <w:r>
              <w:rPr>
                <w:rStyle w:val="39"/>
                <w:color w:val="auto"/>
                <w:u w:val="none"/>
              </w:rPr>
              <w:t>有机溶剂</w:t>
            </w:r>
            <w:r>
              <w:rPr>
                <w:rStyle w:val="39"/>
                <w:color w:val="auto"/>
                <w:u w:val="none"/>
              </w:rPr>
              <w:fldChar w:fldCharType="end"/>
            </w:r>
            <w:r>
              <w:t>混溶。DMC在</w:t>
            </w:r>
            <w:r>
              <w:fldChar w:fldCharType="begin"/>
            </w:r>
            <w:r>
              <w:instrText xml:space="preserve"> HYPERLINK "https://baike.so.com/doc/221095-233877.html" \h </w:instrText>
            </w:r>
            <w:r>
              <w:fldChar w:fldCharType="separate"/>
            </w:r>
            <w:r>
              <w:rPr>
                <w:rStyle w:val="39"/>
                <w:color w:val="auto"/>
                <w:u w:val="none"/>
              </w:rPr>
              <w:t>常压</w:t>
            </w:r>
            <w:r>
              <w:rPr>
                <w:rStyle w:val="39"/>
                <w:color w:val="auto"/>
                <w:u w:val="none"/>
              </w:rPr>
              <w:fldChar w:fldCharType="end"/>
            </w:r>
            <w:r>
              <w:t>下和甲醇</w:t>
            </w:r>
            <w:r>
              <w:fldChar w:fldCharType="begin"/>
            </w:r>
            <w:r>
              <w:instrText xml:space="preserve"> HYPERLINK "https://baike.so.com/doc/1319098-1394585.html" \h </w:instrText>
            </w:r>
            <w:r>
              <w:fldChar w:fldCharType="separate"/>
            </w:r>
            <w:r>
              <w:rPr>
                <w:rStyle w:val="39"/>
                <w:color w:val="auto"/>
                <w:u w:val="none"/>
              </w:rPr>
              <w:t>共沸</w:t>
            </w:r>
            <w:r>
              <w:rPr>
                <w:rStyle w:val="39"/>
                <w:color w:val="auto"/>
                <w:u w:val="none"/>
              </w:rPr>
              <w:fldChar w:fldCharType="end"/>
            </w:r>
            <w:r>
              <w:t>，共沸温度63.8</w:t>
            </w:r>
            <w:r>
              <w:rPr>
                <w:rFonts w:hint="eastAsia" w:ascii="宋体" w:hAnsi="宋体" w:eastAsia="宋体" w:cs="宋体"/>
              </w:rPr>
              <w:t>℃</w:t>
            </w:r>
            <w:r>
              <w:t>。</w:t>
            </w:r>
          </w:p>
        </w:tc>
        <w:tc>
          <w:tcPr>
            <w:tcW w:w="405" w:type="pct"/>
            <w:shd w:val="clear" w:color="auto" w:fill="auto"/>
            <w:vAlign w:val="center"/>
          </w:tcPr>
          <w:p>
            <w:pPr>
              <w:pStyle w:val="63"/>
            </w:pPr>
            <w:r>
              <w:t>易燃</w:t>
            </w:r>
          </w:p>
        </w:tc>
        <w:tc>
          <w:tcPr>
            <w:tcW w:w="789" w:type="pct"/>
            <w:shd w:val="clear" w:color="auto" w:fill="auto"/>
            <w:vAlign w:val="center"/>
          </w:tcPr>
          <w:p>
            <w:pPr>
              <w:pStyle w:val="63"/>
            </w:pPr>
            <w:r>
              <w:t>无毒</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68" w:type="pct"/>
            <w:vMerge w:val="continue"/>
            <w:shd w:val="clear" w:color="auto" w:fill="auto"/>
            <w:vAlign w:val="center"/>
          </w:tcPr>
          <w:p>
            <w:pPr>
              <w:pStyle w:val="63"/>
            </w:pPr>
          </w:p>
        </w:tc>
        <w:tc>
          <w:tcPr>
            <w:tcW w:w="421" w:type="pct"/>
            <w:shd w:val="clear" w:color="auto" w:fill="auto"/>
            <w:vAlign w:val="center"/>
          </w:tcPr>
          <w:p>
            <w:pPr>
              <w:pStyle w:val="63"/>
            </w:pPr>
            <w:r>
              <w:t>碳酸甲乙酯</w:t>
            </w:r>
          </w:p>
          <w:p>
            <w:pPr>
              <w:pStyle w:val="63"/>
            </w:pPr>
            <w:r>
              <w:t>（EMC）</w:t>
            </w:r>
          </w:p>
        </w:tc>
        <w:tc>
          <w:tcPr>
            <w:tcW w:w="3117" w:type="pct"/>
            <w:shd w:val="clear" w:color="auto" w:fill="auto"/>
            <w:vAlign w:val="center"/>
          </w:tcPr>
          <w:p>
            <w:pPr>
              <w:pStyle w:val="63"/>
            </w:pPr>
            <w:r>
              <w:t>CAS：623-53-0；分子量：104.1，分子式：C4H8O3；无色透明液体，密度（g/mL，25/4</w:t>
            </w:r>
            <w:r>
              <w:rPr>
                <w:rFonts w:hint="eastAsia" w:ascii="宋体" w:hAnsi="宋体" w:eastAsia="宋体" w:cs="宋体"/>
              </w:rPr>
              <w:t>℃</w:t>
            </w:r>
            <w:r>
              <w:t>）：1.01，熔点（ºC）：-14.5，沸点（ºC，常压）：107，闪点（ºC）：23，为无色透明液体，不溶于水，溶液醚，醇。</w:t>
            </w:r>
            <w:r>
              <w:fldChar w:fldCharType="begin"/>
            </w:r>
            <w:r>
              <w:instrText xml:space="preserve"> HYPERLINK "https://baike.so.com/doc/5328413-5563585.html" \h </w:instrText>
            </w:r>
            <w:r>
              <w:fldChar w:fldCharType="separate"/>
            </w:r>
            <w:r>
              <w:rPr>
                <w:rStyle w:val="39"/>
                <w:color w:val="auto"/>
                <w:u w:val="none"/>
              </w:rPr>
              <w:t>可用于有</w:t>
            </w:r>
            <w:r>
              <w:rPr>
                <w:rStyle w:val="39"/>
                <w:color w:val="auto"/>
                <w:u w:val="none"/>
              </w:rPr>
              <w:fldChar w:fldCharType="end"/>
            </w:r>
            <w:r>
              <w:t>机合成，是一种优良的</w:t>
            </w:r>
            <w:r>
              <w:fldChar w:fldCharType="begin"/>
            </w:r>
            <w:r>
              <w:instrText xml:space="preserve"> HYPERLINK "https://baike.so.com/doc/10594-10947.html" \h </w:instrText>
            </w:r>
            <w:r>
              <w:fldChar w:fldCharType="separate"/>
            </w:r>
            <w:r>
              <w:rPr>
                <w:rStyle w:val="39"/>
                <w:color w:val="auto"/>
                <w:u w:val="none"/>
              </w:rPr>
              <w:t>锂离子电池</w:t>
            </w:r>
            <w:r>
              <w:rPr>
                <w:rStyle w:val="39"/>
                <w:color w:val="auto"/>
                <w:u w:val="none"/>
              </w:rPr>
              <w:fldChar w:fldCharType="end"/>
            </w:r>
            <w:r>
              <w:t>电解液的</w:t>
            </w:r>
            <w:r>
              <w:fldChar w:fldCharType="begin"/>
            </w:r>
            <w:r>
              <w:instrText xml:space="preserve"> HYPERLINK "https://baike.so.com/doc/1355777-1433373.html" \h </w:instrText>
            </w:r>
            <w:r>
              <w:fldChar w:fldCharType="separate"/>
            </w:r>
            <w:r>
              <w:rPr>
                <w:rStyle w:val="39"/>
                <w:color w:val="auto"/>
                <w:u w:val="none"/>
              </w:rPr>
              <w:t>溶剂</w:t>
            </w:r>
            <w:r>
              <w:rPr>
                <w:rStyle w:val="39"/>
                <w:color w:val="auto"/>
                <w:u w:val="none"/>
              </w:rPr>
              <w:fldChar w:fldCharType="end"/>
            </w:r>
            <w:r>
              <w:t>。碳酸甲乙酯应储存于阴凉、通风、干燥处，按易燃化学品规定储运。</w:t>
            </w:r>
          </w:p>
        </w:tc>
        <w:tc>
          <w:tcPr>
            <w:tcW w:w="405" w:type="pct"/>
            <w:shd w:val="clear" w:color="auto" w:fill="auto"/>
            <w:vAlign w:val="center"/>
          </w:tcPr>
          <w:p>
            <w:pPr>
              <w:pStyle w:val="63"/>
            </w:pPr>
            <w:r>
              <w:t>不燃</w:t>
            </w:r>
          </w:p>
        </w:tc>
        <w:tc>
          <w:tcPr>
            <w:tcW w:w="789" w:type="pct"/>
            <w:shd w:val="clear" w:color="auto" w:fill="auto"/>
            <w:vAlign w:val="center"/>
          </w:tcPr>
          <w:p>
            <w:pPr>
              <w:pStyle w:val="63"/>
            </w:pPr>
            <w:r>
              <w:t>无毒</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68" w:type="pct"/>
            <w:shd w:val="clear" w:color="auto" w:fill="auto"/>
            <w:vAlign w:val="center"/>
          </w:tcPr>
          <w:p>
            <w:pPr>
              <w:pStyle w:val="63"/>
            </w:pPr>
            <w:r>
              <w:t>电解</w:t>
            </w:r>
          </w:p>
          <w:p>
            <w:pPr>
              <w:pStyle w:val="63"/>
            </w:pPr>
            <w:r>
              <w:t>质</w:t>
            </w:r>
          </w:p>
        </w:tc>
        <w:tc>
          <w:tcPr>
            <w:tcW w:w="421" w:type="pct"/>
            <w:shd w:val="clear" w:color="auto" w:fill="auto"/>
            <w:vAlign w:val="center"/>
          </w:tcPr>
          <w:p>
            <w:pPr>
              <w:pStyle w:val="63"/>
            </w:pPr>
            <w:r>
              <w:t>六氟磷酸锂</w:t>
            </w:r>
          </w:p>
        </w:tc>
        <w:tc>
          <w:tcPr>
            <w:tcW w:w="3117" w:type="pct"/>
            <w:shd w:val="clear" w:color="auto" w:fill="auto"/>
            <w:vAlign w:val="center"/>
          </w:tcPr>
          <w:p>
            <w:pPr>
              <w:pStyle w:val="63"/>
            </w:pPr>
            <w:r>
              <w:t>CAS：21324-40-3；EINECS：244-334-7；分子式：LiPF6，白色结晶或粉末，相对密度1.5，溶解性强，易溶于水，还溶于低浓度甲醇、乙醇、丙酮等有机溶剂。暴露空气中或加热时分解，在空气中由于水蒸气的作用而迅速分解，放出PF5产生白色烟雾。</w:t>
            </w:r>
          </w:p>
        </w:tc>
        <w:tc>
          <w:tcPr>
            <w:tcW w:w="405" w:type="pct"/>
            <w:shd w:val="clear" w:color="auto" w:fill="auto"/>
            <w:vAlign w:val="center"/>
          </w:tcPr>
          <w:p>
            <w:pPr>
              <w:pStyle w:val="63"/>
            </w:pPr>
            <w:r>
              <w:t>易燃</w:t>
            </w:r>
          </w:p>
        </w:tc>
        <w:tc>
          <w:tcPr>
            <w:tcW w:w="789" w:type="pct"/>
            <w:shd w:val="clear" w:color="auto" w:fill="auto"/>
            <w:vAlign w:val="center"/>
          </w:tcPr>
          <w:p>
            <w:pPr>
              <w:pStyle w:val="63"/>
            </w:pPr>
            <w:r>
              <w:t>吞咽会中毒。造成严重皮肤灼伤和眼损伤。长期或反复接触会对器官造成伤害。</w:t>
            </w:r>
          </w:p>
        </w:tc>
      </w:tr>
    </w:tbl>
    <w:p>
      <w:pPr>
        <w:spacing w:line="360" w:lineRule="auto"/>
        <w:ind w:firstLine="480" w:firstLineChars="200"/>
        <w:rPr>
          <w:rFonts w:ascii="Times New Roman" w:hAnsi="Times New Roman" w:cs="Times New Roman"/>
        </w:rPr>
        <w:sectPr>
          <w:pgSz w:w="16840" w:h="11907" w:orient="landscape"/>
          <w:pgMar w:top="1134" w:right="1440" w:bottom="1134" w:left="1440" w:header="964" w:footer="851" w:gutter="0"/>
          <w:cols w:space="720" w:num="1"/>
          <w:docGrid w:linePitch="297" w:charSpace="200"/>
        </w:sectPr>
      </w:pPr>
    </w:p>
    <w:p>
      <w:pPr>
        <w:pStyle w:val="6"/>
        <w:rPr>
          <w:rFonts w:ascii="Times New Roman" w:hAnsi="Times New Roman" w:cs="Times New Roman"/>
        </w:rPr>
      </w:pPr>
      <w:r>
        <w:rPr>
          <w:rFonts w:ascii="Times New Roman" w:hAnsi="Times New Roman" w:cs="Times New Roman"/>
        </w:rPr>
        <w:t>表3.1-2</w:t>
      </w:r>
      <w:r>
        <w:rPr>
          <w:rFonts w:hint="eastAsia" w:ascii="Times New Roman" w:hAnsi="Times New Roman" w:cs="Times New Roman"/>
        </w:rPr>
        <w:t>3</w:t>
      </w:r>
      <w:r>
        <w:rPr>
          <w:rFonts w:ascii="Times New Roman" w:hAnsi="Times New Roman" w:cs="Times New Roman"/>
        </w:rPr>
        <w:t xml:space="preserve">  原辅料成份理化性表</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290"/>
        <w:gridCol w:w="7750"/>
        <w:gridCol w:w="1323"/>
        <w:gridCol w:w="362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61" w:type="pct"/>
            <w:shd w:val="clear" w:color="auto" w:fill="auto"/>
            <w:vAlign w:val="center"/>
          </w:tcPr>
          <w:p>
            <w:pPr>
              <w:pStyle w:val="63"/>
            </w:pPr>
            <w:r>
              <w:t>名称</w:t>
            </w:r>
          </w:p>
        </w:tc>
        <w:tc>
          <w:tcPr>
            <w:tcW w:w="2770" w:type="pct"/>
            <w:shd w:val="clear" w:color="auto" w:fill="auto"/>
            <w:vAlign w:val="center"/>
          </w:tcPr>
          <w:p>
            <w:pPr>
              <w:pStyle w:val="63"/>
            </w:pPr>
            <w:r>
              <w:t>理化特性</w:t>
            </w:r>
          </w:p>
        </w:tc>
        <w:tc>
          <w:tcPr>
            <w:tcW w:w="473" w:type="pct"/>
            <w:shd w:val="clear" w:color="auto" w:fill="auto"/>
            <w:vAlign w:val="center"/>
          </w:tcPr>
          <w:p>
            <w:pPr>
              <w:pStyle w:val="63"/>
            </w:pPr>
            <w:r>
              <w:t>燃烧爆炸性</w:t>
            </w:r>
          </w:p>
        </w:tc>
        <w:tc>
          <w:tcPr>
            <w:tcW w:w="1296" w:type="pct"/>
            <w:shd w:val="clear" w:color="auto" w:fill="auto"/>
            <w:vAlign w:val="center"/>
          </w:tcPr>
          <w:p>
            <w:pPr>
              <w:pStyle w:val="63"/>
            </w:pPr>
            <w:r>
              <w:t>毒理毒性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61" w:type="pct"/>
            <w:shd w:val="clear" w:color="auto" w:fill="auto"/>
            <w:vAlign w:val="center"/>
          </w:tcPr>
          <w:p>
            <w:pPr>
              <w:pStyle w:val="63"/>
            </w:pPr>
            <w:r>
              <w:t>硫酸（98%）</w:t>
            </w:r>
          </w:p>
        </w:tc>
        <w:tc>
          <w:tcPr>
            <w:tcW w:w="2770" w:type="pct"/>
            <w:shd w:val="clear" w:color="auto" w:fill="auto"/>
            <w:vAlign w:val="center"/>
          </w:tcPr>
          <w:p>
            <w:pPr>
              <w:pStyle w:val="63"/>
            </w:pPr>
            <w:r>
              <w:t>CAS：7664-93-9；无色无味油状液体。密度为1.84g/cm3，摩尔浓度 18.4mol/L；是一种高沸点难挥发的强酸，易溶于水，能以任意比与水混溶。硫酸是一种高沸点难挥发的强酸，易溶于水，能以任意比与水混容，具有吸水性、脱水性、强氧化性、腐蚀性</w:t>
            </w:r>
          </w:p>
        </w:tc>
        <w:tc>
          <w:tcPr>
            <w:tcW w:w="473" w:type="pct"/>
            <w:shd w:val="clear" w:color="auto" w:fill="auto"/>
            <w:vAlign w:val="center"/>
          </w:tcPr>
          <w:p>
            <w:pPr>
              <w:pStyle w:val="63"/>
            </w:pPr>
            <w:r>
              <w:t>不燃</w:t>
            </w:r>
          </w:p>
        </w:tc>
        <w:tc>
          <w:tcPr>
            <w:tcW w:w="1296" w:type="pct"/>
            <w:shd w:val="clear" w:color="auto" w:fill="auto"/>
            <w:vAlign w:val="center"/>
          </w:tcPr>
          <w:p>
            <w:pPr>
              <w:pStyle w:val="63"/>
            </w:pPr>
            <w:r>
              <w:t>急性毒性：LD502140mg/kg（大鼠经口）；LC50510mg/m³，2小时（大鼠吸入）；320mg/m³，2小时（小鼠吸入）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61" w:type="pct"/>
            <w:shd w:val="clear" w:color="auto" w:fill="auto"/>
            <w:vAlign w:val="center"/>
          </w:tcPr>
          <w:p>
            <w:pPr>
              <w:pStyle w:val="63"/>
            </w:pPr>
            <w:r>
              <w:t>氢氧化钠</w:t>
            </w:r>
          </w:p>
          <w:p>
            <w:pPr>
              <w:pStyle w:val="63"/>
            </w:pPr>
            <w:r>
              <w:t>（30%）</w:t>
            </w:r>
          </w:p>
        </w:tc>
        <w:tc>
          <w:tcPr>
            <w:tcW w:w="2770" w:type="pct"/>
            <w:shd w:val="clear" w:color="auto" w:fill="auto"/>
            <w:vAlign w:val="center"/>
          </w:tcPr>
          <w:p>
            <w:pPr>
              <w:pStyle w:val="63"/>
            </w:pPr>
            <w:r>
              <w:t>CAS：1310-73-2；EINECS：215-185-5</w:t>
            </w:r>
            <w:r>
              <w:fldChar w:fldCharType="begin"/>
            </w:r>
            <w:r>
              <w:instrText xml:space="preserve"> HYPERLINK "https://baike.baidu.com/item/%E7%9B%B8%E5%AF%B9%E5%AF%86%E5%BA%A6" \h </w:instrText>
            </w:r>
            <w:r>
              <w:fldChar w:fldCharType="separate"/>
            </w:r>
            <w:r>
              <w:rPr>
                <w:rStyle w:val="39"/>
                <w:color w:val="auto"/>
                <w:u w:val="none"/>
              </w:rPr>
              <w:t>；纯品为无色透明液体。相对密度</w:t>
            </w:r>
            <w:r>
              <w:rPr>
                <w:rStyle w:val="39"/>
                <w:color w:val="auto"/>
                <w:u w:val="none"/>
              </w:rPr>
              <w:fldChar w:fldCharType="end"/>
            </w:r>
            <w:r>
              <w:t>1.328-1.349，熔点318.4</w:t>
            </w:r>
            <w:r>
              <w:rPr>
                <w:rFonts w:hint="eastAsia" w:ascii="宋体" w:hAnsi="宋体" w:eastAsia="宋体" w:cs="宋体"/>
              </w:rPr>
              <w:t>℃</w:t>
            </w:r>
            <w:r>
              <w:t>，沸点1390</w:t>
            </w:r>
            <w:r>
              <w:rPr>
                <w:rFonts w:hint="eastAsia" w:ascii="宋体" w:hAnsi="宋体" w:eastAsia="宋体" w:cs="宋体"/>
              </w:rPr>
              <w:t>℃</w:t>
            </w:r>
            <w:r>
              <w:t>。易溶于水、乙醇、甘油，不溶于丙酮、乙醚。</w:t>
            </w:r>
          </w:p>
        </w:tc>
        <w:tc>
          <w:tcPr>
            <w:tcW w:w="473" w:type="pct"/>
            <w:shd w:val="clear" w:color="auto" w:fill="auto"/>
            <w:vAlign w:val="center"/>
          </w:tcPr>
          <w:p>
            <w:pPr>
              <w:pStyle w:val="63"/>
            </w:pPr>
            <w:r>
              <w:t>自身不燃，能与可燃物反应发出大量热量和氧气引起着火爆炸</w:t>
            </w:r>
          </w:p>
        </w:tc>
        <w:tc>
          <w:tcPr>
            <w:tcW w:w="1296" w:type="pct"/>
            <w:shd w:val="clear" w:color="auto" w:fill="auto"/>
            <w:vAlign w:val="center"/>
          </w:tcPr>
          <w:p>
            <w:pPr>
              <w:pStyle w:val="63"/>
            </w:pPr>
            <w:r>
              <w:t>强烈刺激和腐蚀性。粉尘或烟雾刺激眼和呼吸道，腐蚀鼻中隔；皮肤和眼直接接触可引起灼伤；误服可造成消化道灼伤，粘膜糜烂、出血和休克。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61" w:type="pct"/>
            <w:shd w:val="clear" w:color="auto" w:fill="auto"/>
            <w:vAlign w:val="center"/>
          </w:tcPr>
          <w:p>
            <w:pPr>
              <w:pStyle w:val="63"/>
            </w:pPr>
            <w:r>
              <w:t>碳酸钠</w:t>
            </w:r>
          </w:p>
          <w:p>
            <w:pPr>
              <w:pStyle w:val="63"/>
            </w:pPr>
            <w:r>
              <w:t>（32%）</w:t>
            </w:r>
          </w:p>
        </w:tc>
        <w:tc>
          <w:tcPr>
            <w:tcW w:w="2770" w:type="pct"/>
            <w:shd w:val="clear" w:color="auto" w:fill="auto"/>
            <w:vAlign w:val="center"/>
          </w:tcPr>
          <w:p>
            <w:pPr>
              <w:pStyle w:val="63"/>
            </w:pPr>
            <w:r>
              <w:t>CAS：497-19-8；EINECS：231-861-5；又称为苏打，白色粉末，其晶体含结晶水，化学式 Na2CO3·10H2O。碳酸钠的密度为 2.532（25</w:t>
            </w:r>
            <w:r>
              <w:rPr>
                <w:rFonts w:hint="eastAsia" w:ascii="宋体" w:hAnsi="宋体" w:eastAsia="宋体" w:cs="宋体"/>
              </w:rPr>
              <w:t>℃</w:t>
            </w:r>
            <w:r>
              <w:t>），熔点 851</w:t>
            </w:r>
            <w:r>
              <w:rPr>
                <w:rFonts w:hint="eastAsia" w:ascii="宋体" w:hAnsi="宋体" w:eastAsia="宋体" w:cs="宋体"/>
              </w:rPr>
              <w:t>℃</w:t>
            </w:r>
            <w:r>
              <w:t>，比热容 1.042J/（g·</w:t>
            </w:r>
            <w:r>
              <w:rPr>
                <w:rFonts w:hint="eastAsia" w:ascii="宋体" w:hAnsi="宋体" w:eastAsia="宋体" w:cs="宋体"/>
              </w:rPr>
              <w:t>℃</w:t>
            </w:r>
            <w:r>
              <w:t>）（20</w:t>
            </w:r>
            <w:r>
              <w:rPr>
                <w:rFonts w:hint="eastAsia" w:ascii="宋体" w:hAnsi="宋体" w:eastAsia="宋体" w:cs="宋体"/>
              </w:rPr>
              <w:t>℃</w:t>
            </w:r>
            <w:r>
              <w:t>）。易溶于水，微溶于无水乙醇，不溶于丙醇。其水溶液水解呈碱性，有一定的腐蚀性，能与酸进行中和反应，生成相应的盐并放出二氧化碳。高温下可分解，生成氧化钠和二氧化碳。长期暴露在空气中能吸收空气中的水分及二氧化碳生成碳酸氢钠，并结成硬块。</w:t>
            </w:r>
          </w:p>
        </w:tc>
        <w:tc>
          <w:tcPr>
            <w:tcW w:w="473" w:type="pct"/>
            <w:shd w:val="clear" w:color="auto" w:fill="auto"/>
            <w:vAlign w:val="center"/>
          </w:tcPr>
          <w:p>
            <w:pPr>
              <w:pStyle w:val="63"/>
            </w:pPr>
            <w:r>
              <w:t>不燃</w:t>
            </w:r>
          </w:p>
        </w:tc>
        <w:tc>
          <w:tcPr>
            <w:tcW w:w="1296" w:type="pct"/>
            <w:shd w:val="clear" w:color="auto" w:fill="auto"/>
            <w:vAlign w:val="center"/>
          </w:tcPr>
          <w:p>
            <w:pPr>
              <w:pStyle w:val="63"/>
            </w:pPr>
            <w:r>
              <w:fldChar w:fldCharType="begin"/>
            </w:r>
            <w:r>
              <w:instrText xml:space="preserve"> HYPERLINK "https://baike.baidu.com/item/%E5%88%BA%E6%BF%80%E6%80%A7" \h </w:instrText>
            </w:r>
            <w:r>
              <w:fldChar w:fldCharType="separate"/>
            </w:r>
            <w:r>
              <w:rPr>
                <w:rStyle w:val="39"/>
                <w:color w:val="auto"/>
                <w:u w:val="none"/>
              </w:rPr>
              <w:t>该品具有弱刺激性</w:t>
            </w:r>
            <w:r>
              <w:rPr>
                <w:rStyle w:val="39"/>
                <w:color w:val="auto"/>
                <w:u w:val="none"/>
              </w:rPr>
              <w:fldChar w:fldCharType="end"/>
            </w:r>
            <w:r>
              <w:t>和弱</w:t>
            </w:r>
            <w:r>
              <w:fldChar w:fldCharType="begin"/>
            </w:r>
            <w:r>
              <w:instrText xml:space="preserve"> HYPERLINK "https://baike.baidu.com/item/%E8%85%90%E8%9A%80%E6%80%A7" \h </w:instrText>
            </w:r>
            <w:r>
              <w:fldChar w:fldCharType="separate"/>
            </w:r>
            <w:r>
              <w:rPr>
                <w:rStyle w:val="39"/>
                <w:color w:val="auto"/>
                <w:u w:val="none"/>
              </w:rPr>
              <w:t>腐蚀</w:t>
            </w:r>
            <w:r>
              <w:rPr>
                <w:rStyle w:val="39"/>
                <w:color w:val="auto"/>
                <w:u w:val="none"/>
              </w:rPr>
              <w:fldChar w:fldCharType="end"/>
            </w:r>
            <w:r>
              <w:t>性。LD50：4090mg/kg（大鼠经口）；</w:t>
            </w:r>
          </w:p>
          <w:p>
            <w:pPr>
              <w:pStyle w:val="63"/>
            </w:pPr>
            <w:r>
              <w:t>LC50：2300mg/m³，2小时（大鼠吸入）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61" w:type="pct"/>
            <w:shd w:val="clear" w:color="auto" w:fill="auto"/>
            <w:vAlign w:val="center"/>
          </w:tcPr>
          <w:p>
            <w:pPr>
              <w:pStyle w:val="63"/>
            </w:pPr>
            <w:r>
              <w:t>P507</w:t>
            </w:r>
          </w:p>
        </w:tc>
        <w:tc>
          <w:tcPr>
            <w:tcW w:w="2770" w:type="pct"/>
            <w:shd w:val="clear" w:color="auto" w:fill="auto"/>
            <w:vAlign w:val="center"/>
          </w:tcPr>
          <w:p>
            <w:pPr>
              <w:pStyle w:val="63"/>
            </w:pPr>
            <w:r>
              <w:t>EINECS：238-865-3；化学名称是2－乙基己基磷酸单2－乙基己基</w:t>
            </w:r>
            <w:r>
              <w:tab/>
            </w:r>
            <w:r>
              <w:t>酯</w:t>
            </w:r>
            <w:r>
              <w:tab/>
            </w:r>
            <w:r>
              <w:t>，</w:t>
            </w:r>
            <w:r>
              <w:tab/>
            </w:r>
            <w:r>
              <w:t>分</w:t>
            </w:r>
            <w:r>
              <w:tab/>
            </w:r>
            <w:r>
              <w:t>子</w:t>
            </w:r>
            <w:r>
              <w:tab/>
            </w:r>
            <w:r>
              <w:t>式</w:t>
            </w:r>
            <w:r>
              <w:tab/>
            </w:r>
            <w:r>
              <w:t>为[CH3（CH2）3CH（C2H5）CH2O][CH3（CH2）3CH（C2H5）CH2]HPO2，分子量306.4。P507为无色或淡黄色透明油状液体，闪点195</w:t>
            </w:r>
            <w:r>
              <w:rPr>
                <w:rFonts w:hint="eastAsia" w:ascii="宋体" w:hAnsi="宋体" w:eastAsia="宋体" w:cs="宋体"/>
              </w:rPr>
              <w:t>℃</w:t>
            </w:r>
            <w:r>
              <w:t>（克利夫兰开口），沸点390.6</w:t>
            </w:r>
            <w:r>
              <w:rPr>
                <w:rFonts w:hint="eastAsia" w:ascii="宋体" w:hAnsi="宋体" w:eastAsia="宋体" w:cs="宋体"/>
              </w:rPr>
              <w:t>℃</w:t>
            </w:r>
            <w:r>
              <w:t>，燃点228</w:t>
            </w:r>
            <w:r>
              <w:rPr>
                <w:rFonts w:hint="eastAsia" w:ascii="宋体" w:hAnsi="宋体" w:eastAsia="宋体" w:cs="宋体"/>
              </w:rPr>
              <w:t>℃</w:t>
            </w:r>
            <w:r>
              <w:t>，密度0.93～0.96g/cm3（20</w:t>
            </w:r>
            <w:r>
              <w:rPr>
                <w:rFonts w:hint="eastAsia" w:ascii="宋体" w:hAnsi="宋体" w:eastAsia="宋体" w:cs="宋体"/>
              </w:rPr>
              <w:t>℃</w:t>
            </w:r>
            <w:r>
              <w:t>），粘度35mPa.s（25</w:t>
            </w:r>
            <w:r>
              <w:rPr>
                <w:rFonts w:hint="eastAsia" w:ascii="宋体" w:hAnsi="宋体" w:eastAsia="宋体" w:cs="宋体"/>
              </w:rPr>
              <w:t>℃</w:t>
            </w:r>
            <w:r>
              <w:t>）。不溶于水，溶于乙醇、煤油、石油醚、苯和十二烷等有机溶剂，常用于稀土元素和有色金属的萃取分离。</w:t>
            </w:r>
          </w:p>
        </w:tc>
        <w:tc>
          <w:tcPr>
            <w:tcW w:w="473" w:type="pct"/>
            <w:shd w:val="clear" w:color="auto" w:fill="auto"/>
            <w:vAlign w:val="center"/>
          </w:tcPr>
          <w:p>
            <w:pPr>
              <w:pStyle w:val="63"/>
            </w:pPr>
            <w:r>
              <w:t>不燃</w:t>
            </w:r>
          </w:p>
        </w:tc>
        <w:tc>
          <w:tcPr>
            <w:tcW w:w="1296" w:type="pct"/>
            <w:shd w:val="clear" w:color="auto" w:fill="auto"/>
            <w:vAlign w:val="center"/>
          </w:tcPr>
          <w:p>
            <w:pPr>
              <w:pStyle w:val="63"/>
            </w:pPr>
            <w:r>
              <w:t>大鼠经口LD50：4940mg/kg；兔经皮LD50：1250mg/kg；小鼠腹腔LD50：63mg/kg</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61" w:type="pct"/>
            <w:shd w:val="clear" w:color="auto" w:fill="auto"/>
            <w:vAlign w:val="center"/>
          </w:tcPr>
          <w:p>
            <w:pPr>
              <w:pStyle w:val="63"/>
            </w:pPr>
            <w:r>
              <w:t>P204</w:t>
            </w:r>
          </w:p>
        </w:tc>
        <w:tc>
          <w:tcPr>
            <w:tcW w:w="2770" w:type="pct"/>
            <w:shd w:val="clear" w:color="auto" w:fill="auto"/>
            <w:vAlign w:val="center"/>
          </w:tcPr>
          <w:p>
            <w:pPr>
              <w:pStyle w:val="63"/>
            </w:pPr>
            <w:r>
              <w:t>CAS：298-07-7；名称为二（2-乙基己基）磷酸酯；双（2-乙基己基）磷酸酯；磷酸二异辛酯；磷酸二辛酯，分子式C4H9[CH（C2H3）CH2O]2P（O）OH，分子量 322.48。P204 为无色或淡黄色透明油状液体，凝固点-60</w:t>
            </w:r>
            <w:r>
              <w:rPr>
                <w:rFonts w:hint="eastAsia" w:ascii="宋体" w:hAnsi="宋体" w:eastAsia="宋体" w:cs="宋体"/>
              </w:rPr>
              <w:t>℃</w:t>
            </w:r>
            <w:r>
              <w:t>，闪点 206</w:t>
            </w:r>
            <w:r>
              <w:rPr>
                <w:rFonts w:hint="eastAsia" w:ascii="宋体" w:hAnsi="宋体" w:eastAsia="宋体" w:cs="宋体"/>
              </w:rPr>
              <w:t>℃</w:t>
            </w:r>
            <w:r>
              <w:t>，燃点 233</w:t>
            </w:r>
            <w:r>
              <w:rPr>
                <w:rFonts w:hint="eastAsia" w:ascii="宋体" w:hAnsi="宋体" w:eastAsia="宋体" w:cs="宋体"/>
              </w:rPr>
              <w:t>℃</w:t>
            </w:r>
            <w:r>
              <w:t>，密度 0.973  g/cm3（25</w:t>
            </w:r>
            <w:r>
              <w:rPr>
                <w:rFonts w:hint="eastAsia" w:ascii="宋体" w:hAnsi="宋体" w:eastAsia="宋体" w:cs="宋体"/>
              </w:rPr>
              <w:t>℃</w:t>
            </w:r>
            <w:r>
              <w:t>），粘度 3.47  mPa.s（25</w:t>
            </w:r>
            <w:r>
              <w:rPr>
                <w:rFonts w:hint="eastAsia" w:ascii="宋体" w:hAnsi="宋体" w:eastAsia="宋体" w:cs="宋体"/>
              </w:rPr>
              <w:t>℃</w:t>
            </w:r>
            <w:r>
              <w:t>），不溶于水，溶于乙醇、丙酮等有机溶剂。作为酸性萃取剂主要用于稀土、镍、钴及其他金属的萃取分离。在煤油中以氢键二聚体结构以掩盖其极性磷酸基团存在，与金属离子络合时通常也以二聚形式参与反应。</w:t>
            </w:r>
          </w:p>
        </w:tc>
        <w:tc>
          <w:tcPr>
            <w:tcW w:w="473" w:type="pct"/>
            <w:shd w:val="clear" w:color="auto" w:fill="auto"/>
            <w:vAlign w:val="center"/>
          </w:tcPr>
          <w:p>
            <w:pPr>
              <w:pStyle w:val="63"/>
            </w:pPr>
            <w:r>
              <w:t>不燃</w:t>
            </w:r>
          </w:p>
        </w:tc>
        <w:tc>
          <w:tcPr>
            <w:tcW w:w="1296" w:type="pct"/>
            <w:shd w:val="clear" w:color="auto" w:fill="auto"/>
            <w:vAlign w:val="center"/>
          </w:tcPr>
          <w:p>
            <w:pPr>
              <w:pStyle w:val="63"/>
            </w:pPr>
            <w:r>
              <w:t>LD50：4940mg/kg（大鼠经口）；1250mg/kg（兔经皮）；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61" w:type="pct"/>
            <w:shd w:val="clear" w:color="auto" w:fill="auto"/>
            <w:vAlign w:val="center"/>
          </w:tcPr>
          <w:p>
            <w:pPr>
              <w:pStyle w:val="63"/>
            </w:pPr>
            <w:r>
              <w:t>C272</w:t>
            </w:r>
          </w:p>
        </w:tc>
        <w:tc>
          <w:tcPr>
            <w:tcW w:w="2770" w:type="pct"/>
            <w:shd w:val="clear" w:color="auto" w:fill="auto"/>
            <w:vAlign w:val="center"/>
          </w:tcPr>
          <w:p>
            <w:pPr>
              <w:pStyle w:val="63"/>
            </w:pPr>
            <w:r>
              <w:t>C272 萃取剂化学名称是双（2，4，4-三甲基戊基）膦酸，CAS 号：83411-71-6，分子式为 C16H35O2P，分子量 290.42。C272 为无色或淡黄色透明油状液体，闪点108</w:t>
            </w:r>
            <w:r>
              <w:rPr>
                <w:rFonts w:hint="eastAsia" w:ascii="宋体" w:hAnsi="宋体" w:eastAsia="宋体" w:cs="宋体"/>
              </w:rPr>
              <w:t>℃</w:t>
            </w:r>
            <w:r>
              <w:t>，沸点 417.1±14.0 °C，蒸汽压 0.0117mmHg（25°C），密度 0.916g/cm3，酸度系数（pKa）3.26±0.50。是一种酸性次膦酸类萃取剂，原为镍 、钴分离而研制，但由于具有优良的萃取性能，其应用范围不断扩大，用于其他金属体系的分离。水果香味，无毒，对钢材及大部分塑料无腐蚀。</w:t>
            </w:r>
          </w:p>
        </w:tc>
        <w:tc>
          <w:tcPr>
            <w:tcW w:w="473" w:type="pct"/>
            <w:shd w:val="clear" w:color="auto" w:fill="auto"/>
            <w:vAlign w:val="center"/>
          </w:tcPr>
          <w:p>
            <w:pPr>
              <w:pStyle w:val="63"/>
            </w:pPr>
            <w:r>
              <w:t>可燃</w:t>
            </w:r>
          </w:p>
        </w:tc>
        <w:tc>
          <w:tcPr>
            <w:tcW w:w="1296" w:type="pct"/>
            <w:shd w:val="clear" w:color="auto" w:fill="auto"/>
            <w:vAlign w:val="center"/>
          </w:tcPr>
          <w:p>
            <w:pPr>
              <w:pStyle w:val="63"/>
            </w:pPr>
            <w: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61" w:type="pct"/>
            <w:shd w:val="clear" w:color="auto" w:fill="auto"/>
            <w:vAlign w:val="center"/>
          </w:tcPr>
          <w:p>
            <w:pPr>
              <w:pStyle w:val="63"/>
            </w:pPr>
            <w:r>
              <w:t>260#</w:t>
            </w:r>
          </w:p>
        </w:tc>
        <w:tc>
          <w:tcPr>
            <w:tcW w:w="2770" w:type="pct"/>
            <w:shd w:val="clear" w:color="auto" w:fill="auto"/>
            <w:vAlign w:val="center"/>
          </w:tcPr>
          <w:p>
            <w:pPr>
              <w:pStyle w:val="63"/>
            </w:pPr>
            <w:r>
              <w:t>260#溶剂油是由烃类化合物形成的稀薄、清洁液体， 密度为 0.78～0.81g/cm3，包含 50</w:t>
            </w:r>
            <w:r>
              <w:rPr>
                <w:rFonts w:hint="eastAsia" w:ascii="宋体" w:hAnsi="宋体" w:eastAsia="宋体" w:cs="宋体"/>
              </w:rPr>
              <w:t>℃</w:t>
            </w:r>
            <w:r>
              <w:t>和 275</w:t>
            </w:r>
            <w:r>
              <w:rPr>
                <w:rFonts w:hint="eastAsia" w:ascii="宋体" w:hAnsi="宋体" w:eastAsia="宋体" w:cs="宋体"/>
              </w:rPr>
              <w:t>℃</w:t>
            </w:r>
            <w:r>
              <w:t>之间石油中精馏物，通常每个分子上包含 6～16个碳原子的混合碳链。主要成分包括正十二烷、烷基苯和萘，还有它的衍生物。不溶于水，但溶于石油溶剂。260#溶剂油闪点在 65～90</w:t>
            </w:r>
            <w:r>
              <w:rPr>
                <w:rFonts w:hint="eastAsia" w:ascii="宋体" w:hAnsi="宋体" w:eastAsia="宋体" w:cs="宋体"/>
              </w:rPr>
              <w:t>℃</w:t>
            </w:r>
            <w:r>
              <w:t>之间，自燃温度为 220</w:t>
            </w:r>
            <w:r>
              <w:rPr>
                <w:rFonts w:hint="eastAsia" w:ascii="宋体" w:hAnsi="宋体" w:eastAsia="宋体" w:cs="宋体"/>
              </w:rPr>
              <w:t>℃</w:t>
            </w:r>
            <w:r>
              <w:t>。260#溶剂油，最低热值 43.1MJ/kg，最高热值 46.2 MJ/kg。</w:t>
            </w:r>
          </w:p>
        </w:tc>
        <w:tc>
          <w:tcPr>
            <w:tcW w:w="473" w:type="pct"/>
            <w:shd w:val="clear" w:color="auto" w:fill="auto"/>
            <w:vAlign w:val="center"/>
          </w:tcPr>
          <w:p>
            <w:pPr>
              <w:pStyle w:val="63"/>
            </w:pPr>
            <w:r>
              <w:t>易燃</w:t>
            </w:r>
          </w:p>
        </w:tc>
        <w:tc>
          <w:tcPr>
            <w:tcW w:w="1296" w:type="pct"/>
            <w:shd w:val="clear" w:color="auto" w:fill="auto"/>
            <w:vAlign w:val="center"/>
          </w:tcPr>
          <w:p>
            <w:pPr>
              <w:pStyle w:val="63"/>
            </w:pPr>
            <w:r>
              <w:t>LD50：36000mg/kg（大鼠经口）；7072mg/kg（兔经皮）；LC50：无资料</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61" w:type="pct"/>
            <w:shd w:val="clear" w:color="auto" w:fill="auto"/>
            <w:vAlign w:val="center"/>
          </w:tcPr>
          <w:p>
            <w:pPr>
              <w:pStyle w:val="63"/>
            </w:pPr>
            <w:r>
              <w:t>天然气</w:t>
            </w:r>
          </w:p>
        </w:tc>
        <w:tc>
          <w:tcPr>
            <w:tcW w:w="2770" w:type="pct"/>
            <w:shd w:val="clear" w:color="auto" w:fill="auto"/>
            <w:vAlign w:val="center"/>
          </w:tcPr>
          <w:p>
            <w:pPr>
              <w:pStyle w:val="63"/>
            </w:pPr>
            <w:r>
              <w:t>主要由甲烷（85%）和少量乙烷（9%）、丙烷（3%）、氮（2%）和丁烷（1%）组成，存在于地下岩石储集层中以烃为主体的</w:t>
            </w:r>
            <w:r>
              <w:fldChar w:fldCharType="begin"/>
            </w:r>
            <w:r>
              <w:instrText xml:space="preserve"> HYPERLINK "https://baike.baidu.com/item/%E6%B7%B7%E5%90%88%E6%B0%94%E4%BD%93" \h </w:instrText>
            </w:r>
            <w:r>
              <w:fldChar w:fldCharType="separate"/>
            </w:r>
            <w:r>
              <w:rPr>
                <w:rStyle w:val="39"/>
                <w:color w:val="auto"/>
                <w:u w:val="none"/>
              </w:rPr>
              <w:t>混合气体</w:t>
            </w:r>
            <w:r>
              <w:rPr>
                <w:rStyle w:val="39"/>
                <w:color w:val="auto"/>
                <w:u w:val="none"/>
              </w:rPr>
              <w:fldChar w:fldCharType="end"/>
            </w:r>
            <w:r>
              <w:t>的统称，</w:t>
            </w:r>
            <w:r>
              <w:fldChar w:fldCharType="begin"/>
            </w:r>
            <w:r>
              <w:instrText xml:space="preserve"> HYPERLINK "https://baike.baidu.com/item/%E6%AF%94%E9%87%8D" \h </w:instrText>
            </w:r>
            <w:r>
              <w:fldChar w:fldCharType="separate"/>
            </w:r>
            <w:r>
              <w:rPr>
                <w:rStyle w:val="39"/>
                <w:color w:val="auto"/>
                <w:u w:val="none"/>
              </w:rPr>
              <w:t>比重</w:t>
            </w:r>
            <w:r>
              <w:rPr>
                <w:rStyle w:val="39"/>
                <w:color w:val="auto"/>
                <w:u w:val="none"/>
              </w:rPr>
              <w:fldChar w:fldCharType="end"/>
            </w:r>
            <w:r>
              <w:t>约0.65，比空气轻，具有无色、无味、无毒之特性。不溶于</w:t>
            </w:r>
            <w:r>
              <w:fldChar w:fldCharType="begin"/>
            </w:r>
            <w:r>
              <w:instrText xml:space="preserve"> HYPERLINK "https://baike.baidu.com/item/%E6%B0%B4/34133" \h </w:instrText>
            </w:r>
            <w:r>
              <w:fldChar w:fldCharType="separate"/>
            </w:r>
            <w:r>
              <w:rPr>
                <w:rStyle w:val="39"/>
                <w:color w:val="auto"/>
                <w:u w:val="none"/>
              </w:rPr>
              <w:t>水</w:t>
            </w:r>
            <w:r>
              <w:rPr>
                <w:rStyle w:val="39"/>
                <w:color w:val="auto"/>
                <w:u w:val="none"/>
              </w:rPr>
              <w:fldChar w:fldCharType="end"/>
            </w:r>
            <w:r>
              <w:t>，密度为0.7174kg/Nm3，相对密度（水）为0.45，（液化）燃点（</w:t>
            </w:r>
            <w:r>
              <w:rPr>
                <w:rFonts w:hint="eastAsia" w:ascii="宋体" w:hAnsi="宋体" w:eastAsia="宋体" w:cs="宋体"/>
              </w:rPr>
              <w:t>℃</w:t>
            </w:r>
            <w:r>
              <w:t>）为650，</w:t>
            </w:r>
            <w:r>
              <w:fldChar w:fldCharType="begin"/>
            </w:r>
            <w:r>
              <w:instrText xml:space="preserve"> HYPERLINK "https://baike.baidu.com/item/%E7%88%86%E7%82%B8%E6%9E%81%E9%99%90" \h </w:instrText>
            </w:r>
            <w:r>
              <w:fldChar w:fldCharType="separate"/>
            </w:r>
            <w:r>
              <w:rPr>
                <w:rStyle w:val="39"/>
                <w:color w:val="auto"/>
                <w:u w:val="none"/>
              </w:rPr>
              <w:t>爆炸极限</w:t>
            </w:r>
            <w:r>
              <w:rPr>
                <w:rStyle w:val="39"/>
                <w:color w:val="auto"/>
                <w:u w:val="none"/>
              </w:rPr>
              <w:fldChar w:fldCharType="end"/>
            </w:r>
            <w:r>
              <w:t>（V%）为5-15。</w:t>
            </w:r>
          </w:p>
        </w:tc>
        <w:tc>
          <w:tcPr>
            <w:tcW w:w="473" w:type="pct"/>
            <w:shd w:val="clear" w:color="auto" w:fill="auto"/>
            <w:vAlign w:val="center"/>
          </w:tcPr>
          <w:p>
            <w:pPr>
              <w:pStyle w:val="63"/>
            </w:pPr>
            <w:r>
              <w:t>易燃</w:t>
            </w:r>
          </w:p>
        </w:tc>
        <w:tc>
          <w:tcPr>
            <w:tcW w:w="1296" w:type="pct"/>
            <w:shd w:val="clear" w:color="auto" w:fill="auto"/>
            <w:vAlign w:val="center"/>
          </w:tcPr>
          <w:p>
            <w:pPr>
              <w:pStyle w:val="63"/>
            </w:pPr>
            <w:r>
              <w:t>空气中含量达到一定程度后会使人窒息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61" w:type="pct"/>
            <w:shd w:val="clear" w:color="auto" w:fill="auto"/>
            <w:vAlign w:val="center"/>
          </w:tcPr>
          <w:p>
            <w:pPr>
              <w:pStyle w:val="63"/>
            </w:pPr>
            <w:r>
              <w:t>液碱</w:t>
            </w:r>
          </w:p>
        </w:tc>
        <w:tc>
          <w:tcPr>
            <w:tcW w:w="2770" w:type="pct"/>
            <w:shd w:val="clear" w:color="auto" w:fill="auto"/>
            <w:vAlign w:val="center"/>
          </w:tcPr>
          <w:p>
            <w:pPr>
              <w:pStyle w:val="63"/>
            </w:pPr>
            <w:r>
              <w:t>氢氧化钠密度 2.13g/cm3，熔点 318.4</w:t>
            </w:r>
            <w:r>
              <w:rPr>
                <w:rFonts w:hint="eastAsia" w:ascii="宋体" w:hAnsi="宋体" w:eastAsia="宋体" w:cs="宋体"/>
              </w:rPr>
              <w:t>℃</w:t>
            </w:r>
            <w:r>
              <w:t>，沸点 1390</w:t>
            </w:r>
            <w:r>
              <w:rPr>
                <w:rFonts w:hint="eastAsia" w:ascii="宋体" w:hAnsi="宋体" w:eastAsia="宋体" w:cs="宋体"/>
              </w:rPr>
              <w:t>℃</w:t>
            </w:r>
            <w:r>
              <w:t>。市售氢氧化钠有固体和液体两种：固体烧碱显白色，有片状、块状、粒状和棒状，质脆；液体烧碱称为液碱，为无色透明液体。固体烧碱有很强的吸湿性，易溶于水，溶解时放热，溶液显强碱性，有滑腻的触感和苦味。也易溶于乙醇及甘油，不溶于丙酮、乙醚、乙酸。极易吸收空气中二氧化碳和水分变成碳酸盐。</w:t>
            </w:r>
          </w:p>
        </w:tc>
        <w:tc>
          <w:tcPr>
            <w:tcW w:w="473" w:type="pct"/>
            <w:shd w:val="clear" w:color="auto" w:fill="auto"/>
            <w:vAlign w:val="center"/>
          </w:tcPr>
          <w:p>
            <w:pPr>
              <w:pStyle w:val="63"/>
            </w:pPr>
            <w:r>
              <w:t>不燃</w:t>
            </w:r>
          </w:p>
        </w:tc>
        <w:tc>
          <w:tcPr>
            <w:tcW w:w="1296" w:type="pct"/>
            <w:shd w:val="clear" w:color="auto" w:fill="auto"/>
            <w:vAlign w:val="center"/>
          </w:tcPr>
          <w:p>
            <w:pPr>
              <w:pStyle w:val="63"/>
            </w:pPr>
            <w:r>
              <w:t>其腐蚀性极强，对皮肤、纤维、玻璃、陶瓷等均有腐蚀作用。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61" w:type="pct"/>
            <w:shd w:val="clear" w:color="auto" w:fill="auto"/>
            <w:vAlign w:val="center"/>
          </w:tcPr>
          <w:p>
            <w:pPr>
              <w:pStyle w:val="63"/>
            </w:pPr>
            <w:r>
              <w:t>活性炭</w:t>
            </w:r>
          </w:p>
        </w:tc>
        <w:tc>
          <w:tcPr>
            <w:tcW w:w="2770" w:type="pct"/>
            <w:shd w:val="clear" w:color="auto" w:fill="auto"/>
            <w:vAlign w:val="center"/>
          </w:tcPr>
          <w:p>
            <w:pPr>
              <w:pStyle w:val="63"/>
            </w:pPr>
            <w:r>
              <w:t>活性炭是黑色粉末状或块状、颗粒状、蜂窝状的无定形碳，也有排列规整的晶体碳。按照制造方法活性炭可分为化学炭、物理炭和物理–化学法活性炭。按照孔径分为大孔（孔径&gt;500A°）、过渡孔（孔径 20～500A°）和微孔（孔径&lt; 20A°）三种。</w:t>
            </w:r>
          </w:p>
        </w:tc>
        <w:tc>
          <w:tcPr>
            <w:tcW w:w="473" w:type="pct"/>
            <w:shd w:val="clear" w:color="auto" w:fill="auto"/>
            <w:vAlign w:val="center"/>
          </w:tcPr>
          <w:p>
            <w:pPr>
              <w:pStyle w:val="63"/>
            </w:pPr>
            <w:r>
              <w:t>自燃</w:t>
            </w:r>
          </w:p>
        </w:tc>
        <w:tc>
          <w:tcPr>
            <w:tcW w:w="1296" w:type="pct"/>
            <w:shd w:val="clear" w:color="auto" w:fill="auto"/>
            <w:vAlign w:val="center"/>
          </w:tcPr>
          <w:p>
            <w:pPr>
              <w:pStyle w:val="63"/>
            </w:pPr>
            <w:r>
              <w:t>属于基本无毒物质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61" w:type="pct"/>
            <w:shd w:val="clear" w:color="auto" w:fill="auto"/>
            <w:vAlign w:val="center"/>
          </w:tcPr>
          <w:p>
            <w:pPr>
              <w:pStyle w:val="63"/>
            </w:pPr>
            <w:r>
              <w:t>氯酸钠</w:t>
            </w:r>
          </w:p>
        </w:tc>
        <w:tc>
          <w:tcPr>
            <w:tcW w:w="2770" w:type="pct"/>
            <w:shd w:val="clear" w:color="auto" w:fill="auto"/>
            <w:vAlign w:val="center"/>
          </w:tcPr>
          <w:p>
            <w:pPr>
              <w:pStyle w:val="63"/>
            </w:pPr>
            <w:r>
              <w:t>氯酸钠是一种无机物，化学式为 NaClO3，CAS号：7775-09-9，通常为白色或微黄色等轴晶体，味咸而凉，易溶于水、微溶于乙醇。在酸性溶液中有强氧化作用，300</w:t>
            </w:r>
            <w:r>
              <w:rPr>
                <w:rFonts w:hint="eastAsia" w:ascii="宋体" w:hAnsi="宋体" w:eastAsia="宋体" w:cs="宋体"/>
              </w:rPr>
              <w:t>℃</w:t>
            </w:r>
            <w:r>
              <w:t>以上分解产生氧气。氯酸钠不稳定。与磷、硫及有机物混合受撞击时易发生燃烧和爆炸，易吸潮结块。密度：2.49g/cm3、熔点：248-261</w:t>
            </w:r>
            <w:r>
              <w:rPr>
                <w:rFonts w:hint="eastAsia" w:ascii="宋体" w:hAnsi="宋体" w:eastAsia="宋体" w:cs="宋体"/>
              </w:rPr>
              <w:t>℃</w:t>
            </w:r>
            <w:r>
              <w:t>、沸点：300</w:t>
            </w:r>
            <w:r>
              <w:rPr>
                <w:rFonts w:hint="eastAsia" w:ascii="宋体" w:hAnsi="宋体" w:eastAsia="宋体" w:cs="宋体"/>
              </w:rPr>
              <w:t>℃</w:t>
            </w:r>
            <w:r>
              <w:t>、外观：白色或微黄色晶体，易溶于水，微溶于乙醇，溶于液氨、甘油。常压下加热至300</w:t>
            </w:r>
            <w:r>
              <w:rPr>
                <w:rFonts w:hint="eastAsia" w:ascii="宋体" w:hAnsi="宋体" w:eastAsia="宋体" w:cs="宋体"/>
              </w:rPr>
              <w:t>℃</w:t>
            </w:r>
            <w:r>
              <w:t>以上易分解放出氧气。在中性或弱碱性溶液中氧化力非常低，但在酸性溶液中或有诱导氧化剂和催化剂（如硫酸铜）存在时，则是强氧化剂。与酸类（如硫酸）作用放出二氧化氯，有强氧化性。与硫、磷和有机物混合或受撞击，易引起燃烧和爆炸。</w:t>
            </w:r>
          </w:p>
        </w:tc>
        <w:tc>
          <w:tcPr>
            <w:tcW w:w="473" w:type="pct"/>
            <w:shd w:val="clear" w:color="auto" w:fill="auto"/>
            <w:vAlign w:val="center"/>
          </w:tcPr>
          <w:p>
            <w:pPr>
              <w:pStyle w:val="63"/>
            </w:pPr>
            <w:r>
              <w:t>助燃</w:t>
            </w:r>
          </w:p>
        </w:tc>
        <w:tc>
          <w:tcPr>
            <w:tcW w:w="1296" w:type="pct"/>
            <w:shd w:val="clear" w:color="auto" w:fill="auto"/>
            <w:vAlign w:val="center"/>
          </w:tcPr>
          <w:p>
            <w:pPr>
              <w:pStyle w:val="63"/>
            </w:pPr>
            <w:r>
              <w:t>LD50：1200mg/kg（大鼠经口）</w:t>
            </w:r>
          </w:p>
          <w:p>
            <w:pPr>
              <w:pStyle w:val="63"/>
            </w:pPr>
            <w:r>
              <w:t>LC50：无资料</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61" w:type="pct"/>
            <w:shd w:val="clear" w:color="auto" w:fill="auto"/>
            <w:vAlign w:val="center"/>
          </w:tcPr>
          <w:p>
            <w:pPr>
              <w:pStyle w:val="63"/>
            </w:pPr>
            <w:r>
              <w:t>硫代硫酸钠</w:t>
            </w:r>
          </w:p>
        </w:tc>
        <w:tc>
          <w:tcPr>
            <w:tcW w:w="2770" w:type="pct"/>
            <w:shd w:val="clear" w:color="auto" w:fill="auto"/>
            <w:vAlign w:val="center"/>
          </w:tcPr>
          <w:p>
            <w:pPr>
              <w:pStyle w:val="63"/>
            </w:pPr>
            <w:r>
              <w:t>白色结晶粉末，CAS：10102-17-7，分子式Na2S2O3.5H2O，分子量：248.18；pH值： 6.0-8.5；熔点： 52</w:t>
            </w:r>
            <w:r>
              <w:rPr>
                <w:rFonts w:hint="eastAsia" w:ascii="宋体" w:hAnsi="宋体" w:eastAsia="宋体" w:cs="宋体"/>
              </w:rPr>
              <w:t>℃</w:t>
            </w:r>
            <w:r>
              <w:t>，相对密度（水=1）： 1.010；易溶于水，不溶于醇。稳定，禁配物：强氧化剂、强酸；避免接触的条件：高温、高热、潮湿</w:t>
            </w:r>
          </w:p>
        </w:tc>
        <w:tc>
          <w:tcPr>
            <w:tcW w:w="473" w:type="pct"/>
            <w:shd w:val="clear" w:color="auto" w:fill="auto"/>
            <w:vAlign w:val="center"/>
          </w:tcPr>
          <w:p>
            <w:pPr>
              <w:pStyle w:val="63"/>
            </w:pPr>
            <w:r>
              <w:t>不燃</w:t>
            </w:r>
          </w:p>
        </w:tc>
        <w:tc>
          <w:tcPr>
            <w:tcW w:w="1296" w:type="pct"/>
            <w:shd w:val="clear" w:color="auto" w:fill="auto"/>
            <w:vAlign w:val="center"/>
          </w:tcPr>
          <w:p>
            <w:pPr>
              <w:pStyle w:val="63"/>
            </w:pPr>
            <w:r>
              <w:t>LD50：5200mg/kg（大鼠经口）</w:t>
            </w:r>
          </w:p>
          <w:p>
            <w:pPr>
              <w:pStyle w:val="63"/>
            </w:pPr>
            <w:r>
              <w:t xml:space="preserve"> LC50：无资料</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61" w:type="pct"/>
            <w:shd w:val="clear" w:color="auto" w:fill="auto"/>
            <w:vAlign w:val="center"/>
          </w:tcPr>
          <w:p>
            <w:pPr>
              <w:pStyle w:val="63"/>
            </w:pPr>
            <w:r>
              <w:t>氢氧化钙</w:t>
            </w:r>
          </w:p>
        </w:tc>
        <w:tc>
          <w:tcPr>
            <w:tcW w:w="2770" w:type="pct"/>
            <w:shd w:val="clear" w:color="auto" w:fill="auto"/>
            <w:vAlign w:val="center"/>
          </w:tcPr>
          <w:p>
            <w:pPr>
              <w:pStyle w:val="63"/>
            </w:pPr>
            <w:r>
              <w:t>别名熟石灰、消石灰，CAS号：1305-62-0，白色粉末固体，化学式Ca（OH）</w:t>
            </w:r>
            <w:r>
              <w:rPr>
                <w:rFonts w:ascii="Cambria Math" w:hAnsi="Cambria Math" w:cs="Cambria Math"/>
              </w:rPr>
              <w:t>₂</w:t>
            </w:r>
            <w:r>
              <w:t>，沸点2850</w:t>
            </w:r>
            <w:r>
              <w:rPr>
                <w:rFonts w:hint="eastAsia" w:ascii="宋体" w:hAnsi="宋体" w:eastAsia="宋体" w:cs="宋体"/>
              </w:rPr>
              <w:t>℃</w:t>
            </w:r>
            <w:r>
              <w:t>，熔点/凝固点580</w:t>
            </w:r>
            <w:r>
              <w:rPr>
                <w:rFonts w:hint="eastAsia" w:ascii="宋体" w:hAnsi="宋体" w:eastAsia="宋体" w:cs="宋体"/>
              </w:rPr>
              <w:t>℃</w:t>
            </w:r>
            <w:r>
              <w:t>。微溶于水，密度2.24g/mL，分子量74.0927；腐蚀性/刺激性。常温下是细腻的白色粉末，微溶于水，其澄清的水溶液俗称</w:t>
            </w:r>
            <w:r>
              <w:fldChar w:fldCharType="begin"/>
            </w:r>
            <w:r>
              <w:instrText xml:space="preserve"> HYPERLINK "https://baike.baidu.com/item/%E6%BE%84%E6%B8%85%E7%9F%B3%E7%81%B0%E6%B0%B4" \t "_blank" </w:instrText>
            </w:r>
            <w:r>
              <w:fldChar w:fldCharType="separate"/>
            </w:r>
            <w:r>
              <w:rPr>
                <w:rStyle w:val="39"/>
                <w:color w:val="auto"/>
                <w:u w:val="none"/>
              </w:rPr>
              <w:t>澄清石灰水</w:t>
            </w:r>
            <w:r>
              <w:rPr>
                <w:rStyle w:val="39"/>
                <w:color w:val="auto"/>
                <w:u w:val="none"/>
              </w:rPr>
              <w:fldChar w:fldCharType="end"/>
            </w:r>
            <w:r>
              <w:t>，与水组成的乳状悬浮液称</w:t>
            </w:r>
            <w:r>
              <w:fldChar w:fldCharType="begin"/>
            </w:r>
            <w:r>
              <w:instrText xml:space="preserve"> HYPERLINK "https://baike.baidu.com/item/%E7%9F%B3%E7%81%B0%E4%B9%B3" \t "_blank" </w:instrText>
            </w:r>
            <w:r>
              <w:fldChar w:fldCharType="separate"/>
            </w:r>
            <w:r>
              <w:rPr>
                <w:rStyle w:val="39"/>
                <w:color w:val="auto"/>
                <w:u w:val="none"/>
              </w:rPr>
              <w:t>石灰乳</w:t>
            </w:r>
            <w:r>
              <w:rPr>
                <w:rStyle w:val="39"/>
                <w:color w:val="auto"/>
                <w:u w:val="none"/>
              </w:rPr>
              <w:fldChar w:fldCharType="end"/>
            </w:r>
            <w:r>
              <w:t>。且溶解度随温度的升高而下降。不溶于</w:t>
            </w:r>
            <w:r>
              <w:fldChar w:fldCharType="begin"/>
            </w:r>
            <w:r>
              <w:instrText xml:space="preserve"> HYPERLINK "https://baike.baidu.com/item/%E9%86%87/13011860" \t "_blank" </w:instrText>
            </w:r>
            <w:r>
              <w:fldChar w:fldCharType="separate"/>
            </w:r>
            <w:r>
              <w:rPr>
                <w:rStyle w:val="39"/>
                <w:color w:val="auto"/>
                <w:u w:val="none"/>
              </w:rPr>
              <w:t>醇</w:t>
            </w:r>
            <w:r>
              <w:rPr>
                <w:rStyle w:val="39"/>
                <w:color w:val="auto"/>
                <w:u w:val="none"/>
              </w:rPr>
              <w:fldChar w:fldCharType="end"/>
            </w:r>
            <w:r>
              <w:t>，能溶于</w:t>
            </w:r>
            <w:r>
              <w:fldChar w:fldCharType="begin"/>
            </w:r>
            <w:r>
              <w:instrText xml:space="preserve"> HYPERLINK "https://baike.baidu.com/item/%E9%93%B5%E7%9B%90" \t "_blank" </w:instrText>
            </w:r>
            <w:r>
              <w:fldChar w:fldCharType="separate"/>
            </w:r>
            <w:r>
              <w:rPr>
                <w:rStyle w:val="39"/>
                <w:color w:val="auto"/>
                <w:u w:val="none"/>
              </w:rPr>
              <w:t>铵盐</w:t>
            </w:r>
            <w:r>
              <w:rPr>
                <w:rStyle w:val="39"/>
                <w:color w:val="auto"/>
                <w:u w:val="none"/>
              </w:rPr>
              <w:fldChar w:fldCharType="end"/>
            </w:r>
            <w:r>
              <w:t>、甘油，能与酸反应，生成对应的</w:t>
            </w:r>
            <w:r>
              <w:fldChar w:fldCharType="begin"/>
            </w:r>
            <w:r>
              <w:instrText xml:space="preserve"> HYPERLINK "https://baike.baidu.com/item/%E9%92%99%E7%9B%90" \t "_blank" </w:instrText>
            </w:r>
            <w:r>
              <w:fldChar w:fldCharType="separate"/>
            </w:r>
            <w:r>
              <w:rPr>
                <w:rStyle w:val="39"/>
                <w:color w:val="auto"/>
                <w:u w:val="none"/>
              </w:rPr>
              <w:t>钙盐</w:t>
            </w:r>
            <w:r>
              <w:rPr>
                <w:rStyle w:val="39"/>
                <w:color w:val="auto"/>
                <w:u w:val="none"/>
              </w:rPr>
              <w:fldChar w:fldCharType="end"/>
            </w:r>
            <w:r>
              <w:t>。580</w:t>
            </w:r>
            <w:r>
              <w:rPr>
                <w:rFonts w:hint="eastAsia" w:ascii="宋体" w:hAnsi="宋体" w:eastAsia="宋体" w:cs="宋体"/>
              </w:rPr>
              <w:t>℃</w:t>
            </w:r>
            <w:r>
              <w:t>时，分解为氧化钙和水。</w:t>
            </w:r>
          </w:p>
        </w:tc>
        <w:tc>
          <w:tcPr>
            <w:tcW w:w="473" w:type="pct"/>
            <w:shd w:val="clear" w:color="auto" w:fill="auto"/>
            <w:vAlign w:val="center"/>
          </w:tcPr>
          <w:p>
            <w:pPr>
              <w:pStyle w:val="63"/>
            </w:pPr>
            <w:r>
              <w:t>不燃</w:t>
            </w:r>
          </w:p>
        </w:tc>
        <w:tc>
          <w:tcPr>
            <w:tcW w:w="1296" w:type="pct"/>
            <w:shd w:val="clear" w:color="auto" w:fill="auto"/>
            <w:vAlign w:val="center"/>
          </w:tcPr>
          <w:p>
            <w:pPr>
              <w:pStyle w:val="63"/>
            </w:pPr>
            <w:r>
              <w:t>腐蚀性/刺激性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61" w:type="pct"/>
            <w:shd w:val="clear" w:color="auto" w:fill="auto"/>
            <w:vAlign w:val="center"/>
          </w:tcPr>
          <w:p>
            <w:pPr>
              <w:pStyle w:val="63"/>
            </w:pPr>
            <w:r>
              <w:t>硫化钠</w:t>
            </w:r>
          </w:p>
        </w:tc>
        <w:tc>
          <w:tcPr>
            <w:tcW w:w="2770" w:type="pct"/>
            <w:shd w:val="clear" w:color="auto" w:fill="auto"/>
            <w:vAlign w:val="center"/>
          </w:tcPr>
          <w:p>
            <w:pPr>
              <w:pStyle w:val="63"/>
            </w:pPr>
            <w:r>
              <w:t>CAS号：7757-83-7，分子式：Na2S，分子量：78，无色或米黄色颗粒结晶，工业品为红褐色或砖红色块状；熔点1180</w:t>
            </w:r>
            <w:r>
              <w:rPr>
                <w:rFonts w:hint="eastAsia" w:ascii="宋体" w:hAnsi="宋体" w:eastAsia="宋体" w:cs="宋体"/>
              </w:rPr>
              <w:t>℃</w:t>
            </w:r>
            <w:r>
              <w:t>，易溶于水，不溶于乙醚，微溶于乙醇，</w:t>
            </w:r>
          </w:p>
        </w:tc>
        <w:tc>
          <w:tcPr>
            <w:tcW w:w="473" w:type="pct"/>
            <w:shd w:val="clear" w:color="auto" w:fill="auto"/>
            <w:vAlign w:val="center"/>
          </w:tcPr>
          <w:p>
            <w:pPr>
              <w:pStyle w:val="63"/>
            </w:pPr>
            <w:r>
              <w:t>可燃</w:t>
            </w:r>
          </w:p>
        </w:tc>
        <w:tc>
          <w:tcPr>
            <w:tcW w:w="1296" w:type="pct"/>
            <w:shd w:val="clear" w:color="auto" w:fill="auto"/>
            <w:vAlign w:val="center"/>
          </w:tcPr>
          <w:p>
            <w:pPr>
              <w:pStyle w:val="63"/>
            </w:pPr>
            <w:r>
              <w:t>LD50：820mg/kg（小鼠经口）；950mg/kg（小鼠静注）； LC50：无资料</w:t>
            </w:r>
          </w:p>
        </w:tc>
      </w:tr>
    </w:tbl>
    <w:p>
      <w:pPr>
        <w:spacing w:line="360" w:lineRule="auto"/>
        <w:ind w:firstLine="480" w:firstLineChars="200"/>
        <w:rPr>
          <w:rFonts w:ascii="Times New Roman" w:hAnsi="Times New Roman" w:cs="Times New Roman"/>
        </w:rPr>
        <w:sectPr>
          <w:pgSz w:w="16840" w:h="11907" w:orient="landscape"/>
          <w:pgMar w:top="1797" w:right="1440" w:bottom="1797" w:left="1440" w:header="964" w:footer="851" w:gutter="0"/>
          <w:cols w:space="720" w:num="1"/>
          <w:docGrid w:linePitch="297" w:charSpace="200"/>
        </w:sectPr>
      </w:pPr>
    </w:p>
    <w:p>
      <w:pPr>
        <w:pStyle w:val="4"/>
        <w:rPr>
          <w:rFonts w:ascii="Times New Roman" w:hAnsi="Times New Roman" w:cs="Times New Roman"/>
        </w:rPr>
      </w:pPr>
      <w:bookmarkStart w:id="145" w:name="_Toc144236756"/>
      <w:bookmarkStart w:id="146" w:name="_Toc147848006"/>
      <w:bookmarkStart w:id="147" w:name="_Toc144276886"/>
      <w:r>
        <w:rPr>
          <w:rFonts w:ascii="Times New Roman" w:hAnsi="Times New Roman" w:cs="Times New Roman"/>
        </w:rPr>
        <w:t>3.1.6 公用及辅助工程</w:t>
      </w:r>
      <w:bookmarkEnd w:id="145"/>
      <w:bookmarkEnd w:id="146"/>
      <w:bookmarkEnd w:id="147"/>
    </w:p>
    <w:p>
      <w:pPr>
        <w:pStyle w:val="5"/>
        <w:ind w:firstLine="482"/>
        <w:rPr>
          <w:rFonts w:ascii="Times New Roman" w:hAnsi="Times New Roman" w:cs="Times New Roman" w:eastAsiaTheme="minorEastAsia"/>
        </w:rPr>
      </w:pPr>
      <w:r>
        <w:rPr>
          <w:rFonts w:ascii="Times New Roman" w:hAnsi="Times New Roman" w:cs="Times New Roman"/>
        </w:rPr>
        <w:t>3.1.6.</w:t>
      </w:r>
      <w:r>
        <w:rPr>
          <w:rFonts w:ascii="Times New Roman" w:hAnsi="Times New Roman" w:cs="Times New Roman" w:eastAsiaTheme="minorEastAsia"/>
        </w:rPr>
        <w:t>1 给水</w:t>
      </w:r>
    </w:p>
    <w:p>
      <w:pPr>
        <w:spacing w:line="360" w:lineRule="auto"/>
        <w:ind w:firstLine="480" w:firstLineChars="200"/>
        <w:rPr>
          <w:rFonts w:ascii="Times New Roman" w:hAnsi="Times New Roman" w:cs="Times New Roman"/>
        </w:rPr>
      </w:pPr>
      <w:r>
        <w:rPr>
          <w:rFonts w:ascii="Times New Roman" w:hAnsi="Times New Roman" w:cs="Times New Roman"/>
        </w:rPr>
        <w:t>本项目新鲜水用量为</w:t>
      </w:r>
      <w:r>
        <w:rPr>
          <w:rFonts w:hint="eastAsia" w:ascii="Times New Roman" w:hAnsi="Times New Roman" w:cs="Times New Roman"/>
        </w:rPr>
        <w:t>134770</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/a，</w:t>
      </w:r>
      <w:r>
        <w:rPr>
          <w:rFonts w:hint="eastAsia" w:ascii="Times New Roman" w:hAnsi="Times New Roman" w:cs="Times New Roman"/>
        </w:rPr>
        <w:t>回用冷凝水量为</w:t>
      </w:r>
      <w:r>
        <w:rPr>
          <w:rFonts w:ascii="Times New Roman" w:hAnsi="Times New Roman" w:cs="Times New Roman"/>
        </w:rPr>
        <w:t>30070m</w:t>
      </w:r>
      <w:r>
        <w:rPr>
          <w:rFonts w:ascii="Times New Roman" w:hAnsi="Times New Roman" w:cs="Times New Roman"/>
          <w:vertAlign w:val="superscript"/>
        </w:rPr>
        <w:t>3</w:t>
      </w:r>
      <w:r>
        <w:rPr>
          <w:rFonts w:ascii="Times New Roman" w:hAnsi="Times New Roman" w:cs="Times New Roman"/>
        </w:rPr>
        <w:t>/a</w:t>
      </w:r>
      <w:r>
        <w:rPr>
          <w:rFonts w:hint="eastAsia" w:ascii="Times New Roman" w:hAnsi="Times New Roman" w:cs="Times New Roman"/>
        </w:rPr>
        <w:t>，</w:t>
      </w:r>
      <w:r>
        <w:rPr>
          <w:rFonts w:ascii="Times New Roman" w:hAnsi="Times New Roman" w:cs="Times New Roman"/>
        </w:rPr>
        <w:t>本项目所需水源由市政供水管网供给。厂区由市政管引入DN150给水管，管道在厂区内形成环状到各用水点。</w:t>
      </w:r>
    </w:p>
    <w:p>
      <w:pPr>
        <w:pStyle w:val="5"/>
        <w:ind w:firstLine="482"/>
        <w:rPr>
          <w:rFonts w:ascii="Times New Roman" w:hAnsi="Times New Roman" w:cs="Times New Roman" w:eastAsiaTheme="minorEastAsia"/>
        </w:rPr>
      </w:pPr>
      <w:r>
        <w:rPr>
          <w:rFonts w:ascii="Times New Roman" w:hAnsi="Times New Roman" w:cs="Times New Roman"/>
        </w:rPr>
        <w:t>3.1.6.</w:t>
      </w:r>
      <w:r>
        <w:rPr>
          <w:rFonts w:ascii="Times New Roman" w:hAnsi="Times New Roman" w:cs="Times New Roman" w:eastAsiaTheme="minorEastAsia"/>
        </w:rPr>
        <w:t>2 排水工程</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项目生产废水经处理后回用，不外排；生活污水产生量约6768m</w:t>
      </w:r>
      <w:r>
        <w:rPr>
          <w:rFonts w:ascii="Times New Roman" w:hAnsi="Times New Roman" w:cs="Times New Roman"/>
          <w:u w:val="single"/>
          <w:vertAlign w:val="superscript"/>
        </w:rPr>
        <w:t>3</w:t>
      </w:r>
      <w:r>
        <w:rPr>
          <w:rFonts w:ascii="Times New Roman" w:hAnsi="Times New Roman" w:cs="Times New Roman"/>
          <w:u w:val="single"/>
        </w:rPr>
        <w:t>/a，其经化粪池处理后排入衡东县大浦污水处理厂</w:t>
      </w:r>
      <w:r>
        <w:rPr>
          <w:rFonts w:hint="eastAsia" w:ascii="Times New Roman" w:hAnsi="Times New Roman" w:cs="Times New Roman"/>
          <w:u w:val="single"/>
        </w:rPr>
        <w:t>；部分冷凝水通过管网</w:t>
      </w:r>
      <w:r>
        <w:rPr>
          <w:rFonts w:ascii="Times New Roman" w:hAnsi="Times New Roman" w:cs="Times New Roman"/>
          <w:u w:val="single"/>
        </w:rPr>
        <w:t>排入衡东县大浦污水处理厂。</w:t>
      </w:r>
    </w:p>
    <w:p>
      <w:pPr>
        <w:pStyle w:val="5"/>
        <w:ind w:firstLine="482"/>
        <w:rPr>
          <w:rFonts w:ascii="Times New Roman" w:hAnsi="Times New Roman" w:cs="Times New Roman" w:eastAsiaTheme="minorEastAsia"/>
        </w:rPr>
      </w:pPr>
      <w:r>
        <w:rPr>
          <w:rFonts w:ascii="Times New Roman" w:hAnsi="Times New Roman" w:cs="Times New Roman"/>
        </w:rPr>
        <w:t>3.1.6.</w:t>
      </w:r>
      <w:r>
        <w:rPr>
          <w:rFonts w:ascii="Times New Roman" w:hAnsi="Times New Roman" w:cs="Times New Roman" w:eastAsiaTheme="minorEastAsia"/>
        </w:rPr>
        <w:t>3 纯水制备系统</w:t>
      </w:r>
    </w:p>
    <w:p>
      <w:pPr>
        <w:spacing w:line="360" w:lineRule="auto"/>
        <w:ind w:firstLine="480" w:firstLineChars="200"/>
        <w:rPr>
          <w:rFonts w:ascii="Times New Roman" w:hAnsi="Times New Roman" w:cs="Times New Roman"/>
        </w:rPr>
      </w:pPr>
      <w:r>
        <w:rPr>
          <w:rFonts w:ascii="Times New Roman" w:hAnsi="Times New Roman" w:cs="Times New Roman"/>
        </w:rPr>
        <w:t>本项目纯水依托污水处理站深度处理系统制备，纯水制备能力为20t/h，采用“砂滤+活性炭过滤+二级反渗透装置”的处理系统。纯水出水电导率≤20µs/cm。浓水经厂区废水处理站处理后全部回用，不外排。</w:t>
      </w:r>
    </w:p>
    <w:p>
      <w:pPr>
        <w:pStyle w:val="5"/>
        <w:ind w:firstLine="482"/>
        <w:rPr>
          <w:rFonts w:ascii="Times New Roman" w:hAnsi="Times New Roman" w:cs="Times New Roman" w:eastAsiaTheme="minorEastAsia"/>
        </w:rPr>
      </w:pPr>
      <w:r>
        <w:rPr>
          <w:rFonts w:ascii="Times New Roman" w:hAnsi="Times New Roman" w:cs="Times New Roman"/>
        </w:rPr>
        <w:t>3.1.6.4</w:t>
      </w:r>
      <w:r>
        <w:rPr>
          <w:rFonts w:ascii="Times New Roman" w:hAnsi="Times New Roman" w:cs="Times New Roman" w:eastAsiaTheme="minorEastAsia"/>
        </w:rPr>
        <w:t xml:space="preserve"> 蒸汽</w:t>
      </w:r>
    </w:p>
    <w:p>
      <w:pPr>
        <w:spacing w:line="360" w:lineRule="auto"/>
        <w:ind w:firstLine="480" w:firstLineChars="200"/>
        <w:rPr>
          <w:rFonts w:ascii="Times New Roman" w:hAnsi="Times New Roman" w:cs="Times New Roman"/>
        </w:rPr>
      </w:pPr>
      <w:r>
        <w:rPr>
          <w:rFonts w:ascii="Times New Roman" w:hAnsi="Times New Roman" w:cs="Times New Roman"/>
        </w:rPr>
        <w:t>根据建设单位提供的资料，本项目厂区设置2台15t/h的生物质锅炉（一用一备）。</w:t>
      </w:r>
    </w:p>
    <w:p>
      <w:pPr>
        <w:pStyle w:val="5"/>
        <w:ind w:firstLine="482"/>
        <w:rPr>
          <w:rFonts w:ascii="Times New Roman" w:hAnsi="Times New Roman" w:cs="Times New Roman" w:eastAsiaTheme="minorEastAsia"/>
        </w:rPr>
      </w:pPr>
      <w:r>
        <w:rPr>
          <w:rFonts w:ascii="Times New Roman" w:hAnsi="Times New Roman" w:cs="Times New Roman"/>
        </w:rPr>
        <w:t>3.1.6.5</w:t>
      </w:r>
      <w:r>
        <w:rPr>
          <w:rFonts w:ascii="Times New Roman" w:hAnsi="Times New Roman" w:cs="Times New Roman" w:eastAsiaTheme="minorEastAsia"/>
        </w:rPr>
        <w:t xml:space="preserve"> 供电</w:t>
      </w:r>
    </w:p>
    <w:p>
      <w:pPr>
        <w:spacing w:line="360" w:lineRule="auto"/>
        <w:ind w:firstLine="480" w:firstLineChars="200"/>
        <w:rPr>
          <w:rFonts w:ascii="Times New Roman" w:hAnsi="Times New Roman" w:cs="Times New Roman"/>
        </w:rPr>
      </w:pPr>
      <w:r>
        <w:rPr>
          <w:rFonts w:ascii="Times New Roman" w:hAnsi="Times New Roman" w:cs="Times New Roman"/>
        </w:rPr>
        <w:t>项目用电由园区供电网供给，年用电4313.53万kW·h。</w:t>
      </w:r>
    </w:p>
    <w:p>
      <w:pPr>
        <w:pStyle w:val="5"/>
        <w:ind w:firstLine="482"/>
        <w:rPr>
          <w:rFonts w:ascii="Times New Roman" w:hAnsi="Times New Roman" w:cs="Times New Roman" w:eastAsiaTheme="minorEastAsia"/>
        </w:rPr>
      </w:pPr>
      <w:r>
        <w:rPr>
          <w:rFonts w:ascii="Times New Roman" w:hAnsi="Times New Roman" w:cs="Times New Roman"/>
        </w:rPr>
        <w:t>3.1.6.6</w:t>
      </w:r>
      <w:r>
        <w:rPr>
          <w:rFonts w:ascii="Times New Roman" w:hAnsi="Times New Roman" w:cs="Times New Roman" w:eastAsiaTheme="minorEastAsia"/>
        </w:rPr>
        <w:t xml:space="preserve"> 燃气</w:t>
      </w:r>
    </w:p>
    <w:p>
      <w:pPr>
        <w:spacing w:line="360" w:lineRule="auto"/>
        <w:ind w:firstLine="480" w:firstLineChars="200"/>
        <w:rPr>
          <w:rFonts w:ascii="Times New Roman" w:hAnsi="Times New Roman" w:cs="Times New Roman"/>
        </w:rPr>
      </w:pPr>
      <w:r>
        <w:rPr>
          <w:rFonts w:ascii="Times New Roman" w:hAnsi="Times New Roman" w:cs="Times New Roman"/>
        </w:rPr>
        <w:t>项目使用天然气由园区管网供给，年总用气量为31.68万m</w:t>
      </w:r>
      <w:r>
        <w:rPr>
          <w:rFonts w:ascii="Times New Roman" w:hAnsi="Times New Roman" w:cs="Times New Roman"/>
          <w:vertAlign w:val="superscript"/>
        </w:rPr>
        <w:t>3</w:t>
      </w:r>
      <w:r>
        <w:rPr>
          <w:rFonts w:ascii="Times New Roman" w:hAnsi="Times New Roman" w:cs="Times New Roman"/>
        </w:rPr>
        <w:t>/a。</w:t>
      </w:r>
    </w:p>
    <w:p>
      <w:pPr>
        <w:pStyle w:val="5"/>
        <w:ind w:firstLine="482"/>
        <w:rPr>
          <w:rFonts w:ascii="Times New Roman" w:hAnsi="Times New Roman" w:cs="Times New Roman" w:eastAsiaTheme="minorEastAsia"/>
        </w:rPr>
      </w:pPr>
      <w:r>
        <w:rPr>
          <w:rFonts w:ascii="Times New Roman" w:hAnsi="Times New Roman" w:cs="Times New Roman"/>
        </w:rPr>
        <w:t>3.1.6.7</w:t>
      </w:r>
      <w:r>
        <w:rPr>
          <w:rFonts w:ascii="Times New Roman" w:hAnsi="Times New Roman" w:cs="Times New Roman" w:eastAsiaTheme="minorEastAsia"/>
        </w:rPr>
        <w:t xml:space="preserve"> 储运系统</w:t>
      </w:r>
    </w:p>
    <w:p>
      <w:pPr>
        <w:spacing w:line="360" w:lineRule="auto"/>
        <w:ind w:firstLine="480" w:firstLineChars="200"/>
        <w:rPr>
          <w:rFonts w:ascii="Times New Roman" w:hAnsi="Times New Roman" w:cs="Times New Roman"/>
        </w:rPr>
      </w:pPr>
      <w:r>
        <w:rPr>
          <w:rFonts w:ascii="Times New Roman" w:hAnsi="Times New Roman" w:cs="Times New Roman"/>
        </w:rPr>
        <w:t>外部运输：外部运入主要货物为废旧锂电池、硫酸、液碱、萃取剂、磺化煤油等原料。运出为硫酸钴、硫酸镍、硫酸锰、碳酸锂、磷酸铁、铝、铜、铁、石墨、铁铝渣等产品及各类固废。外部运输主要采用汽车运输。</w:t>
      </w:r>
    </w:p>
    <w:p>
      <w:pPr>
        <w:spacing w:line="360" w:lineRule="auto"/>
        <w:ind w:firstLine="480" w:firstLineChars="200"/>
        <w:rPr>
          <w:rFonts w:ascii="Times New Roman" w:hAnsi="Times New Roman" w:cs="Times New Roman"/>
        </w:rPr>
      </w:pPr>
      <w:r>
        <w:rPr>
          <w:rFonts w:ascii="Times New Roman" w:hAnsi="Times New Roman" w:cs="Times New Roman"/>
        </w:rPr>
        <w:t>内部运输：内部运输货物主要是分为液态和固态的，液态的硫酸、液碱和溶液采用管道输送；固态的原料和辅助材料及产品与中间产品，用汽车、叉车、铲车、皮带运输机、电动葫芦多种工具结合来实现。</w:t>
      </w:r>
    </w:p>
    <w:p>
      <w:pPr>
        <w:pStyle w:val="5"/>
        <w:ind w:firstLine="482"/>
        <w:rPr>
          <w:rFonts w:ascii="Times New Roman" w:hAnsi="Times New Roman" w:cs="Times New Roman" w:eastAsiaTheme="minorEastAsia"/>
        </w:rPr>
      </w:pPr>
      <w:bookmarkStart w:id="148" w:name="_Toc102658208"/>
      <w:r>
        <w:rPr>
          <w:rFonts w:ascii="Times New Roman" w:hAnsi="Times New Roman" w:cs="Times New Roman"/>
        </w:rPr>
        <w:t>3.1.6.8</w:t>
      </w:r>
      <w:r>
        <w:rPr>
          <w:rFonts w:ascii="Times New Roman" w:hAnsi="Times New Roman" w:cs="Times New Roman" w:eastAsiaTheme="minorEastAsia"/>
        </w:rPr>
        <w:t xml:space="preserve"> 依托工程</w:t>
      </w:r>
    </w:p>
    <w:p>
      <w:pPr>
        <w:spacing w:line="360" w:lineRule="auto"/>
        <w:ind w:firstLine="480" w:firstLineChars="200"/>
        <w:rPr>
          <w:rFonts w:ascii="Times New Roman" w:hAnsi="Times New Roman" w:cs="Times New Roman"/>
        </w:rPr>
      </w:pPr>
      <w:r>
        <w:rPr>
          <w:rFonts w:ascii="Times New Roman" w:hAnsi="Times New Roman" w:cs="Times New Roman"/>
        </w:rPr>
        <w:t>本项目具体依托情况见下表。</w:t>
      </w:r>
    </w:p>
    <w:p>
      <w:pPr>
        <w:spacing w:line="360" w:lineRule="auto"/>
        <w:ind w:firstLine="480" w:firstLineChars="200"/>
        <w:rPr>
          <w:rFonts w:ascii="Times New Roman" w:hAnsi="Times New Roman" w:cs="Times New Roman"/>
        </w:rPr>
      </w:pPr>
    </w:p>
    <w:p>
      <w:pPr>
        <w:spacing w:line="360" w:lineRule="auto"/>
        <w:ind w:firstLine="480" w:firstLineChars="200"/>
        <w:rPr>
          <w:rFonts w:ascii="Times New Roman" w:hAnsi="Times New Roman" w:cs="Times New Roman"/>
        </w:rPr>
      </w:pPr>
    </w:p>
    <w:p>
      <w:pPr>
        <w:pStyle w:val="6"/>
        <w:rPr>
          <w:rFonts w:ascii="Times New Roman" w:hAnsi="Times New Roman" w:cs="Times New Roman"/>
        </w:rPr>
      </w:pPr>
      <w:r>
        <w:rPr>
          <w:rFonts w:ascii="Times New Roman" w:hAnsi="Times New Roman" w:cs="Times New Roman"/>
        </w:rPr>
        <w:t>表3.1-2</w:t>
      </w:r>
      <w:r>
        <w:rPr>
          <w:rFonts w:hint="eastAsia" w:ascii="Times New Roman" w:hAnsi="Times New Roman" w:cs="Times New Roman"/>
        </w:rPr>
        <w:t>4</w:t>
      </w:r>
      <w:r>
        <w:rPr>
          <w:rFonts w:ascii="Times New Roman" w:hAnsi="Times New Roman" w:cs="Times New Roman"/>
        </w:rPr>
        <w:t xml:space="preserve">  项目依托工程情况一览表</w:t>
      </w:r>
    </w:p>
    <w:tbl>
      <w:tblPr>
        <w:tblStyle w:val="35"/>
        <w:tblW w:w="0" w:type="auto"/>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673"/>
        <w:gridCol w:w="1552"/>
        <w:gridCol w:w="1410"/>
        <w:gridCol w:w="2391"/>
        <w:gridCol w:w="1173"/>
        <w:gridCol w:w="133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73" w:type="dxa"/>
            <w:shd w:val="clear" w:color="auto" w:fill="auto"/>
            <w:vAlign w:val="center"/>
          </w:tcPr>
          <w:p>
            <w:pPr>
              <w:pStyle w:val="63"/>
            </w:pPr>
            <w:r>
              <w:t>序号</w:t>
            </w:r>
          </w:p>
        </w:tc>
        <w:tc>
          <w:tcPr>
            <w:tcW w:w="2962" w:type="dxa"/>
            <w:gridSpan w:val="2"/>
            <w:shd w:val="clear" w:color="auto" w:fill="auto"/>
            <w:vAlign w:val="center"/>
          </w:tcPr>
          <w:p>
            <w:pPr>
              <w:pStyle w:val="63"/>
            </w:pPr>
            <w:r>
              <w:t>类别</w:t>
            </w:r>
          </w:p>
        </w:tc>
        <w:tc>
          <w:tcPr>
            <w:tcW w:w="2391" w:type="dxa"/>
            <w:shd w:val="clear" w:color="auto" w:fill="auto"/>
            <w:vAlign w:val="center"/>
          </w:tcPr>
          <w:p>
            <w:pPr>
              <w:pStyle w:val="63"/>
            </w:pPr>
            <w:r>
              <w:t>依托情况</w:t>
            </w:r>
          </w:p>
        </w:tc>
        <w:tc>
          <w:tcPr>
            <w:tcW w:w="1173" w:type="dxa"/>
            <w:shd w:val="clear" w:color="auto" w:fill="auto"/>
            <w:vAlign w:val="center"/>
          </w:tcPr>
          <w:p>
            <w:pPr>
              <w:pStyle w:val="63"/>
            </w:pPr>
            <w:r>
              <w:t>处理能力</w:t>
            </w:r>
          </w:p>
        </w:tc>
        <w:tc>
          <w:tcPr>
            <w:tcW w:w="1330" w:type="dxa"/>
            <w:shd w:val="clear" w:color="auto" w:fill="auto"/>
            <w:vAlign w:val="center"/>
          </w:tcPr>
          <w:p>
            <w:pPr>
              <w:pStyle w:val="63"/>
            </w:pPr>
            <w:r>
              <w:t>富余量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73" w:type="dxa"/>
            <w:vMerge w:val="restart"/>
            <w:shd w:val="clear" w:color="auto" w:fill="auto"/>
            <w:vAlign w:val="center"/>
          </w:tcPr>
          <w:p>
            <w:pPr>
              <w:pStyle w:val="63"/>
            </w:pPr>
            <w:r>
              <w:t>1</w:t>
            </w:r>
          </w:p>
        </w:tc>
        <w:tc>
          <w:tcPr>
            <w:tcW w:w="1552" w:type="dxa"/>
            <w:vMerge w:val="restart"/>
            <w:shd w:val="clear" w:color="auto" w:fill="auto"/>
            <w:vAlign w:val="center"/>
          </w:tcPr>
          <w:p>
            <w:pPr>
              <w:pStyle w:val="63"/>
            </w:pPr>
            <w:r>
              <w:t>公用工程</w:t>
            </w:r>
          </w:p>
        </w:tc>
        <w:tc>
          <w:tcPr>
            <w:tcW w:w="1410" w:type="dxa"/>
            <w:shd w:val="clear" w:color="auto" w:fill="auto"/>
            <w:vAlign w:val="center"/>
          </w:tcPr>
          <w:p>
            <w:pPr>
              <w:pStyle w:val="63"/>
            </w:pPr>
            <w:r>
              <w:t>供水</w:t>
            </w:r>
          </w:p>
        </w:tc>
        <w:tc>
          <w:tcPr>
            <w:tcW w:w="2391" w:type="dxa"/>
            <w:shd w:val="clear" w:color="auto" w:fill="auto"/>
            <w:vAlign w:val="center"/>
          </w:tcPr>
          <w:p>
            <w:pPr>
              <w:pStyle w:val="63"/>
            </w:pPr>
            <w:r>
              <w:t>市政统一供水</w:t>
            </w:r>
          </w:p>
        </w:tc>
        <w:tc>
          <w:tcPr>
            <w:tcW w:w="1173" w:type="dxa"/>
            <w:shd w:val="clear" w:color="auto" w:fill="auto"/>
            <w:vAlign w:val="center"/>
          </w:tcPr>
          <w:p>
            <w:pPr>
              <w:pStyle w:val="63"/>
            </w:pPr>
            <w:r>
              <w:t>/</w:t>
            </w:r>
          </w:p>
        </w:tc>
        <w:tc>
          <w:tcPr>
            <w:tcW w:w="1330" w:type="dxa"/>
            <w:shd w:val="clear" w:color="auto" w:fill="auto"/>
            <w:vAlign w:val="center"/>
          </w:tcPr>
          <w:p>
            <w:pPr>
              <w:pStyle w:val="63"/>
            </w:pPr>
            <w: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73" w:type="dxa"/>
            <w:vMerge w:val="continue"/>
            <w:shd w:val="clear" w:color="auto" w:fill="auto"/>
            <w:vAlign w:val="center"/>
          </w:tcPr>
          <w:p>
            <w:pPr>
              <w:pStyle w:val="63"/>
            </w:pPr>
          </w:p>
        </w:tc>
        <w:tc>
          <w:tcPr>
            <w:tcW w:w="1552" w:type="dxa"/>
            <w:vMerge w:val="continue"/>
            <w:shd w:val="clear" w:color="auto" w:fill="auto"/>
            <w:vAlign w:val="center"/>
          </w:tcPr>
          <w:p>
            <w:pPr>
              <w:pStyle w:val="63"/>
            </w:pPr>
          </w:p>
        </w:tc>
        <w:tc>
          <w:tcPr>
            <w:tcW w:w="1410" w:type="dxa"/>
            <w:shd w:val="clear" w:color="auto" w:fill="auto"/>
            <w:vAlign w:val="center"/>
          </w:tcPr>
          <w:p>
            <w:pPr>
              <w:pStyle w:val="63"/>
            </w:pPr>
            <w:r>
              <w:t>供电</w:t>
            </w:r>
          </w:p>
        </w:tc>
        <w:tc>
          <w:tcPr>
            <w:tcW w:w="2391" w:type="dxa"/>
            <w:shd w:val="clear" w:color="auto" w:fill="auto"/>
            <w:vAlign w:val="center"/>
          </w:tcPr>
          <w:p>
            <w:pPr>
              <w:pStyle w:val="63"/>
            </w:pPr>
            <w:r>
              <w:t>当地变电站</w:t>
            </w:r>
          </w:p>
        </w:tc>
        <w:tc>
          <w:tcPr>
            <w:tcW w:w="1173" w:type="dxa"/>
            <w:shd w:val="clear" w:color="auto" w:fill="auto"/>
            <w:vAlign w:val="center"/>
          </w:tcPr>
          <w:p>
            <w:pPr>
              <w:pStyle w:val="63"/>
            </w:pPr>
            <w:r>
              <w:t>/</w:t>
            </w:r>
          </w:p>
        </w:tc>
        <w:tc>
          <w:tcPr>
            <w:tcW w:w="1330" w:type="dxa"/>
            <w:shd w:val="clear" w:color="auto" w:fill="auto"/>
            <w:vAlign w:val="center"/>
          </w:tcPr>
          <w:p>
            <w:pPr>
              <w:pStyle w:val="63"/>
            </w:pPr>
            <w: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73" w:type="dxa"/>
            <w:vMerge w:val="continue"/>
            <w:shd w:val="clear" w:color="auto" w:fill="auto"/>
            <w:vAlign w:val="center"/>
          </w:tcPr>
          <w:p>
            <w:pPr>
              <w:pStyle w:val="63"/>
            </w:pPr>
          </w:p>
        </w:tc>
        <w:tc>
          <w:tcPr>
            <w:tcW w:w="1552" w:type="dxa"/>
            <w:vMerge w:val="continue"/>
            <w:shd w:val="clear" w:color="auto" w:fill="auto"/>
            <w:vAlign w:val="center"/>
          </w:tcPr>
          <w:p>
            <w:pPr>
              <w:pStyle w:val="63"/>
            </w:pPr>
          </w:p>
        </w:tc>
        <w:tc>
          <w:tcPr>
            <w:tcW w:w="1410" w:type="dxa"/>
            <w:shd w:val="clear" w:color="auto" w:fill="auto"/>
            <w:vAlign w:val="center"/>
          </w:tcPr>
          <w:p>
            <w:pPr>
              <w:pStyle w:val="63"/>
            </w:pPr>
            <w:r>
              <w:t>燃气</w:t>
            </w:r>
          </w:p>
        </w:tc>
        <w:tc>
          <w:tcPr>
            <w:tcW w:w="2391" w:type="dxa"/>
            <w:shd w:val="clear" w:color="auto" w:fill="auto"/>
            <w:vAlign w:val="center"/>
          </w:tcPr>
          <w:p>
            <w:pPr>
              <w:pStyle w:val="63"/>
            </w:pPr>
            <w:r>
              <w:t>当地天然气管道</w:t>
            </w:r>
          </w:p>
        </w:tc>
        <w:tc>
          <w:tcPr>
            <w:tcW w:w="1173" w:type="dxa"/>
            <w:shd w:val="clear" w:color="auto" w:fill="auto"/>
            <w:vAlign w:val="center"/>
          </w:tcPr>
          <w:p>
            <w:pPr>
              <w:pStyle w:val="63"/>
            </w:pPr>
            <w:r>
              <w:t>/</w:t>
            </w:r>
          </w:p>
        </w:tc>
        <w:tc>
          <w:tcPr>
            <w:tcW w:w="1330" w:type="dxa"/>
            <w:shd w:val="clear" w:color="auto" w:fill="auto"/>
            <w:vAlign w:val="center"/>
          </w:tcPr>
          <w:p>
            <w:pPr>
              <w:pStyle w:val="63"/>
            </w:pPr>
            <w: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73" w:type="dxa"/>
            <w:vMerge w:val="restart"/>
            <w:shd w:val="clear" w:color="auto" w:fill="auto"/>
            <w:vAlign w:val="center"/>
          </w:tcPr>
          <w:p>
            <w:pPr>
              <w:pStyle w:val="63"/>
            </w:pPr>
            <w:r>
              <w:t>2</w:t>
            </w:r>
          </w:p>
        </w:tc>
        <w:tc>
          <w:tcPr>
            <w:tcW w:w="1552" w:type="dxa"/>
            <w:vMerge w:val="restart"/>
            <w:shd w:val="clear" w:color="auto" w:fill="auto"/>
            <w:vAlign w:val="center"/>
          </w:tcPr>
          <w:p>
            <w:pPr>
              <w:pStyle w:val="63"/>
            </w:pPr>
            <w:r>
              <w:t>环保工程</w:t>
            </w:r>
          </w:p>
        </w:tc>
        <w:tc>
          <w:tcPr>
            <w:tcW w:w="1410" w:type="dxa"/>
            <w:shd w:val="clear" w:color="auto" w:fill="auto"/>
            <w:vAlign w:val="center"/>
          </w:tcPr>
          <w:p>
            <w:pPr>
              <w:pStyle w:val="63"/>
            </w:pPr>
            <w:r>
              <w:t>生活污水</w:t>
            </w:r>
          </w:p>
        </w:tc>
        <w:tc>
          <w:tcPr>
            <w:tcW w:w="2391" w:type="dxa"/>
            <w:vMerge w:val="restart"/>
            <w:shd w:val="clear" w:color="auto" w:fill="auto"/>
            <w:vAlign w:val="center"/>
          </w:tcPr>
          <w:p>
            <w:pPr>
              <w:pStyle w:val="63"/>
            </w:pPr>
            <w:r>
              <w:t>依托园区污水处理厂</w:t>
            </w:r>
          </w:p>
        </w:tc>
        <w:tc>
          <w:tcPr>
            <w:tcW w:w="1173" w:type="dxa"/>
            <w:vMerge w:val="restart"/>
            <w:shd w:val="clear" w:color="auto" w:fill="auto"/>
            <w:vAlign w:val="center"/>
          </w:tcPr>
          <w:p>
            <w:pPr>
              <w:pStyle w:val="63"/>
            </w:pPr>
            <w:r>
              <w:t>10000m</w:t>
            </w:r>
            <w:r>
              <w:rPr>
                <w:vertAlign w:val="superscript"/>
              </w:rPr>
              <w:t>3</w:t>
            </w:r>
            <w:r>
              <w:t>/d</w:t>
            </w:r>
          </w:p>
        </w:tc>
        <w:tc>
          <w:tcPr>
            <w:tcW w:w="1330" w:type="dxa"/>
            <w:vMerge w:val="restart"/>
            <w:shd w:val="clear" w:color="auto" w:fill="auto"/>
            <w:vAlign w:val="center"/>
          </w:tcPr>
          <w:p>
            <w:pPr>
              <w:pStyle w:val="63"/>
            </w:pPr>
            <w:r>
              <w:t>3500m</w:t>
            </w:r>
            <w:r>
              <w:rPr>
                <w:vertAlign w:val="superscript"/>
              </w:rPr>
              <w:t>3</w:t>
            </w:r>
            <w:r>
              <w:t>/d</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73" w:type="dxa"/>
            <w:vMerge w:val="continue"/>
            <w:shd w:val="clear" w:color="auto" w:fill="auto"/>
            <w:vAlign w:val="center"/>
          </w:tcPr>
          <w:p>
            <w:pPr>
              <w:pStyle w:val="63"/>
            </w:pPr>
          </w:p>
        </w:tc>
        <w:tc>
          <w:tcPr>
            <w:tcW w:w="1552" w:type="dxa"/>
            <w:vMerge w:val="continue"/>
            <w:shd w:val="clear" w:color="auto" w:fill="auto"/>
            <w:vAlign w:val="center"/>
          </w:tcPr>
          <w:p>
            <w:pPr>
              <w:pStyle w:val="63"/>
            </w:pPr>
          </w:p>
        </w:tc>
        <w:tc>
          <w:tcPr>
            <w:tcW w:w="1410" w:type="dxa"/>
            <w:shd w:val="clear" w:color="auto" w:fill="auto"/>
            <w:vAlign w:val="center"/>
          </w:tcPr>
          <w:p>
            <w:pPr>
              <w:pStyle w:val="63"/>
            </w:pPr>
            <w:r>
              <w:rPr>
                <w:rFonts w:hint="eastAsia"/>
              </w:rPr>
              <w:t>冷凝水</w:t>
            </w:r>
          </w:p>
        </w:tc>
        <w:tc>
          <w:tcPr>
            <w:tcW w:w="2391" w:type="dxa"/>
            <w:vMerge w:val="continue"/>
            <w:shd w:val="clear" w:color="auto" w:fill="auto"/>
            <w:vAlign w:val="center"/>
          </w:tcPr>
          <w:p>
            <w:pPr>
              <w:pStyle w:val="63"/>
            </w:pPr>
          </w:p>
        </w:tc>
        <w:tc>
          <w:tcPr>
            <w:tcW w:w="1173" w:type="dxa"/>
            <w:vMerge w:val="continue"/>
            <w:shd w:val="clear" w:color="auto" w:fill="auto"/>
            <w:vAlign w:val="center"/>
          </w:tcPr>
          <w:p>
            <w:pPr>
              <w:pStyle w:val="63"/>
            </w:pPr>
          </w:p>
        </w:tc>
        <w:tc>
          <w:tcPr>
            <w:tcW w:w="1330" w:type="dxa"/>
            <w:vMerge w:val="continue"/>
            <w:shd w:val="clear" w:color="auto" w:fill="auto"/>
            <w:vAlign w:val="center"/>
          </w:tcPr>
          <w:p>
            <w:pPr>
              <w:pStyle w:val="63"/>
            </w:pPr>
          </w:p>
        </w:tc>
      </w:tr>
    </w:tbl>
    <w:p>
      <w:pPr>
        <w:pStyle w:val="4"/>
        <w:rPr>
          <w:rFonts w:ascii="Times New Roman" w:hAnsi="Times New Roman" w:cs="Times New Roman"/>
          <w:u w:val="single"/>
        </w:rPr>
      </w:pPr>
      <w:bookmarkStart w:id="149" w:name="_Toc144236757"/>
      <w:bookmarkStart w:id="150" w:name="_Toc147848007"/>
      <w:bookmarkStart w:id="151" w:name="_Toc144276887"/>
      <w:r>
        <w:rPr>
          <w:rFonts w:ascii="Times New Roman" w:hAnsi="Times New Roman" w:cs="Times New Roman"/>
          <w:u w:val="single"/>
        </w:rPr>
        <w:t>3.1.7 总平面布置</w:t>
      </w:r>
      <w:bookmarkEnd w:id="148"/>
      <w:bookmarkEnd w:id="149"/>
      <w:bookmarkEnd w:id="150"/>
      <w:bookmarkEnd w:id="151"/>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梯次利用厂区与废旧锂电池及锂电池废料的综合回收利用厂区分开布设，梯次利用厂区中心位置地理坐标：E112°48′39.170″，N27°0′0.155″，为现有已建成标准厂房，后续在标准厂房内进行分隔。其中北部区域由东向西依次布设休息区、原材料仓库、辅料仓库、包材区，南侧由东向西，布设电池包模组拆解生产线，主要为电池包进行</w:t>
      </w:r>
      <w:r>
        <w:rPr>
          <w:rFonts w:hint="eastAsia" w:ascii="Times New Roman" w:hAnsi="Times New Roman" w:cs="Times New Roman"/>
          <w:u w:val="single"/>
        </w:rPr>
        <w:t>放电/拆解/重组/，最西南角布设危废暂存间。</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废旧锂电池及锂电池废料的综合回收利用厂区中心位置地理坐标：E112°48′18.80″，N27°0′53.25″，占地面积533</w:t>
      </w:r>
      <w:r>
        <w:rPr>
          <w:rFonts w:hint="eastAsia" w:ascii="Times New Roman" w:hAnsi="Times New Roman" w:cs="Times New Roman"/>
          <w:u w:val="single"/>
        </w:rPr>
        <w:t>3</w:t>
      </w:r>
      <w:r>
        <w:rPr>
          <w:rFonts w:ascii="Times New Roman" w:hAnsi="Times New Roman" w:cs="Times New Roman"/>
          <w:u w:val="single"/>
        </w:rPr>
        <w:t>3m</w:t>
      </w:r>
      <w:r>
        <w:rPr>
          <w:rFonts w:ascii="Times New Roman" w:hAnsi="Times New Roman" w:cs="Times New Roman"/>
          <w:u w:val="single"/>
          <w:vertAlign w:val="superscript"/>
        </w:rPr>
        <w:t>2</w:t>
      </w:r>
      <w:r>
        <w:rPr>
          <w:rFonts w:ascii="Times New Roman" w:hAnsi="Times New Roman" w:cs="Times New Roman"/>
          <w:u w:val="single"/>
        </w:rPr>
        <w:t>（约80亩），其中60亩为新增用地，20亩为购置衡阳恒旺锂电新材料有限公司建设用地。</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衡阳恒旺锂电新材料有限公司20亩建设用地主要建设废旧电池预处理工序，从南至北依次分布磷酸铁锂电池拆解车间（厂房一）、三元锂电池拆解车间（厂房二）、锅炉房、除尘室及配电室及原料仓库1；新增60亩建设用地主要建设其他工序从北至南依次分布浸出车间、萃取车间、原料仓库2、甲类仓库、MVR处理区、成品仓库、结晶车间。</w:t>
      </w:r>
    </w:p>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废旧电池经运输至厂区后，首先进行</w:t>
      </w:r>
      <w:r>
        <w:rPr>
          <w:rFonts w:ascii="Times New Roman" w:hAnsi="Times New Roman" w:cs="Times New Roman"/>
          <w:u w:val="single"/>
        </w:rPr>
        <w:t>处理工序，其中磷酸铁锂电池经拆解车间（厂房一）预处理后，通过厂区内部</w:t>
      </w:r>
      <w:r>
        <w:rPr>
          <w:rFonts w:hint="eastAsia" w:ascii="Times New Roman" w:hAnsi="Times New Roman" w:cs="Times New Roman"/>
          <w:u w:val="single"/>
        </w:rPr>
        <w:t>廊道运输至</w:t>
      </w:r>
      <w:r>
        <w:rPr>
          <w:rFonts w:ascii="Times New Roman" w:hAnsi="Times New Roman" w:cs="Times New Roman"/>
          <w:u w:val="single"/>
        </w:rPr>
        <w:t>浸出车间的磷酸铁锂电池浸出生产线进行</w:t>
      </w:r>
      <w:r>
        <w:rPr>
          <w:rFonts w:hint="eastAsia" w:ascii="Times New Roman" w:hAnsi="Times New Roman" w:cs="Times New Roman"/>
          <w:u w:val="single"/>
        </w:rPr>
        <w:t>浸出</w:t>
      </w:r>
      <w:r>
        <w:rPr>
          <w:rFonts w:ascii="Times New Roman" w:hAnsi="Times New Roman" w:cs="Times New Roman"/>
          <w:u w:val="single"/>
        </w:rPr>
        <w:t>工序，浸出液运输至</w:t>
      </w:r>
      <w:r>
        <w:rPr>
          <w:rFonts w:hint="eastAsia" w:ascii="Times New Roman" w:hAnsi="Times New Roman" w:cs="Times New Roman"/>
          <w:u w:val="single"/>
        </w:rPr>
        <w:t>MVR处理区、</w:t>
      </w:r>
      <w:r>
        <w:rPr>
          <w:rFonts w:ascii="Times New Roman" w:hAnsi="Times New Roman" w:cs="Times New Roman"/>
          <w:u w:val="single"/>
        </w:rPr>
        <w:t>结晶车间进行结晶，制取碳酸锂；</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三元锂电池经拆解车间（厂房二）预处理后，通过厂区内部</w:t>
      </w:r>
      <w:r>
        <w:rPr>
          <w:rFonts w:hint="eastAsia" w:ascii="Times New Roman" w:hAnsi="Times New Roman" w:cs="Times New Roman"/>
          <w:u w:val="single"/>
        </w:rPr>
        <w:t>廊道运输至</w:t>
      </w:r>
      <w:r>
        <w:rPr>
          <w:rFonts w:ascii="Times New Roman" w:hAnsi="Times New Roman" w:cs="Times New Roman"/>
          <w:u w:val="single"/>
        </w:rPr>
        <w:t>浸出车间的三元锂电池浸出生产线进行</w:t>
      </w:r>
      <w:r>
        <w:rPr>
          <w:rFonts w:hint="eastAsia" w:ascii="Times New Roman" w:hAnsi="Times New Roman" w:cs="Times New Roman"/>
          <w:u w:val="single"/>
        </w:rPr>
        <w:t>浸出</w:t>
      </w:r>
      <w:r>
        <w:rPr>
          <w:rFonts w:ascii="Times New Roman" w:hAnsi="Times New Roman" w:cs="Times New Roman"/>
          <w:u w:val="single"/>
        </w:rPr>
        <w:t>工序，浸出后进行萃取车间进行萃取硫酸镍、硫酸钴、硫酸锰，萃余液</w:t>
      </w:r>
      <w:r>
        <w:rPr>
          <w:rFonts w:hint="eastAsia" w:ascii="Times New Roman" w:hAnsi="Times New Roman" w:cs="Times New Roman"/>
          <w:u w:val="single"/>
        </w:rPr>
        <w:t>输送</w:t>
      </w:r>
      <w:r>
        <w:rPr>
          <w:rFonts w:ascii="Times New Roman" w:hAnsi="Times New Roman" w:cs="Times New Roman"/>
          <w:u w:val="single"/>
        </w:rPr>
        <w:t>至</w:t>
      </w:r>
      <w:r>
        <w:rPr>
          <w:rFonts w:hint="eastAsia" w:ascii="Times New Roman" w:hAnsi="Times New Roman" w:cs="Times New Roman"/>
          <w:u w:val="single"/>
        </w:rPr>
        <w:t>MVR处理区、</w:t>
      </w:r>
      <w:r>
        <w:rPr>
          <w:rFonts w:ascii="Times New Roman" w:hAnsi="Times New Roman" w:cs="Times New Roman"/>
          <w:u w:val="single"/>
        </w:rPr>
        <w:t>结晶车间进行结晶，制取碳酸锂。</w:t>
      </w:r>
    </w:p>
    <w:p>
      <w:pPr>
        <w:pStyle w:val="3"/>
        <w:rPr>
          <w:rFonts w:ascii="Times New Roman" w:hAnsi="Times New Roman" w:cs="Times New Roman" w:eastAsiaTheme="minorEastAsia"/>
        </w:rPr>
      </w:pPr>
      <w:bookmarkStart w:id="152" w:name="_Toc144236758"/>
      <w:bookmarkStart w:id="153" w:name="_Toc144276888"/>
      <w:bookmarkStart w:id="154" w:name="_Toc147848008"/>
      <w:r>
        <w:rPr>
          <w:rFonts w:ascii="Times New Roman" w:hAnsi="Times New Roman" w:cs="Times New Roman" w:eastAsiaTheme="minorEastAsia"/>
        </w:rPr>
        <w:t>3.2 工程分析及污染源强分析</w:t>
      </w:r>
      <w:bookmarkEnd w:id="152"/>
      <w:bookmarkEnd w:id="153"/>
      <w:bookmarkEnd w:id="154"/>
    </w:p>
    <w:p>
      <w:pPr>
        <w:pStyle w:val="4"/>
        <w:rPr>
          <w:rFonts w:ascii="Times New Roman" w:hAnsi="Times New Roman" w:cs="Times New Roman"/>
        </w:rPr>
      </w:pPr>
      <w:bookmarkStart w:id="155" w:name="_Toc144236759"/>
      <w:bookmarkStart w:id="156" w:name="_Toc147848009"/>
      <w:bookmarkStart w:id="157" w:name="_Toc144276889"/>
      <w:r>
        <w:rPr>
          <w:rFonts w:ascii="Times New Roman" w:hAnsi="Times New Roman" w:cs="Times New Roman"/>
        </w:rPr>
        <w:t>3.2.1 施工期工艺流程及污染源强核算</w:t>
      </w:r>
      <w:bookmarkEnd w:id="155"/>
      <w:bookmarkEnd w:id="156"/>
      <w:bookmarkEnd w:id="157"/>
    </w:p>
    <w:p>
      <w:pPr>
        <w:pStyle w:val="5"/>
        <w:ind w:firstLine="482"/>
        <w:rPr>
          <w:rFonts w:ascii="Times New Roman" w:hAnsi="Times New Roman" w:cs="Times New Roman" w:eastAsiaTheme="minorEastAsia"/>
        </w:rPr>
      </w:pPr>
      <w:r>
        <w:rPr>
          <w:rFonts w:ascii="Times New Roman" w:hAnsi="Times New Roman" w:cs="Times New Roman" w:eastAsiaTheme="minorEastAsia"/>
        </w:rPr>
        <w:t>3.2.1.1 施工工艺流程</w:t>
      </w:r>
    </w:p>
    <w:p>
      <w:pPr>
        <w:spacing w:line="360" w:lineRule="auto"/>
        <w:ind w:firstLine="480" w:firstLineChars="200"/>
        <w:rPr>
          <w:rFonts w:ascii="Times New Roman" w:hAnsi="Times New Roman" w:cs="Times New Roman"/>
        </w:rPr>
      </w:pPr>
      <w:r>
        <w:rPr>
          <w:rFonts w:ascii="Times New Roman" w:hAnsi="Times New Roman" w:cs="Times New Roman"/>
        </w:rPr>
        <w:t>本项目总占地面积为120亩，梯次利用厂区占地面积40亩，为购置标准厂房，后续在标准厂房内进行分隔，废旧锂电池及锂电池废料的综合回收利用厂区占地面积80亩，其中60亩为新增用地，为未建设用地，20亩为购置衡阳恒旺锂电新材料有限公司建设用地，衡阳恒旺锂电新材料有限公司目前已退出，厂房内无机械设备，仅遗留建有厂房2座</w:t>
      </w:r>
      <w:r>
        <w:rPr>
          <w:rFonts w:hint="eastAsia" w:ascii="Times New Roman" w:hAnsi="Times New Roman" w:cs="Times New Roman"/>
        </w:rPr>
        <w:t>，未存在遗留环境问题。</w:t>
      </w:r>
    </w:p>
    <w:p>
      <w:pPr>
        <w:spacing w:line="360" w:lineRule="auto"/>
        <w:ind w:firstLine="480" w:firstLineChars="200"/>
        <w:rPr>
          <w:rFonts w:ascii="Times New Roman" w:hAnsi="Times New Roman" w:cs="Times New Roman"/>
        </w:rPr>
      </w:pPr>
      <w:r>
        <w:rPr>
          <w:rFonts w:ascii="Times New Roman" w:hAnsi="Times New Roman" w:cs="Times New Roman"/>
        </w:rPr>
        <w:t>施工期主要为现有厂房的拆除、场地硬化及主体结构施工，项目施工期主要工艺流程及产污环节见下图：</w:t>
      </w:r>
    </w:p>
    <w:p>
      <w:pPr>
        <w:jc w:val="center"/>
        <w:rPr>
          <w:rFonts w:ascii="Times New Roman" w:hAnsi="Times New Roman" w:cs="Times New Roman"/>
        </w:rPr>
      </w:pPr>
      <w:r>
        <w:rPr>
          <w:rFonts w:ascii="Times New Roman" w:hAnsi="Times New Roman" w:cs="Times New Roman"/>
        </w:rPr>
        <w:drawing>
          <wp:inline distT="0" distB="0" distL="0" distR="0">
            <wp:extent cx="5266055" cy="20574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266055" cy="2057400"/>
                    </a:xfrm>
                    <a:prstGeom prst="rect">
                      <a:avLst/>
                    </a:prstGeom>
                    <a:noFill/>
                    <a:ln>
                      <a:noFill/>
                    </a:ln>
                  </pic:spPr>
                </pic:pic>
              </a:graphicData>
            </a:graphic>
          </wp:inline>
        </w:drawing>
      </w:r>
    </w:p>
    <w:p>
      <w:pPr>
        <w:pStyle w:val="6"/>
        <w:rPr>
          <w:rFonts w:ascii="Times New Roman" w:hAnsi="Times New Roman" w:cs="Times New Roman"/>
        </w:rPr>
      </w:pPr>
      <w:r>
        <w:rPr>
          <w:rFonts w:ascii="Times New Roman" w:hAnsi="Times New Roman" w:cs="Times New Roman"/>
        </w:rPr>
        <w:t>图3.2-1  施工工艺流程及产污环节图</w:t>
      </w:r>
    </w:p>
    <w:p>
      <w:pPr>
        <w:spacing w:line="360" w:lineRule="auto"/>
        <w:ind w:firstLine="480" w:firstLineChars="200"/>
        <w:rPr>
          <w:rFonts w:ascii="Times New Roman" w:hAnsi="Times New Roman" w:cs="Times New Roman"/>
        </w:rPr>
      </w:pPr>
      <w:r>
        <w:rPr>
          <w:rFonts w:ascii="Times New Roman" w:hAnsi="Times New Roman" w:cs="Times New Roman"/>
        </w:rPr>
        <w:t>施工期各主要施工阶段产污环节及污染物类型、污染因子见下表：</w:t>
      </w:r>
    </w:p>
    <w:p>
      <w:pPr>
        <w:pStyle w:val="6"/>
        <w:rPr>
          <w:rFonts w:ascii="Times New Roman" w:hAnsi="Times New Roman" w:cs="Times New Roman"/>
        </w:rPr>
      </w:pPr>
      <w:r>
        <w:rPr>
          <w:rFonts w:ascii="Times New Roman" w:hAnsi="Times New Roman" w:cs="Times New Roman"/>
        </w:rPr>
        <w:t>表</w:t>
      </w:r>
      <w:r>
        <w:rPr>
          <w:rFonts w:hint="eastAsia" w:ascii="Times New Roman" w:hAnsi="Times New Roman" w:cs="Times New Roman"/>
        </w:rPr>
        <w:t>3.2-1</w:t>
      </w:r>
      <w:r>
        <w:rPr>
          <w:rFonts w:ascii="Times New Roman" w:hAnsi="Times New Roman" w:cs="Times New Roman"/>
        </w:rPr>
        <w:t xml:space="preserve"> 施工期污染因子一览表</w:t>
      </w:r>
    </w:p>
    <w:tbl>
      <w:tblPr>
        <w:tblStyle w:val="36"/>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55"/>
        <w:gridCol w:w="4389"/>
        <w:gridCol w:w="247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1" w:type="pct"/>
            <w:vAlign w:val="center"/>
          </w:tcPr>
          <w:p>
            <w:pPr>
              <w:pStyle w:val="63"/>
            </w:pPr>
            <w:r>
              <w:t>污染类型</w:t>
            </w:r>
          </w:p>
        </w:tc>
        <w:tc>
          <w:tcPr>
            <w:tcW w:w="2575" w:type="pct"/>
            <w:vAlign w:val="center"/>
          </w:tcPr>
          <w:p>
            <w:pPr>
              <w:pStyle w:val="63"/>
            </w:pPr>
            <w:r>
              <w:t>产污环节说明</w:t>
            </w:r>
          </w:p>
        </w:tc>
        <w:tc>
          <w:tcPr>
            <w:tcW w:w="1454" w:type="pct"/>
            <w:vAlign w:val="center"/>
          </w:tcPr>
          <w:p>
            <w:pPr>
              <w:pStyle w:val="63"/>
            </w:pPr>
            <w:r>
              <w:t>主要污染因子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1" w:type="pct"/>
            <w:vMerge w:val="restart"/>
            <w:vAlign w:val="center"/>
          </w:tcPr>
          <w:p>
            <w:pPr>
              <w:pStyle w:val="63"/>
            </w:pPr>
            <w:r>
              <w:t>废水</w:t>
            </w:r>
          </w:p>
        </w:tc>
        <w:tc>
          <w:tcPr>
            <w:tcW w:w="2575" w:type="pct"/>
            <w:vAlign w:val="center"/>
          </w:tcPr>
          <w:p>
            <w:pPr>
              <w:pStyle w:val="63"/>
            </w:pPr>
            <w:r>
              <w:t>施工机械、运输车辆冲洗废水</w:t>
            </w:r>
          </w:p>
        </w:tc>
        <w:tc>
          <w:tcPr>
            <w:tcW w:w="1454" w:type="pct"/>
            <w:vAlign w:val="center"/>
          </w:tcPr>
          <w:p>
            <w:pPr>
              <w:pStyle w:val="63"/>
            </w:pPr>
            <w:r>
              <w:t>COD、石油类、SS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1" w:type="pct"/>
            <w:vMerge w:val="continue"/>
            <w:vAlign w:val="center"/>
          </w:tcPr>
          <w:p>
            <w:pPr>
              <w:pStyle w:val="63"/>
            </w:pPr>
          </w:p>
        </w:tc>
        <w:tc>
          <w:tcPr>
            <w:tcW w:w="2575" w:type="pct"/>
            <w:vAlign w:val="center"/>
          </w:tcPr>
          <w:p>
            <w:pPr>
              <w:pStyle w:val="63"/>
            </w:pPr>
            <w:r>
              <w:t>施工人员生活污水</w:t>
            </w:r>
          </w:p>
        </w:tc>
        <w:tc>
          <w:tcPr>
            <w:tcW w:w="1454" w:type="pct"/>
            <w:vAlign w:val="center"/>
          </w:tcPr>
          <w:p>
            <w:pPr>
              <w:pStyle w:val="63"/>
            </w:pPr>
            <w:r>
              <w:t>COD、BOD</w:t>
            </w:r>
            <w:r>
              <w:rPr>
                <w:vertAlign w:val="subscript"/>
              </w:rPr>
              <w:t>5</w:t>
            </w:r>
            <w:r>
              <w:t>、SS、氨氮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1" w:type="pct"/>
            <w:vMerge w:val="continue"/>
            <w:vAlign w:val="center"/>
          </w:tcPr>
          <w:p>
            <w:pPr>
              <w:pStyle w:val="63"/>
            </w:pPr>
          </w:p>
        </w:tc>
        <w:tc>
          <w:tcPr>
            <w:tcW w:w="2575" w:type="pct"/>
            <w:vAlign w:val="center"/>
          </w:tcPr>
          <w:p>
            <w:pPr>
              <w:pStyle w:val="63"/>
            </w:pPr>
            <w:r>
              <w:t>地下渗水及下雨形成的泥浆水和基坑积水</w:t>
            </w:r>
          </w:p>
        </w:tc>
        <w:tc>
          <w:tcPr>
            <w:tcW w:w="1454" w:type="pct"/>
            <w:vAlign w:val="center"/>
          </w:tcPr>
          <w:p>
            <w:pPr>
              <w:pStyle w:val="63"/>
            </w:pPr>
            <w:r>
              <w:t>SS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1" w:type="pct"/>
            <w:vMerge w:val="restart"/>
            <w:vAlign w:val="center"/>
          </w:tcPr>
          <w:p>
            <w:pPr>
              <w:pStyle w:val="63"/>
            </w:pPr>
            <w:r>
              <w:t>废气</w:t>
            </w:r>
          </w:p>
        </w:tc>
        <w:tc>
          <w:tcPr>
            <w:tcW w:w="2575" w:type="pct"/>
            <w:vAlign w:val="center"/>
          </w:tcPr>
          <w:p>
            <w:pPr>
              <w:pStyle w:val="63"/>
            </w:pPr>
            <w:r>
              <w:t>临时堆场、土方开挖</w:t>
            </w:r>
          </w:p>
        </w:tc>
        <w:tc>
          <w:tcPr>
            <w:tcW w:w="1454" w:type="pct"/>
            <w:vAlign w:val="center"/>
          </w:tcPr>
          <w:p>
            <w:pPr>
              <w:pStyle w:val="63"/>
            </w:pPr>
            <w:r>
              <w:t>扬尘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1" w:type="pct"/>
            <w:vMerge w:val="continue"/>
            <w:vAlign w:val="center"/>
          </w:tcPr>
          <w:p>
            <w:pPr>
              <w:pStyle w:val="63"/>
            </w:pPr>
          </w:p>
        </w:tc>
        <w:tc>
          <w:tcPr>
            <w:tcW w:w="2575" w:type="pct"/>
            <w:vAlign w:val="center"/>
          </w:tcPr>
          <w:p>
            <w:pPr>
              <w:pStyle w:val="63"/>
            </w:pPr>
            <w:r>
              <w:t>施工机械燃油</w:t>
            </w:r>
          </w:p>
        </w:tc>
        <w:tc>
          <w:tcPr>
            <w:tcW w:w="1454" w:type="pct"/>
            <w:vAlign w:val="center"/>
          </w:tcPr>
          <w:p>
            <w:pPr>
              <w:pStyle w:val="63"/>
            </w:pPr>
            <w:r>
              <w:t>CO、NOx</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1" w:type="pct"/>
            <w:vMerge w:val="continue"/>
            <w:vAlign w:val="center"/>
          </w:tcPr>
          <w:p>
            <w:pPr>
              <w:pStyle w:val="63"/>
            </w:pPr>
          </w:p>
        </w:tc>
        <w:tc>
          <w:tcPr>
            <w:tcW w:w="2575" w:type="pct"/>
            <w:vAlign w:val="center"/>
          </w:tcPr>
          <w:p>
            <w:pPr>
              <w:pStyle w:val="63"/>
            </w:pPr>
            <w:r>
              <w:t>建筑物装修</w:t>
            </w:r>
          </w:p>
        </w:tc>
        <w:tc>
          <w:tcPr>
            <w:tcW w:w="1454" w:type="pct"/>
            <w:vAlign w:val="center"/>
          </w:tcPr>
          <w:p>
            <w:pPr>
              <w:pStyle w:val="63"/>
            </w:pPr>
            <w:r>
              <w:t>有机废气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1" w:type="pct"/>
            <w:vAlign w:val="center"/>
          </w:tcPr>
          <w:p>
            <w:pPr>
              <w:pStyle w:val="63"/>
            </w:pPr>
            <w:r>
              <w:t>噪声</w:t>
            </w:r>
          </w:p>
        </w:tc>
        <w:tc>
          <w:tcPr>
            <w:tcW w:w="2575" w:type="pct"/>
            <w:vAlign w:val="center"/>
          </w:tcPr>
          <w:p>
            <w:pPr>
              <w:pStyle w:val="63"/>
            </w:pPr>
            <w:r>
              <w:t>施工机器和运输设备</w:t>
            </w:r>
          </w:p>
        </w:tc>
        <w:tc>
          <w:tcPr>
            <w:tcW w:w="1454" w:type="pct"/>
            <w:vAlign w:val="center"/>
          </w:tcPr>
          <w:p>
            <w:pPr>
              <w:pStyle w:val="63"/>
            </w:pPr>
            <w:r>
              <w:t>Leq</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1" w:type="pct"/>
            <w:vMerge w:val="restart"/>
            <w:vAlign w:val="center"/>
          </w:tcPr>
          <w:p>
            <w:pPr>
              <w:pStyle w:val="63"/>
            </w:pPr>
            <w:r>
              <w:t>固废</w:t>
            </w:r>
          </w:p>
        </w:tc>
        <w:tc>
          <w:tcPr>
            <w:tcW w:w="2575" w:type="pct"/>
            <w:vAlign w:val="center"/>
          </w:tcPr>
          <w:p>
            <w:pPr>
              <w:pStyle w:val="63"/>
            </w:pPr>
            <w:r>
              <w:t>施工建筑垃圾</w:t>
            </w:r>
          </w:p>
        </w:tc>
        <w:tc>
          <w:tcPr>
            <w:tcW w:w="1454" w:type="pct"/>
            <w:vAlign w:val="center"/>
          </w:tcPr>
          <w:p>
            <w:pPr>
              <w:pStyle w:val="63"/>
            </w:pPr>
            <w:r>
              <w:t>建筑垃圾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1" w:type="pct"/>
            <w:vMerge w:val="continue"/>
            <w:vAlign w:val="center"/>
          </w:tcPr>
          <w:p>
            <w:pPr>
              <w:pStyle w:val="63"/>
            </w:pPr>
          </w:p>
        </w:tc>
        <w:tc>
          <w:tcPr>
            <w:tcW w:w="2575" w:type="pct"/>
            <w:vAlign w:val="center"/>
          </w:tcPr>
          <w:p>
            <w:pPr>
              <w:pStyle w:val="63"/>
            </w:pPr>
            <w:r>
              <w:t>施工人员生活垃圾</w:t>
            </w:r>
          </w:p>
        </w:tc>
        <w:tc>
          <w:tcPr>
            <w:tcW w:w="1454" w:type="pct"/>
            <w:vAlign w:val="center"/>
          </w:tcPr>
          <w:p>
            <w:pPr>
              <w:pStyle w:val="63"/>
            </w:pPr>
            <w:r>
              <w:t>生活垃圾</w:t>
            </w:r>
          </w:p>
        </w:tc>
      </w:tr>
    </w:tbl>
    <w:p>
      <w:pPr>
        <w:pStyle w:val="5"/>
        <w:ind w:firstLine="482"/>
        <w:rPr>
          <w:rFonts w:ascii="Times New Roman" w:hAnsi="Times New Roman" w:cs="Times New Roman" w:eastAsiaTheme="minorEastAsia"/>
        </w:rPr>
      </w:pPr>
      <w:r>
        <w:rPr>
          <w:rFonts w:ascii="Times New Roman" w:hAnsi="Times New Roman" w:cs="Times New Roman" w:eastAsiaTheme="minorEastAsia"/>
        </w:rPr>
        <w:t>3.2.1.2 废气</w:t>
      </w:r>
    </w:p>
    <w:p>
      <w:pPr>
        <w:spacing w:line="360" w:lineRule="auto"/>
        <w:ind w:firstLine="480" w:firstLineChars="200"/>
        <w:rPr>
          <w:rFonts w:ascii="Times New Roman" w:hAnsi="Times New Roman" w:cs="Times New Roman"/>
        </w:rPr>
      </w:pPr>
      <w:r>
        <w:rPr>
          <w:rFonts w:ascii="Times New Roman" w:hAnsi="Times New Roman" w:cs="Times New Roman"/>
        </w:rPr>
        <w:t>根据本项目的工程内容和施工特点，本项目在施工阶段对周围大气环境产生的影响主要因素有：一是场地平整、建筑建设、基础开挖、运输建材时产生的扬尘；二是机械设备焊接时会产生少量焊接废气；三是挖掘机、装载机等重型车辆运行时排放的燃料废气；四是装修阶段产生的装修废气。</w:t>
      </w:r>
    </w:p>
    <w:p>
      <w:pPr>
        <w:spacing w:line="360" w:lineRule="auto"/>
        <w:ind w:firstLine="480" w:firstLineChars="200"/>
        <w:rPr>
          <w:rFonts w:ascii="Times New Roman" w:hAnsi="Times New Roman" w:cs="Times New Roman"/>
        </w:rPr>
      </w:pPr>
      <w:r>
        <w:rPr>
          <w:rFonts w:ascii="Times New Roman" w:hAnsi="Times New Roman" w:cs="Times New Roman"/>
        </w:rPr>
        <w:t>（1）扬尘</w:t>
      </w:r>
    </w:p>
    <w:p>
      <w:pPr>
        <w:spacing w:line="360" w:lineRule="auto"/>
        <w:ind w:firstLine="480" w:firstLineChars="200"/>
        <w:rPr>
          <w:rFonts w:ascii="Times New Roman" w:hAnsi="Times New Roman" w:cs="Times New Roman"/>
        </w:rPr>
      </w:pPr>
      <w:r>
        <w:rPr>
          <w:rFonts w:ascii="Times New Roman" w:hAnsi="Times New Roman" w:cs="Times New Roman"/>
        </w:rPr>
        <w:t>施工扬尘的产生与影响是有时间性的，随着施工的结束而自行消失。</w:t>
      </w:r>
    </w:p>
    <w:p>
      <w:pPr>
        <w:spacing w:line="360" w:lineRule="auto"/>
        <w:ind w:firstLine="480" w:firstLineChars="200"/>
        <w:rPr>
          <w:rFonts w:ascii="Times New Roman" w:hAnsi="Times New Roman" w:cs="Times New Roman"/>
        </w:rPr>
      </w:pPr>
      <w:r>
        <w:rPr>
          <w:rFonts w:ascii="Times New Roman" w:hAnsi="Times New Roman" w:cs="Times New Roman"/>
        </w:rPr>
        <w:t>在整个施工期间，产生扬尘的作业主要有土地平整、开挖、回填、道路浇注、建材运输、露天堆放、装卸和搅拌等过程，如遇干旱无雨季节，在大风时，施工扬尘将更严重。</w:t>
      </w:r>
    </w:p>
    <w:p>
      <w:pPr>
        <w:spacing w:line="360" w:lineRule="auto"/>
        <w:ind w:firstLine="480" w:firstLineChars="200"/>
        <w:rPr>
          <w:rFonts w:ascii="Times New Roman" w:hAnsi="Times New Roman" w:cs="Times New Roman"/>
        </w:rPr>
      </w:pPr>
      <w:r>
        <w:rPr>
          <w:rFonts w:ascii="Times New Roman" w:hAnsi="Times New Roman" w:cs="Times New Roman"/>
        </w:rPr>
        <w:t>据有关调查显示，施工工地的扬尘主要是由运输车辆行驶产生，与道路路面及车辆行驶速度有关，约占扬尘总量的60%。在完全干燥情况下，可按经验公式计算：</w:t>
      </w:r>
    </w:p>
    <w:p>
      <w:pPr>
        <w:spacing w:line="360" w:lineRule="auto"/>
        <w:ind w:firstLine="482" w:firstLineChars="200"/>
        <w:jc w:val="center"/>
        <w:rPr>
          <w:rFonts w:ascii="Times New Roman" w:hAnsi="Times New Roman" w:cs="Times New Roman"/>
        </w:rPr>
      </w:pPr>
      <w:r>
        <w:rPr>
          <w:rFonts w:ascii="Times New Roman" w:hAnsi="Times New Roman" w:cs="Times New Roman"/>
          <w:b/>
        </w:rPr>
        <w:drawing>
          <wp:inline distT="0" distB="0" distL="0" distR="0">
            <wp:extent cx="1935480" cy="450850"/>
            <wp:effectExtent l="0" t="0" r="762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944968" cy="453089"/>
                    </a:xfrm>
                    <a:prstGeom prst="rect">
                      <a:avLst/>
                    </a:prstGeom>
                    <a:noFill/>
                    <a:ln>
                      <a:noFill/>
                    </a:ln>
                  </pic:spPr>
                </pic:pic>
              </a:graphicData>
            </a:graphic>
          </wp:inline>
        </w:drawing>
      </w:r>
    </w:p>
    <w:p>
      <w:pPr>
        <w:spacing w:line="360" w:lineRule="auto"/>
        <w:ind w:firstLine="480" w:firstLineChars="200"/>
        <w:rPr>
          <w:rFonts w:ascii="Times New Roman" w:hAnsi="Times New Roman" w:cs="Times New Roman"/>
        </w:rPr>
      </w:pPr>
      <w:r>
        <w:rPr>
          <w:rFonts w:ascii="Times New Roman" w:hAnsi="Times New Roman" w:cs="Times New Roman"/>
        </w:rPr>
        <w:t>式中：Q—汽车行驶的扬尘，kg/km·辆；</w:t>
      </w:r>
    </w:p>
    <w:p>
      <w:pPr>
        <w:spacing w:line="360" w:lineRule="auto"/>
        <w:ind w:firstLine="480" w:firstLineChars="200"/>
        <w:rPr>
          <w:rFonts w:ascii="Times New Roman" w:hAnsi="Times New Roman" w:cs="Times New Roman"/>
        </w:rPr>
      </w:pPr>
      <w:r>
        <w:rPr>
          <w:rFonts w:ascii="Times New Roman" w:hAnsi="Times New Roman" w:cs="Times New Roman"/>
        </w:rPr>
        <w:t>V—汽车速度，km/h；</w:t>
      </w:r>
    </w:p>
    <w:p>
      <w:pPr>
        <w:spacing w:line="360" w:lineRule="auto"/>
        <w:ind w:firstLine="480" w:firstLineChars="200"/>
        <w:rPr>
          <w:rFonts w:ascii="Times New Roman" w:hAnsi="Times New Roman" w:cs="Times New Roman"/>
        </w:rPr>
      </w:pPr>
      <w:r>
        <w:rPr>
          <w:rFonts w:ascii="Times New Roman" w:hAnsi="Times New Roman" w:cs="Times New Roman"/>
        </w:rPr>
        <w:t>W—汽车载重量，t；</w:t>
      </w:r>
    </w:p>
    <w:p>
      <w:pPr>
        <w:spacing w:line="360" w:lineRule="auto"/>
        <w:ind w:firstLine="480" w:firstLineChars="200"/>
        <w:rPr>
          <w:rFonts w:ascii="Times New Roman" w:hAnsi="Times New Roman" w:cs="Times New Roman"/>
        </w:rPr>
      </w:pPr>
      <w:r>
        <w:rPr>
          <w:rFonts w:ascii="Times New Roman" w:hAnsi="Times New Roman" w:cs="Times New Roman"/>
        </w:rPr>
        <w:t>P—道路表面粉尘量，kg/m</w:t>
      </w:r>
      <w:r>
        <w:rPr>
          <w:rFonts w:ascii="Times New Roman" w:hAnsi="Times New Roman" w:cs="Times New Roman"/>
          <w:vertAlign w:val="superscript"/>
        </w:rPr>
        <w:t>2</w:t>
      </w:r>
      <w:r>
        <w:rPr>
          <w:rFonts w:ascii="Times New Roman" w:hAnsi="Times New Roman" w:cs="Times New Roman"/>
        </w:rPr>
        <w:t>。</w:t>
      </w:r>
    </w:p>
    <w:p>
      <w:pPr>
        <w:spacing w:line="360" w:lineRule="auto"/>
        <w:ind w:firstLine="480" w:firstLineChars="200"/>
        <w:rPr>
          <w:rFonts w:ascii="Times New Roman" w:hAnsi="Times New Roman" w:cs="Times New Roman"/>
        </w:rPr>
      </w:pPr>
      <w:r>
        <w:rPr>
          <w:rFonts w:ascii="Times New Roman" w:hAnsi="Times New Roman" w:cs="Times New Roman"/>
        </w:rPr>
        <w:t>表3.3-1为一辆10吨卡车，通过一段长度为1km的路面时，不同路面清洁程度，不同行驶速度情况下的扬尘量。由此可见，在同样路面清洁程度条件下，车速越快，扬尘量越大；而在同样车速情况下，路面越脏，则扬尘量越大。因此限速行驶及保持路面的清洁是减少汽车扬尘的有效手段。</w:t>
      </w:r>
    </w:p>
    <w:p>
      <w:pPr>
        <w:pStyle w:val="6"/>
        <w:rPr>
          <w:rFonts w:ascii="Times New Roman" w:hAnsi="Times New Roman" w:cs="Times New Roman"/>
        </w:rPr>
      </w:pPr>
      <w:r>
        <w:rPr>
          <w:rFonts w:ascii="Times New Roman" w:hAnsi="Times New Roman" w:cs="Times New Roman"/>
        </w:rPr>
        <w:t>表3.</w:t>
      </w:r>
      <w:r>
        <w:rPr>
          <w:rFonts w:hint="eastAsia" w:ascii="Times New Roman" w:hAnsi="Times New Roman" w:cs="Times New Roman"/>
        </w:rPr>
        <w:t>2-2</w:t>
      </w:r>
      <w:r>
        <w:rPr>
          <w:rFonts w:ascii="Times New Roman" w:hAnsi="Times New Roman" w:cs="Times New Roman"/>
        </w:rPr>
        <w:t xml:space="preserve">  在不同车速和地面清洁程度的汽车扬尘 （单位：kg/辆·公里）</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88"/>
        <w:gridCol w:w="1272"/>
        <w:gridCol w:w="1234"/>
        <w:gridCol w:w="1234"/>
        <w:gridCol w:w="1232"/>
        <w:gridCol w:w="1232"/>
        <w:gridCol w:w="113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97" w:type="pct"/>
            <w:tcBorders>
              <w:top w:val="single" w:color="auto" w:sz="12" w:space="0"/>
              <w:left w:val="single" w:color="auto" w:sz="12" w:space="0"/>
              <w:bottom w:val="single" w:color="auto" w:sz="4" w:space="0"/>
              <w:right w:val="single" w:color="auto" w:sz="4" w:space="0"/>
              <w:tl2br w:val="single" w:color="auto" w:sz="4" w:space="0"/>
            </w:tcBorders>
            <w:vAlign w:val="center"/>
          </w:tcPr>
          <w:p>
            <w:pPr>
              <w:pStyle w:val="63"/>
              <w:jc w:val="right"/>
            </w:pPr>
            <w:r>
              <w:t>P</w:t>
            </w:r>
          </w:p>
          <w:p>
            <w:pPr>
              <w:pStyle w:val="63"/>
              <w:jc w:val="left"/>
            </w:pPr>
            <w:r>
              <w:t>车速</w:t>
            </w:r>
          </w:p>
        </w:tc>
        <w:tc>
          <w:tcPr>
            <w:tcW w:w="746" w:type="pct"/>
            <w:tcBorders>
              <w:top w:val="single" w:color="auto" w:sz="12" w:space="0"/>
              <w:left w:val="single" w:color="auto" w:sz="4" w:space="0"/>
              <w:bottom w:val="single" w:color="auto" w:sz="4" w:space="0"/>
              <w:right w:val="single" w:color="auto" w:sz="4" w:space="0"/>
            </w:tcBorders>
            <w:vAlign w:val="center"/>
          </w:tcPr>
          <w:p>
            <w:pPr>
              <w:pStyle w:val="63"/>
            </w:pPr>
            <w:r>
              <w:t>0.1（kg/m</w:t>
            </w:r>
            <w:r>
              <w:rPr>
                <w:vertAlign w:val="superscript"/>
              </w:rPr>
              <w:t>2</w:t>
            </w:r>
            <w:r>
              <w:t>）</w:t>
            </w:r>
          </w:p>
        </w:tc>
        <w:tc>
          <w:tcPr>
            <w:tcW w:w="724" w:type="pct"/>
            <w:tcBorders>
              <w:top w:val="single" w:color="auto" w:sz="12" w:space="0"/>
              <w:left w:val="single" w:color="auto" w:sz="4" w:space="0"/>
              <w:bottom w:val="single" w:color="auto" w:sz="4" w:space="0"/>
              <w:right w:val="single" w:color="auto" w:sz="4" w:space="0"/>
            </w:tcBorders>
            <w:vAlign w:val="center"/>
          </w:tcPr>
          <w:p>
            <w:pPr>
              <w:pStyle w:val="63"/>
            </w:pPr>
            <w:r>
              <w:t>0.2（kg/m</w:t>
            </w:r>
            <w:r>
              <w:rPr>
                <w:vertAlign w:val="superscript"/>
              </w:rPr>
              <w:t>2</w:t>
            </w:r>
            <w:r>
              <w:t>）</w:t>
            </w:r>
          </w:p>
        </w:tc>
        <w:tc>
          <w:tcPr>
            <w:tcW w:w="724" w:type="pct"/>
            <w:tcBorders>
              <w:top w:val="single" w:color="auto" w:sz="12" w:space="0"/>
              <w:left w:val="single" w:color="auto" w:sz="4" w:space="0"/>
              <w:bottom w:val="single" w:color="auto" w:sz="4" w:space="0"/>
              <w:right w:val="single" w:color="auto" w:sz="4" w:space="0"/>
            </w:tcBorders>
            <w:vAlign w:val="center"/>
          </w:tcPr>
          <w:p>
            <w:pPr>
              <w:pStyle w:val="63"/>
            </w:pPr>
            <w:r>
              <w:t>0.3（kg/m</w:t>
            </w:r>
            <w:r>
              <w:rPr>
                <w:vertAlign w:val="superscript"/>
              </w:rPr>
              <w:t>2</w:t>
            </w:r>
            <w:r>
              <w:t>）</w:t>
            </w:r>
          </w:p>
        </w:tc>
        <w:tc>
          <w:tcPr>
            <w:tcW w:w="723" w:type="pct"/>
            <w:tcBorders>
              <w:top w:val="single" w:color="auto" w:sz="12" w:space="0"/>
              <w:left w:val="single" w:color="auto" w:sz="4" w:space="0"/>
              <w:bottom w:val="single" w:color="auto" w:sz="4" w:space="0"/>
              <w:right w:val="single" w:color="auto" w:sz="4" w:space="0"/>
            </w:tcBorders>
            <w:vAlign w:val="center"/>
          </w:tcPr>
          <w:p>
            <w:pPr>
              <w:pStyle w:val="63"/>
            </w:pPr>
            <w:r>
              <w:t>0.4（kg/m</w:t>
            </w:r>
            <w:r>
              <w:rPr>
                <w:vertAlign w:val="superscript"/>
              </w:rPr>
              <w:t>2</w:t>
            </w:r>
            <w:r>
              <w:t>）</w:t>
            </w:r>
          </w:p>
        </w:tc>
        <w:tc>
          <w:tcPr>
            <w:tcW w:w="723" w:type="pct"/>
            <w:tcBorders>
              <w:top w:val="single" w:color="auto" w:sz="12" w:space="0"/>
              <w:left w:val="single" w:color="auto" w:sz="4" w:space="0"/>
              <w:bottom w:val="single" w:color="auto" w:sz="4" w:space="0"/>
              <w:right w:val="single" w:color="auto" w:sz="4" w:space="0"/>
            </w:tcBorders>
            <w:vAlign w:val="center"/>
          </w:tcPr>
          <w:p>
            <w:pPr>
              <w:pStyle w:val="63"/>
            </w:pPr>
            <w:r>
              <w:t>0.5（kg/m</w:t>
            </w:r>
            <w:r>
              <w:rPr>
                <w:vertAlign w:val="superscript"/>
              </w:rPr>
              <w:t>2</w:t>
            </w:r>
            <w:r>
              <w:t>）</w:t>
            </w:r>
          </w:p>
        </w:tc>
        <w:tc>
          <w:tcPr>
            <w:tcW w:w="663" w:type="pct"/>
            <w:tcBorders>
              <w:top w:val="single" w:color="auto" w:sz="12" w:space="0"/>
              <w:left w:val="single" w:color="auto" w:sz="4" w:space="0"/>
              <w:bottom w:val="single" w:color="auto" w:sz="4" w:space="0"/>
              <w:right w:val="single" w:color="auto" w:sz="12" w:space="0"/>
            </w:tcBorders>
            <w:vAlign w:val="center"/>
          </w:tcPr>
          <w:p>
            <w:pPr>
              <w:pStyle w:val="63"/>
            </w:pPr>
            <w:r>
              <w:t>1（kg/m</w:t>
            </w:r>
            <w:r>
              <w:rPr>
                <w:vertAlign w:val="superscript"/>
              </w:rPr>
              <w:t>2</w:t>
            </w: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97" w:type="pct"/>
            <w:tcBorders>
              <w:top w:val="single" w:color="auto" w:sz="4" w:space="0"/>
              <w:left w:val="single" w:color="auto" w:sz="12" w:space="0"/>
              <w:bottom w:val="single" w:color="auto" w:sz="4" w:space="0"/>
              <w:right w:val="single" w:color="auto" w:sz="4" w:space="0"/>
            </w:tcBorders>
            <w:vAlign w:val="center"/>
          </w:tcPr>
          <w:p>
            <w:pPr>
              <w:pStyle w:val="63"/>
            </w:pPr>
            <w:r>
              <w:t>5（km/hr）</w:t>
            </w:r>
          </w:p>
        </w:tc>
        <w:tc>
          <w:tcPr>
            <w:tcW w:w="746" w:type="pct"/>
            <w:tcBorders>
              <w:top w:val="single" w:color="auto" w:sz="4" w:space="0"/>
              <w:left w:val="single" w:color="auto" w:sz="4" w:space="0"/>
              <w:bottom w:val="single" w:color="auto" w:sz="4" w:space="0"/>
              <w:right w:val="single" w:color="auto" w:sz="4" w:space="0"/>
            </w:tcBorders>
            <w:vAlign w:val="center"/>
          </w:tcPr>
          <w:p>
            <w:pPr>
              <w:pStyle w:val="63"/>
            </w:pPr>
            <w:r>
              <w:t>0.051056</w:t>
            </w:r>
          </w:p>
        </w:tc>
        <w:tc>
          <w:tcPr>
            <w:tcW w:w="724" w:type="pct"/>
            <w:tcBorders>
              <w:top w:val="single" w:color="auto" w:sz="4" w:space="0"/>
              <w:left w:val="single" w:color="auto" w:sz="4" w:space="0"/>
              <w:bottom w:val="single" w:color="auto" w:sz="4" w:space="0"/>
              <w:right w:val="single" w:color="auto" w:sz="4" w:space="0"/>
            </w:tcBorders>
            <w:vAlign w:val="center"/>
          </w:tcPr>
          <w:p>
            <w:pPr>
              <w:pStyle w:val="63"/>
            </w:pPr>
            <w:r>
              <w:t>0.085865</w:t>
            </w:r>
          </w:p>
        </w:tc>
        <w:tc>
          <w:tcPr>
            <w:tcW w:w="724" w:type="pct"/>
            <w:tcBorders>
              <w:top w:val="single" w:color="auto" w:sz="4" w:space="0"/>
              <w:left w:val="single" w:color="auto" w:sz="4" w:space="0"/>
              <w:bottom w:val="single" w:color="auto" w:sz="4" w:space="0"/>
              <w:right w:val="single" w:color="auto" w:sz="4" w:space="0"/>
            </w:tcBorders>
            <w:vAlign w:val="center"/>
          </w:tcPr>
          <w:p>
            <w:pPr>
              <w:pStyle w:val="63"/>
            </w:pPr>
            <w:r>
              <w:t>0.116382</w:t>
            </w:r>
          </w:p>
        </w:tc>
        <w:tc>
          <w:tcPr>
            <w:tcW w:w="723" w:type="pct"/>
            <w:tcBorders>
              <w:top w:val="single" w:color="auto" w:sz="4" w:space="0"/>
              <w:left w:val="single" w:color="auto" w:sz="4" w:space="0"/>
              <w:bottom w:val="single" w:color="auto" w:sz="4" w:space="0"/>
              <w:right w:val="single" w:color="auto" w:sz="4" w:space="0"/>
            </w:tcBorders>
            <w:vAlign w:val="center"/>
          </w:tcPr>
          <w:p>
            <w:pPr>
              <w:pStyle w:val="63"/>
            </w:pPr>
            <w:r>
              <w:t>0.144408</w:t>
            </w:r>
          </w:p>
        </w:tc>
        <w:tc>
          <w:tcPr>
            <w:tcW w:w="723" w:type="pct"/>
            <w:tcBorders>
              <w:top w:val="single" w:color="auto" w:sz="4" w:space="0"/>
              <w:left w:val="single" w:color="auto" w:sz="4" w:space="0"/>
              <w:bottom w:val="single" w:color="auto" w:sz="4" w:space="0"/>
              <w:right w:val="single" w:color="auto" w:sz="4" w:space="0"/>
            </w:tcBorders>
            <w:vAlign w:val="center"/>
          </w:tcPr>
          <w:p>
            <w:pPr>
              <w:pStyle w:val="63"/>
            </w:pPr>
            <w:r>
              <w:t xml:space="preserve"> 0.170715</w:t>
            </w:r>
          </w:p>
        </w:tc>
        <w:tc>
          <w:tcPr>
            <w:tcW w:w="663" w:type="pct"/>
            <w:tcBorders>
              <w:top w:val="single" w:color="auto" w:sz="4" w:space="0"/>
              <w:left w:val="single" w:color="auto" w:sz="4" w:space="0"/>
              <w:bottom w:val="single" w:color="auto" w:sz="4" w:space="0"/>
              <w:right w:val="single" w:color="auto" w:sz="12" w:space="0"/>
            </w:tcBorders>
            <w:vAlign w:val="center"/>
          </w:tcPr>
          <w:p>
            <w:pPr>
              <w:pStyle w:val="63"/>
            </w:pPr>
            <w:r>
              <w:t>0.287108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97" w:type="pct"/>
            <w:tcBorders>
              <w:top w:val="single" w:color="auto" w:sz="4" w:space="0"/>
              <w:left w:val="single" w:color="auto" w:sz="12" w:space="0"/>
              <w:bottom w:val="single" w:color="auto" w:sz="4" w:space="0"/>
              <w:right w:val="single" w:color="auto" w:sz="4" w:space="0"/>
            </w:tcBorders>
            <w:vAlign w:val="center"/>
          </w:tcPr>
          <w:p>
            <w:pPr>
              <w:pStyle w:val="63"/>
            </w:pPr>
            <w:r>
              <w:t>10（km/hr）</w:t>
            </w:r>
          </w:p>
        </w:tc>
        <w:tc>
          <w:tcPr>
            <w:tcW w:w="746" w:type="pct"/>
            <w:tcBorders>
              <w:top w:val="single" w:color="auto" w:sz="4" w:space="0"/>
              <w:left w:val="single" w:color="auto" w:sz="4" w:space="0"/>
              <w:bottom w:val="single" w:color="auto" w:sz="4" w:space="0"/>
              <w:right w:val="single" w:color="auto" w:sz="4" w:space="0"/>
            </w:tcBorders>
            <w:vAlign w:val="center"/>
          </w:tcPr>
          <w:p>
            <w:pPr>
              <w:pStyle w:val="63"/>
            </w:pPr>
            <w:r>
              <w:t>0.10211</w:t>
            </w:r>
          </w:p>
        </w:tc>
        <w:tc>
          <w:tcPr>
            <w:tcW w:w="724" w:type="pct"/>
            <w:tcBorders>
              <w:top w:val="single" w:color="auto" w:sz="4" w:space="0"/>
              <w:left w:val="single" w:color="auto" w:sz="4" w:space="0"/>
              <w:bottom w:val="single" w:color="auto" w:sz="4" w:space="0"/>
              <w:right w:val="single" w:color="auto" w:sz="4" w:space="0"/>
            </w:tcBorders>
            <w:vAlign w:val="center"/>
          </w:tcPr>
          <w:p>
            <w:pPr>
              <w:pStyle w:val="63"/>
            </w:pPr>
            <w:r>
              <w:t>0.171731</w:t>
            </w:r>
          </w:p>
        </w:tc>
        <w:tc>
          <w:tcPr>
            <w:tcW w:w="724" w:type="pct"/>
            <w:tcBorders>
              <w:top w:val="single" w:color="auto" w:sz="4" w:space="0"/>
              <w:left w:val="single" w:color="auto" w:sz="4" w:space="0"/>
              <w:bottom w:val="single" w:color="auto" w:sz="4" w:space="0"/>
              <w:right w:val="single" w:color="auto" w:sz="4" w:space="0"/>
            </w:tcBorders>
            <w:vAlign w:val="center"/>
          </w:tcPr>
          <w:p>
            <w:pPr>
              <w:pStyle w:val="63"/>
            </w:pPr>
            <w:r>
              <w:t>0.232764</w:t>
            </w:r>
          </w:p>
        </w:tc>
        <w:tc>
          <w:tcPr>
            <w:tcW w:w="723" w:type="pct"/>
            <w:tcBorders>
              <w:top w:val="single" w:color="auto" w:sz="4" w:space="0"/>
              <w:left w:val="single" w:color="auto" w:sz="4" w:space="0"/>
              <w:bottom w:val="single" w:color="auto" w:sz="4" w:space="0"/>
              <w:right w:val="single" w:color="auto" w:sz="4" w:space="0"/>
            </w:tcBorders>
            <w:vAlign w:val="center"/>
          </w:tcPr>
          <w:p>
            <w:pPr>
              <w:pStyle w:val="63"/>
            </w:pPr>
            <w:r>
              <w:t>0.288815</w:t>
            </w:r>
          </w:p>
        </w:tc>
        <w:tc>
          <w:tcPr>
            <w:tcW w:w="723" w:type="pct"/>
            <w:tcBorders>
              <w:top w:val="single" w:color="auto" w:sz="4" w:space="0"/>
              <w:left w:val="single" w:color="auto" w:sz="4" w:space="0"/>
              <w:bottom w:val="single" w:color="auto" w:sz="4" w:space="0"/>
              <w:right w:val="single" w:color="auto" w:sz="4" w:space="0"/>
            </w:tcBorders>
            <w:vAlign w:val="center"/>
          </w:tcPr>
          <w:p>
            <w:pPr>
              <w:pStyle w:val="63"/>
            </w:pPr>
            <w:r>
              <w:t>0.341431</w:t>
            </w:r>
          </w:p>
        </w:tc>
        <w:tc>
          <w:tcPr>
            <w:tcW w:w="663" w:type="pct"/>
            <w:tcBorders>
              <w:top w:val="single" w:color="auto" w:sz="4" w:space="0"/>
              <w:left w:val="single" w:color="auto" w:sz="4" w:space="0"/>
              <w:bottom w:val="single" w:color="auto" w:sz="4" w:space="0"/>
              <w:right w:val="single" w:color="auto" w:sz="12" w:space="0"/>
            </w:tcBorders>
            <w:vAlign w:val="center"/>
          </w:tcPr>
          <w:p>
            <w:pPr>
              <w:pStyle w:val="63"/>
            </w:pPr>
            <w:r>
              <w:t>0.574216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97" w:type="pct"/>
            <w:tcBorders>
              <w:top w:val="single" w:color="auto" w:sz="4" w:space="0"/>
              <w:left w:val="single" w:color="auto" w:sz="12" w:space="0"/>
              <w:bottom w:val="single" w:color="auto" w:sz="4" w:space="0"/>
              <w:right w:val="single" w:color="auto" w:sz="4" w:space="0"/>
            </w:tcBorders>
            <w:vAlign w:val="center"/>
          </w:tcPr>
          <w:p>
            <w:pPr>
              <w:pStyle w:val="63"/>
            </w:pPr>
            <w:r>
              <w:t>15（km/hr）</w:t>
            </w:r>
          </w:p>
        </w:tc>
        <w:tc>
          <w:tcPr>
            <w:tcW w:w="746" w:type="pct"/>
            <w:tcBorders>
              <w:top w:val="single" w:color="auto" w:sz="4" w:space="0"/>
              <w:left w:val="single" w:color="auto" w:sz="4" w:space="0"/>
              <w:bottom w:val="single" w:color="auto" w:sz="4" w:space="0"/>
              <w:right w:val="single" w:color="auto" w:sz="4" w:space="0"/>
            </w:tcBorders>
            <w:vAlign w:val="center"/>
          </w:tcPr>
          <w:p>
            <w:pPr>
              <w:pStyle w:val="63"/>
            </w:pPr>
            <w:r>
              <w:t>0.153167</w:t>
            </w:r>
          </w:p>
        </w:tc>
        <w:tc>
          <w:tcPr>
            <w:tcW w:w="724" w:type="pct"/>
            <w:tcBorders>
              <w:top w:val="single" w:color="auto" w:sz="4" w:space="0"/>
              <w:left w:val="single" w:color="auto" w:sz="4" w:space="0"/>
              <w:bottom w:val="single" w:color="auto" w:sz="4" w:space="0"/>
              <w:right w:val="single" w:color="auto" w:sz="4" w:space="0"/>
            </w:tcBorders>
            <w:vAlign w:val="center"/>
          </w:tcPr>
          <w:p>
            <w:pPr>
              <w:pStyle w:val="63"/>
            </w:pPr>
            <w:r>
              <w:t>0.257596</w:t>
            </w:r>
          </w:p>
        </w:tc>
        <w:tc>
          <w:tcPr>
            <w:tcW w:w="724" w:type="pct"/>
            <w:tcBorders>
              <w:top w:val="single" w:color="auto" w:sz="4" w:space="0"/>
              <w:left w:val="single" w:color="auto" w:sz="4" w:space="0"/>
              <w:bottom w:val="single" w:color="auto" w:sz="4" w:space="0"/>
              <w:right w:val="single" w:color="auto" w:sz="4" w:space="0"/>
            </w:tcBorders>
            <w:vAlign w:val="center"/>
          </w:tcPr>
          <w:p>
            <w:pPr>
              <w:pStyle w:val="63"/>
            </w:pPr>
            <w:r>
              <w:t>0.349146</w:t>
            </w:r>
          </w:p>
        </w:tc>
        <w:tc>
          <w:tcPr>
            <w:tcW w:w="723" w:type="pct"/>
            <w:tcBorders>
              <w:top w:val="single" w:color="auto" w:sz="4" w:space="0"/>
              <w:left w:val="single" w:color="auto" w:sz="4" w:space="0"/>
              <w:bottom w:val="single" w:color="auto" w:sz="4" w:space="0"/>
              <w:right w:val="single" w:color="auto" w:sz="4" w:space="0"/>
            </w:tcBorders>
            <w:vAlign w:val="center"/>
          </w:tcPr>
          <w:p>
            <w:pPr>
              <w:pStyle w:val="63"/>
            </w:pPr>
            <w:r>
              <w:t>0.433223</w:t>
            </w:r>
          </w:p>
        </w:tc>
        <w:tc>
          <w:tcPr>
            <w:tcW w:w="723" w:type="pct"/>
            <w:tcBorders>
              <w:top w:val="single" w:color="auto" w:sz="4" w:space="0"/>
              <w:left w:val="single" w:color="auto" w:sz="4" w:space="0"/>
              <w:bottom w:val="single" w:color="auto" w:sz="4" w:space="0"/>
              <w:right w:val="single" w:color="auto" w:sz="4" w:space="0"/>
            </w:tcBorders>
            <w:vAlign w:val="center"/>
          </w:tcPr>
          <w:p>
            <w:pPr>
              <w:pStyle w:val="63"/>
            </w:pPr>
            <w:r>
              <w:t>0.512146</w:t>
            </w:r>
          </w:p>
        </w:tc>
        <w:tc>
          <w:tcPr>
            <w:tcW w:w="663" w:type="pct"/>
            <w:tcBorders>
              <w:top w:val="single" w:color="auto" w:sz="4" w:space="0"/>
              <w:left w:val="single" w:color="auto" w:sz="4" w:space="0"/>
              <w:bottom w:val="single" w:color="auto" w:sz="4" w:space="0"/>
              <w:right w:val="single" w:color="auto" w:sz="12" w:space="0"/>
            </w:tcBorders>
            <w:vAlign w:val="center"/>
          </w:tcPr>
          <w:p>
            <w:pPr>
              <w:pStyle w:val="63"/>
            </w:pPr>
            <w:r>
              <w:t>0.861323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97" w:type="pct"/>
            <w:tcBorders>
              <w:top w:val="single" w:color="auto" w:sz="4" w:space="0"/>
              <w:left w:val="single" w:color="auto" w:sz="12" w:space="0"/>
              <w:bottom w:val="single" w:color="auto" w:sz="12" w:space="0"/>
              <w:right w:val="single" w:color="auto" w:sz="4" w:space="0"/>
            </w:tcBorders>
            <w:vAlign w:val="center"/>
          </w:tcPr>
          <w:p>
            <w:pPr>
              <w:pStyle w:val="63"/>
            </w:pPr>
            <w:r>
              <w:t>25（km/hr）</w:t>
            </w:r>
          </w:p>
        </w:tc>
        <w:tc>
          <w:tcPr>
            <w:tcW w:w="746" w:type="pct"/>
            <w:tcBorders>
              <w:top w:val="single" w:color="auto" w:sz="4" w:space="0"/>
              <w:left w:val="single" w:color="auto" w:sz="4" w:space="0"/>
              <w:bottom w:val="single" w:color="auto" w:sz="12" w:space="0"/>
              <w:right w:val="single" w:color="auto" w:sz="4" w:space="0"/>
            </w:tcBorders>
            <w:vAlign w:val="center"/>
          </w:tcPr>
          <w:p>
            <w:pPr>
              <w:pStyle w:val="63"/>
            </w:pPr>
            <w:r>
              <w:t>0.255279</w:t>
            </w:r>
          </w:p>
        </w:tc>
        <w:tc>
          <w:tcPr>
            <w:tcW w:w="724" w:type="pct"/>
            <w:tcBorders>
              <w:top w:val="single" w:color="auto" w:sz="4" w:space="0"/>
              <w:left w:val="single" w:color="auto" w:sz="4" w:space="0"/>
              <w:bottom w:val="single" w:color="auto" w:sz="12" w:space="0"/>
              <w:right w:val="single" w:color="auto" w:sz="4" w:space="0"/>
            </w:tcBorders>
            <w:vAlign w:val="center"/>
          </w:tcPr>
          <w:p>
            <w:pPr>
              <w:pStyle w:val="63"/>
            </w:pPr>
            <w:r>
              <w:t>0.429326</w:t>
            </w:r>
          </w:p>
        </w:tc>
        <w:tc>
          <w:tcPr>
            <w:tcW w:w="724" w:type="pct"/>
            <w:tcBorders>
              <w:top w:val="single" w:color="auto" w:sz="4" w:space="0"/>
              <w:left w:val="single" w:color="auto" w:sz="4" w:space="0"/>
              <w:bottom w:val="single" w:color="auto" w:sz="12" w:space="0"/>
              <w:right w:val="single" w:color="auto" w:sz="4" w:space="0"/>
            </w:tcBorders>
            <w:vAlign w:val="center"/>
          </w:tcPr>
          <w:p>
            <w:pPr>
              <w:pStyle w:val="63"/>
            </w:pPr>
            <w:r>
              <w:t>0.58191</w:t>
            </w:r>
          </w:p>
        </w:tc>
        <w:tc>
          <w:tcPr>
            <w:tcW w:w="723" w:type="pct"/>
            <w:tcBorders>
              <w:top w:val="single" w:color="auto" w:sz="4" w:space="0"/>
              <w:left w:val="single" w:color="auto" w:sz="4" w:space="0"/>
              <w:bottom w:val="single" w:color="auto" w:sz="12" w:space="0"/>
              <w:right w:val="single" w:color="auto" w:sz="4" w:space="0"/>
            </w:tcBorders>
            <w:vAlign w:val="center"/>
          </w:tcPr>
          <w:p>
            <w:pPr>
              <w:pStyle w:val="63"/>
            </w:pPr>
            <w:r>
              <w:t>0.722038</w:t>
            </w:r>
          </w:p>
        </w:tc>
        <w:tc>
          <w:tcPr>
            <w:tcW w:w="723" w:type="pct"/>
            <w:tcBorders>
              <w:top w:val="single" w:color="auto" w:sz="4" w:space="0"/>
              <w:left w:val="single" w:color="auto" w:sz="4" w:space="0"/>
              <w:bottom w:val="single" w:color="auto" w:sz="12" w:space="0"/>
              <w:right w:val="single" w:color="auto" w:sz="4" w:space="0"/>
            </w:tcBorders>
            <w:vAlign w:val="center"/>
          </w:tcPr>
          <w:p>
            <w:pPr>
              <w:pStyle w:val="63"/>
            </w:pPr>
            <w:r>
              <w:t>0.853577</w:t>
            </w:r>
          </w:p>
        </w:tc>
        <w:tc>
          <w:tcPr>
            <w:tcW w:w="663" w:type="pct"/>
            <w:tcBorders>
              <w:top w:val="single" w:color="auto" w:sz="4" w:space="0"/>
              <w:left w:val="single" w:color="auto" w:sz="4" w:space="0"/>
              <w:bottom w:val="single" w:color="auto" w:sz="12" w:space="0"/>
              <w:right w:val="single" w:color="auto" w:sz="12" w:space="0"/>
            </w:tcBorders>
            <w:vAlign w:val="center"/>
          </w:tcPr>
          <w:p>
            <w:pPr>
              <w:pStyle w:val="63"/>
            </w:pPr>
            <w:r>
              <w:t>1.435539</w:t>
            </w:r>
          </w:p>
        </w:tc>
      </w:tr>
    </w:tbl>
    <w:p>
      <w:pPr>
        <w:spacing w:line="360" w:lineRule="auto"/>
        <w:ind w:firstLine="480" w:firstLineChars="200"/>
        <w:rPr>
          <w:rFonts w:ascii="Times New Roman" w:hAnsi="Times New Roman" w:cs="Times New Roman"/>
        </w:rPr>
      </w:pPr>
      <w:r>
        <w:rPr>
          <w:rFonts w:ascii="Times New Roman" w:hAnsi="Times New Roman" w:cs="Times New Roman"/>
        </w:rPr>
        <w:t>施工期扬尘的另一个主要原因是露天堆场和裸露场地的风力扬尘。由于施工的需要，一些建材需露天堆放；一些施工点表层土壤需人工开挖、堆放，在气候干燥又有风的情况下，会产生扬尘。</w:t>
      </w:r>
    </w:p>
    <w:p>
      <w:pPr>
        <w:spacing w:line="360" w:lineRule="auto"/>
        <w:ind w:firstLine="480" w:firstLineChars="200"/>
        <w:rPr>
          <w:rFonts w:ascii="Times New Roman" w:hAnsi="Times New Roman" w:cs="Times New Roman"/>
        </w:rPr>
      </w:pPr>
      <w:r>
        <w:rPr>
          <w:rFonts w:ascii="Times New Roman" w:hAnsi="Times New Roman" w:cs="Times New Roman"/>
        </w:rPr>
        <w:t>参考其他同类型工程现场的扬尘实地监测结果，TSP产生系数为0.05～0.10mg/m</w:t>
      </w:r>
      <w:r>
        <w:rPr>
          <w:rFonts w:ascii="Times New Roman" w:hAnsi="Times New Roman" w:cs="Times New Roman"/>
          <w:vertAlign w:val="superscript"/>
        </w:rPr>
        <w:t>2</w:t>
      </w:r>
      <w:r>
        <w:rPr>
          <w:rFonts w:ascii="Times New Roman" w:hAnsi="Times New Roman" w:cs="Times New Roman"/>
        </w:rPr>
        <w:t>·s，根据本项目区域的土质特点，取0.05mg/m</w:t>
      </w:r>
      <w:r>
        <w:rPr>
          <w:rFonts w:ascii="Times New Roman" w:hAnsi="Times New Roman" w:cs="Times New Roman"/>
          <w:vertAlign w:val="superscript"/>
        </w:rPr>
        <w:t>2</w:t>
      </w:r>
      <w:r>
        <w:rPr>
          <w:rFonts w:ascii="Times New Roman" w:hAnsi="Times New Roman" w:cs="Times New Roman"/>
        </w:rPr>
        <w:t>·s，本项目总占地面积约为53000m</w:t>
      </w:r>
      <w:r>
        <w:rPr>
          <w:rFonts w:ascii="Times New Roman" w:hAnsi="Times New Roman" w:cs="Times New Roman"/>
          <w:vertAlign w:val="superscript"/>
        </w:rPr>
        <w:t>2</w:t>
      </w:r>
      <w:r>
        <w:rPr>
          <w:rFonts w:ascii="Times New Roman" w:hAnsi="Times New Roman" w:cs="Times New Roman"/>
        </w:rPr>
        <w:t>，以日工作8小时计，则项目施工场地扬尘的产生量约为76.32kg/d。</w:t>
      </w:r>
    </w:p>
    <w:p>
      <w:pPr>
        <w:spacing w:line="360" w:lineRule="auto"/>
        <w:ind w:firstLine="480" w:firstLineChars="200"/>
        <w:rPr>
          <w:rFonts w:ascii="Times New Roman" w:hAnsi="Times New Roman" w:cs="Times New Roman"/>
        </w:rPr>
      </w:pPr>
      <w:r>
        <w:rPr>
          <w:rFonts w:ascii="Times New Roman" w:hAnsi="Times New Roman" w:cs="Times New Roman"/>
        </w:rPr>
        <w:t>扬尘与含水率有关，因此，减少露天堆放和保证一定的含水率及减少裸露地面是减少风力起尘的有效手段。</w:t>
      </w:r>
    </w:p>
    <w:p>
      <w:pPr>
        <w:spacing w:line="360" w:lineRule="auto"/>
        <w:ind w:firstLine="480" w:firstLineChars="200"/>
        <w:rPr>
          <w:rFonts w:ascii="Times New Roman" w:hAnsi="Times New Roman" w:cs="Times New Roman"/>
        </w:rPr>
      </w:pPr>
      <w:r>
        <w:rPr>
          <w:rFonts w:ascii="Times New Roman" w:hAnsi="Times New Roman" w:cs="Times New Roman"/>
        </w:rPr>
        <w:t>尘粒在空气中的传播扩散情况与风速等气象条件有关，也与尘粒本身的沉降速度有关。不同粒径的尘粒的沉降速度见下表。</w:t>
      </w:r>
    </w:p>
    <w:p>
      <w:pPr>
        <w:pStyle w:val="6"/>
        <w:rPr>
          <w:rFonts w:ascii="Times New Roman" w:hAnsi="Times New Roman" w:cs="Times New Roman"/>
        </w:rPr>
      </w:pPr>
      <w:r>
        <w:rPr>
          <w:rFonts w:ascii="Times New Roman" w:hAnsi="Times New Roman" w:cs="Times New Roman"/>
        </w:rPr>
        <w:t>表3.</w:t>
      </w:r>
      <w:r>
        <w:rPr>
          <w:rFonts w:hint="eastAsia" w:ascii="Times New Roman" w:hAnsi="Times New Roman" w:cs="Times New Roman"/>
        </w:rPr>
        <w:t>2-3</w:t>
      </w:r>
      <w:r>
        <w:rPr>
          <w:rFonts w:ascii="Times New Roman" w:hAnsi="Times New Roman" w:cs="Times New Roman"/>
        </w:rPr>
        <w:t xml:space="preserve">  不同粒径尘粒的沉降速度</w:t>
      </w:r>
    </w:p>
    <w:tbl>
      <w:tblPr>
        <w:tblStyle w:val="3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90"/>
        <w:gridCol w:w="990"/>
        <w:gridCol w:w="991"/>
        <w:gridCol w:w="990"/>
        <w:gridCol w:w="991"/>
        <w:gridCol w:w="990"/>
        <w:gridCol w:w="991"/>
        <w:gridCol w:w="8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0" w:type="dxa"/>
            <w:tcBorders>
              <w:top w:val="single" w:color="auto" w:sz="12" w:space="0"/>
              <w:left w:val="single" w:color="auto" w:sz="12" w:space="0"/>
              <w:bottom w:val="single" w:color="auto" w:sz="4" w:space="0"/>
              <w:right w:val="single" w:color="auto" w:sz="4" w:space="0"/>
            </w:tcBorders>
            <w:vAlign w:val="center"/>
          </w:tcPr>
          <w:p>
            <w:pPr>
              <w:pStyle w:val="63"/>
            </w:pPr>
            <w:r>
              <w:t>粒径，μm</w:t>
            </w:r>
          </w:p>
        </w:tc>
        <w:tc>
          <w:tcPr>
            <w:tcW w:w="1016" w:type="dxa"/>
            <w:tcBorders>
              <w:top w:val="single" w:color="auto" w:sz="12" w:space="0"/>
              <w:left w:val="single" w:color="auto" w:sz="4" w:space="0"/>
              <w:bottom w:val="single" w:color="auto" w:sz="4" w:space="0"/>
              <w:right w:val="single" w:color="auto" w:sz="4" w:space="0"/>
            </w:tcBorders>
            <w:vAlign w:val="center"/>
          </w:tcPr>
          <w:p>
            <w:pPr>
              <w:pStyle w:val="63"/>
            </w:pPr>
            <w:r>
              <w:t>10</w:t>
            </w:r>
          </w:p>
        </w:tc>
        <w:tc>
          <w:tcPr>
            <w:tcW w:w="1016" w:type="dxa"/>
            <w:tcBorders>
              <w:top w:val="single" w:color="auto" w:sz="12" w:space="0"/>
              <w:left w:val="single" w:color="auto" w:sz="4" w:space="0"/>
              <w:bottom w:val="single" w:color="auto" w:sz="4" w:space="0"/>
              <w:right w:val="single" w:color="auto" w:sz="4" w:space="0"/>
            </w:tcBorders>
            <w:vAlign w:val="center"/>
          </w:tcPr>
          <w:p>
            <w:pPr>
              <w:pStyle w:val="63"/>
            </w:pPr>
            <w:r>
              <w:t>20</w:t>
            </w:r>
          </w:p>
        </w:tc>
        <w:tc>
          <w:tcPr>
            <w:tcW w:w="1015" w:type="dxa"/>
            <w:tcBorders>
              <w:top w:val="single" w:color="auto" w:sz="12" w:space="0"/>
              <w:left w:val="single" w:color="auto" w:sz="4" w:space="0"/>
              <w:bottom w:val="single" w:color="auto" w:sz="4" w:space="0"/>
              <w:right w:val="single" w:color="auto" w:sz="4" w:space="0"/>
            </w:tcBorders>
            <w:vAlign w:val="center"/>
          </w:tcPr>
          <w:p>
            <w:pPr>
              <w:pStyle w:val="63"/>
            </w:pPr>
            <w:r>
              <w:t>30</w:t>
            </w:r>
          </w:p>
        </w:tc>
        <w:tc>
          <w:tcPr>
            <w:tcW w:w="1016" w:type="dxa"/>
            <w:tcBorders>
              <w:top w:val="single" w:color="auto" w:sz="12" w:space="0"/>
              <w:left w:val="single" w:color="auto" w:sz="4" w:space="0"/>
              <w:bottom w:val="single" w:color="auto" w:sz="4" w:space="0"/>
              <w:right w:val="single" w:color="auto" w:sz="4" w:space="0"/>
            </w:tcBorders>
            <w:vAlign w:val="center"/>
          </w:tcPr>
          <w:p>
            <w:pPr>
              <w:pStyle w:val="63"/>
            </w:pPr>
            <w:r>
              <w:t>40</w:t>
            </w:r>
          </w:p>
        </w:tc>
        <w:tc>
          <w:tcPr>
            <w:tcW w:w="1015" w:type="dxa"/>
            <w:tcBorders>
              <w:top w:val="single" w:color="auto" w:sz="12" w:space="0"/>
              <w:left w:val="single" w:color="auto" w:sz="4" w:space="0"/>
              <w:bottom w:val="single" w:color="auto" w:sz="4" w:space="0"/>
              <w:right w:val="single" w:color="auto" w:sz="4" w:space="0"/>
            </w:tcBorders>
            <w:vAlign w:val="center"/>
          </w:tcPr>
          <w:p>
            <w:pPr>
              <w:pStyle w:val="63"/>
            </w:pPr>
            <w:r>
              <w:t>50</w:t>
            </w:r>
          </w:p>
        </w:tc>
        <w:tc>
          <w:tcPr>
            <w:tcW w:w="1016" w:type="dxa"/>
            <w:tcBorders>
              <w:top w:val="single" w:color="auto" w:sz="12" w:space="0"/>
              <w:left w:val="single" w:color="auto" w:sz="4" w:space="0"/>
              <w:bottom w:val="single" w:color="auto" w:sz="4" w:space="0"/>
              <w:right w:val="single" w:color="auto" w:sz="4" w:space="0"/>
            </w:tcBorders>
            <w:vAlign w:val="center"/>
          </w:tcPr>
          <w:p>
            <w:pPr>
              <w:pStyle w:val="63"/>
            </w:pPr>
            <w:r>
              <w:t>60</w:t>
            </w:r>
          </w:p>
        </w:tc>
        <w:tc>
          <w:tcPr>
            <w:tcW w:w="913" w:type="dxa"/>
            <w:tcBorders>
              <w:top w:val="single" w:color="auto" w:sz="12" w:space="0"/>
              <w:left w:val="single" w:color="auto" w:sz="4" w:space="0"/>
              <w:bottom w:val="single" w:color="auto" w:sz="4" w:space="0"/>
              <w:right w:val="single" w:color="auto" w:sz="12" w:space="0"/>
            </w:tcBorders>
            <w:vAlign w:val="center"/>
          </w:tcPr>
          <w:p>
            <w:pPr>
              <w:pStyle w:val="63"/>
            </w:pPr>
            <w: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0" w:type="dxa"/>
            <w:tcBorders>
              <w:top w:val="single" w:color="auto" w:sz="4" w:space="0"/>
              <w:left w:val="single" w:color="auto" w:sz="12" w:space="0"/>
              <w:bottom w:val="single" w:color="auto" w:sz="4" w:space="0"/>
              <w:right w:val="single" w:color="auto" w:sz="4" w:space="0"/>
            </w:tcBorders>
            <w:vAlign w:val="center"/>
          </w:tcPr>
          <w:p>
            <w:pPr>
              <w:pStyle w:val="63"/>
            </w:pPr>
            <w:r>
              <w:t>沉降速度</w:t>
            </w:r>
            <w:r>
              <w:rPr>
                <w:lang w:val="en-GB"/>
              </w:rPr>
              <w:t>，</w:t>
            </w:r>
            <w:r>
              <w:t>m/s</w:t>
            </w:r>
          </w:p>
        </w:tc>
        <w:tc>
          <w:tcPr>
            <w:tcW w:w="1016" w:type="dxa"/>
            <w:tcBorders>
              <w:top w:val="single" w:color="auto" w:sz="4" w:space="0"/>
              <w:left w:val="single" w:color="auto" w:sz="4" w:space="0"/>
              <w:bottom w:val="single" w:color="auto" w:sz="4" w:space="0"/>
              <w:right w:val="single" w:color="auto" w:sz="4" w:space="0"/>
            </w:tcBorders>
            <w:vAlign w:val="center"/>
          </w:tcPr>
          <w:p>
            <w:pPr>
              <w:pStyle w:val="63"/>
            </w:pPr>
            <w:r>
              <w:t>0.003</w:t>
            </w:r>
          </w:p>
        </w:tc>
        <w:tc>
          <w:tcPr>
            <w:tcW w:w="1016" w:type="dxa"/>
            <w:tcBorders>
              <w:top w:val="single" w:color="auto" w:sz="4" w:space="0"/>
              <w:left w:val="single" w:color="auto" w:sz="4" w:space="0"/>
              <w:bottom w:val="single" w:color="auto" w:sz="4" w:space="0"/>
              <w:right w:val="single" w:color="auto" w:sz="4" w:space="0"/>
            </w:tcBorders>
            <w:vAlign w:val="center"/>
          </w:tcPr>
          <w:p>
            <w:pPr>
              <w:pStyle w:val="63"/>
            </w:pPr>
            <w:r>
              <w:t>0.012</w:t>
            </w:r>
          </w:p>
        </w:tc>
        <w:tc>
          <w:tcPr>
            <w:tcW w:w="1015" w:type="dxa"/>
            <w:tcBorders>
              <w:top w:val="single" w:color="auto" w:sz="4" w:space="0"/>
              <w:left w:val="single" w:color="auto" w:sz="4" w:space="0"/>
              <w:bottom w:val="single" w:color="auto" w:sz="4" w:space="0"/>
              <w:right w:val="single" w:color="auto" w:sz="4" w:space="0"/>
            </w:tcBorders>
            <w:vAlign w:val="center"/>
          </w:tcPr>
          <w:p>
            <w:pPr>
              <w:pStyle w:val="63"/>
            </w:pPr>
            <w:r>
              <w:t>0.027</w:t>
            </w:r>
          </w:p>
        </w:tc>
        <w:tc>
          <w:tcPr>
            <w:tcW w:w="1016" w:type="dxa"/>
            <w:tcBorders>
              <w:top w:val="single" w:color="auto" w:sz="4" w:space="0"/>
              <w:left w:val="single" w:color="auto" w:sz="4" w:space="0"/>
              <w:bottom w:val="single" w:color="auto" w:sz="4" w:space="0"/>
              <w:right w:val="single" w:color="auto" w:sz="4" w:space="0"/>
            </w:tcBorders>
            <w:vAlign w:val="center"/>
          </w:tcPr>
          <w:p>
            <w:pPr>
              <w:pStyle w:val="63"/>
            </w:pPr>
            <w:r>
              <w:t>0.048</w:t>
            </w:r>
          </w:p>
        </w:tc>
        <w:tc>
          <w:tcPr>
            <w:tcW w:w="1015" w:type="dxa"/>
            <w:tcBorders>
              <w:top w:val="single" w:color="auto" w:sz="4" w:space="0"/>
              <w:left w:val="single" w:color="auto" w:sz="4" w:space="0"/>
              <w:bottom w:val="single" w:color="auto" w:sz="4" w:space="0"/>
              <w:right w:val="single" w:color="auto" w:sz="4" w:space="0"/>
            </w:tcBorders>
            <w:vAlign w:val="center"/>
          </w:tcPr>
          <w:p>
            <w:pPr>
              <w:pStyle w:val="63"/>
            </w:pPr>
            <w:r>
              <w:t>0.075</w:t>
            </w:r>
          </w:p>
        </w:tc>
        <w:tc>
          <w:tcPr>
            <w:tcW w:w="1016" w:type="dxa"/>
            <w:tcBorders>
              <w:top w:val="single" w:color="auto" w:sz="4" w:space="0"/>
              <w:left w:val="single" w:color="auto" w:sz="4" w:space="0"/>
              <w:bottom w:val="single" w:color="auto" w:sz="4" w:space="0"/>
              <w:right w:val="single" w:color="auto" w:sz="4" w:space="0"/>
            </w:tcBorders>
            <w:vAlign w:val="center"/>
          </w:tcPr>
          <w:p>
            <w:pPr>
              <w:pStyle w:val="63"/>
            </w:pPr>
            <w:r>
              <w:t>0.108</w:t>
            </w:r>
          </w:p>
        </w:tc>
        <w:tc>
          <w:tcPr>
            <w:tcW w:w="913" w:type="dxa"/>
            <w:tcBorders>
              <w:top w:val="single" w:color="auto" w:sz="4" w:space="0"/>
              <w:left w:val="single" w:color="auto" w:sz="4" w:space="0"/>
              <w:bottom w:val="single" w:color="auto" w:sz="4" w:space="0"/>
              <w:right w:val="single" w:color="auto" w:sz="12" w:space="0"/>
            </w:tcBorders>
            <w:vAlign w:val="center"/>
          </w:tcPr>
          <w:p>
            <w:pPr>
              <w:pStyle w:val="63"/>
            </w:pPr>
            <w:r>
              <w:t>0.147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0" w:type="dxa"/>
            <w:tcBorders>
              <w:top w:val="single" w:color="auto" w:sz="4" w:space="0"/>
              <w:left w:val="single" w:color="auto" w:sz="12" w:space="0"/>
              <w:bottom w:val="single" w:color="auto" w:sz="4" w:space="0"/>
              <w:right w:val="single" w:color="auto" w:sz="4" w:space="0"/>
            </w:tcBorders>
            <w:vAlign w:val="center"/>
          </w:tcPr>
          <w:p>
            <w:pPr>
              <w:pStyle w:val="63"/>
            </w:pPr>
            <w:r>
              <w:t>粒径，μm</w:t>
            </w:r>
          </w:p>
        </w:tc>
        <w:tc>
          <w:tcPr>
            <w:tcW w:w="1016" w:type="dxa"/>
            <w:tcBorders>
              <w:top w:val="single" w:color="auto" w:sz="4" w:space="0"/>
              <w:left w:val="single" w:color="auto" w:sz="4" w:space="0"/>
              <w:bottom w:val="single" w:color="auto" w:sz="4" w:space="0"/>
              <w:right w:val="single" w:color="auto" w:sz="4" w:space="0"/>
            </w:tcBorders>
            <w:vAlign w:val="center"/>
          </w:tcPr>
          <w:p>
            <w:pPr>
              <w:pStyle w:val="63"/>
            </w:pPr>
            <w:r>
              <w:t>80</w:t>
            </w:r>
          </w:p>
        </w:tc>
        <w:tc>
          <w:tcPr>
            <w:tcW w:w="1016" w:type="dxa"/>
            <w:tcBorders>
              <w:top w:val="single" w:color="auto" w:sz="4" w:space="0"/>
              <w:left w:val="single" w:color="auto" w:sz="4" w:space="0"/>
              <w:bottom w:val="single" w:color="auto" w:sz="4" w:space="0"/>
              <w:right w:val="single" w:color="auto" w:sz="4" w:space="0"/>
            </w:tcBorders>
            <w:vAlign w:val="center"/>
          </w:tcPr>
          <w:p>
            <w:pPr>
              <w:pStyle w:val="63"/>
            </w:pPr>
            <w:r>
              <w:t>90</w:t>
            </w:r>
          </w:p>
        </w:tc>
        <w:tc>
          <w:tcPr>
            <w:tcW w:w="1015" w:type="dxa"/>
            <w:tcBorders>
              <w:top w:val="single" w:color="auto" w:sz="4" w:space="0"/>
              <w:left w:val="single" w:color="auto" w:sz="4" w:space="0"/>
              <w:bottom w:val="single" w:color="auto" w:sz="4" w:space="0"/>
              <w:right w:val="single" w:color="auto" w:sz="4" w:space="0"/>
            </w:tcBorders>
            <w:vAlign w:val="center"/>
          </w:tcPr>
          <w:p>
            <w:pPr>
              <w:pStyle w:val="63"/>
            </w:pPr>
            <w:r>
              <w:t>100</w:t>
            </w:r>
          </w:p>
        </w:tc>
        <w:tc>
          <w:tcPr>
            <w:tcW w:w="1016" w:type="dxa"/>
            <w:tcBorders>
              <w:top w:val="single" w:color="auto" w:sz="4" w:space="0"/>
              <w:left w:val="single" w:color="auto" w:sz="4" w:space="0"/>
              <w:bottom w:val="single" w:color="auto" w:sz="4" w:space="0"/>
              <w:right w:val="single" w:color="auto" w:sz="4" w:space="0"/>
            </w:tcBorders>
            <w:vAlign w:val="center"/>
          </w:tcPr>
          <w:p>
            <w:pPr>
              <w:pStyle w:val="63"/>
            </w:pPr>
            <w:r>
              <w:t>150</w:t>
            </w:r>
          </w:p>
        </w:tc>
        <w:tc>
          <w:tcPr>
            <w:tcW w:w="1015" w:type="dxa"/>
            <w:tcBorders>
              <w:top w:val="single" w:color="auto" w:sz="4" w:space="0"/>
              <w:left w:val="single" w:color="auto" w:sz="4" w:space="0"/>
              <w:bottom w:val="single" w:color="auto" w:sz="4" w:space="0"/>
              <w:right w:val="single" w:color="auto" w:sz="4" w:space="0"/>
            </w:tcBorders>
            <w:vAlign w:val="center"/>
          </w:tcPr>
          <w:p>
            <w:pPr>
              <w:pStyle w:val="63"/>
            </w:pPr>
            <w:r>
              <w:t>200</w:t>
            </w:r>
          </w:p>
        </w:tc>
        <w:tc>
          <w:tcPr>
            <w:tcW w:w="1016" w:type="dxa"/>
            <w:tcBorders>
              <w:top w:val="single" w:color="auto" w:sz="4" w:space="0"/>
              <w:left w:val="single" w:color="auto" w:sz="4" w:space="0"/>
              <w:bottom w:val="single" w:color="auto" w:sz="4" w:space="0"/>
              <w:right w:val="single" w:color="auto" w:sz="4" w:space="0"/>
            </w:tcBorders>
            <w:vAlign w:val="center"/>
          </w:tcPr>
          <w:p>
            <w:pPr>
              <w:pStyle w:val="63"/>
            </w:pPr>
            <w:r>
              <w:t>250</w:t>
            </w:r>
          </w:p>
        </w:tc>
        <w:tc>
          <w:tcPr>
            <w:tcW w:w="913" w:type="dxa"/>
            <w:tcBorders>
              <w:top w:val="single" w:color="auto" w:sz="4" w:space="0"/>
              <w:left w:val="single" w:color="auto" w:sz="4" w:space="0"/>
              <w:bottom w:val="single" w:color="auto" w:sz="4" w:space="0"/>
              <w:right w:val="single" w:color="auto" w:sz="12" w:space="0"/>
            </w:tcBorders>
            <w:vAlign w:val="center"/>
          </w:tcPr>
          <w:p>
            <w:pPr>
              <w:pStyle w:val="63"/>
            </w:pPr>
            <w:r>
              <w:t>350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0" w:type="dxa"/>
            <w:tcBorders>
              <w:top w:val="single" w:color="auto" w:sz="4" w:space="0"/>
              <w:left w:val="single" w:color="auto" w:sz="12" w:space="0"/>
              <w:bottom w:val="single" w:color="auto" w:sz="4" w:space="0"/>
              <w:right w:val="single" w:color="auto" w:sz="4" w:space="0"/>
            </w:tcBorders>
            <w:vAlign w:val="center"/>
          </w:tcPr>
          <w:p>
            <w:pPr>
              <w:pStyle w:val="63"/>
            </w:pPr>
            <w:r>
              <w:t>沉降速度</w:t>
            </w:r>
            <w:r>
              <w:rPr>
                <w:lang w:val="en-GB"/>
              </w:rPr>
              <w:t>，</w:t>
            </w:r>
            <w:r>
              <w:t>m/s</w:t>
            </w:r>
          </w:p>
        </w:tc>
        <w:tc>
          <w:tcPr>
            <w:tcW w:w="1016" w:type="dxa"/>
            <w:tcBorders>
              <w:top w:val="single" w:color="auto" w:sz="4" w:space="0"/>
              <w:left w:val="single" w:color="auto" w:sz="4" w:space="0"/>
              <w:bottom w:val="single" w:color="auto" w:sz="4" w:space="0"/>
              <w:right w:val="single" w:color="auto" w:sz="4" w:space="0"/>
            </w:tcBorders>
            <w:vAlign w:val="center"/>
          </w:tcPr>
          <w:p>
            <w:pPr>
              <w:pStyle w:val="63"/>
            </w:pPr>
            <w:r>
              <w:t>0.158</w:t>
            </w:r>
          </w:p>
        </w:tc>
        <w:tc>
          <w:tcPr>
            <w:tcW w:w="1016" w:type="dxa"/>
            <w:tcBorders>
              <w:top w:val="single" w:color="auto" w:sz="4" w:space="0"/>
              <w:left w:val="single" w:color="auto" w:sz="4" w:space="0"/>
              <w:bottom w:val="single" w:color="auto" w:sz="4" w:space="0"/>
              <w:right w:val="single" w:color="auto" w:sz="4" w:space="0"/>
            </w:tcBorders>
            <w:vAlign w:val="center"/>
          </w:tcPr>
          <w:p>
            <w:pPr>
              <w:pStyle w:val="63"/>
            </w:pPr>
            <w:r>
              <w:t>0.170</w:t>
            </w:r>
          </w:p>
        </w:tc>
        <w:tc>
          <w:tcPr>
            <w:tcW w:w="1015" w:type="dxa"/>
            <w:tcBorders>
              <w:top w:val="single" w:color="auto" w:sz="4" w:space="0"/>
              <w:left w:val="single" w:color="auto" w:sz="4" w:space="0"/>
              <w:bottom w:val="single" w:color="auto" w:sz="4" w:space="0"/>
              <w:right w:val="single" w:color="auto" w:sz="4" w:space="0"/>
            </w:tcBorders>
            <w:vAlign w:val="center"/>
          </w:tcPr>
          <w:p>
            <w:pPr>
              <w:pStyle w:val="63"/>
            </w:pPr>
            <w:r>
              <w:t>0.182</w:t>
            </w:r>
          </w:p>
        </w:tc>
        <w:tc>
          <w:tcPr>
            <w:tcW w:w="1016" w:type="dxa"/>
            <w:tcBorders>
              <w:top w:val="single" w:color="auto" w:sz="4" w:space="0"/>
              <w:left w:val="single" w:color="auto" w:sz="4" w:space="0"/>
              <w:bottom w:val="single" w:color="auto" w:sz="4" w:space="0"/>
              <w:right w:val="single" w:color="auto" w:sz="4" w:space="0"/>
            </w:tcBorders>
            <w:vAlign w:val="center"/>
          </w:tcPr>
          <w:p>
            <w:pPr>
              <w:pStyle w:val="63"/>
            </w:pPr>
            <w:r>
              <w:t>0.239</w:t>
            </w:r>
          </w:p>
        </w:tc>
        <w:tc>
          <w:tcPr>
            <w:tcW w:w="1015" w:type="dxa"/>
            <w:tcBorders>
              <w:top w:val="single" w:color="auto" w:sz="4" w:space="0"/>
              <w:left w:val="single" w:color="auto" w:sz="4" w:space="0"/>
              <w:bottom w:val="single" w:color="auto" w:sz="4" w:space="0"/>
              <w:right w:val="single" w:color="auto" w:sz="4" w:space="0"/>
            </w:tcBorders>
            <w:vAlign w:val="center"/>
          </w:tcPr>
          <w:p>
            <w:pPr>
              <w:pStyle w:val="63"/>
            </w:pPr>
            <w:r>
              <w:t>0.804</w:t>
            </w:r>
          </w:p>
        </w:tc>
        <w:tc>
          <w:tcPr>
            <w:tcW w:w="1016" w:type="dxa"/>
            <w:tcBorders>
              <w:top w:val="single" w:color="auto" w:sz="4" w:space="0"/>
              <w:left w:val="single" w:color="auto" w:sz="4" w:space="0"/>
              <w:bottom w:val="single" w:color="auto" w:sz="4" w:space="0"/>
              <w:right w:val="single" w:color="auto" w:sz="4" w:space="0"/>
            </w:tcBorders>
            <w:vAlign w:val="center"/>
          </w:tcPr>
          <w:p>
            <w:pPr>
              <w:pStyle w:val="63"/>
            </w:pPr>
            <w:r>
              <w:t>1.005</w:t>
            </w:r>
          </w:p>
        </w:tc>
        <w:tc>
          <w:tcPr>
            <w:tcW w:w="913" w:type="dxa"/>
            <w:tcBorders>
              <w:top w:val="single" w:color="auto" w:sz="4" w:space="0"/>
              <w:left w:val="single" w:color="auto" w:sz="4" w:space="0"/>
              <w:bottom w:val="single" w:color="auto" w:sz="4" w:space="0"/>
              <w:right w:val="single" w:color="auto" w:sz="12" w:space="0"/>
            </w:tcBorders>
            <w:vAlign w:val="center"/>
          </w:tcPr>
          <w:p>
            <w:pPr>
              <w:pStyle w:val="63"/>
            </w:pPr>
            <w:r>
              <w:t>1.829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0" w:type="dxa"/>
            <w:tcBorders>
              <w:top w:val="single" w:color="auto" w:sz="4" w:space="0"/>
              <w:left w:val="single" w:color="auto" w:sz="12" w:space="0"/>
              <w:bottom w:val="single" w:color="auto" w:sz="4" w:space="0"/>
              <w:right w:val="single" w:color="auto" w:sz="4" w:space="0"/>
            </w:tcBorders>
            <w:vAlign w:val="center"/>
          </w:tcPr>
          <w:p>
            <w:pPr>
              <w:pStyle w:val="63"/>
            </w:pPr>
            <w:r>
              <w:t>粒径，μm</w:t>
            </w:r>
          </w:p>
        </w:tc>
        <w:tc>
          <w:tcPr>
            <w:tcW w:w="1016" w:type="dxa"/>
            <w:tcBorders>
              <w:top w:val="single" w:color="auto" w:sz="4" w:space="0"/>
              <w:left w:val="single" w:color="auto" w:sz="4" w:space="0"/>
              <w:bottom w:val="single" w:color="auto" w:sz="4" w:space="0"/>
              <w:right w:val="single" w:color="auto" w:sz="4" w:space="0"/>
            </w:tcBorders>
            <w:vAlign w:val="center"/>
          </w:tcPr>
          <w:p>
            <w:pPr>
              <w:pStyle w:val="63"/>
            </w:pPr>
            <w:r>
              <w:t xml:space="preserve"> 450</w:t>
            </w:r>
          </w:p>
        </w:tc>
        <w:tc>
          <w:tcPr>
            <w:tcW w:w="1016" w:type="dxa"/>
            <w:tcBorders>
              <w:top w:val="single" w:color="auto" w:sz="4" w:space="0"/>
              <w:left w:val="single" w:color="auto" w:sz="4" w:space="0"/>
              <w:bottom w:val="single" w:color="auto" w:sz="4" w:space="0"/>
              <w:right w:val="single" w:color="auto" w:sz="4" w:space="0"/>
            </w:tcBorders>
            <w:vAlign w:val="center"/>
          </w:tcPr>
          <w:p>
            <w:pPr>
              <w:pStyle w:val="63"/>
            </w:pPr>
            <w:r>
              <w:t xml:space="preserve"> 500</w:t>
            </w:r>
          </w:p>
        </w:tc>
        <w:tc>
          <w:tcPr>
            <w:tcW w:w="1015" w:type="dxa"/>
            <w:tcBorders>
              <w:top w:val="single" w:color="auto" w:sz="4" w:space="0"/>
              <w:left w:val="single" w:color="auto" w:sz="4" w:space="0"/>
              <w:bottom w:val="single" w:color="auto" w:sz="4" w:space="0"/>
              <w:right w:val="single" w:color="auto" w:sz="4" w:space="0"/>
            </w:tcBorders>
            <w:vAlign w:val="center"/>
          </w:tcPr>
          <w:p>
            <w:pPr>
              <w:pStyle w:val="63"/>
            </w:pPr>
            <w:r>
              <w:t>650</w:t>
            </w:r>
          </w:p>
        </w:tc>
        <w:tc>
          <w:tcPr>
            <w:tcW w:w="1016" w:type="dxa"/>
            <w:tcBorders>
              <w:top w:val="single" w:color="auto" w:sz="4" w:space="0"/>
              <w:left w:val="single" w:color="auto" w:sz="4" w:space="0"/>
              <w:bottom w:val="single" w:color="auto" w:sz="4" w:space="0"/>
              <w:right w:val="single" w:color="auto" w:sz="4" w:space="0"/>
            </w:tcBorders>
            <w:vAlign w:val="center"/>
          </w:tcPr>
          <w:p>
            <w:pPr>
              <w:pStyle w:val="63"/>
            </w:pPr>
            <w:r>
              <w:t>750</w:t>
            </w:r>
          </w:p>
        </w:tc>
        <w:tc>
          <w:tcPr>
            <w:tcW w:w="1015" w:type="dxa"/>
            <w:tcBorders>
              <w:top w:val="single" w:color="auto" w:sz="4" w:space="0"/>
              <w:left w:val="single" w:color="auto" w:sz="4" w:space="0"/>
              <w:bottom w:val="single" w:color="auto" w:sz="4" w:space="0"/>
              <w:right w:val="single" w:color="auto" w:sz="4" w:space="0"/>
            </w:tcBorders>
            <w:vAlign w:val="center"/>
          </w:tcPr>
          <w:p>
            <w:pPr>
              <w:pStyle w:val="63"/>
            </w:pPr>
            <w:r>
              <w:t>850</w:t>
            </w:r>
          </w:p>
        </w:tc>
        <w:tc>
          <w:tcPr>
            <w:tcW w:w="1016" w:type="dxa"/>
            <w:tcBorders>
              <w:top w:val="single" w:color="auto" w:sz="4" w:space="0"/>
              <w:left w:val="single" w:color="auto" w:sz="4" w:space="0"/>
              <w:bottom w:val="single" w:color="auto" w:sz="4" w:space="0"/>
              <w:right w:val="single" w:color="auto" w:sz="4" w:space="0"/>
            </w:tcBorders>
            <w:vAlign w:val="center"/>
          </w:tcPr>
          <w:p>
            <w:pPr>
              <w:pStyle w:val="63"/>
            </w:pPr>
            <w:r>
              <w:t>950</w:t>
            </w:r>
          </w:p>
        </w:tc>
        <w:tc>
          <w:tcPr>
            <w:tcW w:w="913" w:type="dxa"/>
            <w:tcBorders>
              <w:top w:val="single" w:color="auto" w:sz="4" w:space="0"/>
              <w:left w:val="single" w:color="auto" w:sz="4" w:space="0"/>
              <w:bottom w:val="single" w:color="auto" w:sz="4" w:space="0"/>
              <w:right w:val="single" w:color="auto" w:sz="12" w:space="0"/>
            </w:tcBorders>
            <w:vAlign w:val="center"/>
          </w:tcPr>
          <w:p>
            <w:pPr>
              <w:pStyle w:val="63"/>
            </w:pPr>
            <w:r>
              <w:t>1050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80" w:type="dxa"/>
            <w:tcBorders>
              <w:top w:val="single" w:color="auto" w:sz="4" w:space="0"/>
              <w:left w:val="single" w:color="auto" w:sz="12" w:space="0"/>
              <w:bottom w:val="single" w:color="auto" w:sz="12" w:space="0"/>
              <w:right w:val="single" w:color="auto" w:sz="4" w:space="0"/>
            </w:tcBorders>
            <w:vAlign w:val="center"/>
          </w:tcPr>
          <w:p>
            <w:pPr>
              <w:pStyle w:val="63"/>
            </w:pPr>
            <w:r>
              <w:t>沉降速度</w:t>
            </w:r>
            <w:r>
              <w:rPr>
                <w:lang w:val="en-GB"/>
              </w:rPr>
              <w:t>，</w:t>
            </w:r>
            <w:r>
              <w:t>m/s</w:t>
            </w:r>
          </w:p>
        </w:tc>
        <w:tc>
          <w:tcPr>
            <w:tcW w:w="1016" w:type="dxa"/>
            <w:tcBorders>
              <w:top w:val="single" w:color="auto" w:sz="4" w:space="0"/>
              <w:left w:val="single" w:color="auto" w:sz="4" w:space="0"/>
              <w:bottom w:val="single" w:color="auto" w:sz="12" w:space="0"/>
              <w:right w:val="single" w:color="auto" w:sz="4" w:space="0"/>
            </w:tcBorders>
            <w:vAlign w:val="center"/>
          </w:tcPr>
          <w:p>
            <w:pPr>
              <w:pStyle w:val="63"/>
            </w:pPr>
            <w:r>
              <w:t>2.211</w:t>
            </w:r>
          </w:p>
        </w:tc>
        <w:tc>
          <w:tcPr>
            <w:tcW w:w="1016" w:type="dxa"/>
            <w:tcBorders>
              <w:top w:val="single" w:color="auto" w:sz="4" w:space="0"/>
              <w:left w:val="single" w:color="auto" w:sz="4" w:space="0"/>
              <w:bottom w:val="single" w:color="auto" w:sz="12" w:space="0"/>
              <w:right w:val="single" w:color="auto" w:sz="4" w:space="0"/>
            </w:tcBorders>
            <w:vAlign w:val="center"/>
          </w:tcPr>
          <w:p>
            <w:pPr>
              <w:pStyle w:val="63"/>
            </w:pPr>
            <w:r>
              <w:t>2.614</w:t>
            </w:r>
          </w:p>
        </w:tc>
        <w:tc>
          <w:tcPr>
            <w:tcW w:w="1015" w:type="dxa"/>
            <w:tcBorders>
              <w:top w:val="single" w:color="auto" w:sz="4" w:space="0"/>
              <w:left w:val="single" w:color="auto" w:sz="4" w:space="0"/>
              <w:bottom w:val="single" w:color="auto" w:sz="12" w:space="0"/>
              <w:right w:val="single" w:color="auto" w:sz="4" w:space="0"/>
            </w:tcBorders>
            <w:vAlign w:val="center"/>
          </w:tcPr>
          <w:p>
            <w:pPr>
              <w:pStyle w:val="63"/>
            </w:pPr>
            <w:r>
              <w:t>3.016</w:t>
            </w:r>
          </w:p>
        </w:tc>
        <w:tc>
          <w:tcPr>
            <w:tcW w:w="1016" w:type="dxa"/>
            <w:tcBorders>
              <w:top w:val="single" w:color="auto" w:sz="4" w:space="0"/>
              <w:left w:val="single" w:color="auto" w:sz="4" w:space="0"/>
              <w:bottom w:val="single" w:color="auto" w:sz="12" w:space="0"/>
              <w:right w:val="single" w:color="auto" w:sz="4" w:space="0"/>
            </w:tcBorders>
            <w:vAlign w:val="center"/>
          </w:tcPr>
          <w:p>
            <w:pPr>
              <w:pStyle w:val="63"/>
            </w:pPr>
            <w:r>
              <w:t>3.418</w:t>
            </w:r>
          </w:p>
        </w:tc>
        <w:tc>
          <w:tcPr>
            <w:tcW w:w="1015" w:type="dxa"/>
            <w:tcBorders>
              <w:top w:val="single" w:color="auto" w:sz="4" w:space="0"/>
              <w:left w:val="single" w:color="auto" w:sz="4" w:space="0"/>
              <w:bottom w:val="single" w:color="auto" w:sz="12" w:space="0"/>
              <w:right w:val="single" w:color="auto" w:sz="4" w:space="0"/>
            </w:tcBorders>
            <w:vAlign w:val="center"/>
          </w:tcPr>
          <w:p>
            <w:pPr>
              <w:pStyle w:val="63"/>
            </w:pPr>
            <w:r>
              <w:t>3.820</w:t>
            </w:r>
          </w:p>
        </w:tc>
        <w:tc>
          <w:tcPr>
            <w:tcW w:w="1016" w:type="dxa"/>
            <w:tcBorders>
              <w:top w:val="single" w:color="auto" w:sz="4" w:space="0"/>
              <w:left w:val="single" w:color="auto" w:sz="4" w:space="0"/>
              <w:bottom w:val="single" w:color="auto" w:sz="12" w:space="0"/>
              <w:right w:val="single" w:color="auto" w:sz="4" w:space="0"/>
            </w:tcBorders>
            <w:vAlign w:val="center"/>
          </w:tcPr>
          <w:p>
            <w:pPr>
              <w:pStyle w:val="63"/>
            </w:pPr>
            <w:r>
              <w:t>4.222</w:t>
            </w:r>
          </w:p>
        </w:tc>
        <w:tc>
          <w:tcPr>
            <w:tcW w:w="913" w:type="dxa"/>
            <w:tcBorders>
              <w:top w:val="single" w:color="auto" w:sz="4" w:space="0"/>
              <w:left w:val="single" w:color="auto" w:sz="4" w:space="0"/>
              <w:bottom w:val="single" w:color="auto" w:sz="12" w:space="0"/>
              <w:right w:val="single" w:color="auto" w:sz="12" w:space="0"/>
            </w:tcBorders>
            <w:vAlign w:val="center"/>
          </w:tcPr>
          <w:p>
            <w:pPr>
              <w:pStyle w:val="63"/>
            </w:pPr>
            <w:r>
              <w:t>4.624</w:t>
            </w:r>
          </w:p>
        </w:tc>
      </w:tr>
    </w:tbl>
    <w:p>
      <w:pPr>
        <w:spacing w:line="360" w:lineRule="auto"/>
        <w:ind w:firstLine="480" w:firstLineChars="200"/>
        <w:rPr>
          <w:rFonts w:ascii="Times New Roman" w:hAnsi="Times New Roman" w:cs="Times New Roman"/>
        </w:rPr>
      </w:pPr>
      <w:r>
        <w:rPr>
          <w:rFonts w:ascii="Times New Roman" w:hAnsi="Times New Roman" w:cs="Times New Roman"/>
        </w:rPr>
        <w:t>由上表可知，尘粒的沉降速度随粒径的增大而迅速增大。当粒径为250μm时，沉降速度为1.005m/s，因此可以认为当尘粒大于250μm时，主要影响范围在扬尘点下风向近距离范围内，而真正对外环境产生影响的是一些微小尘粒。根据现场的情况，其影响范围也有所不同，要加强采取洒水、覆盖、车辆限速、设置围栏或屏障等措施，减小施工扬尘对周围环境的影响。</w:t>
      </w:r>
    </w:p>
    <w:p>
      <w:pPr>
        <w:spacing w:line="360" w:lineRule="auto"/>
        <w:ind w:firstLine="480" w:firstLineChars="200"/>
        <w:rPr>
          <w:rFonts w:ascii="Times New Roman" w:hAnsi="Times New Roman" w:cs="Times New Roman"/>
        </w:rPr>
      </w:pPr>
      <w:r>
        <w:rPr>
          <w:rFonts w:ascii="Times New Roman" w:hAnsi="Times New Roman" w:cs="Times New Roman"/>
        </w:rPr>
        <w:t>（2）焊接烟尘</w:t>
      </w:r>
    </w:p>
    <w:p>
      <w:pPr>
        <w:spacing w:line="360" w:lineRule="auto"/>
        <w:ind w:firstLine="480" w:firstLineChars="200"/>
        <w:rPr>
          <w:rFonts w:ascii="Times New Roman" w:hAnsi="Times New Roman" w:cs="Times New Roman"/>
        </w:rPr>
      </w:pPr>
      <w:r>
        <w:rPr>
          <w:rFonts w:ascii="Times New Roman" w:hAnsi="Times New Roman" w:cs="Times New Roman"/>
        </w:rPr>
        <w:t>施工期设备的安装会产生焊接废气，其特点是排放量小，且属于间断无组织性排放，由于其这一特点，加之施工场地开阔，扩散条件良好，因此对其不加处理也可以达到相应的排放标准。但为了进一步降低焊接烟尘对环境的影响，在施工期内应多加注意设备的维护，使其能够正常的运行，提高设备的利用率，在施工现场设置移动式焊烟净化装置和吸气罩，将焊烟收集处理后排放。</w:t>
      </w:r>
    </w:p>
    <w:p>
      <w:pPr>
        <w:spacing w:line="360" w:lineRule="auto"/>
        <w:ind w:firstLine="480" w:firstLineChars="200"/>
        <w:rPr>
          <w:rFonts w:ascii="Times New Roman" w:hAnsi="Times New Roman" w:cs="Times New Roman"/>
        </w:rPr>
      </w:pPr>
      <w:r>
        <w:rPr>
          <w:rFonts w:ascii="Times New Roman" w:hAnsi="Times New Roman" w:cs="Times New Roman"/>
        </w:rPr>
        <w:t>（3）燃油废气</w:t>
      </w:r>
    </w:p>
    <w:p>
      <w:pPr>
        <w:spacing w:line="360" w:lineRule="auto"/>
        <w:ind w:firstLine="480" w:firstLineChars="200"/>
        <w:rPr>
          <w:rFonts w:ascii="Times New Roman" w:hAnsi="Times New Roman" w:cs="Times New Roman"/>
        </w:rPr>
      </w:pPr>
      <w:r>
        <w:rPr>
          <w:rFonts w:ascii="Times New Roman" w:hAnsi="Times New Roman" w:cs="Times New Roman"/>
        </w:rPr>
        <w:t>施工车辆、挖土机等因燃油产生的二氧化硫、氮氧化物、一氧化碳、烃类等污染物以及施工人员生活燃气产生的CO、THC、NOx等大气污染物会对大气环境造成不良影响。但这种污染源较分散且为流动性，污染物排放量不大，表现为间歇性特征，因此影响是短期和局部的，该项污染源将随着本项目的建成而不再存在。</w:t>
      </w:r>
    </w:p>
    <w:p>
      <w:pPr>
        <w:spacing w:line="360" w:lineRule="auto"/>
        <w:ind w:firstLine="480" w:firstLineChars="200"/>
        <w:rPr>
          <w:rFonts w:ascii="Times New Roman" w:hAnsi="Times New Roman" w:cs="Times New Roman"/>
        </w:rPr>
      </w:pPr>
      <w:r>
        <w:rPr>
          <w:rFonts w:ascii="Times New Roman" w:hAnsi="Times New Roman" w:cs="Times New Roman"/>
        </w:rPr>
        <w:t>根据类似项目施工现场监测结果，施工车辆为8~15吨以上的大型车辆，一般大型工程车辆污染物排放量为：CO：5.25g/辆·km；THC（总碳氢化合物）：2.08g/辆·km；NOx ：10.44g/辆·km。</w:t>
      </w:r>
    </w:p>
    <w:p>
      <w:pPr>
        <w:spacing w:line="360" w:lineRule="auto"/>
        <w:ind w:firstLine="480" w:firstLineChars="200"/>
        <w:rPr>
          <w:rFonts w:ascii="Times New Roman" w:hAnsi="Times New Roman" w:cs="Times New Roman"/>
        </w:rPr>
      </w:pPr>
      <w:r>
        <w:rPr>
          <w:rFonts w:ascii="Times New Roman" w:hAnsi="Times New Roman" w:cs="Times New Roman"/>
        </w:rPr>
        <w:t>（4）装修废气</w:t>
      </w:r>
    </w:p>
    <w:p>
      <w:pPr>
        <w:spacing w:line="360" w:lineRule="auto"/>
        <w:ind w:firstLine="480" w:firstLineChars="200"/>
        <w:rPr>
          <w:rFonts w:ascii="Times New Roman" w:hAnsi="Times New Roman" w:cs="Times New Roman"/>
        </w:rPr>
      </w:pPr>
      <w:r>
        <w:rPr>
          <w:rFonts w:ascii="Times New Roman" w:hAnsi="Times New Roman" w:cs="Times New Roman"/>
        </w:rPr>
        <w:t>项目室内装修阶段对环境产生污染的材料主要是人造板、饰面人造板以及油漆等有机溶剂（主要有溶剂型涂料、溶剂型胶粘剂，水性阻燃剂、防水剂、防腐剂、防虫剂等）。其主要污染因子为甲苯和二甲苯，此外还有极少量的汽油、丁醇和丙醇等。</w:t>
      </w:r>
    </w:p>
    <w:p>
      <w:pPr>
        <w:pStyle w:val="5"/>
        <w:ind w:firstLine="482"/>
        <w:rPr>
          <w:rFonts w:ascii="Times New Roman" w:hAnsi="Times New Roman" w:cs="Times New Roman" w:eastAsiaTheme="minorEastAsia"/>
        </w:rPr>
      </w:pPr>
      <w:r>
        <w:rPr>
          <w:rFonts w:ascii="Times New Roman" w:hAnsi="Times New Roman" w:cs="Times New Roman" w:eastAsiaTheme="minorEastAsia"/>
        </w:rPr>
        <w:t>3.2.1.3 废水</w:t>
      </w:r>
    </w:p>
    <w:p>
      <w:pPr>
        <w:spacing w:line="360" w:lineRule="auto"/>
        <w:ind w:firstLine="480" w:firstLineChars="200"/>
        <w:rPr>
          <w:rFonts w:ascii="Times New Roman" w:hAnsi="Times New Roman" w:cs="Times New Roman"/>
          <w:bCs/>
        </w:rPr>
      </w:pPr>
      <w:r>
        <w:rPr>
          <w:rFonts w:ascii="Times New Roman" w:hAnsi="Times New Roman" w:cs="Times New Roman"/>
          <w:bCs/>
        </w:rPr>
        <w:t>（1）施工废水</w:t>
      </w:r>
    </w:p>
    <w:p>
      <w:pPr>
        <w:spacing w:line="360" w:lineRule="auto"/>
        <w:ind w:firstLine="480" w:firstLineChars="200"/>
        <w:rPr>
          <w:rFonts w:ascii="Times New Roman" w:hAnsi="Times New Roman" w:cs="Times New Roman"/>
        </w:rPr>
      </w:pPr>
      <w:r>
        <w:rPr>
          <w:rFonts w:ascii="Times New Roman" w:hAnsi="Times New Roman" w:cs="Times New Roman"/>
        </w:rPr>
        <w:t>施工废水主要为施工机械、运输车辆冲洗废水，废水中主要污染物为COD、石油类、SS等。据初步估算，冲洗1台施工机械/运输车辆约产生废水500L，按平均每天冲洗5台计，则废水产生量约为2.5m</w:t>
      </w:r>
      <w:r>
        <w:rPr>
          <w:rFonts w:ascii="Times New Roman" w:hAnsi="Times New Roman" w:cs="Times New Roman"/>
          <w:vertAlign w:val="superscript"/>
        </w:rPr>
        <w:t>3</w:t>
      </w:r>
      <w:r>
        <w:rPr>
          <w:rFonts w:ascii="Times New Roman" w:hAnsi="Times New Roman" w:cs="Times New Roman"/>
        </w:rPr>
        <w:t>/d。废水中各污染物浓度分别为COD：25-200mg/L、石油类：10-300mg/L、SS：400-500mg/L。</w:t>
      </w:r>
    </w:p>
    <w:p>
      <w:pPr>
        <w:spacing w:line="360" w:lineRule="auto"/>
        <w:ind w:firstLine="480" w:firstLineChars="200"/>
        <w:rPr>
          <w:rFonts w:ascii="Times New Roman" w:hAnsi="Times New Roman" w:cs="Times New Roman"/>
          <w:bCs/>
        </w:rPr>
      </w:pPr>
      <w:r>
        <w:rPr>
          <w:rFonts w:ascii="Times New Roman" w:hAnsi="Times New Roman" w:cs="Times New Roman"/>
          <w:bCs/>
        </w:rPr>
        <w:t>（2）施工人员生活污水</w:t>
      </w:r>
    </w:p>
    <w:p>
      <w:pPr>
        <w:spacing w:line="360" w:lineRule="auto"/>
        <w:ind w:firstLine="480" w:firstLineChars="200"/>
        <w:rPr>
          <w:rFonts w:ascii="Times New Roman" w:hAnsi="Times New Roman" w:cs="Times New Roman"/>
        </w:rPr>
      </w:pPr>
      <w:r>
        <w:rPr>
          <w:rFonts w:ascii="Times New Roman" w:hAnsi="Times New Roman" w:cs="Times New Roman"/>
        </w:rPr>
        <w:t>本项目高峰期施工人员约为50人，施工人员生活用水量约为100L/人·d，污水排放系数取0.8，则施工人员生活污水产生量为2.56m</w:t>
      </w:r>
      <w:r>
        <w:rPr>
          <w:rFonts w:ascii="Times New Roman" w:hAnsi="Times New Roman" w:cs="Times New Roman"/>
          <w:vertAlign w:val="superscript"/>
        </w:rPr>
        <w:t>3</w:t>
      </w:r>
      <w:r>
        <w:rPr>
          <w:rFonts w:ascii="Times New Roman" w:hAnsi="Times New Roman" w:cs="Times New Roman"/>
        </w:rPr>
        <w:t>/d，主要污染物浓度一般为COD：50-250mg/L，BOD</w:t>
      </w:r>
      <w:r>
        <w:rPr>
          <w:rFonts w:ascii="Times New Roman" w:hAnsi="Times New Roman" w:cs="Times New Roman"/>
          <w:vertAlign w:val="subscript"/>
        </w:rPr>
        <w:t>5</w:t>
      </w:r>
      <w:r>
        <w:rPr>
          <w:rFonts w:ascii="Times New Roman" w:hAnsi="Times New Roman" w:cs="Times New Roman"/>
        </w:rPr>
        <w:t>：25-150mg/L，SS：100-200mg/L，NH</w:t>
      </w:r>
      <w:r>
        <w:rPr>
          <w:rFonts w:ascii="Times New Roman" w:hAnsi="Times New Roman" w:cs="Times New Roman"/>
          <w:vertAlign w:val="subscript"/>
        </w:rPr>
        <w:t>3</w:t>
      </w:r>
      <w:r>
        <w:rPr>
          <w:rFonts w:ascii="Times New Roman" w:hAnsi="Times New Roman" w:cs="Times New Roman"/>
        </w:rPr>
        <w:t>-N：15-30mg/L。对施工期的生活废水经化粪池处理后排入园区污水管网。</w:t>
      </w:r>
    </w:p>
    <w:p>
      <w:pPr>
        <w:spacing w:line="360" w:lineRule="auto"/>
        <w:ind w:firstLine="480" w:firstLineChars="200"/>
        <w:rPr>
          <w:rFonts w:ascii="Times New Roman" w:hAnsi="Times New Roman" w:cs="Times New Roman"/>
          <w:bCs/>
        </w:rPr>
      </w:pPr>
      <w:r>
        <w:rPr>
          <w:rFonts w:ascii="Times New Roman" w:hAnsi="Times New Roman" w:cs="Times New Roman"/>
          <w:bCs/>
        </w:rPr>
        <w:t>（3）地下渗水及下雨形成的泥浆水和基坑积水</w:t>
      </w:r>
    </w:p>
    <w:p>
      <w:pPr>
        <w:spacing w:line="360" w:lineRule="auto"/>
        <w:ind w:firstLine="480" w:firstLineChars="200"/>
        <w:rPr>
          <w:rFonts w:ascii="Times New Roman" w:hAnsi="Times New Roman" w:cs="Times New Roman"/>
          <w:bCs/>
        </w:rPr>
      </w:pPr>
      <w:r>
        <w:rPr>
          <w:rFonts w:ascii="Times New Roman" w:hAnsi="Times New Roman" w:cs="Times New Roman"/>
          <w:bCs/>
        </w:rPr>
        <w:t>地下渗水及下雨形成的泥浆水和基坑积水受到地下水位、气候等条件影响较大，通常无法预计，根据同类施工工程施工排水经验，主要污染物为SS，浓度为800</w:t>
      </w:r>
      <w:r>
        <w:rPr>
          <w:rFonts w:ascii="Times New Roman" w:hAnsi="Times New Roman" w:cs="Times New Roman"/>
        </w:rPr>
        <w:t>-</w:t>
      </w:r>
      <w:r>
        <w:rPr>
          <w:rFonts w:ascii="Times New Roman" w:hAnsi="Times New Roman" w:cs="Times New Roman"/>
          <w:bCs/>
        </w:rPr>
        <w:t>4000mg/L。</w:t>
      </w:r>
    </w:p>
    <w:p>
      <w:pPr>
        <w:pStyle w:val="5"/>
        <w:ind w:firstLine="482"/>
        <w:rPr>
          <w:rFonts w:ascii="Times New Roman" w:hAnsi="Times New Roman" w:cs="Times New Roman" w:eastAsiaTheme="minorEastAsia"/>
        </w:rPr>
      </w:pPr>
      <w:r>
        <w:rPr>
          <w:rFonts w:ascii="Times New Roman" w:hAnsi="Times New Roman" w:cs="Times New Roman" w:eastAsiaTheme="minorEastAsia"/>
        </w:rPr>
        <w:t>3.2.1.4 噪声</w:t>
      </w:r>
    </w:p>
    <w:p>
      <w:pPr>
        <w:spacing w:line="360" w:lineRule="auto"/>
        <w:ind w:firstLine="480" w:firstLineChars="200"/>
        <w:rPr>
          <w:rFonts w:ascii="Times New Roman" w:hAnsi="Times New Roman" w:cs="Times New Roman"/>
        </w:rPr>
      </w:pPr>
      <w:r>
        <w:rPr>
          <w:rFonts w:ascii="Times New Roman" w:hAnsi="Times New Roman" w:cs="Times New Roman"/>
        </w:rPr>
        <w:t>施工期可分为土方、基础、结构和设备安装四个施工阶段。</w:t>
      </w:r>
    </w:p>
    <w:p>
      <w:pPr>
        <w:spacing w:line="360" w:lineRule="auto"/>
        <w:ind w:firstLine="480" w:firstLineChars="200"/>
        <w:rPr>
          <w:rFonts w:ascii="Times New Roman" w:hAnsi="Times New Roman" w:cs="Times New Roman"/>
        </w:rPr>
      </w:pPr>
      <w:r>
        <w:rPr>
          <w:rFonts w:ascii="Times New Roman" w:hAnsi="Times New Roman" w:cs="Times New Roman"/>
        </w:rPr>
        <w:t>第一阶段即土方施工阶段，主要噪声源是推</w:t>
      </w:r>
      <w:r>
        <w:rPr>
          <w:rFonts w:hint="eastAsia" w:ascii="Times New Roman" w:hAnsi="Times New Roman" w:cs="Times New Roman"/>
        </w:rPr>
        <w:t>土</w:t>
      </w:r>
      <w:r>
        <w:rPr>
          <w:rFonts w:ascii="Times New Roman" w:hAnsi="Times New Roman" w:cs="Times New Roman"/>
        </w:rPr>
        <w:t>机、挖掘机、装载机以及各种车辆，大多是移动声源，没有明显的指向性。</w:t>
      </w:r>
    </w:p>
    <w:p>
      <w:pPr>
        <w:spacing w:line="360" w:lineRule="auto"/>
        <w:ind w:firstLine="480" w:firstLineChars="200"/>
        <w:rPr>
          <w:rFonts w:ascii="Times New Roman" w:hAnsi="Times New Roman" w:cs="Times New Roman"/>
        </w:rPr>
      </w:pPr>
      <w:r>
        <w:rPr>
          <w:rFonts w:ascii="Times New Roman" w:hAnsi="Times New Roman" w:cs="Times New Roman"/>
        </w:rPr>
        <w:t>第二阶段即基础施工阶段，主要噪声源是空压机，基本都属于固定声源。</w:t>
      </w:r>
    </w:p>
    <w:p>
      <w:pPr>
        <w:spacing w:line="360" w:lineRule="auto"/>
        <w:ind w:firstLine="480" w:firstLineChars="200"/>
        <w:rPr>
          <w:rFonts w:ascii="Times New Roman" w:hAnsi="Times New Roman" w:cs="Times New Roman"/>
        </w:rPr>
      </w:pPr>
      <w:r>
        <w:rPr>
          <w:rFonts w:ascii="Times New Roman" w:hAnsi="Times New Roman" w:cs="Times New Roman"/>
        </w:rPr>
        <w:t>第三阶段即结构制作阶段，是建筑施工中周期最长的阶段，使用设备品种较多，此阶段应为重点控制噪声阶段之一，各种设备工作时间较长，影响面较广，应是主要噪声源，需加以控制。其他声源声功率级较低，工作时间亦较短。</w:t>
      </w:r>
    </w:p>
    <w:p>
      <w:pPr>
        <w:spacing w:line="360" w:lineRule="auto"/>
        <w:ind w:firstLine="480" w:firstLineChars="200"/>
        <w:rPr>
          <w:rFonts w:ascii="Times New Roman" w:hAnsi="Times New Roman" w:cs="Times New Roman"/>
        </w:rPr>
      </w:pPr>
      <w:r>
        <w:rPr>
          <w:rFonts w:ascii="Times New Roman" w:hAnsi="Times New Roman" w:cs="Times New Roman"/>
        </w:rPr>
        <w:t xml:space="preserve"> 第四阶段即装修阶段，此阶段--般占施工时间比例也较长，但声源数量较少，声源强度较低。这一阶段噪声源主要包括砂轮机、电钻、吊车、切割机等。这些声源声功率级一般 90dB （A）左右，有的还在室内使用。</w:t>
      </w:r>
    </w:p>
    <w:p>
      <w:pPr>
        <w:spacing w:line="360" w:lineRule="auto"/>
        <w:ind w:firstLine="480" w:firstLineChars="200"/>
        <w:rPr>
          <w:rFonts w:ascii="Times New Roman" w:hAnsi="Times New Roman" w:cs="Times New Roman"/>
        </w:rPr>
      </w:pPr>
      <w:r>
        <w:rPr>
          <w:rFonts w:ascii="Times New Roman" w:hAnsi="Times New Roman" w:cs="Times New Roman"/>
        </w:rPr>
        <w:t>据有关资料及类比，主要施工机械的噪声状况见下表。</w:t>
      </w:r>
    </w:p>
    <w:p>
      <w:pPr>
        <w:pStyle w:val="6"/>
        <w:rPr>
          <w:rFonts w:ascii="Times New Roman" w:hAnsi="Times New Roman" w:cs="Times New Roman"/>
        </w:rPr>
      </w:pPr>
      <w:r>
        <w:rPr>
          <w:rFonts w:ascii="Times New Roman" w:hAnsi="Times New Roman" w:cs="Times New Roman"/>
        </w:rPr>
        <w:t>表3.</w:t>
      </w:r>
      <w:r>
        <w:rPr>
          <w:rFonts w:hint="eastAsia" w:ascii="Times New Roman" w:hAnsi="Times New Roman" w:cs="Times New Roman"/>
        </w:rPr>
        <w:t xml:space="preserve">2-4 </w:t>
      </w:r>
      <w:r>
        <w:rPr>
          <w:rFonts w:ascii="Times New Roman" w:hAnsi="Times New Roman" w:cs="Times New Roman"/>
        </w:rPr>
        <w:t xml:space="preserve"> 项目施工期主要噪声源及源强表</w:t>
      </w:r>
    </w:p>
    <w:tbl>
      <w:tblPr>
        <w:tblStyle w:val="35"/>
        <w:tblW w:w="0" w:type="auto"/>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384"/>
        <w:gridCol w:w="2268"/>
        <w:gridCol w:w="2552"/>
        <w:gridCol w:w="232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384" w:type="dxa"/>
            <w:tcBorders>
              <w:top w:val="single" w:color="000000" w:sz="12" w:space="0"/>
              <w:left w:val="single" w:color="000000" w:sz="12" w:space="0"/>
              <w:bottom w:val="single" w:color="000000" w:sz="4" w:space="0"/>
              <w:right w:val="single" w:color="000000" w:sz="4" w:space="0"/>
            </w:tcBorders>
            <w:shd w:val="clear" w:color="auto" w:fill="auto"/>
            <w:vAlign w:val="center"/>
          </w:tcPr>
          <w:p>
            <w:pPr>
              <w:pStyle w:val="63"/>
            </w:pPr>
            <w:r>
              <w:t>施工阶段</w:t>
            </w:r>
          </w:p>
        </w:tc>
        <w:tc>
          <w:tcPr>
            <w:tcW w:w="2268" w:type="dxa"/>
            <w:tcBorders>
              <w:top w:val="single" w:color="000000" w:sz="12" w:space="0"/>
              <w:left w:val="single" w:color="000000" w:sz="4" w:space="0"/>
              <w:bottom w:val="single" w:color="000000" w:sz="4" w:space="0"/>
              <w:right w:val="single" w:color="000000" w:sz="4" w:space="0"/>
            </w:tcBorders>
            <w:shd w:val="clear" w:color="auto" w:fill="auto"/>
            <w:vAlign w:val="center"/>
          </w:tcPr>
          <w:p>
            <w:pPr>
              <w:pStyle w:val="63"/>
            </w:pPr>
            <w:r>
              <w:t>主要噪声源</w:t>
            </w:r>
          </w:p>
        </w:tc>
        <w:tc>
          <w:tcPr>
            <w:tcW w:w="2552" w:type="dxa"/>
            <w:tcBorders>
              <w:top w:val="single" w:color="000000" w:sz="12" w:space="0"/>
              <w:left w:val="single" w:color="000000" w:sz="4" w:space="0"/>
              <w:bottom w:val="single" w:color="000000" w:sz="4" w:space="0"/>
              <w:right w:val="single" w:color="000000" w:sz="4" w:space="0"/>
            </w:tcBorders>
            <w:shd w:val="clear" w:color="auto" w:fill="auto"/>
            <w:vAlign w:val="center"/>
          </w:tcPr>
          <w:p>
            <w:pPr>
              <w:pStyle w:val="63"/>
            </w:pPr>
            <w:r>
              <w:t>升功率级（dB（A））</w:t>
            </w:r>
          </w:p>
        </w:tc>
        <w:tc>
          <w:tcPr>
            <w:tcW w:w="2324" w:type="dxa"/>
            <w:tcBorders>
              <w:top w:val="single" w:color="000000" w:sz="12" w:space="0"/>
              <w:left w:val="single" w:color="000000" w:sz="4" w:space="0"/>
              <w:bottom w:val="single" w:color="000000" w:sz="4" w:space="0"/>
              <w:right w:val="single" w:color="000000" w:sz="12" w:space="0"/>
            </w:tcBorders>
            <w:shd w:val="clear" w:color="auto" w:fill="auto"/>
            <w:vAlign w:val="center"/>
          </w:tcPr>
          <w:p>
            <w:pPr>
              <w:pStyle w:val="63"/>
            </w:pPr>
            <w:r>
              <w:t>声源特征</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384" w:type="dxa"/>
            <w:vMerge w:val="restart"/>
            <w:tcBorders>
              <w:top w:val="single" w:color="000000" w:sz="4" w:space="0"/>
              <w:left w:val="single" w:color="000000" w:sz="12" w:space="0"/>
              <w:bottom w:val="single" w:color="000000" w:sz="4" w:space="0"/>
              <w:right w:val="single" w:color="000000" w:sz="4" w:space="0"/>
            </w:tcBorders>
            <w:shd w:val="clear" w:color="auto" w:fill="auto"/>
            <w:vAlign w:val="center"/>
          </w:tcPr>
          <w:p>
            <w:pPr>
              <w:pStyle w:val="63"/>
            </w:pPr>
            <w:r>
              <w:t>土石方阶段</w:t>
            </w:r>
          </w:p>
        </w:tc>
        <w:tc>
          <w:tcPr>
            <w:tcW w:w="22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挖掘机</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86.5</w:t>
            </w:r>
          </w:p>
        </w:tc>
        <w:tc>
          <w:tcPr>
            <w:tcW w:w="2324" w:type="dxa"/>
            <w:vMerge w:val="restart"/>
            <w:tcBorders>
              <w:top w:val="single" w:color="000000" w:sz="4" w:space="0"/>
              <w:left w:val="single" w:color="000000" w:sz="4" w:space="0"/>
              <w:bottom w:val="single" w:color="000000" w:sz="4" w:space="0"/>
              <w:right w:val="single" w:color="000000" w:sz="12" w:space="0"/>
            </w:tcBorders>
            <w:shd w:val="clear" w:color="auto" w:fill="auto"/>
            <w:vAlign w:val="center"/>
          </w:tcPr>
          <w:p>
            <w:pPr>
              <w:pStyle w:val="63"/>
            </w:pPr>
            <w:r>
              <w:t>声源无指向性，有一定影响，应控制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0" w:type="auto"/>
            <w:vMerge w:val="continue"/>
            <w:tcBorders>
              <w:top w:val="single" w:color="000000" w:sz="4" w:space="0"/>
              <w:left w:val="single" w:color="000000" w:sz="12" w:space="0"/>
              <w:bottom w:val="single" w:color="000000" w:sz="4" w:space="0"/>
              <w:right w:val="single" w:color="000000" w:sz="4" w:space="0"/>
            </w:tcBorders>
            <w:shd w:val="clear" w:color="auto" w:fill="auto"/>
            <w:vAlign w:val="center"/>
          </w:tcPr>
          <w:p>
            <w:pPr>
              <w:pStyle w:val="63"/>
            </w:pPr>
          </w:p>
        </w:tc>
        <w:tc>
          <w:tcPr>
            <w:tcW w:w="22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平地机</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82.5</w:t>
            </w:r>
          </w:p>
        </w:tc>
        <w:tc>
          <w:tcPr>
            <w:tcW w:w="0" w:type="auto"/>
            <w:vMerge w:val="continue"/>
            <w:tcBorders>
              <w:top w:val="single" w:color="000000" w:sz="4" w:space="0"/>
              <w:left w:val="single" w:color="000000" w:sz="4" w:space="0"/>
              <w:bottom w:val="single" w:color="000000" w:sz="4" w:space="0"/>
              <w:right w:val="single" w:color="000000" w:sz="12" w:space="0"/>
            </w:tcBorders>
            <w:shd w:val="clear" w:color="auto" w:fill="auto"/>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0" w:type="auto"/>
            <w:vMerge w:val="continue"/>
            <w:tcBorders>
              <w:top w:val="single" w:color="000000" w:sz="4" w:space="0"/>
              <w:left w:val="single" w:color="000000" w:sz="12" w:space="0"/>
              <w:bottom w:val="single" w:color="000000" w:sz="4" w:space="0"/>
              <w:right w:val="single" w:color="000000" w:sz="4" w:space="0"/>
            </w:tcBorders>
            <w:shd w:val="clear" w:color="auto" w:fill="auto"/>
            <w:vAlign w:val="center"/>
          </w:tcPr>
          <w:p>
            <w:pPr>
              <w:pStyle w:val="63"/>
            </w:pPr>
          </w:p>
        </w:tc>
        <w:tc>
          <w:tcPr>
            <w:tcW w:w="22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推土机</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83.7</w:t>
            </w:r>
          </w:p>
        </w:tc>
        <w:tc>
          <w:tcPr>
            <w:tcW w:w="0" w:type="auto"/>
            <w:vMerge w:val="continue"/>
            <w:tcBorders>
              <w:top w:val="single" w:color="000000" w:sz="4" w:space="0"/>
              <w:left w:val="single" w:color="000000" w:sz="4" w:space="0"/>
              <w:bottom w:val="single" w:color="000000" w:sz="4" w:space="0"/>
              <w:right w:val="single" w:color="000000" w:sz="12" w:space="0"/>
            </w:tcBorders>
            <w:shd w:val="clear" w:color="auto" w:fill="auto"/>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0" w:type="auto"/>
            <w:vMerge w:val="continue"/>
            <w:tcBorders>
              <w:top w:val="single" w:color="000000" w:sz="4" w:space="0"/>
              <w:left w:val="single" w:color="000000" w:sz="12" w:space="0"/>
              <w:bottom w:val="single" w:color="000000" w:sz="4" w:space="0"/>
              <w:right w:val="single" w:color="000000" w:sz="4" w:space="0"/>
            </w:tcBorders>
            <w:shd w:val="clear" w:color="auto" w:fill="auto"/>
            <w:vAlign w:val="center"/>
          </w:tcPr>
          <w:p>
            <w:pPr>
              <w:pStyle w:val="63"/>
            </w:pPr>
          </w:p>
        </w:tc>
        <w:tc>
          <w:tcPr>
            <w:tcW w:w="22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重型运输车辆</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85</w:t>
            </w:r>
          </w:p>
        </w:tc>
        <w:tc>
          <w:tcPr>
            <w:tcW w:w="0" w:type="auto"/>
            <w:vMerge w:val="continue"/>
            <w:tcBorders>
              <w:top w:val="single" w:color="000000" w:sz="4" w:space="0"/>
              <w:left w:val="single" w:color="000000" w:sz="4" w:space="0"/>
              <w:bottom w:val="single" w:color="000000" w:sz="4" w:space="0"/>
              <w:right w:val="single" w:color="000000" w:sz="12" w:space="0"/>
            </w:tcBorders>
            <w:shd w:val="clear" w:color="auto" w:fill="auto"/>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384" w:type="dxa"/>
            <w:vMerge w:val="restart"/>
            <w:tcBorders>
              <w:top w:val="single" w:color="000000" w:sz="4" w:space="0"/>
              <w:left w:val="single" w:color="000000" w:sz="12" w:space="0"/>
              <w:bottom w:val="single" w:color="000000" w:sz="4" w:space="0"/>
              <w:right w:val="single" w:color="000000" w:sz="4" w:space="0"/>
            </w:tcBorders>
            <w:shd w:val="clear" w:color="auto" w:fill="auto"/>
            <w:vAlign w:val="center"/>
          </w:tcPr>
          <w:p>
            <w:pPr>
              <w:pStyle w:val="63"/>
            </w:pPr>
            <w:r>
              <w:t>基础施工</w:t>
            </w:r>
          </w:p>
        </w:tc>
        <w:tc>
          <w:tcPr>
            <w:tcW w:w="22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升降机</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89</w:t>
            </w:r>
          </w:p>
        </w:tc>
        <w:tc>
          <w:tcPr>
            <w:tcW w:w="2324" w:type="dxa"/>
            <w:vMerge w:val="restart"/>
            <w:tcBorders>
              <w:top w:val="single" w:color="000000" w:sz="4" w:space="0"/>
              <w:left w:val="single" w:color="000000" w:sz="4" w:space="0"/>
              <w:bottom w:val="single" w:color="000000" w:sz="4" w:space="0"/>
              <w:right w:val="single" w:color="000000" w:sz="12" w:space="0"/>
            </w:tcBorders>
            <w:shd w:val="clear" w:color="auto" w:fill="auto"/>
            <w:vAlign w:val="center"/>
          </w:tcPr>
          <w:p>
            <w:pPr>
              <w:pStyle w:val="63"/>
            </w:pPr>
            <w:r>
              <w:t>声源无指向性，有一定影响，应控制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0" w:type="auto"/>
            <w:vMerge w:val="continue"/>
            <w:tcBorders>
              <w:top w:val="single" w:color="000000" w:sz="4" w:space="0"/>
              <w:left w:val="single" w:color="000000" w:sz="12" w:space="0"/>
              <w:bottom w:val="single" w:color="000000" w:sz="4" w:space="0"/>
              <w:right w:val="single" w:color="000000" w:sz="4" w:space="0"/>
            </w:tcBorders>
            <w:shd w:val="clear" w:color="auto" w:fill="auto"/>
            <w:vAlign w:val="center"/>
          </w:tcPr>
          <w:p>
            <w:pPr>
              <w:pStyle w:val="63"/>
            </w:pPr>
          </w:p>
        </w:tc>
        <w:tc>
          <w:tcPr>
            <w:tcW w:w="22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冲击钻机</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83.5</w:t>
            </w:r>
          </w:p>
        </w:tc>
        <w:tc>
          <w:tcPr>
            <w:tcW w:w="0" w:type="auto"/>
            <w:vMerge w:val="continue"/>
            <w:tcBorders>
              <w:top w:val="single" w:color="000000" w:sz="4" w:space="0"/>
              <w:left w:val="single" w:color="000000" w:sz="4" w:space="0"/>
              <w:bottom w:val="single" w:color="000000" w:sz="4" w:space="0"/>
              <w:right w:val="single" w:color="000000" w:sz="12" w:space="0"/>
            </w:tcBorders>
            <w:shd w:val="clear" w:color="auto" w:fill="auto"/>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0" w:type="auto"/>
            <w:vMerge w:val="continue"/>
            <w:tcBorders>
              <w:top w:val="single" w:color="000000" w:sz="4" w:space="0"/>
              <w:left w:val="single" w:color="000000" w:sz="12" w:space="0"/>
              <w:bottom w:val="single" w:color="000000" w:sz="4" w:space="0"/>
              <w:right w:val="single" w:color="000000" w:sz="4" w:space="0"/>
            </w:tcBorders>
            <w:shd w:val="clear" w:color="auto" w:fill="auto"/>
            <w:vAlign w:val="center"/>
          </w:tcPr>
          <w:p>
            <w:pPr>
              <w:pStyle w:val="63"/>
            </w:pPr>
          </w:p>
        </w:tc>
        <w:tc>
          <w:tcPr>
            <w:tcW w:w="22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空压机</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95</w:t>
            </w:r>
          </w:p>
        </w:tc>
        <w:tc>
          <w:tcPr>
            <w:tcW w:w="0" w:type="auto"/>
            <w:vMerge w:val="continue"/>
            <w:tcBorders>
              <w:top w:val="single" w:color="000000" w:sz="4" w:space="0"/>
              <w:left w:val="single" w:color="000000" w:sz="4" w:space="0"/>
              <w:bottom w:val="single" w:color="000000" w:sz="4" w:space="0"/>
              <w:right w:val="single" w:color="000000" w:sz="12" w:space="0"/>
            </w:tcBorders>
            <w:shd w:val="clear" w:color="auto" w:fill="auto"/>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384" w:type="dxa"/>
            <w:vMerge w:val="restart"/>
            <w:tcBorders>
              <w:top w:val="single" w:color="000000" w:sz="4" w:space="0"/>
              <w:left w:val="single" w:color="000000" w:sz="12" w:space="0"/>
              <w:bottom w:val="single" w:color="000000" w:sz="4" w:space="0"/>
              <w:right w:val="single" w:color="000000" w:sz="4" w:space="0"/>
            </w:tcBorders>
            <w:shd w:val="clear" w:color="auto" w:fill="auto"/>
            <w:vAlign w:val="center"/>
          </w:tcPr>
          <w:p>
            <w:pPr>
              <w:pStyle w:val="63"/>
            </w:pPr>
            <w:r>
              <w:t>结构施工</w:t>
            </w:r>
          </w:p>
        </w:tc>
        <w:tc>
          <w:tcPr>
            <w:tcW w:w="22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升降机</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89</w:t>
            </w:r>
          </w:p>
        </w:tc>
        <w:tc>
          <w:tcPr>
            <w:tcW w:w="2324" w:type="dxa"/>
            <w:vMerge w:val="restart"/>
            <w:tcBorders>
              <w:top w:val="single" w:color="000000" w:sz="4" w:space="0"/>
              <w:left w:val="single" w:color="000000" w:sz="4" w:space="0"/>
              <w:bottom w:val="single" w:color="000000" w:sz="4" w:space="0"/>
              <w:right w:val="single" w:color="000000" w:sz="12" w:space="0"/>
            </w:tcBorders>
            <w:shd w:val="clear" w:color="auto" w:fill="auto"/>
            <w:vAlign w:val="center"/>
          </w:tcPr>
          <w:p>
            <w:pPr>
              <w:pStyle w:val="63"/>
            </w:pPr>
            <w:r>
              <w:t>工作时间长，影响较广泛，必须控制</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0" w:type="auto"/>
            <w:vMerge w:val="continue"/>
            <w:tcBorders>
              <w:top w:val="single" w:color="000000" w:sz="4" w:space="0"/>
              <w:left w:val="single" w:color="000000" w:sz="12" w:space="0"/>
              <w:bottom w:val="single" w:color="000000" w:sz="4" w:space="0"/>
              <w:right w:val="single" w:color="000000" w:sz="4" w:space="0"/>
            </w:tcBorders>
            <w:shd w:val="clear" w:color="auto" w:fill="auto"/>
            <w:vAlign w:val="center"/>
          </w:tcPr>
          <w:p>
            <w:pPr>
              <w:pStyle w:val="63"/>
            </w:pPr>
          </w:p>
        </w:tc>
        <w:tc>
          <w:tcPr>
            <w:tcW w:w="22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搅拌机</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74.5</w:t>
            </w:r>
          </w:p>
        </w:tc>
        <w:tc>
          <w:tcPr>
            <w:tcW w:w="0" w:type="auto"/>
            <w:vMerge w:val="continue"/>
            <w:tcBorders>
              <w:top w:val="single" w:color="000000" w:sz="4" w:space="0"/>
              <w:left w:val="single" w:color="000000" w:sz="4" w:space="0"/>
              <w:bottom w:val="single" w:color="000000" w:sz="4" w:space="0"/>
              <w:right w:val="single" w:color="000000" w:sz="12" w:space="0"/>
            </w:tcBorders>
            <w:shd w:val="clear" w:color="auto" w:fill="auto"/>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0" w:type="auto"/>
            <w:vMerge w:val="continue"/>
            <w:tcBorders>
              <w:top w:val="single" w:color="000000" w:sz="4" w:space="0"/>
              <w:left w:val="single" w:color="000000" w:sz="12" w:space="0"/>
              <w:bottom w:val="single" w:color="000000" w:sz="4" w:space="0"/>
              <w:right w:val="single" w:color="000000" w:sz="4" w:space="0"/>
            </w:tcBorders>
            <w:shd w:val="clear" w:color="auto" w:fill="auto"/>
            <w:vAlign w:val="center"/>
          </w:tcPr>
          <w:p>
            <w:pPr>
              <w:pStyle w:val="63"/>
            </w:pPr>
          </w:p>
        </w:tc>
        <w:tc>
          <w:tcPr>
            <w:tcW w:w="22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振捣棒</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95</w:t>
            </w:r>
          </w:p>
        </w:tc>
        <w:tc>
          <w:tcPr>
            <w:tcW w:w="0" w:type="auto"/>
            <w:vMerge w:val="continue"/>
            <w:tcBorders>
              <w:top w:val="single" w:color="000000" w:sz="4" w:space="0"/>
              <w:left w:val="single" w:color="000000" w:sz="4" w:space="0"/>
              <w:bottom w:val="single" w:color="000000" w:sz="4" w:space="0"/>
              <w:right w:val="single" w:color="000000" w:sz="12" w:space="0"/>
            </w:tcBorders>
            <w:shd w:val="clear" w:color="auto" w:fill="auto"/>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0" w:type="auto"/>
            <w:vMerge w:val="continue"/>
            <w:tcBorders>
              <w:top w:val="single" w:color="000000" w:sz="4" w:space="0"/>
              <w:left w:val="single" w:color="000000" w:sz="12" w:space="0"/>
              <w:bottom w:val="single" w:color="000000" w:sz="4" w:space="0"/>
              <w:right w:val="single" w:color="000000" w:sz="4" w:space="0"/>
            </w:tcBorders>
            <w:shd w:val="clear" w:color="auto" w:fill="auto"/>
            <w:vAlign w:val="center"/>
          </w:tcPr>
          <w:p>
            <w:pPr>
              <w:pStyle w:val="63"/>
            </w:pPr>
          </w:p>
        </w:tc>
        <w:tc>
          <w:tcPr>
            <w:tcW w:w="22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电锯</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106</w:t>
            </w:r>
          </w:p>
        </w:tc>
        <w:tc>
          <w:tcPr>
            <w:tcW w:w="0" w:type="auto"/>
            <w:vMerge w:val="continue"/>
            <w:tcBorders>
              <w:top w:val="single" w:color="000000" w:sz="4" w:space="0"/>
              <w:left w:val="single" w:color="000000" w:sz="4" w:space="0"/>
              <w:bottom w:val="single" w:color="000000" w:sz="4" w:space="0"/>
              <w:right w:val="single" w:color="000000" w:sz="12" w:space="0"/>
            </w:tcBorders>
            <w:shd w:val="clear" w:color="auto" w:fill="auto"/>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384" w:type="dxa"/>
            <w:vMerge w:val="restart"/>
            <w:tcBorders>
              <w:top w:val="single" w:color="000000" w:sz="4" w:space="0"/>
              <w:left w:val="single" w:color="000000" w:sz="12" w:space="0"/>
              <w:bottom w:val="single" w:color="000000" w:sz="12" w:space="0"/>
              <w:right w:val="single" w:color="000000" w:sz="4" w:space="0"/>
            </w:tcBorders>
            <w:shd w:val="clear" w:color="auto" w:fill="auto"/>
            <w:vAlign w:val="center"/>
          </w:tcPr>
          <w:p>
            <w:pPr>
              <w:pStyle w:val="63"/>
            </w:pPr>
            <w:r>
              <w:t>装修阶段</w:t>
            </w:r>
          </w:p>
        </w:tc>
        <w:tc>
          <w:tcPr>
            <w:tcW w:w="2268"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砂轮机</w:t>
            </w:r>
          </w:p>
        </w:tc>
        <w:tc>
          <w:tcPr>
            <w:tcW w:w="25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63"/>
            </w:pPr>
            <w:r>
              <w:t>102</w:t>
            </w:r>
          </w:p>
        </w:tc>
        <w:tc>
          <w:tcPr>
            <w:tcW w:w="2324" w:type="dxa"/>
            <w:vMerge w:val="restart"/>
            <w:tcBorders>
              <w:top w:val="single" w:color="000000" w:sz="4" w:space="0"/>
              <w:left w:val="single" w:color="000000" w:sz="4" w:space="0"/>
              <w:bottom w:val="single" w:color="000000" w:sz="12" w:space="0"/>
              <w:right w:val="single" w:color="000000" w:sz="12" w:space="0"/>
            </w:tcBorders>
            <w:shd w:val="clear" w:color="auto" w:fill="auto"/>
            <w:vAlign w:val="center"/>
          </w:tcPr>
          <w:p>
            <w:pPr>
              <w:pStyle w:val="63"/>
            </w:pPr>
            <w:r>
              <w:t>在考虑市内隔声量的情况下，其影响有所减轻</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0" w:type="auto"/>
            <w:vMerge w:val="continue"/>
            <w:tcBorders>
              <w:top w:val="single" w:color="000000" w:sz="4" w:space="0"/>
              <w:left w:val="single" w:color="000000" w:sz="12" w:space="0"/>
              <w:bottom w:val="single" w:color="000000" w:sz="12" w:space="0"/>
              <w:right w:val="single" w:color="000000" w:sz="4" w:space="0"/>
            </w:tcBorders>
            <w:shd w:val="clear" w:color="auto" w:fill="auto"/>
            <w:vAlign w:val="center"/>
          </w:tcPr>
          <w:p>
            <w:pPr>
              <w:pStyle w:val="63"/>
            </w:pPr>
          </w:p>
        </w:tc>
        <w:tc>
          <w:tcPr>
            <w:tcW w:w="2268" w:type="dxa"/>
            <w:tcBorders>
              <w:top w:val="single" w:color="000000" w:sz="4" w:space="0"/>
              <w:left w:val="single" w:color="000000" w:sz="4" w:space="0"/>
              <w:bottom w:val="single" w:color="000000" w:sz="12" w:space="0"/>
              <w:right w:val="single" w:color="000000" w:sz="4" w:space="0"/>
            </w:tcBorders>
            <w:shd w:val="clear" w:color="auto" w:fill="auto"/>
            <w:vAlign w:val="center"/>
          </w:tcPr>
          <w:p>
            <w:pPr>
              <w:pStyle w:val="63"/>
            </w:pPr>
            <w:r>
              <w:t>切割机</w:t>
            </w:r>
          </w:p>
        </w:tc>
        <w:tc>
          <w:tcPr>
            <w:tcW w:w="2552" w:type="dxa"/>
            <w:tcBorders>
              <w:top w:val="single" w:color="000000" w:sz="4" w:space="0"/>
              <w:left w:val="single" w:color="000000" w:sz="4" w:space="0"/>
              <w:bottom w:val="single" w:color="000000" w:sz="12" w:space="0"/>
              <w:right w:val="single" w:color="000000" w:sz="4" w:space="0"/>
            </w:tcBorders>
            <w:shd w:val="clear" w:color="auto" w:fill="auto"/>
            <w:vAlign w:val="center"/>
          </w:tcPr>
          <w:p>
            <w:pPr>
              <w:pStyle w:val="63"/>
            </w:pPr>
            <w:r>
              <w:t>100</w:t>
            </w:r>
          </w:p>
        </w:tc>
        <w:tc>
          <w:tcPr>
            <w:tcW w:w="0" w:type="auto"/>
            <w:vMerge w:val="continue"/>
            <w:tcBorders>
              <w:top w:val="single" w:color="000000" w:sz="4" w:space="0"/>
              <w:left w:val="single" w:color="000000" w:sz="4" w:space="0"/>
              <w:bottom w:val="single" w:color="000000" w:sz="12" w:space="0"/>
              <w:right w:val="single" w:color="000000" w:sz="12" w:space="0"/>
            </w:tcBorders>
            <w:shd w:val="clear" w:color="auto" w:fill="auto"/>
            <w:vAlign w:val="center"/>
          </w:tcPr>
          <w:p>
            <w:pPr>
              <w:pStyle w:val="63"/>
            </w:pPr>
          </w:p>
        </w:tc>
      </w:tr>
    </w:tbl>
    <w:p>
      <w:pPr>
        <w:pStyle w:val="5"/>
        <w:ind w:firstLine="482"/>
        <w:rPr>
          <w:rFonts w:ascii="Times New Roman" w:hAnsi="Times New Roman" w:cs="Times New Roman" w:eastAsiaTheme="minorEastAsia"/>
        </w:rPr>
      </w:pPr>
      <w:r>
        <w:rPr>
          <w:rFonts w:ascii="Times New Roman" w:hAnsi="Times New Roman" w:cs="Times New Roman" w:eastAsiaTheme="minorEastAsia"/>
        </w:rPr>
        <w:t>3.2.1.5 固体废物</w:t>
      </w:r>
    </w:p>
    <w:p>
      <w:pPr>
        <w:spacing w:line="360" w:lineRule="auto"/>
        <w:ind w:firstLine="480" w:firstLineChars="200"/>
        <w:rPr>
          <w:rFonts w:ascii="Times New Roman" w:hAnsi="Times New Roman" w:cs="Times New Roman"/>
        </w:rPr>
      </w:pPr>
      <w:r>
        <w:rPr>
          <w:rFonts w:ascii="Times New Roman" w:hAnsi="Times New Roman" w:cs="Times New Roman"/>
        </w:rPr>
        <w:t>（1）建筑垃圾</w:t>
      </w:r>
    </w:p>
    <w:p>
      <w:pPr>
        <w:spacing w:line="360" w:lineRule="auto"/>
        <w:ind w:firstLine="480" w:firstLineChars="200"/>
        <w:rPr>
          <w:rFonts w:ascii="Times New Roman" w:hAnsi="Times New Roman" w:cs="Times New Roman"/>
        </w:rPr>
      </w:pPr>
      <w:r>
        <w:rPr>
          <w:rFonts w:ascii="Times New Roman" w:hAnsi="Times New Roman" w:cs="Times New Roman"/>
        </w:rPr>
        <w:t>本项目施工范围较小，可以做到挖填平衡。根据《环境统计手册》，建筑垃圾产生系数约50kg/m</w:t>
      </w:r>
      <w:r>
        <w:rPr>
          <w:rFonts w:ascii="Times New Roman" w:hAnsi="Times New Roman" w:cs="Times New Roman"/>
          <w:vertAlign w:val="superscript"/>
        </w:rPr>
        <w:t>2</w:t>
      </w:r>
      <w:r>
        <w:rPr>
          <w:rFonts w:ascii="Times New Roman" w:hAnsi="Times New Roman" w:cs="Times New Roman"/>
        </w:rPr>
        <w:t>，具体产生量与设计方案、人工素质和装修材料使用管理水平有关。本项目总建筑计容面积55247.26m</w:t>
      </w:r>
      <w:r>
        <w:rPr>
          <w:rFonts w:ascii="Times New Roman" w:hAnsi="Times New Roman" w:cs="Times New Roman"/>
          <w:vertAlign w:val="superscript"/>
        </w:rPr>
        <w:t>2</w:t>
      </w:r>
      <w:r>
        <w:rPr>
          <w:rFonts w:ascii="Times New Roman" w:hAnsi="Times New Roman" w:cs="Times New Roman"/>
        </w:rPr>
        <w:t>，则建筑垃圾产生量约为2762t，主要成分以废钢材、混凝土块等惰性材料为主。上述建筑垃圾在施工场地内统一堆存，委托有资质的渣土清运公司运至合法的建筑垃圾处置场处理。</w:t>
      </w:r>
    </w:p>
    <w:p>
      <w:pPr>
        <w:spacing w:line="360" w:lineRule="auto"/>
        <w:ind w:firstLine="480" w:firstLineChars="200"/>
        <w:rPr>
          <w:rFonts w:ascii="Times New Roman" w:hAnsi="Times New Roman" w:cs="Times New Roman"/>
        </w:rPr>
      </w:pPr>
      <w:r>
        <w:rPr>
          <w:rFonts w:ascii="Times New Roman" w:hAnsi="Times New Roman" w:cs="Times New Roman"/>
        </w:rPr>
        <w:t>（2）原有构筑物拆除后的建筑垃圾</w:t>
      </w:r>
    </w:p>
    <w:p>
      <w:pPr>
        <w:spacing w:line="360" w:lineRule="auto"/>
        <w:ind w:firstLine="480" w:firstLineChars="200"/>
        <w:rPr>
          <w:rFonts w:ascii="Times New Roman" w:hAnsi="Times New Roman" w:cs="Times New Roman"/>
        </w:rPr>
      </w:pPr>
      <w:r>
        <w:rPr>
          <w:rFonts w:ascii="Times New Roman" w:hAnsi="Times New Roman" w:cs="Times New Roman"/>
        </w:rPr>
        <w:t>待本工程运营后将拆除现有垃圾填埋场部分构筑物，整个建筑物均拆除，拆除后产生的建筑垃圾约350t。环评要求对产生的建筑垃圾运至住建部门指定场所处置。</w:t>
      </w:r>
    </w:p>
    <w:p>
      <w:pPr>
        <w:spacing w:line="360" w:lineRule="auto"/>
        <w:ind w:firstLine="480" w:firstLineChars="200"/>
        <w:rPr>
          <w:rFonts w:ascii="Times New Roman" w:hAnsi="Times New Roman" w:cs="Times New Roman"/>
        </w:rPr>
      </w:pPr>
      <w:r>
        <w:rPr>
          <w:rFonts w:ascii="Times New Roman" w:hAnsi="Times New Roman" w:cs="Times New Roman"/>
        </w:rPr>
        <w:t>同时，本次环评建议建设单位参照《企业拆除活动污染防治技术规定（试行）》（环境保护部公告2017年第78号），在构筑物拆除前组织编制《企业拆除活动污染防治方案》并报环境主管部门备案。</w:t>
      </w:r>
    </w:p>
    <w:p>
      <w:pPr>
        <w:spacing w:line="360" w:lineRule="auto"/>
        <w:ind w:firstLine="480" w:firstLineChars="200"/>
        <w:rPr>
          <w:rFonts w:ascii="Times New Roman" w:hAnsi="Times New Roman" w:cs="Times New Roman"/>
        </w:rPr>
      </w:pPr>
      <w:r>
        <w:rPr>
          <w:rFonts w:ascii="Times New Roman" w:hAnsi="Times New Roman" w:cs="Times New Roman"/>
        </w:rPr>
        <w:t>（3）生活垃圾</w:t>
      </w:r>
    </w:p>
    <w:p>
      <w:pPr>
        <w:spacing w:line="360" w:lineRule="auto"/>
        <w:ind w:firstLine="480" w:firstLineChars="200"/>
        <w:rPr>
          <w:rFonts w:ascii="Times New Roman" w:hAnsi="Times New Roman" w:cs="Times New Roman"/>
        </w:rPr>
      </w:pPr>
      <w:r>
        <w:rPr>
          <w:rFonts w:ascii="Times New Roman" w:hAnsi="Times New Roman" w:cs="Times New Roman"/>
        </w:rPr>
        <w:t>本项目高峰期施工人员约为50人，生活垃圾产生量按0.5kg/人·d计，则施工人员每天产生约25kg生活垃圾，生活垃圾经集中收集后运至环卫部门指定的地点统一处置。</w:t>
      </w:r>
    </w:p>
    <w:p>
      <w:pPr>
        <w:pStyle w:val="5"/>
        <w:ind w:firstLine="482"/>
        <w:rPr>
          <w:rFonts w:ascii="Times New Roman" w:hAnsi="Times New Roman" w:cs="Times New Roman" w:eastAsiaTheme="minorEastAsia"/>
        </w:rPr>
      </w:pPr>
      <w:r>
        <w:rPr>
          <w:rFonts w:ascii="Times New Roman" w:hAnsi="Times New Roman" w:cs="Times New Roman" w:eastAsiaTheme="minorEastAsia"/>
        </w:rPr>
        <w:t>3.2.1.6 生态环境影响</w:t>
      </w:r>
    </w:p>
    <w:p>
      <w:pPr>
        <w:spacing w:line="360" w:lineRule="auto"/>
        <w:ind w:firstLine="480" w:firstLineChars="200"/>
        <w:rPr>
          <w:rFonts w:ascii="Times New Roman" w:hAnsi="Times New Roman" w:cs="Times New Roman"/>
        </w:rPr>
      </w:pPr>
      <w:r>
        <w:rPr>
          <w:rFonts w:ascii="Times New Roman" w:hAnsi="Times New Roman" w:cs="Times New Roman"/>
        </w:rPr>
        <w:t>水土流失是指土壤在降水侵蚀力作用下的分散、迁移和沉积的过程。影响水土流失的因素较多，主要包括降雨、土壤、植被、地形地貌以及工程施工等因素。就本工程而言，影响施工期水土流失的主要因素是降雨和工程施工。</w:t>
      </w:r>
    </w:p>
    <w:p>
      <w:pPr>
        <w:spacing w:line="360" w:lineRule="auto"/>
        <w:ind w:firstLine="480" w:firstLineChars="200"/>
        <w:rPr>
          <w:rFonts w:ascii="Times New Roman" w:hAnsi="Times New Roman" w:cs="Times New Roman"/>
        </w:rPr>
      </w:pPr>
      <w:r>
        <w:rPr>
          <w:rFonts w:ascii="Times New Roman" w:hAnsi="Times New Roman" w:cs="Times New Roman"/>
        </w:rPr>
        <w:t>项目施工过程中场内弃土因结构松散，易被雨水冲刷造成水土流失。通过采取动土前在项目周边建临时围墙、及时清运弃土、及时夯实回填土、将临时堆放区倒运的表土用于植被恢复需要，这样减少临时堆放堆土量，减少了裸露面积，节约土地资源，也减少了二次开挖扰动造成的水土流失，但本项目挖填土方均较大，将造成一定数量的水土流失。</w:t>
      </w:r>
    </w:p>
    <w:p>
      <w:pPr>
        <w:spacing w:line="360" w:lineRule="auto"/>
        <w:ind w:firstLine="480" w:firstLineChars="200"/>
        <w:rPr>
          <w:rFonts w:ascii="Times New Roman" w:hAnsi="Times New Roman" w:cs="Times New Roman"/>
        </w:rPr>
      </w:pPr>
      <w:r>
        <w:rPr>
          <w:rFonts w:ascii="Times New Roman" w:hAnsi="Times New Roman" w:cs="Times New Roman"/>
        </w:rPr>
        <w:t>（1）降雨因素</w:t>
      </w:r>
    </w:p>
    <w:p>
      <w:pPr>
        <w:spacing w:line="360" w:lineRule="auto"/>
        <w:ind w:firstLine="480" w:firstLineChars="200"/>
        <w:rPr>
          <w:rFonts w:ascii="Times New Roman" w:hAnsi="Times New Roman" w:cs="Times New Roman"/>
        </w:rPr>
      </w:pPr>
      <w:r>
        <w:rPr>
          <w:rFonts w:ascii="Times New Roman" w:hAnsi="Times New Roman" w:cs="Times New Roman"/>
        </w:rPr>
        <w:t>降雨是发生水土流失最直接最重要的自然因素。降雨对裸露地表的影响表现在两个方面：一是雨滴对裸露地表的直接冲溅作用，二是雨水汇集形成地表径流的冲刷作用。当雨水作用力大于土壤之间的粘合力时，土壤就会发生解析，其中粒径较小的将随地面径流流向较为低洼的地方，当这种运动过程发生得较为集中、较为剧烈时，就发生水土流失。</w:t>
      </w:r>
    </w:p>
    <w:p>
      <w:pPr>
        <w:spacing w:line="360" w:lineRule="auto"/>
        <w:ind w:firstLine="480" w:firstLineChars="200"/>
        <w:rPr>
          <w:rFonts w:ascii="Times New Roman" w:hAnsi="Times New Roman" w:cs="Times New Roman"/>
        </w:rPr>
      </w:pPr>
      <w:r>
        <w:rPr>
          <w:rFonts w:ascii="Times New Roman" w:hAnsi="Times New Roman" w:cs="Times New Roman"/>
        </w:rPr>
        <w:t>（2）工程因素</w:t>
      </w:r>
    </w:p>
    <w:p>
      <w:pPr>
        <w:spacing w:line="360" w:lineRule="auto"/>
        <w:ind w:firstLine="480" w:firstLineChars="200"/>
        <w:rPr>
          <w:rFonts w:ascii="Times New Roman" w:hAnsi="Times New Roman" w:cs="Times New Roman"/>
        </w:rPr>
      </w:pPr>
      <w:r>
        <w:rPr>
          <w:rFonts w:ascii="Times New Roman" w:hAnsi="Times New Roman" w:cs="Times New Roman"/>
        </w:rPr>
        <w:t>工程因素主要指项目的开发活动，将影响或改变一些自然因素，如改变区域地形地貌、破坏植被、改变土壤的理化性质，从而加剧水土流失的发生。</w:t>
      </w:r>
    </w:p>
    <w:p>
      <w:pPr>
        <w:spacing w:line="360" w:lineRule="auto"/>
        <w:ind w:firstLine="480" w:firstLineChars="200"/>
        <w:rPr>
          <w:rFonts w:ascii="Times New Roman" w:hAnsi="Times New Roman" w:cs="Times New Roman"/>
        </w:rPr>
      </w:pPr>
      <w:r>
        <w:rPr>
          <w:rFonts w:hint="eastAsia" w:ascii="宋体" w:hAnsi="宋体" w:eastAsia="宋体" w:cs="宋体"/>
        </w:rPr>
        <w:t>①</w:t>
      </w:r>
      <w:r>
        <w:rPr>
          <w:rFonts w:ascii="Times New Roman" w:hAnsi="Times New Roman" w:cs="Times New Roman"/>
        </w:rPr>
        <w:t>地形地貌</w:t>
      </w:r>
    </w:p>
    <w:p>
      <w:pPr>
        <w:spacing w:line="360" w:lineRule="auto"/>
        <w:ind w:firstLine="480" w:firstLineChars="200"/>
        <w:rPr>
          <w:rFonts w:ascii="Times New Roman" w:hAnsi="Times New Roman" w:cs="Times New Roman"/>
        </w:rPr>
      </w:pPr>
      <w:r>
        <w:rPr>
          <w:rFonts w:ascii="Times New Roman" w:hAnsi="Times New Roman" w:cs="Times New Roman"/>
        </w:rPr>
        <w:t>地形是影响水土流失的重要因素之一。地形的坡度、坡长和坡形直接影响着土壤侵蚀强度的大小，其影响主要通过改变径流速度而起作用。工程施工过程中的挖土、填方和平整地面等施工活动，在一定程度上改变区域内的地貌格局，塑造微地貌的较大改变，为水土流失的发生创造条件。</w:t>
      </w:r>
    </w:p>
    <w:p>
      <w:pPr>
        <w:spacing w:line="360" w:lineRule="auto"/>
        <w:ind w:firstLine="480" w:firstLineChars="200"/>
        <w:rPr>
          <w:rFonts w:ascii="Times New Roman" w:hAnsi="Times New Roman" w:cs="Times New Roman"/>
        </w:rPr>
      </w:pPr>
      <w:r>
        <w:rPr>
          <w:rFonts w:hint="eastAsia" w:ascii="宋体" w:hAnsi="宋体" w:eastAsia="宋体" w:cs="宋体"/>
        </w:rPr>
        <w:t>②</w:t>
      </w:r>
      <w:r>
        <w:rPr>
          <w:rFonts w:ascii="Times New Roman" w:hAnsi="Times New Roman" w:cs="Times New Roman"/>
        </w:rPr>
        <w:t>植被</w:t>
      </w:r>
    </w:p>
    <w:p>
      <w:pPr>
        <w:spacing w:line="360" w:lineRule="auto"/>
        <w:ind w:firstLine="480" w:firstLineChars="200"/>
        <w:rPr>
          <w:rFonts w:ascii="Times New Roman" w:hAnsi="Times New Roman" w:cs="Times New Roman"/>
        </w:rPr>
      </w:pPr>
      <w:r>
        <w:rPr>
          <w:rFonts w:ascii="Times New Roman" w:hAnsi="Times New Roman" w:cs="Times New Roman"/>
        </w:rPr>
        <w:t>植被是影响土壤侵蚀的关键因素之一，良好的植被覆盖可以截留降水，减轻雨滴击溅，减弱降水对土壤的直接破坏作用。同时，植物的根系还可以固定土壤结构，增加土壤孔隙度，丰富土壤有机质，从而增强土壤的抗侵蚀能力。据研究，当植被覆盖率为50%时，其土壤的侵蚀量约为裸地时的1/5。</w:t>
      </w:r>
    </w:p>
    <w:p>
      <w:pPr>
        <w:spacing w:line="360" w:lineRule="auto"/>
        <w:ind w:firstLine="480" w:firstLineChars="200"/>
        <w:rPr>
          <w:rFonts w:ascii="Times New Roman" w:hAnsi="Times New Roman" w:cs="Times New Roman"/>
        </w:rPr>
      </w:pPr>
      <w:r>
        <w:rPr>
          <w:rFonts w:hint="eastAsia" w:ascii="宋体" w:hAnsi="宋体" w:eastAsia="宋体" w:cs="宋体"/>
        </w:rPr>
        <w:t>③</w:t>
      </w:r>
      <w:r>
        <w:rPr>
          <w:rFonts w:ascii="Times New Roman" w:hAnsi="Times New Roman" w:cs="Times New Roman"/>
        </w:rPr>
        <w:t>土壤</w:t>
      </w:r>
    </w:p>
    <w:p>
      <w:pPr>
        <w:spacing w:line="360" w:lineRule="auto"/>
        <w:ind w:firstLine="480" w:firstLineChars="200"/>
        <w:rPr>
          <w:rFonts w:ascii="Times New Roman" w:hAnsi="Times New Roman" w:cs="Times New Roman"/>
        </w:rPr>
      </w:pPr>
      <w:r>
        <w:rPr>
          <w:rFonts w:ascii="Times New Roman" w:hAnsi="Times New Roman" w:cs="Times New Roman"/>
        </w:rPr>
        <w:t>土壤是侵蚀的对象，土壤本身固有的理化性质决定了不同土壤抗侵蚀能力的差异。项目工程施工使地表土壤的结构受到覆盖和破坏，致使土壤结构松散，有机质含量下降。</w:t>
      </w:r>
    </w:p>
    <w:p>
      <w:pPr>
        <w:spacing w:line="360" w:lineRule="auto"/>
        <w:ind w:firstLine="480" w:firstLineChars="200"/>
        <w:rPr>
          <w:rFonts w:ascii="Times New Roman" w:hAnsi="Times New Roman" w:cs="Times New Roman"/>
        </w:rPr>
      </w:pPr>
      <w:r>
        <w:rPr>
          <w:rFonts w:ascii="Times New Roman" w:hAnsi="Times New Roman" w:cs="Times New Roman"/>
        </w:rPr>
        <w:t>（3）水土流失的危害</w:t>
      </w:r>
    </w:p>
    <w:p>
      <w:pPr>
        <w:spacing w:line="360" w:lineRule="auto"/>
        <w:ind w:firstLine="480" w:firstLineChars="200"/>
        <w:rPr>
          <w:rFonts w:ascii="Times New Roman" w:hAnsi="Times New Roman" w:cs="Times New Roman"/>
        </w:rPr>
      </w:pPr>
      <w:r>
        <w:rPr>
          <w:rFonts w:ascii="Times New Roman" w:hAnsi="Times New Roman" w:cs="Times New Roman"/>
        </w:rPr>
        <w:t>水土流失的危害主要表现在以下几个方面：</w:t>
      </w:r>
    </w:p>
    <w:p>
      <w:pPr>
        <w:spacing w:line="360" w:lineRule="auto"/>
        <w:ind w:firstLine="480" w:firstLineChars="200"/>
        <w:rPr>
          <w:rFonts w:ascii="Times New Roman" w:hAnsi="Times New Roman" w:cs="Times New Roman"/>
        </w:rPr>
      </w:pPr>
      <w:bookmarkStart w:id="158" w:name="_Toc6225921"/>
      <w:bookmarkStart w:id="159" w:name="_Toc6226105"/>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hint="eastAsia" w:ascii="宋体" w:hAnsi="宋体" w:eastAsia="宋体" w:cs="宋体"/>
        </w:rPr>
        <w:t>①</w:t>
      </w:r>
      <w:r>
        <w:rPr>
          <w:rFonts w:ascii="Times New Roman" w:hAnsi="Times New Roman" w:cs="Times New Roman"/>
        </w:rPr>
        <w:fldChar w:fldCharType="end"/>
      </w:r>
      <w:r>
        <w:rPr>
          <w:rFonts w:ascii="Times New Roman" w:hAnsi="Times New Roman" w:cs="Times New Roman"/>
        </w:rPr>
        <w:t>淤塞下水道——由暴雨冲刷形成的泥水由于含有高浓度的悬浮物而淤塞城市下水道，间接影响了本工程的预期成效。</w:t>
      </w:r>
      <w:bookmarkEnd w:id="158"/>
      <w:bookmarkEnd w:id="159"/>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hint="eastAsia" w:ascii="宋体" w:hAnsi="宋体" w:eastAsia="宋体" w:cs="宋体"/>
        </w:rPr>
        <w:t>②</w:t>
      </w:r>
      <w:r>
        <w:rPr>
          <w:rFonts w:ascii="Times New Roman" w:hAnsi="Times New Roman" w:cs="Times New Roman"/>
        </w:rPr>
        <w:fldChar w:fldCharType="end"/>
      </w:r>
      <w:r>
        <w:rPr>
          <w:rFonts w:ascii="Times New Roman" w:hAnsi="Times New Roman" w:cs="Times New Roman"/>
        </w:rPr>
        <w:t>表土流失，破坏土地构型——雨水侵蚀致使土壤流失，土层变薄，地表沙化，土壤发生层次缺失。</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3 \* GB3 </w:instrText>
      </w:r>
      <w:r>
        <w:rPr>
          <w:rFonts w:ascii="Times New Roman" w:hAnsi="Times New Roman" w:cs="Times New Roman"/>
        </w:rPr>
        <w:fldChar w:fldCharType="separate"/>
      </w:r>
      <w:r>
        <w:rPr>
          <w:rFonts w:hint="eastAsia" w:ascii="宋体" w:hAnsi="宋体" w:eastAsia="宋体" w:cs="宋体"/>
        </w:rPr>
        <w:t>③</w:t>
      </w:r>
      <w:r>
        <w:rPr>
          <w:rFonts w:ascii="Times New Roman" w:hAnsi="Times New Roman" w:cs="Times New Roman"/>
        </w:rPr>
        <w:fldChar w:fldCharType="end"/>
      </w:r>
      <w:r>
        <w:rPr>
          <w:rFonts w:ascii="Times New Roman" w:hAnsi="Times New Roman" w:cs="Times New Roman"/>
        </w:rPr>
        <w:t>养分流失，降低土壤肥力——土壤无论受到何种形式的干扰，首先破坏肥力最高、养分最多、结构最好的表层土壤，土壤有机质含量随着土壤侵蚀强度的加剧而降低。</w:t>
      </w:r>
    </w:p>
    <w:p>
      <w:pPr>
        <w:spacing w:line="360" w:lineRule="auto"/>
        <w:ind w:firstLine="480" w:firstLineChars="200"/>
        <w:rPr>
          <w:rFonts w:ascii="Times New Roman" w:hAnsi="Times New Roman" w:cs="Times New Roman"/>
        </w:rPr>
      </w:pPr>
      <w:r>
        <w:rPr>
          <w:rFonts w:ascii="Times New Roman" w:hAnsi="Times New Roman" w:cs="Times New Roman"/>
        </w:rPr>
        <w:t>因此，施工期对道路应采用硬化路面，同时在施工场地建排水沟，防止雨水冲刷场地，并在排水沟出口设沉淀池，使雨水沉淀池沉清后回用于施工场地洒水或绿化，尽量减少施工期水土流失。</w:t>
      </w:r>
    </w:p>
    <w:p>
      <w:pPr>
        <w:pStyle w:val="4"/>
        <w:rPr>
          <w:rFonts w:ascii="Times New Roman" w:hAnsi="Times New Roman" w:cs="Times New Roman"/>
        </w:rPr>
      </w:pPr>
      <w:bookmarkStart w:id="160" w:name="_Toc144236760"/>
      <w:bookmarkStart w:id="161" w:name="_Toc144276890"/>
      <w:bookmarkStart w:id="162" w:name="_Toc147848010"/>
      <w:r>
        <w:rPr>
          <w:rFonts w:ascii="Times New Roman" w:hAnsi="Times New Roman" w:cs="Times New Roman"/>
        </w:rPr>
        <w:t>3.2.2 运营期工艺流程</w:t>
      </w:r>
      <w:bookmarkEnd w:id="160"/>
      <w:bookmarkEnd w:id="161"/>
      <w:bookmarkEnd w:id="162"/>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废旧锂电池回收总体过程如下：</w:t>
      </w:r>
    </w:p>
    <w:p>
      <w:pPr>
        <w:autoSpaceDE w:val="0"/>
        <w:autoSpaceDN w:val="0"/>
        <w:spacing w:line="360" w:lineRule="auto"/>
        <w:ind w:firstLine="480" w:firstLineChars="200"/>
        <w:jc w:val="left"/>
        <w:rPr>
          <w:rFonts w:ascii="Times New Roman" w:hAnsi="Times New Roman" w:cs="Times New Roman"/>
          <w:u w:val="single"/>
        </w:rPr>
      </w:pPr>
      <w:r>
        <w:rPr>
          <w:rFonts w:hint="eastAsia" w:ascii="Times New Roman" w:hAnsi="Times New Roman" w:cs="Times New Roman"/>
          <w:u w:val="single"/>
        </w:rPr>
        <w:t>（1）原料储存</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项目回收的废旧动力电池进厂后</w:t>
      </w:r>
      <w:r>
        <w:rPr>
          <w:rFonts w:hint="eastAsia" w:ascii="Times New Roman" w:hAnsi="Times New Roman" w:cs="Times New Roman"/>
          <w:u w:val="single"/>
        </w:rPr>
        <w:t>首先进行安全性检测，在原料仓库采取玻璃钢防腐防渗漏层、面层垫防砸橡胶板，控制贮存温度为20±5℃，湿度为RH（65±20）%，如发现破损的废电池应立刻送入生产过程中进行处理，不得在仓库内长时间存放。</w:t>
      </w:r>
    </w:p>
    <w:p>
      <w:pPr>
        <w:autoSpaceDE w:val="0"/>
        <w:autoSpaceDN w:val="0"/>
        <w:spacing w:line="360" w:lineRule="auto"/>
        <w:ind w:firstLine="480" w:firstLineChars="200"/>
        <w:jc w:val="left"/>
        <w:rPr>
          <w:rFonts w:ascii="Times New Roman" w:hAnsi="Times New Roman" w:cs="Times New Roman"/>
          <w:u w:val="single"/>
        </w:rPr>
      </w:pPr>
      <w:r>
        <w:rPr>
          <w:rFonts w:hint="eastAsia" w:ascii="Times New Roman" w:hAnsi="Times New Roman" w:cs="Times New Roman"/>
          <w:u w:val="single"/>
        </w:rPr>
        <w:t>（2）检测</w:t>
      </w:r>
    </w:p>
    <w:p>
      <w:pPr>
        <w:autoSpaceDE w:val="0"/>
        <w:autoSpaceDN w:val="0"/>
        <w:spacing w:line="360" w:lineRule="auto"/>
        <w:ind w:firstLine="480" w:firstLineChars="200"/>
        <w:jc w:val="left"/>
        <w:rPr>
          <w:rFonts w:ascii="Times New Roman" w:hAnsi="Times New Roman" w:cs="Times New Roman"/>
          <w:u w:val="single"/>
        </w:rPr>
      </w:pPr>
      <w:r>
        <w:rPr>
          <w:rFonts w:hint="eastAsia" w:ascii="Times New Roman" w:hAnsi="Times New Roman" w:cs="Times New Roman"/>
          <w:u w:val="single"/>
        </w:rPr>
        <w:t>废旧</w:t>
      </w:r>
      <w:r>
        <w:rPr>
          <w:rFonts w:ascii="Times New Roman" w:hAnsi="Times New Roman" w:cs="Times New Roman"/>
          <w:u w:val="single"/>
        </w:rPr>
        <w:t>动力电池</w:t>
      </w:r>
      <w:r>
        <w:rPr>
          <w:rFonts w:hint="eastAsia" w:ascii="Times New Roman" w:hAnsi="Times New Roman" w:cs="Times New Roman"/>
          <w:u w:val="single"/>
        </w:rPr>
        <w:t>进厂后，先进性检测，具体检测过程如下：①进行外观筛选，筛选出外观完好的废旧电池；②筛选出的外观完好的废旧电池利用余能检测设备进行余能检测，残余电能满足梯级利用要求的再次分选出来，进行梯级利用；③不符合梯级利用的投入综合回收生产线进行处理。对于回收不能梯次利用的废旧电池直接进行综合回收利用。</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w:t>
      </w:r>
      <w:r>
        <w:rPr>
          <w:rFonts w:hint="eastAsia" w:ascii="Times New Roman" w:hAnsi="Times New Roman" w:cs="Times New Roman"/>
          <w:u w:val="single"/>
        </w:rPr>
        <w:t>3</w:t>
      </w:r>
      <w:r>
        <w:rPr>
          <w:rFonts w:ascii="Times New Roman" w:hAnsi="Times New Roman" w:cs="Times New Roman"/>
          <w:u w:val="single"/>
        </w:rPr>
        <w:t>）破碎</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拆解后的废旧电池进入预处理车间的锂电池进入破碎工序。在预处理工序，废旧锂电池通过破碎、分选后，物理分离出铁、铜、铝，正负极混合料通过全自动上料系统进入热分解炉（炭化炉），最后进入筛分，产出极粉。</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w:t>
      </w:r>
      <w:r>
        <w:rPr>
          <w:rFonts w:hint="eastAsia" w:ascii="Times New Roman" w:hAnsi="Times New Roman" w:cs="Times New Roman"/>
          <w:u w:val="single"/>
        </w:rPr>
        <w:t>4</w:t>
      </w:r>
      <w:r>
        <w:rPr>
          <w:rFonts w:ascii="Times New Roman" w:hAnsi="Times New Roman" w:cs="Times New Roman"/>
          <w:u w:val="single"/>
        </w:rPr>
        <w:t>）浸出</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含锂镍钴锰的正负极混合料（电池再生料、极粉、三元黑粉）进入浸出车间，用硫酸溶液浸出，石墨经过滤、洗涤、烘干后作为产品外销。浸出液通过进一步净化后送往萃取工序，浸出过程产生的浸出渣主要是碳粉，净化工序产生的铁铝渣为主要含铁铝的一般固废（含少量钴镍铜等金属）、送往水泥厂、环保砖厂做原料或铜厂铅厂做熔剂。</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w:t>
      </w:r>
      <w:r>
        <w:rPr>
          <w:rFonts w:hint="eastAsia" w:ascii="Times New Roman" w:hAnsi="Times New Roman" w:cs="Times New Roman"/>
          <w:u w:val="single"/>
        </w:rPr>
        <w:t>5</w:t>
      </w:r>
      <w:r>
        <w:rPr>
          <w:rFonts w:ascii="Times New Roman" w:hAnsi="Times New Roman" w:cs="Times New Roman"/>
          <w:u w:val="single"/>
        </w:rPr>
        <w:t>）萃取</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在萃取工序，各种金属离子通过萃取剂进行分段分离提纯，得到镍、钴、锰的高纯净化液；后将高纯净化液进行浓缩、结晶、干燥和包装，产出电池级硫酸钴、硫酸镍、硫酸锰和碳酸锂。生产废水进入废水车间处理，达标清水全部回用。</w:t>
      </w:r>
    </w:p>
    <w:p>
      <w:pPr>
        <w:pStyle w:val="5"/>
        <w:ind w:firstLine="482"/>
        <w:rPr>
          <w:rFonts w:ascii="Times New Roman" w:hAnsi="Times New Roman" w:cs="Times New Roman" w:eastAsiaTheme="minorEastAsia"/>
          <w:szCs w:val="24"/>
        </w:rPr>
      </w:pPr>
      <w:r>
        <w:rPr>
          <w:rFonts w:ascii="Times New Roman" w:hAnsi="Times New Roman" w:cs="Times New Roman" w:eastAsiaTheme="minorEastAsia"/>
          <w:szCs w:val="24"/>
        </w:rPr>
        <w:t>3.2.2.1 废旧锂电池梯次利用工艺流程及产污环节</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本项目在衡东经开区管委会南侧场地，自建梯次利用厂房，处理规模为25000t/a，废旧锂电池梯次利用主要工序包括电池包及模组拆解、梯次电池重组集成。</w:t>
      </w:r>
    </w:p>
    <w:p>
      <w:pPr>
        <w:autoSpaceDE w:val="0"/>
        <w:autoSpaceDN w:val="0"/>
        <w:spacing w:line="360" w:lineRule="auto"/>
        <w:ind w:left="480"/>
        <w:jc w:val="left"/>
        <w:rPr>
          <w:rFonts w:ascii="Times New Roman" w:hAnsi="Times New Roman" w:cs="Times New Roman"/>
          <w:b/>
          <w:u w:val="single"/>
        </w:rPr>
      </w:pPr>
      <w:r>
        <w:rPr>
          <w:rFonts w:ascii="Times New Roman" w:hAnsi="Times New Roman" w:cs="Times New Roman"/>
          <w:b/>
          <w:u w:val="single"/>
        </w:rPr>
        <w:t>（1）电池包及模组拆解工艺</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1）</w:t>
      </w:r>
      <w:r>
        <w:rPr>
          <w:rFonts w:hint="eastAsia" w:ascii="Times New Roman" w:hAnsi="Times New Roman" w:cs="Times New Roman"/>
          <w:u w:val="single"/>
        </w:rPr>
        <w:t>原料（废旧锂电池）由卡车装运至仓库的卸车平台，采用放电柜对电池包进行放电。</w:t>
      </w:r>
    </w:p>
    <w:p>
      <w:pPr>
        <w:autoSpaceDE w:val="0"/>
        <w:autoSpaceDN w:val="0"/>
        <w:spacing w:line="360" w:lineRule="auto"/>
        <w:ind w:firstLine="480" w:firstLineChars="200"/>
        <w:jc w:val="left"/>
        <w:rPr>
          <w:rFonts w:ascii="Times New Roman" w:hAnsi="Times New Roman" w:cs="Times New Roman"/>
          <w:u w:val="single"/>
        </w:rPr>
      </w:pPr>
      <w:r>
        <w:rPr>
          <w:rFonts w:hint="eastAsia" w:ascii="Times New Roman" w:hAnsi="Times New Roman" w:cs="Times New Roman"/>
          <w:u w:val="single"/>
        </w:rPr>
        <w:t>2</w:t>
      </w:r>
      <w:r>
        <w:rPr>
          <w:rFonts w:ascii="Times New Roman" w:hAnsi="Times New Roman" w:cs="Times New Roman"/>
          <w:u w:val="single"/>
        </w:rPr>
        <w:t>）电池包经预处理放电后，采用行吊或叉车对电池包上线，人工扫码。上线前人工辅助检测电池包绝缘安全性及外观完整性，人工通过叉车电池包到输送线上电池包托盘的相应位置，输送拆解电池包到工位，人工检查MSD是否拆卸，在拆上盖前必须拆卸MSD断电，人工扫电池包条码。人工拆上盖螺丝，人工拆解主流电池包上盖并下线。</w:t>
      </w:r>
    </w:p>
    <w:p>
      <w:pPr>
        <w:autoSpaceDE w:val="0"/>
        <w:autoSpaceDN w:val="0"/>
        <w:spacing w:line="360" w:lineRule="auto"/>
        <w:ind w:firstLine="480" w:firstLineChars="200"/>
        <w:jc w:val="left"/>
        <w:rPr>
          <w:rFonts w:ascii="Times New Roman" w:hAnsi="Times New Roman" w:cs="Times New Roman"/>
          <w:u w:val="single"/>
        </w:rPr>
      </w:pPr>
      <w:r>
        <w:rPr>
          <w:rFonts w:hint="eastAsia" w:ascii="Times New Roman" w:hAnsi="Times New Roman" w:cs="Times New Roman"/>
          <w:u w:val="single"/>
        </w:rPr>
        <w:t>3</w:t>
      </w:r>
      <w:r>
        <w:rPr>
          <w:rFonts w:ascii="Times New Roman" w:hAnsi="Times New Roman" w:cs="Times New Roman"/>
          <w:u w:val="single"/>
        </w:rPr>
        <w:t>）拆除铜牌螺丝及铜排（人工辅助），拆除断开总正、总负电源线，并拆除BMS、及电气开关等（人工辅助），排冷却液（人工辅助）、拆除模组线束、模组螺丝等（人工辅助）。</w:t>
      </w:r>
    </w:p>
    <w:p>
      <w:pPr>
        <w:autoSpaceDE w:val="0"/>
        <w:autoSpaceDN w:val="0"/>
        <w:spacing w:line="360" w:lineRule="auto"/>
        <w:ind w:firstLine="480" w:firstLineChars="200"/>
        <w:jc w:val="left"/>
        <w:rPr>
          <w:rFonts w:ascii="Times New Roman" w:hAnsi="Times New Roman" w:cs="Times New Roman"/>
          <w:u w:val="single"/>
        </w:rPr>
      </w:pPr>
      <w:r>
        <w:rPr>
          <w:rFonts w:hint="eastAsia" w:ascii="Times New Roman" w:hAnsi="Times New Roman" w:cs="Times New Roman"/>
          <w:u w:val="single"/>
        </w:rPr>
        <w:t>4</w:t>
      </w:r>
      <w:r>
        <w:rPr>
          <w:rFonts w:ascii="Times New Roman" w:hAnsi="Times New Roman" w:cs="Times New Roman"/>
          <w:u w:val="single"/>
        </w:rPr>
        <w:t>）人工辅助行吊取模组，下箱体下线。</w:t>
      </w:r>
    </w:p>
    <w:p>
      <w:pPr>
        <w:autoSpaceDE w:val="0"/>
        <w:autoSpaceDN w:val="0"/>
        <w:spacing w:line="360" w:lineRule="auto"/>
        <w:ind w:firstLine="480" w:firstLineChars="200"/>
        <w:jc w:val="left"/>
        <w:rPr>
          <w:rFonts w:ascii="Times New Roman" w:hAnsi="Times New Roman" w:cs="Times New Roman"/>
          <w:u w:val="single"/>
        </w:rPr>
      </w:pPr>
      <w:r>
        <w:rPr>
          <w:rFonts w:hint="eastAsia" w:ascii="Times New Roman" w:hAnsi="Times New Roman" w:cs="Times New Roman"/>
          <w:u w:val="single"/>
        </w:rPr>
        <w:t>5</w:t>
      </w:r>
      <w:r>
        <w:rPr>
          <w:rFonts w:ascii="Times New Roman" w:hAnsi="Times New Roman" w:cs="Times New Roman"/>
          <w:u w:val="single"/>
        </w:rPr>
        <w:t>）拆除模组上盖、内部线束（人工），加工模组汇流排焊接点（人工辅助上下料）。人工辅助吊取模组（轻模组可以直接搬运）放置在焊点铣削专机的工位台上，夹具固定模组，启动焊点铣削专机加工焊点，支持换刀对模组铝侧板的铣削，应急防火爆系统，加工完成后，人工辅助下料模组至拆解台上。本设备兼容针对同侧出极柱方形模组。</w:t>
      </w:r>
    </w:p>
    <w:p>
      <w:pPr>
        <w:autoSpaceDE w:val="0"/>
        <w:autoSpaceDN w:val="0"/>
        <w:spacing w:line="360" w:lineRule="auto"/>
        <w:ind w:firstLine="480" w:firstLineChars="200"/>
        <w:jc w:val="left"/>
        <w:rPr>
          <w:rFonts w:ascii="Times New Roman" w:hAnsi="Times New Roman" w:cs="Times New Roman"/>
          <w:u w:val="single"/>
        </w:rPr>
      </w:pPr>
      <w:r>
        <w:rPr>
          <w:rFonts w:hint="eastAsia" w:ascii="Times New Roman" w:hAnsi="Times New Roman" w:cs="Times New Roman"/>
          <w:u w:val="single"/>
        </w:rPr>
        <w:t>6</w:t>
      </w:r>
      <w:r>
        <w:rPr>
          <w:rFonts w:ascii="Times New Roman" w:hAnsi="Times New Roman" w:cs="Times New Roman"/>
          <w:u w:val="single"/>
        </w:rPr>
        <w:t>）支解模组、取出单体电池（人工），人工把模组辅料剥离，取出单体并放到指定位置，人工通过OCV测试仪器对单体电池进行电压内阻分选测试。</w:t>
      </w:r>
    </w:p>
    <w:p>
      <w:pPr>
        <w:pStyle w:val="27"/>
        <w:spacing w:line="360" w:lineRule="auto"/>
        <w:ind w:firstLine="420"/>
        <w:jc w:val="center"/>
        <w:rPr>
          <w:rFonts w:eastAsiaTheme="minorEastAsia"/>
        </w:rPr>
      </w:pPr>
      <w:r>
        <w:rPr>
          <w:rFonts w:eastAsiaTheme="minorEastAsia"/>
        </w:rPr>
        <w:object>
          <v:shape id="_x0000_i1026" o:spt="75" type="#_x0000_t75" style="height:378pt;width:331.85pt;" o:ole="t" filled="f" o:preferrelative="t" stroked="f" coordsize="21600,21600">
            <v:path/>
            <v:fill on="f" focussize="0,0"/>
            <v:stroke on="f" joinstyle="miter"/>
            <v:imagedata r:id="rId29" o:title=""/>
            <o:lock v:ext="edit" aspectratio="t"/>
            <w10:wrap type="none"/>
            <w10:anchorlock/>
          </v:shape>
          <o:OLEObject Type="Embed" ProgID="Visio.DrawingConvertable.15" ShapeID="_x0000_i1026" DrawAspect="Content" ObjectID="_1468075726" r:id="rId28">
            <o:LockedField>false</o:LockedField>
          </o:OLEObject>
        </w:object>
      </w:r>
    </w:p>
    <w:p>
      <w:pPr>
        <w:pStyle w:val="6"/>
        <w:rPr>
          <w:rFonts w:ascii="Times New Roman" w:hAnsi="Times New Roman" w:cs="Times New Roman"/>
        </w:rPr>
      </w:pPr>
      <w:bookmarkStart w:id="163" w:name="_Hlk97885499"/>
      <w:r>
        <w:rPr>
          <w:rFonts w:ascii="Times New Roman" w:hAnsi="Times New Roman" w:cs="Times New Roman"/>
        </w:rPr>
        <w:t>图3.2-2   废旧电池包拆接线</w:t>
      </w:r>
    </w:p>
    <w:p>
      <w:pPr>
        <w:autoSpaceDE w:val="0"/>
        <w:autoSpaceDN w:val="0"/>
        <w:spacing w:line="360" w:lineRule="auto"/>
        <w:ind w:firstLine="482" w:firstLineChars="200"/>
        <w:jc w:val="left"/>
        <w:rPr>
          <w:rFonts w:ascii="Times New Roman" w:hAnsi="Times New Roman" w:cs="Times New Roman"/>
          <w:b/>
        </w:rPr>
      </w:pPr>
      <w:r>
        <w:rPr>
          <w:rFonts w:ascii="Times New Roman" w:hAnsi="Times New Roman" w:cs="Times New Roman"/>
          <w:b/>
        </w:rPr>
        <w:t>（2）电池梯次利用工艺</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拆解可梯次利用电池根据健康状态，剩余容量，循环次数等参数，通过激光焊接机重组梯次产品所需的各类电池模组（≤60V），与检测分析工段分选的可梯次模组再一起进行模组测试，结合梯次储能产品需求，进行梯次产品集成。集成得到的梯次产品外售。</w:t>
      </w:r>
    </w:p>
    <w:p>
      <w:pPr>
        <w:pStyle w:val="6"/>
        <w:rPr>
          <w:rFonts w:ascii="Times New Roman" w:hAnsi="Times New Roman" w:cs="Times New Roman"/>
        </w:rPr>
      </w:pPr>
      <w:r>
        <w:rPr>
          <w:rFonts w:ascii="Times New Roman" w:hAnsi="Times New Roman" w:cs="Times New Roman"/>
        </w:rPr>
        <w:object>
          <v:shape id="_x0000_i1027" o:spt="75" type="#_x0000_t75" style="height:327.15pt;width:414.8pt;" o:ole="t" filled="f" o:preferrelative="t" stroked="f" coordsize="21600,21600">
            <v:path/>
            <v:fill on="f" focussize="0,0"/>
            <v:stroke on="f" joinstyle="miter"/>
            <v:imagedata r:id="rId31" o:title=""/>
            <o:lock v:ext="edit" aspectratio="t"/>
            <w10:wrap type="none"/>
            <w10:anchorlock/>
          </v:shape>
          <o:OLEObject Type="Embed" ProgID="Visio.Drawing.11" ShapeID="_x0000_i1027" DrawAspect="Content" ObjectID="_1468075727" r:id="rId30">
            <o:LockedField>false</o:LockedField>
          </o:OLEObject>
        </w:object>
      </w:r>
      <w:r>
        <w:rPr>
          <w:rFonts w:ascii="Times New Roman" w:hAnsi="Times New Roman" w:cs="Times New Roman"/>
        </w:rPr>
        <w:t>图3.2-3  电池梯次重组集成流程图</w:t>
      </w:r>
    </w:p>
    <w:bookmarkEnd w:id="163"/>
    <w:p>
      <w:pPr>
        <w:pStyle w:val="5"/>
        <w:ind w:firstLine="482"/>
        <w:rPr>
          <w:rFonts w:ascii="Times New Roman" w:hAnsi="Times New Roman" w:cs="Times New Roman" w:eastAsiaTheme="minorEastAsia"/>
        </w:rPr>
      </w:pPr>
      <w:r>
        <w:rPr>
          <w:rFonts w:ascii="Times New Roman" w:hAnsi="Times New Roman" w:cs="Times New Roman" w:eastAsiaTheme="minorEastAsia"/>
        </w:rPr>
        <w:t>3.2.2.2 预处理工艺流程及产污环节</w:t>
      </w:r>
    </w:p>
    <w:p>
      <w:pPr>
        <w:autoSpaceDE w:val="0"/>
        <w:autoSpaceDN w:val="0"/>
        <w:spacing w:line="360" w:lineRule="auto"/>
        <w:ind w:firstLine="482" w:firstLineChars="200"/>
        <w:jc w:val="left"/>
        <w:rPr>
          <w:rFonts w:ascii="Times New Roman" w:hAnsi="Times New Roman" w:cs="Times New Roman"/>
          <w:b/>
        </w:rPr>
      </w:pPr>
      <w:r>
        <w:rPr>
          <w:rFonts w:ascii="Times New Roman" w:hAnsi="Times New Roman" w:cs="Times New Roman"/>
          <w:b/>
        </w:rPr>
        <w:t>（1）工艺流程</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本项目回收的废旧锂电池包括三元锂电池和磷酸铁锂电池。本项目三元锂电池和磷酸铁锂电池的预处理工艺和设备一致。本项目预处理车间设置两条预处理生产线，其中磷酸铁锂电池使用其中的一条预处理生产线，三元锂电池使用其中的一条生产线。</w:t>
      </w:r>
    </w:p>
    <w:p>
      <w:pPr>
        <w:autoSpaceDE w:val="0"/>
        <w:autoSpaceDN w:val="0"/>
        <w:spacing w:line="360" w:lineRule="auto"/>
        <w:ind w:firstLine="480" w:firstLineChars="200"/>
        <w:jc w:val="left"/>
        <w:rPr>
          <w:rFonts w:ascii="Times New Roman" w:hAnsi="Times New Roman" w:cs="Times New Roman"/>
        </w:rPr>
        <w:sectPr>
          <w:pgSz w:w="11907" w:h="16840"/>
          <w:pgMar w:top="1440" w:right="1797" w:bottom="1440" w:left="1797" w:header="964" w:footer="851" w:gutter="0"/>
          <w:cols w:space="720" w:num="1"/>
          <w:docGrid w:linePitch="297" w:charSpace="200"/>
        </w:sectPr>
      </w:pPr>
      <w:r>
        <w:rPr>
          <w:rFonts w:ascii="Times New Roman" w:hAnsi="Times New Roman" w:cs="Times New Roman"/>
        </w:rPr>
        <w:t>废旧锂电池预处理工艺流程及产污环节见下图。</w:t>
      </w:r>
    </w:p>
    <w:p>
      <w:pPr>
        <w:pStyle w:val="83"/>
        <w:spacing w:line="360" w:lineRule="auto"/>
        <w:ind w:firstLine="480"/>
        <w:jc w:val="center"/>
        <w:rPr>
          <w:rFonts w:eastAsiaTheme="minorEastAsia"/>
        </w:rPr>
      </w:pPr>
      <w:bookmarkStart w:id="164" w:name="_Hlk90302331"/>
      <w:r>
        <w:object>
          <v:shape id="_x0000_i1028" o:spt="75" type="#_x0000_t75" style="height:447.65pt;width:487.55pt;" o:ole="t" filled="f" o:preferrelative="t" stroked="f" coordsize="21600,21600">
            <v:path/>
            <v:fill on="f" focussize="0,0"/>
            <v:stroke on="f" joinstyle="miter"/>
            <v:imagedata r:id="rId33" o:title=""/>
            <o:lock v:ext="edit" aspectratio="t"/>
            <w10:wrap type="none"/>
            <w10:anchorlock/>
          </v:shape>
          <o:OLEObject Type="Embed" ProgID="Visio.Drawing.11" ShapeID="_x0000_i1028" DrawAspect="Content" ObjectID="_1468075728" r:id="rId32">
            <o:LockedField>false</o:LockedField>
          </o:OLEObject>
        </w:object>
      </w:r>
    </w:p>
    <w:p>
      <w:pPr>
        <w:pStyle w:val="6"/>
        <w:rPr>
          <w:rFonts w:ascii="Times New Roman" w:hAnsi="Times New Roman" w:cs="Times New Roman"/>
        </w:rPr>
        <w:sectPr>
          <w:pgSz w:w="16840" w:h="11907" w:orient="landscape"/>
          <w:pgMar w:top="1134" w:right="1701" w:bottom="1134" w:left="1701" w:header="709" w:footer="709" w:gutter="0"/>
          <w:cols w:space="720" w:num="1"/>
          <w:docGrid w:linePitch="297" w:charSpace="200"/>
        </w:sectPr>
      </w:pPr>
      <w:r>
        <w:rPr>
          <w:rFonts w:ascii="Times New Roman" w:hAnsi="Times New Roman" w:cs="Times New Roman"/>
        </w:rPr>
        <w:t>图3.2-4  废旧锂电池预处理工艺流程及产污节点图</w:t>
      </w:r>
    </w:p>
    <w:bookmarkEnd w:id="164"/>
    <w:p>
      <w:pPr>
        <w:autoSpaceDE w:val="0"/>
        <w:autoSpaceDN w:val="0"/>
        <w:spacing w:line="360" w:lineRule="auto"/>
        <w:ind w:firstLine="482" w:firstLineChars="200"/>
        <w:jc w:val="left"/>
        <w:rPr>
          <w:rFonts w:ascii="Times New Roman" w:hAnsi="Times New Roman" w:cs="Times New Roman"/>
          <w:b/>
          <w:u w:val="single"/>
        </w:rPr>
      </w:pPr>
      <w:r>
        <w:rPr>
          <w:rFonts w:ascii="Times New Roman" w:hAnsi="Times New Roman" w:cs="Times New Roman"/>
          <w:b/>
          <w:u w:val="single"/>
        </w:rPr>
        <w:t>（2）工艺流程说明</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1）破碎</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本工艺为带电破碎，经拆解得到的单体电池通过上料系统输送至破碎机中进行带电破碎（适合任何电量的单体电池）。破碎系统实现带电单体在破碎过程中不产生燃爆、大量发热等危险，同时可以使破碎后的物料充分分散，无包裹现象</w:t>
      </w:r>
      <w:r>
        <w:rPr>
          <w:rFonts w:hint="eastAsia" w:ascii="Times New Roman" w:hAnsi="Times New Roman" w:cs="Times New Roman"/>
          <w:u w:val="single"/>
        </w:rPr>
        <w:t>，</w:t>
      </w:r>
      <w:r>
        <w:rPr>
          <w:rFonts w:ascii="Times New Roman" w:hAnsi="Times New Roman" w:cs="Times New Roman"/>
          <w:u w:val="single"/>
        </w:rPr>
        <w:t>本项目破碎在氮气保护氛围下进行</w:t>
      </w:r>
      <w:r>
        <w:rPr>
          <w:rFonts w:hint="eastAsia" w:ascii="Times New Roman" w:hAnsi="Times New Roman" w:cs="Times New Roman"/>
          <w:u w:val="single"/>
        </w:rPr>
        <w:t>。</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项目破碎过程将电池单体破碎成3～5cm的片状物质</w:t>
      </w:r>
      <w:r>
        <w:rPr>
          <w:rFonts w:hint="eastAsia" w:ascii="Times New Roman" w:hAnsi="Times New Roman" w:cs="Times New Roman"/>
          <w:u w:val="single"/>
        </w:rPr>
        <w:t>，破碎物（含</w:t>
      </w:r>
      <w:r>
        <w:rPr>
          <w:rFonts w:hint="eastAsia"/>
          <w:u w:val="single"/>
        </w:rPr>
        <w:t>电解液</w:t>
      </w:r>
      <w:r>
        <w:rPr>
          <w:rFonts w:hint="eastAsia" w:ascii="Times New Roman" w:hAnsi="Times New Roman" w:cs="Times New Roman"/>
          <w:u w:val="single"/>
        </w:rPr>
        <w:t>）进入后续低温挥发系统。</w:t>
      </w:r>
      <w:r>
        <w:rPr>
          <w:rFonts w:ascii="Times New Roman" w:hAnsi="Times New Roman" w:cs="Times New Roman"/>
          <w:u w:val="single"/>
        </w:rPr>
        <w:t>破碎过程产生极少量的粉尘以及挥发部分电解液</w:t>
      </w:r>
      <w:r>
        <w:rPr>
          <w:rFonts w:hint="eastAsia" w:ascii="Times New Roman" w:hAnsi="Times New Roman" w:cs="Times New Roman"/>
          <w:u w:val="single"/>
        </w:rPr>
        <w:t>，废气</w:t>
      </w:r>
      <w:r>
        <w:rPr>
          <w:rFonts w:ascii="Times New Roman" w:hAnsi="Times New Roman" w:cs="Times New Roman"/>
          <w:u w:val="single"/>
        </w:rPr>
        <w:t>进入高温焚烧装置进行处理。</w:t>
      </w:r>
    </w:p>
    <w:p>
      <w:pPr>
        <w:autoSpaceDE w:val="0"/>
        <w:autoSpaceDN w:val="0"/>
        <w:spacing w:line="360" w:lineRule="auto"/>
        <w:ind w:firstLine="480" w:firstLineChars="200"/>
        <w:jc w:val="left"/>
        <w:rPr>
          <w:rFonts w:ascii="Times New Roman" w:hAnsi="Times New Roman" w:cs="Times New Roman"/>
          <w:u w:val="single"/>
        </w:rPr>
      </w:pPr>
      <w:r>
        <w:rPr>
          <w:rFonts w:hint="eastAsia" w:ascii="Times New Roman" w:hAnsi="Times New Roman" w:cs="Times New Roman"/>
          <w:u w:val="single"/>
        </w:rPr>
        <w:t>2）裂解</w:t>
      </w:r>
    </w:p>
    <w:p>
      <w:pPr>
        <w:autoSpaceDE w:val="0"/>
        <w:autoSpaceDN w:val="0"/>
        <w:spacing w:line="360" w:lineRule="auto"/>
        <w:ind w:firstLine="480" w:firstLineChars="200"/>
        <w:jc w:val="left"/>
        <w:rPr>
          <w:rFonts w:ascii="Times New Roman" w:hAnsi="Times New Roman" w:cs="Times New Roman"/>
          <w:u w:val="single"/>
        </w:rPr>
      </w:pPr>
      <w:r>
        <w:rPr>
          <w:rFonts w:hint="eastAsia" w:ascii="Times New Roman" w:hAnsi="Times New Roman" w:cs="Times New Roman"/>
          <w:u w:val="single"/>
        </w:rPr>
        <w:t>①</w:t>
      </w:r>
      <w:r>
        <w:rPr>
          <w:rFonts w:ascii="Times New Roman" w:hAnsi="Times New Roman" w:cs="Times New Roman"/>
          <w:u w:val="single"/>
        </w:rPr>
        <w:t>低温挥发系统</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电解液是废旧动力电池中的最具危害性物质。电解液若不及时挥发回收，在物料输送及多组分分选过程中会产生燃爆风险及LiPF</w:t>
      </w:r>
      <w:r>
        <w:rPr>
          <w:rFonts w:ascii="Times New Roman" w:hAnsi="Times New Roman" w:cs="Times New Roman"/>
          <w:u w:val="single"/>
          <w:vertAlign w:val="subscript"/>
        </w:rPr>
        <w:t>6</w:t>
      </w:r>
      <w:r>
        <w:rPr>
          <w:rFonts w:ascii="Times New Roman" w:hAnsi="Times New Roman" w:cs="Times New Roman"/>
          <w:u w:val="single"/>
        </w:rPr>
        <w:t>分解产生HF等有毒气体中毒风险。流程采用低温挥发炉，</w:t>
      </w:r>
      <w:r>
        <w:rPr>
          <w:rFonts w:hint="eastAsia" w:ascii="Times New Roman" w:hAnsi="Times New Roman" w:cs="Times New Roman"/>
          <w:u w:val="single"/>
        </w:rPr>
        <w:t>温度为120℃，</w:t>
      </w:r>
      <w:r>
        <w:rPr>
          <w:rFonts w:ascii="Times New Roman" w:hAnsi="Times New Roman" w:cs="Times New Roman"/>
          <w:u w:val="single"/>
        </w:rPr>
        <w:t>达到分离电解液中溶剂及溶质LiPF</w:t>
      </w:r>
      <w:r>
        <w:rPr>
          <w:rFonts w:ascii="Times New Roman" w:hAnsi="Times New Roman" w:cs="Times New Roman"/>
          <w:u w:val="single"/>
          <w:vertAlign w:val="subscript"/>
        </w:rPr>
        <w:t>6</w:t>
      </w:r>
      <w:r>
        <w:rPr>
          <w:rFonts w:ascii="Times New Roman" w:hAnsi="Times New Roman" w:cs="Times New Roman"/>
          <w:u w:val="single"/>
        </w:rPr>
        <w:t>无害化处理同时隔膜不炭化的目的。挥发得到的电解液</w:t>
      </w:r>
      <w:r>
        <w:rPr>
          <w:rFonts w:hint="eastAsia" w:ascii="Times New Roman" w:hAnsi="Times New Roman" w:cs="Times New Roman"/>
          <w:u w:val="single"/>
        </w:rPr>
        <w:t>等有机废气</w:t>
      </w:r>
      <w:r>
        <w:rPr>
          <w:rFonts w:ascii="Times New Roman" w:hAnsi="Times New Roman" w:cs="Times New Roman"/>
          <w:u w:val="single"/>
        </w:rPr>
        <w:t>进入高温焚烧装置进行处理。</w:t>
      </w:r>
    </w:p>
    <w:p>
      <w:pPr>
        <w:autoSpaceDE w:val="0"/>
        <w:autoSpaceDN w:val="0"/>
        <w:spacing w:line="360" w:lineRule="auto"/>
        <w:ind w:firstLine="480" w:firstLineChars="200"/>
        <w:jc w:val="left"/>
        <w:rPr>
          <w:rFonts w:ascii="Times New Roman" w:hAnsi="Times New Roman" w:cs="Times New Roman"/>
          <w:u w:val="single"/>
        </w:rPr>
      </w:pPr>
      <w:r>
        <w:rPr>
          <w:rFonts w:hint="eastAsia" w:ascii="宋体" w:hAnsi="宋体" w:eastAsia="宋体" w:cs="宋体"/>
          <w:u w:val="single"/>
        </w:rPr>
        <w:t>②</w:t>
      </w:r>
      <w:r>
        <w:rPr>
          <w:rFonts w:ascii="Times New Roman" w:hAnsi="Times New Roman" w:cs="Times New Roman"/>
          <w:u w:val="single"/>
        </w:rPr>
        <w:t>多组分筛分分选系统</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为实现桩头、外壳等有价金属回收，低温挥发后物料预先筛分已剥离的极粉，然后通过风选+磁选等设备实现隔膜、铁件与外壳、铜箔、铝箔等重物料的分离。</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具体工艺为低温挥发后物料通过密闭输送系统，先进入自定中心筛进行预先筛分作业，将破碎过程中产生的粉料进行预先筛分，筛上物料进入风选作业，通过两次风选+磁选作业，先后实现隔膜、铜箔、铝箔、桩头、铁外壳等物料的分离，铜箔、铝箔进入后续高温热解系统进行热解。一次风选得到的隔膜经过清洗后得到干净隔膜，二次风选、磁选得到的桩头及铁质外壳通过清洗去除表面附着的极粉，提高极粉回收率。</w:t>
      </w:r>
    </w:p>
    <w:p>
      <w:pPr>
        <w:autoSpaceDE w:val="0"/>
        <w:autoSpaceDN w:val="0"/>
        <w:spacing w:line="360" w:lineRule="auto"/>
        <w:ind w:firstLine="480" w:firstLineChars="200"/>
        <w:jc w:val="left"/>
        <w:rPr>
          <w:rFonts w:ascii="Times New Roman" w:hAnsi="Times New Roman" w:cs="Times New Roman"/>
          <w:u w:val="single"/>
        </w:rPr>
      </w:pPr>
      <w:r>
        <w:rPr>
          <w:rFonts w:hint="eastAsia" w:ascii="宋体" w:hAnsi="宋体" w:eastAsia="宋体" w:cs="宋体"/>
          <w:u w:val="single"/>
        </w:rPr>
        <w:t>③</w:t>
      </w:r>
      <w:r>
        <w:rPr>
          <w:rFonts w:ascii="Times New Roman" w:hAnsi="Times New Roman" w:cs="Times New Roman"/>
          <w:u w:val="single"/>
        </w:rPr>
        <w:t>高温热解（碳化）系统</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多组分筛分分选后的极粉及铜铝箔集流体中含有破碎过程中产生的细粒级隔膜、塑料以及极粉涂敷材料PVDF等有机物、电解液中溶剂及溶质LiPF</w:t>
      </w:r>
      <w:r>
        <w:rPr>
          <w:rFonts w:ascii="Times New Roman" w:hAnsi="Times New Roman" w:cs="Times New Roman"/>
          <w:u w:val="single"/>
          <w:vertAlign w:val="subscript"/>
        </w:rPr>
        <w:t>6</w:t>
      </w:r>
      <w:r>
        <w:rPr>
          <w:rFonts w:ascii="Times New Roman" w:hAnsi="Times New Roman" w:cs="Times New Roman"/>
          <w:u w:val="single"/>
        </w:rPr>
        <w:t>等有机物，若不进行处理，将影响极粉纯度及回收率，本段采用高温热解的方式，碳化和裂解有机物，得到品位达95%以上的黑粉（正负极粉）产品。</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本项目热解炉采用电能加热，热解过程均在密封的负压环境下完成。破碎后的物料通过密闭的输料管道送至热解炉进行热解，加热时间为1～2h，焙烧热解温度500～650</w:t>
      </w:r>
      <w:r>
        <w:rPr>
          <w:rFonts w:hint="eastAsia" w:ascii="宋体" w:hAnsi="宋体" w:eastAsia="宋体" w:cs="宋体"/>
          <w:u w:val="single"/>
        </w:rPr>
        <w:t>℃</w:t>
      </w:r>
      <w:r>
        <w:rPr>
          <w:rFonts w:ascii="Times New Roman" w:hAnsi="Times New Roman" w:cs="Times New Roman"/>
          <w:u w:val="single"/>
        </w:rPr>
        <w:t>，通过热解除去原料中的水分并热解有机物。</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有机物在500～650</w:t>
      </w:r>
      <w:r>
        <w:rPr>
          <w:rFonts w:hint="eastAsia" w:ascii="宋体" w:hAnsi="宋体" w:eastAsia="宋体" w:cs="宋体"/>
          <w:u w:val="single"/>
        </w:rPr>
        <w:t>℃</w:t>
      </w:r>
      <w:r>
        <w:rPr>
          <w:rFonts w:ascii="Times New Roman" w:hAnsi="Times New Roman" w:cs="Times New Roman"/>
          <w:u w:val="single"/>
        </w:rPr>
        <w:t>下会产生VOC</w:t>
      </w:r>
      <w:r>
        <w:rPr>
          <w:rFonts w:ascii="Times New Roman" w:hAnsi="Times New Roman" w:cs="Times New Roman"/>
          <w:u w:val="single"/>
          <w:vertAlign w:val="subscript"/>
        </w:rPr>
        <w:t>S</w:t>
      </w:r>
      <w:r>
        <w:rPr>
          <w:rFonts w:ascii="Times New Roman" w:hAnsi="Times New Roman" w:cs="Times New Roman"/>
          <w:u w:val="single"/>
        </w:rPr>
        <w:t>，粘结剂的分解温度390</w:t>
      </w:r>
      <w:r>
        <w:rPr>
          <w:rFonts w:hint="eastAsia" w:ascii="宋体" w:hAnsi="宋体" w:eastAsia="宋体" w:cs="宋体"/>
          <w:u w:val="single"/>
        </w:rPr>
        <w:t>℃</w:t>
      </w:r>
      <w:r>
        <w:rPr>
          <w:rFonts w:ascii="Times New Roman" w:hAnsi="Times New Roman" w:cs="Times New Roman"/>
          <w:u w:val="single"/>
        </w:rPr>
        <w:t>，极片在500～650</w:t>
      </w:r>
      <w:r>
        <w:rPr>
          <w:rFonts w:hint="eastAsia" w:ascii="宋体" w:hAnsi="宋体" w:eastAsia="宋体" w:cs="宋体"/>
          <w:u w:val="single"/>
        </w:rPr>
        <w:t>℃</w:t>
      </w:r>
      <w:r>
        <w:rPr>
          <w:rFonts w:ascii="Times New Roman" w:hAnsi="Times New Roman" w:cs="Times New Roman"/>
          <w:u w:val="single"/>
        </w:rPr>
        <w:t>下并维持该温度20 min PVDF（聚偏氟乙烯）可分解完全，完全转化为氟化氢等。本工序涉及的反应方程式为：</w:t>
      </w:r>
    </w:p>
    <w:p>
      <w:pPr>
        <w:autoSpaceDE w:val="0"/>
        <w:autoSpaceDN w:val="0"/>
        <w:spacing w:line="360" w:lineRule="auto"/>
        <w:jc w:val="center"/>
        <w:rPr>
          <w:rFonts w:ascii="Times New Roman" w:hAnsi="Times New Roman" w:cs="Times New Roman"/>
          <w:u w:val="single"/>
        </w:rPr>
      </w:pPr>
      <w:r>
        <w:rPr>
          <w:rFonts w:ascii="Times New Roman" w:hAnsi="Times New Roman" w:cs="Times New Roman"/>
          <w:u w:val="single"/>
        </w:rPr>
        <w:drawing>
          <wp:inline distT="0" distB="0" distL="0" distR="0">
            <wp:extent cx="5278755" cy="1579245"/>
            <wp:effectExtent l="0" t="0" r="0" b="190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278755" cy="1579245"/>
                    </a:xfrm>
                    <a:prstGeom prst="rect">
                      <a:avLst/>
                    </a:prstGeom>
                    <a:noFill/>
                    <a:ln>
                      <a:noFill/>
                    </a:ln>
                  </pic:spPr>
                </pic:pic>
              </a:graphicData>
            </a:graphic>
          </wp:inline>
        </w:drawing>
      </w:r>
    </w:p>
    <w:p>
      <w:pPr>
        <w:autoSpaceDE w:val="0"/>
        <w:autoSpaceDN w:val="0"/>
        <w:spacing w:line="360" w:lineRule="auto"/>
        <w:ind w:firstLine="480" w:firstLineChars="200"/>
        <w:jc w:val="center"/>
        <w:rPr>
          <w:rFonts w:ascii="Times New Roman" w:hAnsi="Times New Roman" w:cs="Times New Roman"/>
          <w:u w:val="single"/>
        </w:rPr>
      </w:pPr>
      <w:r>
        <w:rPr>
          <w:rFonts w:ascii="Times New Roman" w:hAnsi="Times New Roman" w:cs="Times New Roman"/>
          <w:u w:val="single"/>
        </w:rPr>
        <w:drawing>
          <wp:inline distT="0" distB="0" distL="0" distR="0">
            <wp:extent cx="5278755" cy="101155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278755" cy="1011555"/>
                    </a:xfrm>
                    <a:prstGeom prst="rect">
                      <a:avLst/>
                    </a:prstGeom>
                    <a:noFill/>
                    <a:ln>
                      <a:noFill/>
                    </a:ln>
                  </pic:spPr>
                </pic:pic>
              </a:graphicData>
            </a:graphic>
          </wp:inline>
        </w:drawing>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因此，热解废气中主要污染物为：有机物、HF和颗粒物。热解废气经过负压收集至焚烧炉焚烧处理，燃烧的尾气经“急冷+三级水喷淋+碱液喷淋处理”后经15m高排气筒排放（P1）。</w:t>
      </w:r>
    </w:p>
    <w:p>
      <w:pPr>
        <w:autoSpaceDE w:val="0"/>
        <w:autoSpaceDN w:val="0"/>
        <w:spacing w:line="360" w:lineRule="auto"/>
        <w:ind w:firstLine="480" w:firstLineChars="200"/>
        <w:jc w:val="left"/>
        <w:rPr>
          <w:rFonts w:ascii="Times New Roman" w:hAnsi="Times New Roman" w:cs="Times New Roman"/>
          <w:u w:val="single"/>
        </w:rPr>
      </w:pPr>
      <w:r>
        <w:rPr>
          <w:rFonts w:hint="eastAsia" w:ascii="Times New Roman" w:hAnsi="Times New Roman" w:cs="Times New Roman"/>
          <w:u w:val="single"/>
        </w:rPr>
        <w:t>3</w:t>
      </w:r>
      <w:r>
        <w:rPr>
          <w:rFonts w:ascii="Times New Roman" w:hAnsi="Times New Roman" w:cs="Times New Roman"/>
          <w:u w:val="single"/>
        </w:rPr>
        <w:t>）极粉剥离系统</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极粉是废旧电池中最具回收价值的物料，电池生产过程中，为提高正负集流体上正负极粉的压实密度，在正负集流体上涂敷有少量PVDF（非水溶胶）、CMC（水溶性胶）等粘结剂。经过高温热解后尽管粘结剂已经分解，但极粉与集流体之间的分子间隙仍然极小，粘附力极强，存在大量极粉尚未完全剥离的铜箔、铝箔混合物料，该物料通过摩擦打散机将极粉与铜箔铝箔分离，可实现铜箔、铝箔极粉高效剥离脱落（剥离率为96%-98.5%），剥离得到的极粉纯度达95%以上，极粉中铜铝总含量在2%以内。因铜箔、铝箔的延展性较极粉好，通过摩擦打散可实现极粉的粉碎，同时确保铜箔、铝箔粒度在80目（0.18mm）以上。</w:t>
      </w:r>
    </w:p>
    <w:p>
      <w:pPr>
        <w:autoSpaceDE w:val="0"/>
        <w:autoSpaceDN w:val="0"/>
        <w:spacing w:line="360" w:lineRule="auto"/>
        <w:ind w:firstLine="480" w:firstLineChars="200"/>
        <w:jc w:val="left"/>
        <w:rPr>
          <w:rFonts w:ascii="Times New Roman" w:hAnsi="Times New Roman" w:cs="Times New Roman"/>
          <w:u w:val="single"/>
        </w:rPr>
      </w:pPr>
      <w:r>
        <w:rPr>
          <w:rFonts w:hint="eastAsia" w:ascii="Times New Roman" w:hAnsi="Times New Roman" w:cs="Times New Roman"/>
          <w:u w:val="single"/>
        </w:rPr>
        <w:t>4</w:t>
      </w:r>
      <w:r>
        <w:rPr>
          <w:rFonts w:ascii="Times New Roman" w:hAnsi="Times New Roman" w:cs="Times New Roman"/>
          <w:u w:val="single"/>
        </w:rPr>
        <w:t>）铜铝分选</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把分选出的铜铝粒混合物，通过机器进行铜铝分选，上端通过振动筛选，把铜铝粒分选成不同粒度的物料，物料进入各自料仓，各料仓定时定量给比重分选系统进行喂料，通过调整各个系统的转速、风速和风力摇床比重分选的角度，从而达到铜铝分离。</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本项目拆解、破碎、热解与分选工艺过程是在密封条件下进行，工艺过程中产生的挥发性气体与粉尘进行集中收集，并进行处理。预处理车间在热分解处理过程中产生的废气，通过二次燃烧后最后经液碱循环中和吸收，废气达到排放标准。</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预处理车间三元预处理线的产物有：三元锂电池黑粉（正负极粉）、铝、铜、铁。</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磷酸铁锂预处理线的产物有：磷酸铁锂黑粉（正负极粉）、铝、铜、铁。</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以上产物中，铝和铜外售，含钴、镍、锰、锂的正负极混合物料（黑粉）进下道工序—浸出车间进一步处理。</w:t>
      </w:r>
    </w:p>
    <w:p>
      <w:pPr>
        <w:pStyle w:val="5"/>
        <w:ind w:firstLine="482"/>
        <w:rPr>
          <w:rFonts w:ascii="Times New Roman" w:hAnsi="Times New Roman" w:cs="Times New Roman" w:eastAsiaTheme="minorEastAsia"/>
        </w:rPr>
      </w:pPr>
      <w:r>
        <w:rPr>
          <w:rFonts w:ascii="Times New Roman" w:hAnsi="Times New Roman" w:cs="Times New Roman" w:eastAsiaTheme="minorEastAsia"/>
        </w:rPr>
        <w:t>3.3.2.3 磷酸铁锂线湿法工艺流程及产污环节</w:t>
      </w:r>
    </w:p>
    <w:p>
      <w:pPr>
        <w:spacing w:line="360" w:lineRule="auto"/>
        <w:ind w:firstLine="482" w:firstLineChars="200"/>
        <w:rPr>
          <w:rFonts w:ascii="Times New Roman" w:hAnsi="Times New Roman" w:cs="Times New Roman"/>
          <w:b/>
        </w:rPr>
      </w:pPr>
      <w:r>
        <w:rPr>
          <w:rFonts w:ascii="Times New Roman" w:hAnsi="Times New Roman" w:cs="Times New Roman"/>
          <w:b/>
        </w:rPr>
        <w:t>（1）工艺流程及产污环节</w:t>
      </w:r>
    </w:p>
    <w:p>
      <w:pPr>
        <w:spacing w:line="360" w:lineRule="auto"/>
        <w:ind w:firstLine="480" w:firstLineChars="200"/>
        <w:rPr>
          <w:rFonts w:ascii="Times New Roman" w:hAnsi="Times New Roman" w:cs="Times New Roman"/>
        </w:rPr>
        <w:sectPr>
          <w:pgSz w:w="11907" w:h="16840"/>
          <w:pgMar w:top="1440" w:right="1797" w:bottom="1440" w:left="1797" w:header="964" w:footer="851" w:gutter="0"/>
          <w:cols w:space="720" w:num="1"/>
          <w:docGrid w:linePitch="326" w:charSpace="200"/>
        </w:sectPr>
      </w:pPr>
      <w:r>
        <w:rPr>
          <w:rFonts w:ascii="Times New Roman" w:hAnsi="Times New Roman" w:cs="Times New Roman"/>
        </w:rPr>
        <w:t>磷酸铁锂线湿法工艺流程及产污环节见下图所示。</w:t>
      </w:r>
    </w:p>
    <w:p>
      <w:pPr>
        <w:jc w:val="center"/>
      </w:pPr>
      <w:r>
        <w:object>
          <v:shape id="_x0000_i1029" o:spt="75" type="#_x0000_t75" style="height:390.5pt;width:640.15pt;" o:ole="t" filled="f" o:preferrelative="t" stroked="f" coordsize="21600,21600">
            <v:path/>
            <v:fill on="f" focussize="0,0"/>
            <v:stroke on="f" joinstyle="miter"/>
            <v:imagedata r:id="rId37" o:title=""/>
            <o:lock v:ext="edit" aspectratio="t"/>
            <w10:wrap type="none"/>
            <w10:anchorlock/>
          </v:shape>
          <o:OLEObject Type="Embed" ProgID="Visio.Drawing.11" ShapeID="_x0000_i1029" DrawAspect="Content" ObjectID="_1468075729" r:id="rId36">
            <o:LockedField>false</o:LockedField>
          </o:OLEObject>
        </w:object>
      </w:r>
    </w:p>
    <w:p>
      <w:pPr>
        <w:pStyle w:val="6"/>
        <w:sectPr>
          <w:pgSz w:w="16840" w:h="11907" w:orient="landscape"/>
          <w:pgMar w:top="1797" w:right="1440" w:bottom="1797" w:left="1440" w:header="964" w:footer="851" w:gutter="0"/>
          <w:cols w:space="720" w:num="1"/>
          <w:docGrid w:linePitch="326" w:charSpace="200"/>
        </w:sectPr>
      </w:pPr>
      <w:r>
        <w:t>图3.2-5  磷酸铁锂线湿法工艺流程及产污节点图</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（2）工艺流程说明</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1）浆化</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经预处理后的磷酸铁锂电池黑粉放入浆化槽，加入适量水进行浆化，浆化</w:t>
      </w:r>
      <w:r>
        <w:rPr>
          <w:rFonts w:hint="eastAsia" w:ascii="Times New Roman" w:hAnsi="Times New Roman" w:cs="Times New Roman"/>
          <w:u w:val="single"/>
        </w:rPr>
        <w:t>固液比例约为1:2，</w:t>
      </w:r>
      <w:r>
        <w:rPr>
          <w:rFonts w:ascii="Times New Roman" w:hAnsi="Times New Roman" w:cs="Times New Roman"/>
          <w:u w:val="single"/>
        </w:rPr>
        <w:t>得到矿浆。</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2）浸出</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矿浆送至浸出槽加入硫酸、氯酸钠进行热浸出</w:t>
      </w:r>
      <w:r>
        <w:rPr>
          <w:rFonts w:hint="eastAsia" w:hAnsi="宋体"/>
          <w:u w:val="single"/>
        </w:rPr>
        <w:t>（热浸出，锅炉提供蒸汽，温度为</w:t>
      </w:r>
      <w:r>
        <w:rPr>
          <w:rFonts w:hAnsi="宋体"/>
          <w:u w:val="single"/>
        </w:rPr>
        <w:t>80</w:t>
      </w:r>
      <w:r>
        <w:rPr>
          <w:rFonts w:hint="eastAsia" w:hAnsi="宋体"/>
          <w:u w:val="single"/>
        </w:rPr>
        <w:t>℃）</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LiFePO</w:t>
      </w:r>
      <w:r>
        <w:rPr>
          <w:rFonts w:ascii="Times New Roman" w:hAnsi="Times New Roman" w:cs="Times New Roman"/>
          <w:u w:val="single"/>
          <w:vertAlign w:val="subscript"/>
        </w:rPr>
        <w:t>4</w:t>
      </w:r>
      <w:r>
        <w:rPr>
          <w:rFonts w:ascii="Times New Roman" w:hAnsi="Times New Roman" w:cs="Times New Roman"/>
          <w:u w:val="single"/>
        </w:rPr>
        <w:t>在硫酸介质中，可与硫酸、氯酸钠反应，生成Li</w:t>
      </w:r>
      <w:r>
        <w:rPr>
          <w:rFonts w:ascii="Times New Roman" w:hAnsi="Times New Roman" w:cs="Times New Roman"/>
          <w:u w:val="single"/>
          <w:vertAlign w:val="subscript"/>
        </w:rPr>
        <w:t>2</w:t>
      </w:r>
      <w:r>
        <w:rPr>
          <w:rFonts w:ascii="Times New Roman" w:hAnsi="Times New Roman" w:cs="Times New Roman"/>
          <w:u w:val="single"/>
        </w:rPr>
        <w:t>SO</w:t>
      </w:r>
      <w:r>
        <w:rPr>
          <w:rFonts w:ascii="Times New Roman" w:hAnsi="Times New Roman" w:cs="Times New Roman"/>
          <w:u w:val="single"/>
          <w:vertAlign w:val="subscript"/>
        </w:rPr>
        <w:t>4</w:t>
      </w:r>
      <w:r>
        <w:rPr>
          <w:rFonts w:ascii="Times New Roman" w:hAnsi="Times New Roman" w:cs="Times New Roman"/>
          <w:u w:val="single"/>
        </w:rPr>
        <w:t>以及FePO</w:t>
      </w:r>
      <w:r>
        <w:rPr>
          <w:rFonts w:ascii="Times New Roman" w:hAnsi="Times New Roman" w:cs="Times New Roman"/>
          <w:u w:val="single"/>
          <w:vertAlign w:val="subscript"/>
        </w:rPr>
        <w:t>4</w:t>
      </w:r>
      <w:r>
        <w:rPr>
          <w:rFonts w:ascii="Times New Roman" w:hAnsi="Times New Roman" w:cs="Times New Roman"/>
          <w:u w:val="single"/>
        </w:rPr>
        <w:t>沉淀，其反应方程式如下：</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4LiFePO</w:t>
      </w:r>
      <w:r>
        <w:rPr>
          <w:rFonts w:ascii="Times New Roman" w:hAnsi="Times New Roman" w:cs="Times New Roman"/>
          <w:u w:val="single"/>
          <w:vertAlign w:val="subscript"/>
        </w:rPr>
        <w:t>4</w:t>
      </w:r>
      <w:r>
        <w:rPr>
          <w:rFonts w:ascii="Times New Roman" w:hAnsi="Times New Roman" w:cs="Times New Roman"/>
          <w:u w:val="single"/>
        </w:rPr>
        <w:t xml:space="preserve"> + 2H</w:t>
      </w:r>
      <w:r>
        <w:rPr>
          <w:rFonts w:ascii="Times New Roman" w:hAnsi="Times New Roman" w:cs="Times New Roman"/>
          <w:u w:val="single"/>
          <w:vertAlign w:val="subscript"/>
        </w:rPr>
        <w:t>2</w:t>
      </w:r>
      <w:r>
        <w:rPr>
          <w:rFonts w:ascii="Times New Roman" w:hAnsi="Times New Roman" w:cs="Times New Roman"/>
          <w:u w:val="single"/>
        </w:rPr>
        <w:t>SO</w:t>
      </w:r>
      <w:r>
        <w:rPr>
          <w:rFonts w:ascii="Times New Roman" w:hAnsi="Times New Roman" w:cs="Times New Roman"/>
          <w:u w:val="single"/>
          <w:vertAlign w:val="subscript"/>
        </w:rPr>
        <w:t>4</w:t>
      </w:r>
      <w:r>
        <w:rPr>
          <w:rFonts w:ascii="Times New Roman" w:hAnsi="Times New Roman" w:cs="Times New Roman"/>
          <w:u w:val="single"/>
        </w:rPr>
        <w:t>+O</w:t>
      </w:r>
      <w:r>
        <w:rPr>
          <w:rFonts w:ascii="Times New Roman" w:hAnsi="Times New Roman" w:cs="Times New Roman"/>
          <w:u w:val="single"/>
          <w:vertAlign w:val="subscript"/>
        </w:rPr>
        <w:t>2</w:t>
      </w:r>
      <w:r>
        <w:rPr>
          <w:rFonts w:ascii="Times New Roman" w:hAnsi="Times New Roman" w:cs="Times New Roman"/>
          <w:u w:val="single"/>
        </w:rPr>
        <w:t>→2Li</w:t>
      </w:r>
      <w:r>
        <w:rPr>
          <w:rFonts w:ascii="Times New Roman" w:hAnsi="Times New Roman" w:cs="Times New Roman"/>
          <w:u w:val="single"/>
          <w:vertAlign w:val="subscript"/>
        </w:rPr>
        <w:t>2</w:t>
      </w:r>
      <w:r>
        <w:rPr>
          <w:rFonts w:ascii="Times New Roman" w:hAnsi="Times New Roman" w:cs="Times New Roman"/>
          <w:u w:val="single"/>
        </w:rPr>
        <w:t>SO</w:t>
      </w:r>
      <w:r>
        <w:rPr>
          <w:rFonts w:ascii="Times New Roman" w:hAnsi="Times New Roman" w:cs="Times New Roman"/>
          <w:u w:val="single"/>
          <w:vertAlign w:val="subscript"/>
        </w:rPr>
        <w:t>4</w:t>
      </w:r>
      <w:r>
        <w:rPr>
          <w:rFonts w:ascii="Times New Roman" w:hAnsi="Times New Roman" w:cs="Times New Roman"/>
          <w:u w:val="single"/>
        </w:rPr>
        <w:t xml:space="preserve"> +4FePO</w:t>
      </w:r>
      <w:r>
        <w:rPr>
          <w:rFonts w:ascii="Times New Roman" w:hAnsi="Times New Roman" w:cs="Times New Roman"/>
          <w:u w:val="single"/>
          <w:vertAlign w:val="subscript"/>
        </w:rPr>
        <w:t>4</w:t>
      </w:r>
      <w:r>
        <w:rPr>
          <w:rFonts w:ascii="Times New Roman" w:hAnsi="Times New Roman" w:cs="Times New Roman"/>
          <w:u w:val="single"/>
        </w:rPr>
        <w:t>·2H</w:t>
      </w:r>
      <w:r>
        <w:rPr>
          <w:rFonts w:ascii="Times New Roman" w:hAnsi="Times New Roman" w:cs="Times New Roman"/>
          <w:u w:val="single"/>
          <w:vertAlign w:val="subscript"/>
        </w:rPr>
        <w:t>2</w:t>
      </w:r>
      <w:r>
        <w:rPr>
          <w:rFonts w:ascii="Times New Roman" w:hAnsi="Times New Roman" w:cs="Times New Roman"/>
          <w:u w:val="single"/>
        </w:rPr>
        <w:t>O↓</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而电极中的石墨不参与反应，随FePO</w:t>
      </w:r>
      <w:r>
        <w:rPr>
          <w:rFonts w:ascii="Times New Roman" w:hAnsi="Times New Roman" w:cs="Times New Roman"/>
          <w:u w:val="single"/>
          <w:vertAlign w:val="subscript"/>
        </w:rPr>
        <w:t>4</w:t>
      </w:r>
      <w:r>
        <w:rPr>
          <w:rFonts w:ascii="Times New Roman" w:hAnsi="Times New Roman" w:cs="Times New Roman"/>
          <w:u w:val="single"/>
        </w:rPr>
        <w:t>沉淀一起分离。</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3）压滤</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将反应后的浸出液进行压滤，得到滤液和滤渣，滤渣主要为FePO</w:t>
      </w:r>
      <w:r>
        <w:rPr>
          <w:rFonts w:ascii="Times New Roman" w:hAnsi="Times New Roman" w:cs="Times New Roman"/>
          <w:u w:val="single"/>
          <w:vertAlign w:val="subscript"/>
        </w:rPr>
        <w:t>4</w:t>
      </w:r>
      <w:r>
        <w:rPr>
          <w:rFonts w:ascii="Times New Roman" w:hAnsi="Times New Roman" w:cs="Times New Roman"/>
          <w:u w:val="single"/>
        </w:rPr>
        <w:t>渣及石墨，滤液进行进一步的除杂净化。</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4）滤液除杂净化</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浸出获得的溶液常含有Cu</w:t>
      </w:r>
      <w:r>
        <w:rPr>
          <w:rFonts w:ascii="Times New Roman" w:hAnsi="Times New Roman" w:cs="Times New Roman"/>
          <w:u w:val="single"/>
          <w:vertAlign w:val="superscript"/>
        </w:rPr>
        <w:t>2+</w:t>
      </w:r>
      <w:r>
        <w:rPr>
          <w:rFonts w:ascii="Times New Roman" w:hAnsi="Times New Roman" w:cs="Times New Roman"/>
          <w:u w:val="single"/>
        </w:rPr>
        <w:t>、Ca</w:t>
      </w:r>
      <w:r>
        <w:rPr>
          <w:rFonts w:ascii="Times New Roman" w:hAnsi="Times New Roman" w:cs="Times New Roman"/>
          <w:u w:val="single"/>
          <w:vertAlign w:val="superscript"/>
        </w:rPr>
        <w:t>2+</w:t>
      </w:r>
      <w:r>
        <w:rPr>
          <w:rFonts w:ascii="Times New Roman" w:hAnsi="Times New Roman" w:cs="Times New Roman"/>
          <w:u w:val="single"/>
        </w:rPr>
        <w:t>、Mg</w:t>
      </w:r>
      <w:r>
        <w:rPr>
          <w:rFonts w:ascii="Times New Roman" w:hAnsi="Times New Roman" w:cs="Times New Roman"/>
          <w:u w:val="single"/>
          <w:vertAlign w:val="superscript"/>
        </w:rPr>
        <w:t>2+</w:t>
      </w:r>
      <w:r>
        <w:rPr>
          <w:rFonts w:ascii="Times New Roman" w:hAnsi="Times New Roman" w:cs="Times New Roman"/>
          <w:u w:val="single"/>
        </w:rPr>
        <w:t>、Fe</w:t>
      </w:r>
      <w:r>
        <w:rPr>
          <w:rFonts w:ascii="Times New Roman" w:hAnsi="Times New Roman" w:cs="Times New Roman"/>
          <w:u w:val="single"/>
          <w:vertAlign w:val="superscript"/>
        </w:rPr>
        <w:t>2+</w:t>
      </w:r>
      <w:r>
        <w:rPr>
          <w:rFonts w:ascii="Times New Roman" w:hAnsi="Times New Roman" w:cs="Times New Roman"/>
          <w:u w:val="single"/>
        </w:rPr>
        <w:t>、Fe</w:t>
      </w:r>
      <w:r>
        <w:rPr>
          <w:rFonts w:ascii="Times New Roman" w:hAnsi="Times New Roman" w:cs="Times New Roman"/>
          <w:u w:val="single"/>
          <w:vertAlign w:val="superscript"/>
        </w:rPr>
        <w:t>3+</w:t>
      </w:r>
      <w:r>
        <w:rPr>
          <w:rFonts w:ascii="Times New Roman" w:hAnsi="Times New Roman" w:cs="Times New Roman"/>
          <w:u w:val="single"/>
        </w:rPr>
        <w:t>、Al</w:t>
      </w:r>
      <w:r>
        <w:rPr>
          <w:rFonts w:ascii="Times New Roman" w:hAnsi="Times New Roman" w:cs="Times New Roman"/>
          <w:u w:val="single"/>
          <w:vertAlign w:val="superscript"/>
        </w:rPr>
        <w:t>3+</w:t>
      </w:r>
      <w:r>
        <w:rPr>
          <w:rFonts w:ascii="Times New Roman" w:hAnsi="Times New Roman" w:cs="Times New Roman"/>
          <w:u w:val="single"/>
        </w:rPr>
        <w:t>、Mn</w:t>
      </w:r>
      <w:r>
        <w:rPr>
          <w:rFonts w:ascii="Times New Roman" w:hAnsi="Times New Roman" w:cs="Times New Roman"/>
          <w:u w:val="single"/>
          <w:vertAlign w:val="superscript"/>
        </w:rPr>
        <w:t>2+</w:t>
      </w:r>
      <w:r>
        <w:rPr>
          <w:rFonts w:ascii="Times New Roman" w:hAnsi="Times New Roman" w:cs="Times New Roman"/>
          <w:u w:val="single"/>
        </w:rPr>
        <w:t>、PO</w:t>
      </w:r>
      <w:r>
        <w:rPr>
          <w:rFonts w:ascii="Times New Roman" w:hAnsi="Times New Roman" w:cs="Times New Roman"/>
          <w:u w:val="single"/>
          <w:vertAlign w:val="subscript"/>
        </w:rPr>
        <w:t>4</w:t>
      </w:r>
      <w:r>
        <w:rPr>
          <w:rFonts w:ascii="Times New Roman" w:hAnsi="Times New Roman" w:cs="Times New Roman"/>
          <w:u w:val="single"/>
          <w:vertAlign w:val="superscript"/>
        </w:rPr>
        <w:t>3-</w:t>
      </w:r>
      <w:r>
        <w:rPr>
          <w:rFonts w:ascii="Times New Roman" w:hAnsi="Times New Roman" w:cs="Times New Roman"/>
          <w:u w:val="single"/>
        </w:rPr>
        <w:t>等杂质，因此需要净化去除各种杂质，除杂的顺序为先除铜→除铁铝→深度除杂。</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a.滤液先加铁粉除铜，经压滤进行固液分离，得到海绵铜和除铜后液；</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b.除铜后液中加氢氧化钠溶液，经压滤进行固液分离，得到铁铝渣和除铁铝后液；</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c.除铁铝后液加氢氧化钠溶液进行深度除杂，经压滤进行固液分离，得到沉锂前液和深度除杂渣。</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发生主要化学反应如下：</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Cu</w:t>
      </w:r>
      <w:r>
        <w:rPr>
          <w:rFonts w:ascii="Times New Roman" w:hAnsi="Times New Roman" w:cs="Times New Roman"/>
          <w:u w:val="single"/>
          <w:vertAlign w:val="superscript"/>
        </w:rPr>
        <w:t>2+</w:t>
      </w:r>
      <w:r>
        <w:rPr>
          <w:rFonts w:ascii="Times New Roman" w:hAnsi="Times New Roman" w:cs="Times New Roman"/>
          <w:u w:val="single"/>
        </w:rPr>
        <w:t xml:space="preserve"> + Fe→Cu↓+ Fe</w:t>
      </w:r>
      <w:r>
        <w:rPr>
          <w:rFonts w:ascii="Times New Roman" w:hAnsi="Times New Roman" w:cs="Times New Roman"/>
          <w:u w:val="single"/>
          <w:vertAlign w:val="superscript"/>
        </w:rPr>
        <w:t>2+</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除铁铝、净化除杂过程发生的主要反应如下：</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2Fe</w:t>
      </w:r>
      <w:r>
        <w:rPr>
          <w:rFonts w:ascii="Times New Roman" w:hAnsi="Times New Roman" w:cs="Times New Roman"/>
          <w:u w:val="single"/>
          <w:vertAlign w:val="superscript"/>
        </w:rPr>
        <w:t>2+</w:t>
      </w:r>
      <w:r>
        <w:rPr>
          <w:rFonts w:ascii="Times New Roman" w:hAnsi="Times New Roman" w:cs="Times New Roman"/>
          <w:u w:val="single"/>
        </w:rPr>
        <w:t xml:space="preserve"> +H</w:t>
      </w:r>
      <w:r>
        <w:rPr>
          <w:rFonts w:ascii="Times New Roman" w:hAnsi="Times New Roman" w:cs="Times New Roman"/>
          <w:u w:val="single"/>
          <w:vertAlign w:val="subscript"/>
        </w:rPr>
        <w:t>2</w:t>
      </w:r>
      <w:r>
        <w:rPr>
          <w:rFonts w:ascii="Times New Roman" w:hAnsi="Times New Roman" w:cs="Times New Roman"/>
          <w:u w:val="single"/>
        </w:rPr>
        <w:t>O</w:t>
      </w:r>
      <w:r>
        <w:rPr>
          <w:rFonts w:ascii="Times New Roman" w:hAnsi="Times New Roman" w:cs="Times New Roman"/>
          <w:u w:val="single"/>
          <w:vertAlign w:val="subscript"/>
        </w:rPr>
        <w:t>2</w:t>
      </w:r>
      <w:r>
        <w:rPr>
          <w:rFonts w:ascii="Times New Roman" w:hAnsi="Times New Roman" w:cs="Times New Roman"/>
          <w:u w:val="single"/>
        </w:rPr>
        <w:t>+2CO</w:t>
      </w:r>
      <w:r>
        <w:rPr>
          <w:rFonts w:ascii="Times New Roman" w:hAnsi="Times New Roman" w:cs="Times New Roman"/>
          <w:u w:val="single"/>
          <w:vertAlign w:val="subscript"/>
        </w:rPr>
        <w:t>3</w:t>
      </w:r>
      <w:r>
        <w:rPr>
          <w:rFonts w:ascii="Times New Roman" w:hAnsi="Times New Roman" w:cs="Times New Roman"/>
          <w:u w:val="single"/>
          <w:vertAlign w:val="superscript"/>
        </w:rPr>
        <w:t>2-</w:t>
      </w:r>
      <w:r>
        <w:rPr>
          <w:rFonts w:ascii="Times New Roman" w:hAnsi="Times New Roman" w:cs="Times New Roman"/>
          <w:u w:val="single"/>
        </w:rPr>
        <w:t>→2FeOOH↓+2CO</w:t>
      </w:r>
      <w:r>
        <w:rPr>
          <w:rFonts w:ascii="Times New Roman" w:hAnsi="Times New Roman" w:cs="Times New Roman"/>
          <w:u w:val="single"/>
          <w:vertAlign w:val="subscript"/>
        </w:rPr>
        <w:t>2</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4Fe</w:t>
      </w:r>
      <w:r>
        <w:rPr>
          <w:rFonts w:ascii="Times New Roman" w:hAnsi="Times New Roman" w:cs="Times New Roman"/>
          <w:u w:val="single"/>
          <w:vertAlign w:val="superscript"/>
        </w:rPr>
        <w:t>2+</w:t>
      </w:r>
      <w:r>
        <w:rPr>
          <w:rFonts w:ascii="Times New Roman" w:hAnsi="Times New Roman" w:cs="Times New Roman"/>
          <w:u w:val="single"/>
        </w:rPr>
        <w:t xml:space="preserve"> +O</w:t>
      </w:r>
      <w:r>
        <w:rPr>
          <w:rFonts w:ascii="Times New Roman" w:hAnsi="Times New Roman" w:cs="Times New Roman"/>
          <w:u w:val="single"/>
          <w:vertAlign w:val="subscript"/>
        </w:rPr>
        <w:t>2</w:t>
      </w:r>
      <w:r>
        <w:rPr>
          <w:rFonts w:ascii="Times New Roman" w:hAnsi="Times New Roman" w:cs="Times New Roman"/>
          <w:u w:val="single"/>
        </w:rPr>
        <w:t>+2H</w:t>
      </w:r>
      <w:r>
        <w:rPr>
          <w:rFonts w:ascii="Times New Roman" w:hAnsi="Times New Roman" w:cs="Times New Roman"/>
          <w:u w:val="single"/>
          <w:vertAlign w:val="subscript"/>
        </w:rPr>
        <w:t>2</w:t>
      </w:r>
      <w:r>
        <w:rPr>
          <w:rFonts w:ascii="Times New Roman" w:hAnsi="Times New Roman" w:cs="Times New Roman"/>
          <w:u w:val="single"/>
        </w:rPr>
        <w:t>O+4CO</w:t>
      </w:r>
      <w:r>
        <w:rPr>
          <w:rFonts w:ascii="Times New Roman" w:hAnsi="Times New Roman" w:cs="Times New Roman"/>
          <w:u w:val="single"/>
          <w:vertAlign w:val="subscript"/>
        </w:rPr>
        <w:t>3</w:t>
      </w:r>
      <w:r>
        <w:rPr>
          <w:rFonts w:ascii="Times New Roman" w:hAnsi="Times New Roman" w:cs="Times New Roman"/>
          <w:u w:val="single"/>
          <w:vertAlign w:val="superscript"/>
        </w:rPr>
        <w:t>2-</w:t>
      </w:r>
      <w:r>
        <w:rPr>
          <w:rFonts w:ascii="Times New Roman" w:hAnsi="Times New Roman" w:cs="Times New Roman"/>
          <w:u w:val="single"/>
        </w:rPr>
        <w:t>→4FeOOH↓+4CO</w:t>
      </w:r>
      <w:r>
        <w:rPr>
          <w:rFonts w:ascii="Times New Roman" w:hAnsi="Times New Roman" w:cs="Times New Roman"/>
          <w:u w:val="single"/>
          <w:vertAlign w:val="subscript"/>
        </w:rPr>
        <w:t>2</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Mn</w:t>
      </w:r>
      <w:r>
        <w:rPr>
          <w:rFonts w:ascii="Times New Roman" w:hAnsi="Times New Roman" w:cs="Times New Roman"/>
          <w:u w:val="single"/>
          <w:vertAlign w:val="superscript"/>
        </w:rPr>
        <w:t>2+</w:t>
      </w:r>
      <w:r>
        <w:rPr>
          <w:rFonts w:ascii="Times New Roman" w:hAnsi="Times New Roman" w:cs="Times New Roman"/>
          <w:u w:val="single"/>
        </w:rPr>
        <w:t>+ CO</w:t>
      </w:r>
      <w:r>
        <w:rPr>
          <w:rFonts w:ascii="Times New Roman" w:hAnsi="Times New Roman" w:cs="Times New Roman"/>
          <w:u w:val="single"/>
          <w:vertAlign w:val="subscript"/>
        </w:rPr>
        <w:t>3</w:t>
      </w:r>
      <w:r>
        <w:rPr>
          <w:rFonts w:ascii="Times New Roman" w:hAnsi="Times New Roman" w:cs="Times New Roman"/>
          <w:u w:val="single"/>
          <w:vertAlign w:val="superscript"/>
        </w:rPr>
        <w:t>2-</w:t>
      </w:r>
      <w:r>
        <w:rPr>
          <w:rFonts w:ascii="Times New Roman" w:hAnsi="Times New Roman" w:cs="Times New Roman"/>
          <w:u w:val="single"/>
        </w:rPr>
        <w:t>→MnCO</w:t>
      </w:r>
      <w:r>
        <w:rPr>
          <w:rFonts w:ascii="Times New Roman" w:hAnsi="Times New Roman" w:cs="Times New Roman"/>
          <w:u w:val="single"/>
          <w:vertAlign w:val="subscript"/>
        </w:rPr>
        <w:t>3</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Mn</w:t>
      </w:r>
      <w:r>
        <w:rPr>
          <w:rFonts w:ascii="Times New Roman" w:hAnsi="Times New Roman" w:cs="Times New Roman"/>
          <w:u w:val="single"/>
          <w:vertAlign w:val="superscript"/>
        </w:rPr>
        <w:t>2+</w:t>
      </w:r>
      <w:r>
        <w:rPr>
          <w:rFonts w:ascii="Times New Roman" w:hAnsi="Times New Roman" w:cs="Times New Roman"/>
          <w:u w:val="single"/>
        </w:rPr>
        <w:t>+ 2OH</w:t>
      </w:r>
      <w:r>
        <w:rPr>
          <w:rFonts w:ascii="Times New Roman" w:hAnsi="Times New Roman" w:cs="Times New Roman"/>
          <w:u w:val="single"/>
          <w:vertAlign w:val="superscript"/>
        </w:rPr>
        <w:t>-</w:t>
      </w:r>
      <w:r>
        <w:rPr>
          <w:rFonts w:ascii="Times New Roman" w:hAnsi="Times New Roman" w:cs="Times New Roman"/>
          <w:u w:val="single"/>
        </w:rPr>
        <w:t>→Mn（OH）</w:t>
      </w:r>
      <w:r>
        <w:rPr>
          <w:rFonts w:ascii="Times New Roman" w:hAnsi="Times New Roman" w:cs="Times New Roman"/>
          <w:u w:val="single"/>
          <w:vertAlign w:val="subscript"/>
        </w:rPr>
        <w:t>2</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Fe</w:t>
      </w:r>
      <w:r>
        <w:rPr>
          <w:rFonts w:ascii="Times New Roman" w:hAnsi="Times New Roman" w:cs="Times New Roman"/>
          <w:u w:val="single"/>
          <w:vertAlign w:val="superscript"/>
        </w:rPr>
        <w:t>3+</w:t>
      </w:r>
      <w:r>
        <w:rPr>
          <w:rFonts w:ascii="Times New Roman" w:hAnsi="Times New Roman" w:cs="Times New Roman"/>
          <w:u w:val="single"/>
        </w:rPr>
        <w:t xml:space="preserve"> + 3OH</w:t>
      </w:r>
      <w:r>
        <w:rPr>
          <w:rFonts w:ascii="Times New Roman" w:hAnsi="Times New Roman" w:cs="Times New Roman"/>
          <w:u w:val="single"/>
          <w:vertAlign w:val="superscript"/>
        </w:rPr>
        <w:t>-</w:t>
      </w:r>
      <w:r>
        <w:rPr>
          <w:rFonts w:ascii="Times New Roman" w:hAnsi="Times New Roman" w:cs="Times New Roman"/>
          <w:u w:val="single"/>
        </w:rPr>
        <w:t>→Fe（OH）</w:t>
      </w:r>
      <w:r>
        <w:rPr>
          <w:rFonts w:ascii="Times New Roman" w:hAnsi="Times New Roman" w:cs="Times New Roman"/>
          <w:u w:val="single"/>
          <w:vertAlign w:val="subscript"/>
        </w:rPr>
        <w:t>3</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Al</w:t>
      </w:r>
      <w:r>
        <w:rPr>
          <w:rFonts w:ascii="Times New Roman" w:hAnsi="Times New Roman" w:cs="Times New Roman"/>
          <w:u w:val="single"/>
          <w:vertAlign w:val="superscript"/>
        </w:rPr>
        <w:t>3+</w:t>
      </w:r>
      <w:r>
        <w:rPr>
          <w:rFonts w:ascii="Times New Roman" w:hAnsi="Times New Roman" w:cs="Times New Roman"/>
          <w:u w:val="single"/>
        </w:rPr>
        <w:t xml:space="preserve"> + 3OH</w:t>
      </w:r>
      <w:r>
        <w:rPr>
          <w:rFonts w:ascii="Times New Roman" w:hAnsi="Times New Roman" w:cs="Times New Roman"/>
          <w:u w:val="single"/>
          <w:vertAlign w:val="superscript"/>
        </w:rPr>
        <w:t>-</w:t>
      </w:r>
      <w:r>
        <w:rPr>
          <w:rFonts w:ascii="Times New Roman" w:hAnsi="Times New Roman" w:cs="Times New Roman"/>
          <w:u w:val="single"/>
        </w:rPr>
        <w:t>→Al（OH）</w:t>
      </w:r>
      <w:r>
        <w:rPr>
          <w:rFonts w:ascii="Times New Roman" w:hAnsi="Times New Roman" w:cs="Times New Roman"/>
          <w:u w:val="single"/>
          <w:vertAlign w:val="subscript"/>
        </w:rPr>
        <w:t>3</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Mg</w:t>
      </w:r>
      <w:r>
        <w:rPr>
          <w:rFonts w:ascii="Times New Roman" w:hAnsi="Times New Roman" w:cs="Times New Roman"/>
          <w:u w:val="single"/>
          <w:vertAlign w:val="superscript"/>
        </w:rPr>
        <w:t>2+</w:t>
      </w:r>
      <w:r>
        <w:rPr>
          <w:rFonts w:ascii="Times New Roman" w:hAnsi="Times New Roman" w:cs="Times New Roman"/>
          <w:u w:val="single"/>
        </w:rPr>
        <w:t xml:space="preserve"> + 2OH</w:t>
      </w:r>
      <w:r>
        <w:rPr>
          <w:rFonts w:ascii="Times New Roman" w:hAnsi="Times New Roman" w:cs="Times New Roman"/>
          <w:u w:val="single"/>
          <w:vertAlign w:val="superscript"/>
        </w:rPr>
        <w:t>-</w:t>
      </w:r>
      <w:r>
        <w:rPr>
          <w:rFonts w:ascii="Times New Roman" w:hAnsi="Times New Roman" w:cs="Times New Roman"/>
          <w:u w:val="single"/>
        </w:rPr>
        <w:t>→Mg（OH）</w:t>
      </w:r>
      <w:r>
        <w:rPr>
          <w:rFonts w:ascii="Times New Roman" w:hAnsi="Times New Roman" w:cs="Times New Roman"/>
          <w:u w:val="single"/>
          <w:vertAlign w:val="subscript"/>
        </w:rPr>
        <w:t>2</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Mg</w:t>
      </w:r>
      <w:r>
        <w:rPr>
          <w:rFonts w:ascii="Times New Roman" w:hAnsi="Times New Roman" w:cs="Times New Roman"/>
          <w:u w:val="single"/>
          <w:vertAlign w:val="superscript"/>
        </w:rPr>
        <w:t>2+</w:t>
      </w:r>
      <w:r>
        <w:rPr>
          <w:rFonts w:ascii="Times New Roman" w:hAnsi="Times New Roman" w:cs="Times New Roman"/>
          <w:u w:val="single"/>
        </w:rPr>
        <w:t>+ CO</w:t>
      </w:r>
      <w:r>
        <w:rPr>
          <w:rFonts w:ascii="Times New Roman" w:hAnsi="Times New Roman" w:cs="Times New Roman"/>
          <w:u w:val="single"/>
          <w:vertAlign w:val="subscript"/>
        </w:rPr>
        <w:t>3</w:t>
      </w:r>
      <w:r>
        <w:rPr>
          <w:rFonts w:ascii="Times New Roman" w:hAnsi="Times New Roman" w:cs="Times New Roman"/>
          <w:u w:val="single"/>
          <w:vertAlign w:val="superscript"/>
        </w:rPr>
        <w:t>2-</w:t>
      </w:r>
      <w:r>
        <w:rPr>
          <w:rFonts w:ascii="Times New Roman" w:hAnsi="Times New Roman" w:cs="Times New Roman"/>
          <w:u w:val="single"/>
        </w:rPr>
        <w:t>→MgCO</w:t>
      </w:r>
      <w:r>
        <w:rPr>
          <w:rFonts w:ascii="Times New Roman" w:hAnsi="Times New Roman" w:cs="Times New Roman"/>
          <w:u w:val="single"/>
          <w:vertAlign w:val="subscript"/>
        </w:rPr>
        <w:t>3</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Ca</w:t>
      </w:r>
      <w:r>
        <w:rPr>
          <w:rFonts w:ascii="Times New Roman" w:hAnsi="Times New Roman" w:cs="Times New Roman"/>
          <w:u w:val="single"/>
          <w:vertAlign w:val="superscript"/>
        </w:rPr>
        <w:t>2+</w:t>
      </w:r>
      <w:r>
        <w:rPr>
          <w:rFonts w:ascii="Times New Roman" w:hAnsi="Times New Roman" w:cs="Times New Roman"/>
          <w:u w:val="single"/>
        </w:rPr>
        <w:t>+ CO</w:t>
      </w:r>
      <w:r>
        <w:rPr>
          <w:rFonts w:ascii="Times New Roman" w:hAnsi="Times New Roman" w:cs="Times New Roman"/>
          <w:u w:val="single"/>
          <w:vertAlign w:val="subscript"/>
        </w:rPr>
        <w:t>3</w:t>
      </w:r>
      <w:r>
        <w:rPr>
          <w:rFonts w:ascii="Times New Roman" w:hAnsi="Times New Roman" w:cs="Times New Roman"/>
          <w:u w:val="single"/>
          <w:vertAlign w:val="superscript"/>
        </w:rPr>
        <w:t>2-</w:t>
      </w:r>
      <w:r>
        <w:rPr>
          <w:rFonts w:ascii="Times New Roman" w:hAnsi="Times New Roman" w:cs="Times New Roman"/>
          <w:u w:val="single"/>
        </w:rPr>
        <w:t>→CaCO</w:t>
      </w:r>
      <w:r>
        <w:rPr>
          <w:rFonts w:ascii="Times New Roman" w:hAnsi="Times New Roman" w:cs="Times New Roman"/>
          <w:u w:val="single"/>
          <w:vertAlign w:val="subscript"/>
        </w:rPr>
        <w:t>3</w:t>
      </w:r>
      <w:r>
        <w:rPr>
          <w:rFonts w:ascii="Times New Roman" w:hAnsi="Times New Roman" w:cs="Times New Roman"/>
          <w:u w:val="single"/>
        </w:rPr>
        <w:t>↓</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5）沉锂阶段</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沉锂前液加入碳酸钠溶液，在常温控制反应pH=10条件下搅拌，经压离心分离，得到碳酸锂和沉锂后液，发生的主要反应如下：</w:t>
      </w:r>
    </w:p>
    <w:p>
      <w:pPr>
        <w:spacing w:line="360" w:lineRule="auto"/>
        <w:ind w:firstLine="480" w:firstLineChars="200"/>
        <w:rPr>
          <w:rFonts w:ascii="Times New Roman" w:hAnsi="Times New Roman" w:cs="Times New Roman"/>
          <w:u w:val="single"/>
          <w:vertAlign w:val="subscript"/>
        </w:rPr>
      </w:pPr>
      <w:r>
        <w:rPr>
          <w:rFonts w:ascii="Times New Roman" w:hAnsi="Times New Roman" w:cs="Times New Roman"/>
          <w:u w:val="single"/>
        </w:rPr>
        <w:t>Li</w:t>
      </w:r>
      <w:r>
        <w:rPr>
          <w:rFonts w:ascii="Times New Roman" w:hAnsi="Times New Roman" w:cs="Times New Roman"/>
          <w:u w:val="single"/>
          <w:vertAlign w:val="subscript"/>
        </w:rPr>
        <w:t>2</w:t>
      </w:r>
      <w:r>
        <w:rPr>
          <w:rFonts w:ascii="Times New Roman" w:hAnsi="Times New Roman" w:cs="Times New Roman"/>
          <w:u w:val="single"/>
        </w:rPr>
        <w:t>SO</w:t>
      </w:r>
      <w:r>
        <w:rPr>
          <w:rFonts w:ascii="Times New Roman" w:hAnsi="Times New Roman" w:cs="Times New Roman"/>
          <w:u w:val="single"/>
          <w:vertAlign w:val="subscript"/>
        </w:rPr>
        <w:t>4</w:t>
      </w:r>
      <w:r>
        <w:rPr>
          <w:rFonts w:ascii="Times New Roman" w:hAnsi="Times New Roman" w:cs="Times New Roman"/>
          <w:u w:val="single"/>
        </w:rPr>
        <w:t>+Na</w:t>
      </w:r>
      <w:r>
        <w:rPr>
          <w:rFonts w:ascii="Times New Roman" w:hAnsi="Times New Roman" w:cs="Times New Roman"/>
          <w:u w:val="single"/>
          <w:vertAlign w:val="subscript"/>
        </w:rPr>
        <w:t>2</w:t>
      </w:r>
      <w:r>
        <w:rPr>
          <w:rFonts w:ascii="Times New Roman" w:hAnsi="Times New Roman" w:cs="Times New Roman"/>
          <w:u w:val="single"/>
        </w:rPr>
        <w:t>CO</w:t>
      </w:r>
      <w:r>
        <w:rPr>
          <w:rFonts w:ascii="Times New Roman" w:hAnsi="Times New Roman" w:cs="Times New Roman"/>
          <w:u w:val="single"/>
          <w:vertAlign w:val="subscript"/>
        </w:rPr>
        <w:t>3</w:t>
      </w:r>
      <w:r>
        <w:rPr>
          <w:rFonts w:ascii="Times New Roman" w:hAnsi="Times New Roman" w:cs="Times New Roman"/>
          <w:u w:val="single"/>
        </w:rPr>
        <w:t>=Li</w:t>
      </w:r>
      <w:r>
        <w:rPr>
          <w:rFonts w:ascii="Times New Roman" w:hAnsi="Times New Roman" w:cs="Times New Roman"/>
          <w:u w:val="single"/>
          <w:vertAlign w:val="subscript"/>
        </w:rPr>
        <w:t>2</w:t>
      </w:r>
      <w:r>
        <w:rPr>
          <w:rFonts w:ascii="Times New Roman" w:hAnsi="Times New Roman" w:cs="Times New Roman"/>
          <w:u w:val="single"/>
        </w:rPr>
        <w:t>CO</w:t>
      </w:r>
      <w:r>
        <w:rPr>
          <w:rFonts w:ascii="Times New Roman" w:hAnsi="Times New Roman" w:cs="Times New Roman"/>
          <w:u w:val="single"/>
          <w:vertAlign w:val="subscript"/>
        </w:rPr>
        <w:t>3</w:t>
      </w:r>
      <w:r>
        <w:rPr>
          <w:rFonts w:ascii="Times New Roman" w:hAnsi="Times New Roman" w:cs="Times New Roman"/>
          <w:u w:val="single"/>
        </w:rPr>
        <w:t>↓+Na</w:t>
      </w:r>
      <w:r>
        <w:rPr>
          <w:rFonts w:ascii="Times New Roman" w:hAnsi="Times New Roman" w:cs="Times New Roman"/>
          <w:u w:val="single"/>
          <w:vertAlign w:val="subscript"/>
        </w:rPr>
        <w:t>2</w:t>
      </w:r>
      <w:r>
        <w:rPr>
          <w:rFonts w:ascii="Times New Roman" w:hAnsi="Times New Roman" w:cs="Times New Roman"/>
          <w:u w:val="single"/>
        </w:rPr>
        <w:t>SO</w:t>
      </w:r>
      <w:r>
        <w:rPr>
          <w:rFonts w:ascii="Times New Roman" w:hAnsi="Times New Roman" w:cs="Times New Roman"/>
          <w:u w:val="single"/>
          <w:vertAlign w:val="subscript"/>
        </w:rPr>
        <w:t>4</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碳酸锂经过离心洗涤、烘干、破碎后进行包装。</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6）蒸发结晶</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沉锂后液经酸化调整后送入蒸发结晶工序，该工序采用MVR蒸发系统，经蒸发、结晶后得到硫酸钠，冷凝水回用前序工艺。</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7）FePO</w:t>
      </w:r>
      <w:r>
        <w:rPr>
          <w:rFonts w:ascii="Times New Roman" w:hAnsi="Times New Roman" w:cs="Times New Roman"/>
          <w:b/>
          <w:u w:val="single"/>
          <w:vertAlign w:val="subscript"/>
        </w:rPr>
        <w:t>4</w:t>
      </w:r>
      <w:r>
        <w:rPr>
          <w:rFonts w:ascii="Times New Roman" w:hAnsi="Times New Roman" w:cs="Times New Roman"/>
          <w:b/>
          <w:u w:val="single"/>
        </w:rPr>
        <w:t>渣处理</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FePO</w:t>
      </w:r>
      <w:r>
        <w:rPr>
          <w:rFonts w:ascii="Times New Roman" w:hAnsi="Times New Roman" w:cs="Times New Roman"/>
          <w:u w:val="single"/>
          <w:vertAlign w:val="subscript"/>
        </w:rPr>
        <w:t>4</w:t>
      </w:r>
      <w:r>
        <w:rPr>
          <w:rFonts w:ascii="Times New Roman" w:hAnsi="Times New Roman" w:cs="Times New Roman"/>
          <w:u w:val="single"/>
        </w:rPr>
        <w:t>渣先采用浓硫酸浸出，其中石墨不参与反应，</w:t>
      </w:r>
      <w:r>
        <w:rPr>
          <w:rFonts w:hint="eastAsia" w:ascii="Times New Roman" w:hAnsi="Times New Roman" w:cs="Times New Roman"/>
          <w:u w:val="single"/>
        </w:rPr>
        <w:t>可将石墨分离；</w:t>
      </w:r>
      <w:r>
        <w:rPr>
          <w:rFonts w:ascii="Times New Roman" w:hAnsi="Times New Roman" w:cs="Times New Roman"/>
          <w:u w:val="single"/>
        </w:rPr>
        <w:t>将反应后的浸出液进行过滤，得到碳渣和FePO</w:t>
      </w:r>
      <w:r>
        <w:rPr>
          <w:rFonts w:ascii="Times New Roman" w:hAnsi="Times New Roman" w:cs="Times New Roman"/>
          <w:u w:val="single"/>
          <w:vertAlign w:val="subscript"/>
        </w:rPr>
        <w:t>4</w:t>
      </w:r>
      <w:r>
        <w:rPr>
          <w:rFonts w:ascii="Times New Roman" w:hAnsi="Times New Roman" w:cs="Times New Roman"/>
          <w:u w:val="single"/>
        </w:rPr>
        <w:t>浸出液</w:t>
      </w:r>
      <w:r>
        <w:rPr>
          <w:rFonts w:hint="eastAsia"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碳渣</w:t>
      </w:r>
      <w:r>
        <w:rPr>
          <w:rFonts w:hint="eastAsia" w:ascii="Times New Roman" w:hAnsi="Times New Roman" w:cs="Times New Roman"/>
          <w:u w:val="single"/>
        </w:rPr>
        <w:t>经洗涤、过滤后得到石墨，洗涤废水和过滤滤液返回浸出槽浸出。</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FePO</w:t>
      </w:r>
      <w:r>
        <w:rPr>
          <w:rFonts w:ascii="Times New Roman" w:hAnsi="Times New Roman" w:cs="Times New Roman"/>
          <w:u w:val="single"/>
          <w:vertAlign w:val="subscript"/>
        </w:rPr>
        <w:t>4</w:t>
      </w:r>
      <w:r>
        <w:rPr>
          <w:rFonts w:ascii="Times New Roman" w:hAnsi="Times New Roman" w:cs="Times New Roman"/>
          <w:u w:val="single"/>
        </w:rPr>
        <w:t>浸出液加双氧水和碳酸钠溶液后送入板框过滤机进行固液分离，得到磷酸铁和滤液，磷酸铁经干燥脱水工序得到电池级磷酸铁产品，滤液回用于浆化过程段。</w:t>
      </w:r>
    </w:p>
    <w:p>
      <w:pPr>
        <w:pStyle w:val="5"/>
        <w:ind w:firstLine="482"/>
        <w:rPr>
          <w:rFonts w:ascii="Times New Roman" w:hAnsi="Times New Roman" w:cs="Times New Roman" w:eastAsiaTheme="minorEastAsia"/>
        </w:rPr>
      </w:pPr>
      <w:r>
        <w:rPr>
          <w:rFonts w:ascii="Times New Roman" w:hAnsi="Times New Roman" w:cs="Times New Roman" w:eastAsiaTheme="minorEastAsia"/>
        </w:rPr>
        <w:t>3.3.2.4 三元线湿法工艺流程及产污环节</w:t>
      </w:r>
    </w:p>
    <w:p>
      <w:pPr>
        <w:spacing w:line="360" w:lineRule="auto"/>
        <w:ind w:firstLine="482" w:firstLineChars="200"/>
        <w:rPr>
          <w:rFonts w:ascii="Times New Roman" w:hAnsi="Times New Roman" w:cs="Times New Roman"/>
          <w:b/>
        </w:rPr>
      </w:pPr>
      <w:r>
        <w:rPr>
          <w:rFonts w:ascii="Times New Roman" w:hAnsi="Times New Roman" w:cs="Times New Roman"/>
          <w:b/>
        </w:rPr>
        <w:t>（1）工艺流程及产污环节</w:t>
      </w:r>
    </w:p>
    <w:p>
      <w:pPr>
        <w:spacing w:line="360" w:lineRule="auto"/>
        <w:ind w:firstLine="480" w:firstLineChars="200"/>
        <w:rPr>
          <w:rFonts w:ascii="Times New Roman" w:hAnsi="Times New Roman" w:cs="Times New Roman"/>
        </w:rPr>
        <w:sectPr>
          <w:pgSz w:w="11907" w:h="16840"/>
          <w:pgMar w:top="1440" w:right="1797" w:bottom="1440" w:left="1797" w:header="964" w:footer="851" w:gutter="0"/>
          <w:cols w:space="720" w:num="1"/>
          <w:docGrid w:linePitch="326" w:charSpace="200"/>
        </w:sectPr>
      </w:pPr>
      <w:r>
        <w:rPr>
          <w:rFonts w:ascii="Times New Roman" w:hAnsi="Times New Roman" w:cs="Times New Roman"/>
        </w:rPr>
        <w:t>三元线湿法工艺流程及产污环节见下图所示。</w:t>
      </w:r>
    </w:p>
    <w:p>
      <w:pPr>
        <w:spacing w:line="360" w:lineRule="auto"/>
        <w:ind w:firstLine="480" w:firstLineChars="200"/>
        <w:jc w:val="center"/>
        <w:rPr>
          <w:rFonts w:ascii="Times New Roman" w:hAnsi="Times New Roman" w:cs="Times New Roman"/>
        </w:rPr>
      </w:pPr>
      <w:r>
        <mc:AlternateContent>
          <mc:Choice Requires="wps">
            <w:drawing>
              <wp:anchor distT="0" distB="0" distL="114300" distR="114300" simplePos="0" relativeHeight="251671552" behindDoc="0" locked="0" layoutInCell="1" allowOverlap="1">
                <wp:simplePos x="0" y="0"/>
                <wp:positionH relativeFrom="column">
                  <wp:posOffset>1338580</wp:posOffset>
                </wp:positionH>
                <wp:positionV relativeFrom="paragraph">
                  <wp:posOffset>2235200</wp:posOffset>
                </wp:positionV>
                <wp:extent cx="4265295" cy="1457960"/>
                <wp:effectExtent l="0" t="0" r="21590" b="27940"/>
                <wp:wrapNone/>
                <wp:docPr id="242" name="矩形 242"/>
                <wp:cNvGraphicFramePr/>
                <a:graphic xmlns:a="http://schemas.openxmlformats.org/drawingml/2006/main">
                  <a:graphicData uri="http://schemas.microsoft.com/office/word/2010/wordprocessingShape">
                    <wps:wsp>
                      <wps:cNvSpPr/>
                      <wps:spPr>
                        <a:xfrm>
                          <a:off x="0" y="0"/>
                          <a:ext cx="4265023" cy="1458097"/>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5.4pt;margin-top:176pt;height:114.8pt;width:335.85pt;z-index:251671552;v-text-anchor:middle;mso-width-relative:page;mso-height-relative:page;" filled="f" stroked="t" coordsize="21600,21600" o:gfxdata="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OM68LZAAAACwEAAA8AAAAAAAAAAQAgAAAAIgAAAGRycy9kb3ducmV2LnhtbFBLAQIU&#10;ABQAAAAIAIdO4kBMFVJhZAIAALsEAAAOAAAAAAAAAAEAIAAAACgBAABkcnMvZTJvRG9jLnhtbFBL&#10;BQYAAAAABgAGAFkBAAD+BQAAAAA=&#10;">
                <v:fill on="f" focussize="0,0"/>
                <v:stroke weight="2pt" color="#FF0000 [3204]" joinstyle="round" dashstyle="3 1"/>
                <v:imagedata o:title=""/>
                <o:lock v:ext="edit" aspectratio="f"/>
              </v:rect>
            </w:pict>
          </mc:Fallback>
        </mc:AlternateContent>
      </w:r>
      <w:r>
        <w:object>
          <v:shape id="_x0000_i1030" o:spt="75" type="#_x0000_t75" style="height:392.85pt;width:644.85pt;" o:ole="t" filled="f" o:preferrelative="t" stroked="f" coordsize="21600,21600">
            <v:path/>
            <v:fill on="f" focussize="0,0"/>
            <v:stroke on="f" joinstyle="miter"/>
            <v:imagedata r:id="rId39" o:title=""/>
            <o:lock v:ext="edit" aspectratio="t"/>
            <w10:wrap type="none"/>
            <w10:anchorlock/>
          </v:shape>
          <o:OLEObject Type="Embed" ProgID="Visio.Drawing.11" ShapeID="_x0000_i1030" DrawAspect="Content" ObjectID="_1468075730" r:id="rId38">
            <o:LockedField>false</o:LockedField>
          </o:OLEObject>
        </w:object>
      </w:r>
    </w:p>
    <w:p>
      <w:pPr>
        <w:pStyle w:val="6"/>
        <w:sectPr>
          <w:pgSz w:w="16840" w:h="11907" w:orient="landscape"/>
          <w:pgMar w:top="1797" w:right="1440" w:bottom="1797" w:left="1440" w:header="964" w:footer="851" w:gutter="0"/>
          <w:cols w:space="720" w:num="1"/>
          <w:docGrid w:linePitch="326" w:charSpace="200"/>
        </w:sectPr>
      </w:pPr>
      <w:r>
        <w:t>图3.2-6  三元线湿法工艺流程及产污节点图</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（2）工艺流程说明</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1）浆化</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经预处理后的三元电池黑粉放入浆化槽，加入适量水进行浆化，浆化</w:t>
      </w:r>
      <w:r>
        <w:rPr>
          <w:rFonts w:hint="eastAsia" w:ascii="Times New Roman" w:hAnsi="Times New Roman" w:cs="Times New Roman"/>
          <w:u w:val="single"/>
        </w:rPr>
        <w:t>固液比例约为1:2，</w:t>
      </w:r>
      <w:r>
        <w:rPr>
          <w:rFonts w:ascii="Times New Roman" w:hAnsi="Times New Roman" w:cs="Times New Roman"/>
          <w:u w:val="single"/>
        </w:rPr>
        <w:t>得到矿浆。</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2）浸出</w:t>
      </w:r>
    </w:p>
    <w:p>
      <w:pPr>
        <w:autoSpaceDE w:val="0"/>
        <w:autoSpaceDN w:val="0"/>
        <w:spacing w:line="360" w:lineRule="auto"/>
        <w:ind w:firstLine="480" w:firstLineChars="200"/>
        <w:jc w:val="left"/>
        <w:rPr>
          <w:rFonts w:ascii="Times New Roman" w:hAnsi="Times New Roman" w:cs="Times New Roman"/>
          <w:szCs w:val="24"/>
          <w:u w:val="single"/>
        </w:rPr>
      </w:pPr>
      <w:r>
        <w:rPr>
          <w:rFonts w:ascii="Times New Roman" w:hAnsi="Times New Roman" w:cs="Times New Roman"/>
          <w:szCs w:val="24"/>
          <w:u w:val="single"/>
        </w:rPr>
        <w:t>含锂镍钴锰的黑粉（正负极粉）进入浸出车间，用硫酸溶液浸出（热浸出，锅炉提供蒸汽），将金属Co、Mn、Ni等溶解在液相中，高价的Co、Mn、Ni在双氧水的作用下还原成二价的金属离子。</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2Al + 3H</w:t>
      </w:r>
      <w:r>
        <w:rPr>
          <w:rFonts w:ascii="Times New Roman" w:hAnsi="Times New Roman" w:cs="Times New Roman"/>
          <w:szCs w:val="24"/>
          <w:u w:val="single"/>
          <w:vertAlign w:val="subscript"/>
        </w:rPr>
        <w:t>2</w:t>
      </w:r>
      <w:r>
        <w:rPr>
          <w:rFonts w:ascii="Times New Roman" w:hAnsi="Times New Roman" w:cs="Times New Roman"/>
          <w:szCs w:val="24"/>
          <w:u w:val="single"/>
        </w:rPr>
        <w:t>SO</w:t>
      </w:r>
      <w:r>
        <w:rPr>
          <w:rFonts w:ascii="Times New Roman" w:hAnsi="Times New Roman" w:cs="Times New Roman"/>
          <w:szCs w:val="24"/>
          <w:u w:val="single"/>
          <w:vertAlign w:val="subscript"/>
        </w:rPr>
        <w:t>4</w:t>
      </w:r>
      <w:r>
        <w:rPr>
          <w:rFonts w:ascii="Times New Roman" w:hAnsi="Times New Roman" w:cs="Times New Roman"/>
          <w:szCs w:val="24"/>
          <w:u w:val="single"/>
        </w:rPr>
        <w:t xml:space="preserve"> → Al</w:t>
      </w:r>
      <w:r>
        <w:rPr>
          <w:rFonts w:ascii="Times New Roman" w:hAnsi="Times New Roman" w:cs="Times New Roman"/>
          <w:szCs w:val="24"/>
          <w:u w:val="single"/>
          <w:vertAlign w:val="subscript"/>
        </w:rPr>
        <w:t>2</w:t>
      </w:r>
      <w:r>
        <w:rPr>
          <w:rFonts w:ascii="Times New Roman" w:hAnsi="Times New Roman" w:cs="Times New Roman"/>
          <w:szCs w:val="24"/>
          <w:u w:val="single"/>
        </w:rPr>
        <w:t>（SO</w:t>
      </w:r>
      <w:r>
        <w:rPr>
          <w:rFonts w:ascii="Times New Roman" w:hAnsi="Times New Roman" w:cs="Times New Roman"/>
          <w:szCs w:val="24"/>
          <w:u w:val="single"/>
          <w:vertAlign w:val="subscript"/>
        </w:rPr>
        <w:t>4</w:t>
      </w:r>
      <w:r>
        <w:rPr>
          <w:rFonts w:ascii="Times New Roman" w:hAnsi="Times New Roman" w:cs="Times New Roman"/>
          <w:szCs w:val="24"/>
          <w:u w:val="single"/>
        </w:rPr>
        <w:t>）</w:t>
      </w:r>
      <w:r>
        <w:rPr>
          <w:rFonts w:ascii="Times New Roman" w:hAnsi="Times New Roman" w:cs="Times New Roman"/>
          <w:szCs w:val="24"/>
          <w:u w:val="single"/>
          <w:vertAlign w:val="subscript"/>
        </w:rPr>
        <w:t>3</w:t>
      </w:r>
      <w:r>
        <w:rPr>
          <w:rFonts w:ascii="Times New Roman" w:hAnsi="Times New Roman" w:cs="Times New Roman"/>
          <w:szCs w:val="24"/>
          <w:u w:val="single"/>
        </w:rPr>
        <w:t xml:space="preserve"> + 3H</w:t>
      </w:r>
      <w:r>
        <w:rPr>
          <w:rFonts w:ascii="Times New Roman" w:hAnsi="Times New Roman" w:cs="Times New Roman"/>
          <w:szCs w:val="24"/>
          <w:u w:val="single"/>
          <w:vertAlign w:val="subscript"/>
        </w:rPr>
        <w:t>2</w:t>
      </w:r>
      <w:r>
        <w:rPr>
          <w:rFonts w:ascii="Times New Roman" w:hAnsi="Times New Roman" w:cs="Times New Roman"/>
          <w:szCs w:val="24"/>
          <w:u w:val="single"/>
        </w:rPr>
        <w:t xml:space="preserve">  （3）</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Cu +H</w:t>
      </w:r>
      <w:r>
        <w:rPr>
          <w:rFonts w:ascii="Times New Roman" w:hAnsi="Times New Roman" w:cs="Times New Roman"/>
          <w:szCs w:val="24"/>
          <w:u w:val="single"/>
          <w:vertAlign w:val="subscript"/>
        </w:rPr>
        <w:t>2</w:t>
      </w:r>
      <w:r>
        <w:rPr>
          <w:rFonts w:ascii="Times New Roman" w:hAnsi="Times New Roman" w:cs="Times New Roman"/>
          <w:szCs w:val="24"/>
          <w:u w:val="single"/>
        </w:rPr>
        <w:t>SO</w:t>
      </w:r>
      <w:r>
        <w:rPr>
          <w:rFonts w:ascii="Times New Roman" w:hAnsi="Times New Roman" w:cs="Times New Roman"/>
          <w:szCs w:val="24"/>
          <w:u w:val="single"/>
          <w:vertAlign w:val="subscript"/>
        </w:rPr>
        <w:t>4</w:t>
      </w:r>
      <w:r>
        <w:rPr>
          <w:rFonts w:ascii="Times New Roman" w:hAnsi="Times New Roman" w:cs="Times New Roman"/>
          <w:szCs w:val="24"/>
          <w:u w:val="single"/>
        </w:rPr>
        <w:t xml:space="preserve"> + H</w:t>
      </w:r>
      <w:r>
        <w:rPr>
          <w:rFonts w:ascii="Times New Roman" w:hAnsi="Times New Roman" w:cs="Times New Roman"/>
          <w:szCs w:val="24"/>
          <w:u w:val="single"/>
          <w:vertAlign w:val="subscript"/>
        </w:rPr>
        <w:t>2</w:t>
      </w:r>
      <w:r>
        <w:rPr>
          <w:rFonts w:ascii="Times New Roman" w:hAnsi="Times New Roman" w:cs="Times New Roman"/>
          <w:szCs w:val="24"/>
          <w:u w:val="single"/>
        </w:rPr>
        <w:t>O</w:t>
      </w:r>
      <w:r>
        <w:rPr>
          <w:rFonts w:ascii="Times New Roman" w:hAnsi="Times New Roman" w:cs="Times New Roman"/>
          <w:szCs w:val="24"/>
          <w:u w:val="single"/>
          <w:vertAlign w:val="subscript"/>
        </w:rPr>
        <w:t>2</w:t>
      </w:r>
      <w:r>
        <w:rPr>
          <w:rFonts w:ascii="Times New Roman" w:hAnsi="Times New Roman" w:cs="Times New Roman"/>
          <w:szCs w:val="24"/>
          <w:u w:val="single"/>
        </w:rPr>
        <w:t xml:space="preserve"> → CuSO</w:t>
      </w:r>
      <w:r>
        <w:rPr>
          <w:rFonts w:ascii="Times New Roman" w:hAnsi="Times New Roman" w:cs="Times New Roman"/>
          <w:szCs w:val="24"/>
          <w:u w:val="single"/>
          <w:vertAlign w:val="subscript"/>
        </w:rPr>
        <w:t>4</w:t>
      </w:r>
      <w:r>
        <w:rPr>
          <w:rFonts w:ascii="Times New Roman" w:hAnsi="Times New Roman" w:cs="Times New Roman"/>
          <w:szCs w:val="24"/>
          <w:u w:val="single"/>
        </w:rPr>
        <w:t>+ 2H</w:t>
      </w:r>
      <w:r>
        <w:rPr>
          <w:rFonts w:ascii="Times New Roman" w:hAnsi="Times New Roman" w:cs="Times New Roman"/>
          <w:szCs w:val="24"/>
          <w:u w:val="single"/>
          <w:vertAlign w:val="subscript"/>
        </w:rPr>
        <w:t>2</w:t>
      </w:r>
      <w:r>
        <w:rPr>
          <w:rFonts w:ascii="Times New Roman" w:hAnsi="Times New Roman" w:cs="Times New Roman"/>
          <w:szCs w:val="24"/>
          <w:u w:val="single"/>
        </w:rPr>
        <w:t>O  （4）</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2LiCoO</w:t>
      </w:r>
      <w:r>
        <w:rPr>
          <w:rFonts w:ascii="Times New Roman" w:hAnsi="Times New Roman" w:cs="Times New Roman"/>
          <w:szCs w:val="24"/>
          <w:u w:val="single"/>
          <w:vertAlign w:val="subscript"/>
        </w:rPr>
        <w:t>2</w:t>
      </w:r>
      <w:r>
        <w:rPr>
          <w:rFonts w:ascii="Times New Roman" w:hAnsi="Times New Roman" w:cs="Times New Roman"/>
          <w:szCs w:val="24"/>
          <w:u w:val="single"/>
        </w:rPr>
        <w:t xml:space="preserve"> + 3H</w:t>
      </w:r>
      <w:r>
        <w:rPr>
          <w:rFonts w:ascii="Times New Roman" w:hAnsi="Times New Roman" w:cs="Times New Roman"/>
          <w:szCs w:val="24"/>
          <w:u w:val="single"/>
          <w:vertAlign w:val="subscript"/>
        </w:rPr>
        <w:t>2</w:t>
      </w:r>
      <w:r>
        <w:rPr>
          <w:rFonts w:ascii="Times New Roman" w:hAnsi="Times New Roman" w:cs="Times New Roman"/>
          <w:szCs w:val="24"/>
          <w:u w:val="single"/>
        </w:rPr>
        <w:t>SO</w:t>
      </w:r>
      <w:r>
        <w:rPr>
          <w:rFonts w:ascii="Times New Roman" w:hAnsi="Times New Roman" w:cs="Times New Roman"/>
          <w:szCs w:val="24"/>
          <w:u w:val="single"/>
          <w:vertAlign w:val="subscript"/>
        </w:rPr>
        <w:t>4</w:t>
      </w:r>
      <w:r>
        <w:rPr>
          <w:rFonts w:ascii="Times New Roman" w:hAnsi="Times New Roman" w:cs="Times New Roman"/>
          <w:szCs w:val="24"/>
          <w:u w:val="single"/>
        </w:rPr>
        <w:t xml:space="preserve"> + H</w:t>
      </w:r>
      <w:r>
        <w:rPr>
          <w:rFonts w:ascii="Times New Roman" w:hAnsi="Times New Roman" w:cs="Times New Roman"/>
          <w:szCs w:val="24"/>
          <w:u w:val="single"/>
          <w:vertAlign w:val="subscript"/>
        </w:rPr>
        <w:t>2</w:t>
      </w:r>
      <w:r>
        <w:rPr>
          <w:rFonts w:ascii="Times New Roman" w:hAnsi="Times New Roman" w:cs="Times New Roman"/>
          <w:szCs w:val="24"/>
          <w:u w:val="single"/>
        </w:rPr>
        <w:t>O</w:t>
      </w:r>
      <w:r>
        <w:rPr>
          <w:rFonts w:ascii="Times New Roman" w:hAnsi="Times New Roman" w:cs="Times New Roman"/>
          <w:szCs w:val="24"/>
          <w:u w:val="single"/>
          <w:vertAlign w:val="subscript"/>
        </w:rPr>
        <w:t>2</w:t>
      </w:r>
      <w:r>
        <w:rPr>
          <w:rFonts w:ascii="Times New Roman" w:hAnsi="Times New Roman" w:cs="Times New Roman"/>
          <w:szCs w:val="24"/>
          <w:u w:val="single"/>
        </w:rPr>
        <w:t xml:space="preserve"> → 2CoSO</w:t>
      </w:r>
      <w:r>
        <w:rPr>
          <w:rFonts w:ascii="Times New Roman" w:hAnsi="Times New Roman" w:cs="Times New Roman"/>
          <w:szCs w:val="24"/>
          <w:u w:val="single"/>
          <w:vertAlign w:val="subscript"/>
        </w:rPr>
        <w:t>4</w:t>
      </w:r>
      <w:r>
        <w:rPr>
          <w:rFonts w:ascii="Times New Roman" w:hAnsi="Times New Roman" w:cs="Times New Roman"/>
          <w:szCs w:val="24"/>
          <w:u w:val="single"/>
        </w:rPr>
        <w:t xml:space="preserve"> + O</w:t>
      </w:r>
      <w:r>
        <w:rPr>
          <w:rFonts w:ascii="Times New Roman" w:hAnsi="Times New Roman" w:cs="Times New Roman"/>
          <w:szCs w:val="24"/>
          <w:u w:val="single"/>
          <w:vertAlign w:val="subscript"/>
        </w:rPr>
        <w:t>2</w:t>
      </w:r>
      <w:r>
        <w:rPr>
          <w:rFonts w:ascii="Times New Roman" w:hAnsi="Times New Roman" w:cs="Times New Roman"/>
          <w:szCs w:val="24"/>
          <w:u w:val="single"/>
        </w:rPr>
        <w:t>（g） + Li</w:t>
      </w:r>
      <w:r>
        <w:rPr>
          <w:rFonts w:ascii="Times New Roman" w:hAnsi="Times New Roman" w:cs="Times New Roman"/>
          <w:szCs w:val="24"/>
          <w:u w:val="single"/>
          <w:vertAlign w:val="subscript"/>
        </w:rPr>
        <w:t>2</w:t>
      </w:r>
      <w:r>
        <w:rPr>
          <w:rFonts w:ascii="Times New Roman" w:hAnsi="Times New Roman" w:cs="Times New Roman"/>
          <w:szCs w:val="24"/>
          <w:u w:val="single"/>
        </w:rPr>
        <w:t>SO</w:t>
      </w:r>
      <w:r>
        <w:rPr>
          <w:rFonts w:ascii="Times New Roman" w:hAnsi="Times New Roman" w:cs="Times New Roman"/>
          <w:szCs w:val="24"/>
          <w:u w:val="single"/>
          <w:vertAlign w:val="subscript"/>
        </w:rPr>
        <w:t>4</w:t>
      </w:r>
      <w:r>
        <w:rPr>
          <w:rFonts w:ascii="Times New Roman" w:hAnsi="Times New Roman" w:cs="Times New Roman"/>
          <w:szCs w:val="24"/>
          <w:u w:val="single"/>
        </w:rPr>
        <w:t xml:space="preserve"> + 4H</w:t>
      </w:r>
      <w:r>
        <w:rPr>
          <w:rFonts w:ascii="Times New Roman" w:hAnsi="Times New Roman" w:cs="Times New Roman"/>
          <w:szCs w:val="24"/>
          <w:u w:val="single"/>
          <w:vertAlign w:val="subscript"/>
        </w:rPr>
        <w:t>2</w:t>
      </w:r>
      <w:r>
        <w:rPr>
          <w:rFonts w:ascii="Times New Roman" w:hAnsi="Times New Roman" w:cs="Times New Roman"/>
          <w:szCs w:val="24"/>
          <w:u w:val="single"/>
        </w:rPr>
        <w:t>O  （5）</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10LiNi</w:t>
      </w:r>
      <w:r>
        <w:rPr>
          <w:rFonts w:ascii="Times New Roman" w:hAnsi="Times New Roman" w:cs="Times New Roman"/>
          <w:szCs w:val="24"/>
          <w:u w:val="single"/>
          <w:vertAlign w:val="subscript"/>
        </w:rPr>
        <w:t>0.5</w:t>
      </w:r>
      <w:r>
        <w:rPr>
          <w:rFonts w:ascii="Times New Roman" w:hAnsi="Times New Roman" w:cs="Times New Roman"/>
          <w:szCs w:val="24"/>
          <w:u w:val="single"/>
        </w:rPr>
        <w:t>Mn</w:t>
      </w:r>
      <w:r>
        <w:rPr>
          <w:rFonts w:ascii="Times New Roman" w:hAnsi="Times New Roman" w:cs="Times New Roman"/>
          <w:szCs w:val="24"/>
          <w:u w:val="single"/>
          <w:vertAlign w:val="subscript"/>
        </w:rPr>
        <w:t>0.3</w:t>
      </w:r>
      <w:r>
        <w:rPr>
          <w:rFonts w:ascii="Times New Roman" w:hAnsi="Times New Roman" w:cs="Times New Roman"/>
          <w:szCs w:val="24"/>
          <w:u w:val="single"/>
        </w:rPr>
        <w:t>Co</w:t>
      </w:r>
      <w:r>
        <w:rPr>
          <w:rFonts w:ascii="Times New Roman" w:hAnsi="Times New Roman" w:cs="Times New Roman"/>
          <w:szCs w:val="24"/>
          <w:u w:val="single"/>
          <w:vertAlign w:val="subscript"/>
        </w:rPr>
        <w:t>0.2</w:t>
      </w:r>
      <w:r>
        <w:rPr>
          <w:rFonts w:ascii="Times New Roman" w:hAnsi="Times New Roman" w:cs="Times New Roman"/>
          <w:szCs w:val="24"/>
          <w:u w:val="single"/>
        </w:rPr>
        <w:t>O</w:t>
      </w:r>
      <w:r>
        <w:rPr>
          <w:rFonts w:ascii="Times New Roman" w:hAnsi="Times New Roman" w:cs="Times New Roman"/>
          <w:szCs w:val="24"/>
          <w:u w:val="single"/>
          <w:vertAlign w:val="subscript"/>
        </w:rPr>
        <w:t>2</w:t>
      </w:r>
      <w:r>
        <w:rPr>
          <w:rFonts w:ascii="Times New Roman" w:hAnsi="Times New Roman" w:cs="Times New Roman"/>
          <w:szCs w:val="24"/>
          <w:u w:val="single"/>
        </w:rPr>
        <w:t xml:space="preserve"> +15H</w:t>
      </w:r>
      <w:r>
        <w:rPr>
          <w:rFonts w:ascii="Times New Roman" w:hAnsi="Times New Roman" w:cs="Times New Roman"/>
          <w:szCs w:val="24"/>
          <w:u w:val="single"/>
          <w:vertAlign w:val="subscript"/>
        </w:rPr>
        <w:t>2</w:t>
      </w:r>
      <w:r>
        <w:rPr>
          <w:rFonts w:ascii="Times New Roman" w:hAnsi="Times New Roman" w:cs="Times New Roman"/>
          <w:szCs w:val="24"/>
          <w:u w:val="single"/>
        </w:rPr>
        <w:t>SO</w:t>
      </w:r>
      <w:r>
        <w:rPr>
          <w:rFonts w:ascii="Times New Roman" w:hAnsi="Times New Roman" w:cs="Times New Roman"/>
          <w:szCs w:val="24"/>
          <w:u w:val="single"/>
          <w:vertAlign w:val="subscript"/>
        </w:rPr>
        <w:t>4</w:t>
      </w:r>
      <w:r>
        <w:rPr>
          <w:rFonts w:ascii="Times New Roman" w:hAnsi="Times New Roman" w:cs="Times New Roman"/>
          <w:szCs w:val="24"/>
          <w:u w:val="single"/>
        </w:rPr>
        <w:t xml:space="preserve"> + 5H</w:t>
      </w:r>
      <w:r>
        <w:rPr>
          <w:rFonts w:ascii="Times New Roman" w:hAnsi="Times New Roman" w:cs="Times New Roman"/>
          <w:szCs w:val="24"/>
          <w:u w:val="single"/>
          <w:vertAlign w:val="subscript"/>
        </w:rPr>
        <w:t>2</w:t>
      </w:r>
      <w:r>
        <w:rPr>
          <w:rFonts w:ascii="Times New Roman" w:hAnsi="Times New Roman" w:cs="Times New Roman"/>
          <w:szCs w:val="24"/>
          <w:u w:val="single"/>
        </w:rPr>
        <w:t>O</w:t>
      </w:r>
      <w:r>
        <w:rPr>
          <w:rFonts w:ascii="Times New Roman" w:hAnsi="Times New Roman" w:cs="Times New Roman"/>
          <w:szCs w:val="24"/>
          <w:u w:val="single"/>
          <w:vertAlign w:val="subscript"/>
        </w:rPr>
        <w:t>2</w:t>
      </w:r>
      <w:r>
        <w:rPr>
          <w:rFonts w:ascii="Times New Roman" w:hAnsi="Times New Roman" w:cs="Times New Roman"/>
          <w:szCs w:val="24"/>
          <w:u w:val="single"/>
        </w:rPr>
        <w:t xml:space="preserve"> → 5NiSO</w:t>
      </w:r>
      <w:r>
        <w:rPr>
          <w:rFonts w:ascii="Times New Roman" w:hAnsi="Times New Roman" w:cs="Times New Roman"/>
          <w:szCs w:val="24"/>
          <w:u w:val="single"/>
          <w:vertAlign w:val="subscript"/>
        </w:rPr>
        <w:t>4</w:t>
      </w:r>
      <w:r>
        <w:rPr>
          <w:rFonts w:ascii="Times New Roman" w:hAnsi="Times New Roman" w:cs="Times New Roman"/>
          <w:szCs w:val="24"/>
          <w:u w:val="single"/>
        </w:rPr>
        <w:t>+3MnSO</w:t>
      </w:r>
      <w:r>
        <w:rPr>
          <w:rFonts w:ascii="Times New Roman" w:hAnsi="Times New Roman" w:cs="Times New Roman"/>
          <w:szCs w:val="24"/>
          <w:u w:val="single"/>
          <w:vertAlign w:val="subscript"/>
        </w:rPr>
        <w:t>4</w:t>
      </w:r>
      <w:r>
        <w:rPr>
          <w:rFonts w:ascii="Times New Roman" w:hAnsi="Times New Roman" w:cs="Times New Roman"/>
          <w:szCs w:val="24"/>
          <w:u w:val="single"/>
        </w:rPr>
        <w:t xml:space="preserve"> + 2CoSO</w:t>
      </w:r>
      <w:r>
        <w:rPr>
          <w:rFonts w:ascii="Times New Roman" w:hAnsi="Times New Roman" w:cs="Times New Roman"/>
          <w:szCs w:val="24"/>
          <w:u w:val="single"/>
          <w:vertAlign w:val="subscript"/>
        </w:rPr>
        <w:t>4</w:t>
      </w:r>
      <w:r>
        <w:rPr>
          <w:rFonts w:ascii="Times New Roman" w:hAnsi="Times New Roman" w:cs="Times New Roman"/>
          <w:szCs w:val="24"/>
          <w:u w:val="single"/>
        </w:rPr>
        <w:t xml:space="preserve"> + 5O</w:t>
      </w:r>
      <w:r>
        <w:rPr>
          <w:rFonts w:ascii="Times New Roman" w:hAnsi="Times New Roman" w:cs="Times New Roman"/>
          <w:szCs w:val="24"/>
          <w:u w:val="single"/>
          <w:vertAlign w:val="subscript"/>
        </w:rPr>
        <w:t>2</w:t>
      </w:r>
      <w:r>
        <w:rPr>
          <w:rFonts w:ascii="Times New Roman" w:hAnsi="Times New Roman" w:cs="Times New Roman"/>
          <w:szCs w:val="24"/>
          <w:u w:val="single"/>
        </w:rPr>
        <w:t>（g） +5Li</w:t>
      </w:r>
      <w:r>
        <w:rPr>
          <w:rFonts w:ascii="Times New Roman" w:hAnsi="Times New Roman" w:cs="Times New Roman"/>
          <w:szCs w:val="24"/>
          <w:u w:val="single"/>
          <w:vertAlign w:val="subscript"/>
        </w:rPr>
        <w:t>2</w:t>
      </w:r>
      <w:r>
        <w:rPr>
          <w:rFonts w:ascii="Times New Roman" w:hAnsi="Times New Roman" w:cs="Times New Roman"/>
          <w:szCs w:val="24"/>
          <w:u w:val="single"/>
        </w:rPr>
        <w:t>SO</w:t>
      </w:r>
      <w:r>
        <w:rPr>
          <w:rFonts w:ascii="Times New Roman" w:hAnsi="Times New Roman" w:cs="Times New Roman"/>
          <w:szCs w:val="24"/>
          <w:u w:val="single"/>
          <w:vertAlign w:val="subscript"/>
        </w:rPr>
        <w:t>4</w:t>
      </w:r>
      <w:r>
        <w:rPr>
          <w:rFonts w:ascii="Times New Roman" w:hAnsi="Times New Roman" w:cs="Times New Roman"/>
          <w:szCs w:val="24"/>
          <w:u w:val="single"/>
        </w:rPr>
        <w:t xml:space="preserve"> + 20H</w:t>
      </w:r>
      <w:r>
        <w:rPr>
          <w:rFonts w:ascii="Times New Roman" w:hAnsi="Times New Roman" w:cs="Times New Roman"/>
          <w:szCs w:val="24"/>
          <w:u w:val="single"/>
          <w:vertAlign w:val="subscript"/>
        </w:rPr>
        <w:t>2</w:t>
      </w:r>
      <w:r>
        <w:rPr>
          <w:rFonts w:ascii="Times New Roman" w:hAnsi="Times New Roman" w:cs="Times New Roman"/>
          <w:szCs w:val="24"/>
          <w:u w:val="single"/>
        </w:rPr>
        <w:t>O  （6）</w:t>
      </w:r>
    </w:p>
    <w:p>
      <w:pPr>
        <w:tabs>
          <w:tab w:val="right" w:leader="middleDot" w:pos="9062"/>
        </w:tabs>
        <w:spacing w:line="360" w:lineRule="auto"/>
        <w:ind w:left="480" w:leftChars="200"/>
        <w:rPr>
          <w:rFonts w:ascii="Times New Roman" w:hAnsi="Times New Roman" w:cs="Times New Roman"/>
          <w:szCs w:val="24"/>
          <w:u w:val="single"/>
        </w:rPr>
      </w:pPr>
      <w:r>
        <w:rPr>
          <w:rFonts w:ascii="Times New Roman" w:hAnsi="Times New Roman" w:cs="Times New Roman"/>
          <w:szCs w:val="24"/>
          <w:u w:val="single"/>
        </w:rPr>
        <w:t>Ca</w:t>
      </w:r>
      <w:r>
        <w:rPr>
          <w:rFonts w:ascii="Times New Roman" w:hAnsi="Times New Roman" w:cs="Times New Roman"/>
          <w:szCs w:val="24"/>
          <w:u w:val="single"/>
          <w:vertAlign w:val="superscript"/>
        </w:rPr>
        <w:t>2+</w:t>
      </w:r>
      <w:r>
        <w:rPr>
          <w:rFonts w:ascii="Times New Roman" w:hAnsi="Times New Roman" w:cs="Times New Roman"/>
          <w:szCs w:val="24"/>
          <w:u w:val="single"/>
        </w:rPr>
        <w:t>+ H</w:t>
      </w:r>
      <w:r>
        <w:rPr>
          <w:rFonts w:ascii="Times New Roman" w:hAnsi="Times New Roman" w:cs="Times New Roman"/>
          <w:szCs w:val="24"/>
          <w:u w:val="single"/>
          <w:vertAlign w:val="subscript"/>
        </w:rPr>
        <w:t>2</w:t>
      </w:r>
      <w:r>
        <w:rPr>
          <w:rFonts w:ascii="Times New Roman" w:hAnsi="Times New Roman" w:cs="Times New Roman"/>
          <w:szCs w:val="24"/>
          <w:u w:val="single"/>
        </w:rPr>
        <w:t>SO</w:t>
      </w:r>
      <w:r>
        <w:rPr>
          <w:rFonts w:ascii="Times New Roman" w:hAnsi="Times New Roman" w:cs="Times New Roman"/>
          <w:szCs w:val="24"/>
          <w:u w:val="single"/>
          <w:vertAlign w:val="subscript"/>
        </w:rPr>
        <w:t>4</w:t>
      </w:r>
      <w:r>
        <w:rPr>
          <w:rFonts w:ascii="Times New Roman" w:hAnsi="Times New Roman" w:cs="Times New Roman"/>
          <w:szCs w:val="24"/>
          <w:u w:val="single"/>
        </w:rPr>
        <w:t>→CaSO</w:t>
      </w:r>
      <w:r>
        <w:rPr>
          <w:rFonts w:ascii="Times New Roman" w:hAnsi="Times New Roman" w:cs="Times New Roman"/>
          <w:szCs w:val="24"/>
          <w:u w:val="single"/>
          <w:vertAlign w:val="subscript"/>
        </w:rPr>
        <w:t>4</w:t>
      </w:r>
      <w:r>
        <w:rPr>
          <w:rFonts w:ascii="Times New Roman" w:hAnsi="Times New Roman" w:cs="Times New Roman"/>
          <w:szCs w:val="24"/>
          <w:u w:val="single"/>
        </w:rPr>
        <w:t>+2H</w:t>
      </w:r>
      <w:r>
        <w:rPr>
          <w:rFonts w:ascii="Times New Roman" w:hAnsi="Times New Roman" w:cs="Times New Roman"/>
          <w:szCs w:val="24"/>
          <w:u w:val="single"/>
          <w:vertAlign w:val="superscript"/>
        </w:rPr>
        <w:t>+</w:t>
      </w:r>
    </w:p>
    <w:p>
      <w:pPr>
        <w:autoSpaceDE w:val="0"/>
        <w:autoSpaceDN w:val="0"/>
        <w:spacing w:line="360" w:lineRule="auto"/>
        <w:ind w:firstLine="480" w:firstLineChars="200"/>
        <w:jc w:val="left"/>
        <w:rPr>
          <w:rFonts w:ascii="Times New Roman" w:hAnsi="Times New Roman" w:cs="Times New Roman"/>
          <w:szCs w:val="24"/>
          <w:u w:val="single"/>
        </w:rPr>
      </w:pPr>
      <w:r>
        <w:rPr>
          <w:rFonts w:ascii="Times New Roman" w:hAnsi="Times New Roman" w:cs="Times New Roman"/>
          <w:szCs w:val="24"/>
          <w:u w:val="single"/>
        </w:rPr>
        <w:t>本项目三元锂电池黑粉硫酸浸出条件为：硫酸浓度为2mol/L，矿浆浓度为100gL--1，双氧水浓度为2--5%，温度为80</w:t>
      </w:r>
      <w:r>
        <w:rPr>
          <w:rFonts w:hint="eastAsia" w:ascii="宋体" w:hAnsi="宋体" w:eastAsia="宋体" w:cs="宋体"/>
          <w:szCs w:val="24"/>
          <w:u w:val="single"/>
        </w:rPr>
        <w:t>℃</w:t>
      </w:r>
      <w:r>
        <w:rPr>
          <w:rFonts w:ascii="Times New Roman" w:hAnsi="Times New Roman" w:cs="Times New Roman"/>
          <w:szCs w:val="24"/>
          <w:u w:val="single"/>
        </w:rPr>
        <w:t>，反应时间为30min--2 小时。</w:t>
      </w:r>
    </w:p>
    <w:p>
      <w:pPr>
        <w:autoSpaceDE w:val="0"/>
        <w:autoSpaceDN w:val="0"/>
        <w:spacing w:line="360" w:lineRule="auto"/>
        <w:ind w:firstLine="480" w:firstLineChars="200"/>
        <w:jc w:val="left"/>
        <w:rPr>
          <w:rFonts w:ascii="Times New Roman" w:hAnsi="Times New Roman" w:cs="Times New Roman"/>
          <w:szCs w:val="24"/>
          <w:u w:val="single"/>
        </w:rPr>
      </w:pPr>
      <w:r>
        <w:rPr>
          <w:rFonts w:ascii="Times New Roman" w:hAnsi="Times New Roman" w:cs="Times New Roman"/>
          <w:szCs w:val="24"/>
          <w:u w:val="single"/>
        </w:rPr>
        <w:t>浸出后的物质经过滤后得到的浸出液和湿渣，浸出液进行后面的精制；湿渣经纯水洗涤、过滤后得到石墨（含少量硫酸钙），洗涤废水和过滤滤液返回浸出槽浸出。</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3）滤液除杂净化</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浸出获得的溶液常含有Cu</w:t>
      </w:r>
      <w:r>
        <w:rPr>
          <w:rFonts w:ascii="Times New Roman" w:hAnsi="Times New Roman" w:cs="Times New Roman"/>
          <w:u w:val="single"/>
          <w:vertAlign w:val="superscript"/>
        </w:rPr>
        <w:t>2+</w:t>
      </w:r>
      <w:r>
        <w:rPr>
          <w:rFonts w:ascii="Times New Roman" w:hAnsi="Times New Roman" w:cs="Times New Roman"/>
          <w:u w:val="single"/>
        </w:rPr>
        <w:t>、Ca</w:t>
      </w:r>
      <w:r>
        <w:rPr>
          <w:rFonts w:ascii="Times New Roman" w:hAnsi="Times New Roman" w:cs="Times New Roman"/>
          <w:u w:val="single"/>
          <w:vertAlign w:val="superscript"/>
        </w:rPr>
        <w:t>2+</w:t>
      </w:r>
      <w:r>
        <w:rPr>
          <w:rFonts w:ascii="Times New Roman" w:hAnsi="Times New Roman" w:cs="Times New Roman"/>
          <w:u w:val="single"/>
        </w:rPr>
        <w:t>、Mg</w:t>
      </w:r>
      <w:r>
        <w:rPr>
          <w:rFonts w:ascii="Times New Roman" w:hAnsi="Times New Roman" w:cs="Times New Roman"/>
          <w:u w:val="single"/>
          <w:vertAlign w:val="superscript"/>
        </w:rPr>
        <w:t>2+</w:t>
      </w:r>
      <w:r>
        <w:rPr>
          <w:rFonts w:ascii="Times New Roman" w:hAnsi="Times New Roman" w:cs="Times New Roman"/>
          <w:u w:val="single"/>
        </w:rPr>
        <w:t>、Fe</w:t>
      </w:r>
      <w:r>
        <w:rPr>
          <w:rFonts w:ascii="Times New Roman" w:hAnsi="Times New Roman" w:cs="Times New Roman"/>
          <w:u w:val="single"/>
          <w:vertAlign w:val="superscript"/>
        </w:rPr>
        <w:t>2+</w:t>
      </w:r>
      <w:r>
        <w:rPr>
          <w:rFonts w:ascii="Times New Roman" w:hAnsi="Times New Roman" w:cs="Times New Roman"/>
          <w:u w:val="single"/>
        </w:rPr>
        <w:t>、Fe</w:t>
      </w:r>
      <w:r>
        <w:rPr>
          <w:rFonts w:ascii="Times New Roman" w:hAnsi="Times New Roman" w:cs="Times New Roman"/>
          <w:u w:val="single"/>
          <w:vertAlign w:val="superscript"/>
        </w:rPr>
        <w:t>3+</w:t>
      </w:r>
      <w:r>
        <w:rPr>
          <w:rFonts w:ascii="Times New Roman" w:hAnsi="Times New Roman" w:cs="Times New Roman"/>
          <w:u w:val="single"/>
        </w:rPr>
        <w:t>、Al</w:t>
      </w:r>
      <w:r>
        <w:rPr>
          <w:rFonts w:ascii="Times New Roman" w:hAnsi="Times New Roman" w:cs="Times New Roman"/>
          <w:u w:val="single"/>
          <w:vertAlign w:val="superscript"/>
        </w:rPr>
        <w:t>3+</w:t>
      </w:r>
      <w:r>
        <w:rPr>
          <w:rFonts w:ascii="Times New Roman" w:hAnsi="Times New Roman" w:cs="Times New Roman"/>
          <w:u w:val="single"/>
        </w:rPr>
        <w:t>、Mn</w:t>
      </w:r>
      <w:r>
        <w:rPr>
          <w:rFonts w:ascii="Times New Roman" w:hAnsi="Times New Roman" w:cs="Times New Roman"/>
          <w:u w:val="single"/>
          <w:vertAlign w:val="superscript"/>
        </w:rPr>
        <w:t>2+</w:t>
      </w:r>
      <w:r>
        <w:rPr>
          <w:rFonts w:ascii="Times New Roman" w:hAnsi="Times New Roman" w:cs="Times New Roman"/>
          <w:u w:val="single"/>
        </w:rPr>
        <w:t>、PO</w:t>
      </w:r>
      <w:r>
        <w:rPr>
          <w:rFonts w:ascii="Times New Roman" w:hAnsi="Times New Roman" w:cs="Times New Roman"/>
          <w:u w:val="single"/>
          <w:vertAlign w:val="subscript"/>
        </w:rPr>
        <w:t>4</w:t>
      </w:r>
      <w:r>
        <w:rPr>
          <w:rFonts w:ascii="Times New Roman" w:hAnsi="Times New Roman" w:cs="Times New Roman"/>
          <w:u w:val="single"/>
          <w:vertAlign w:val="superscript"/>
        </w:rPr>
        <w:t>3-</w:t>
      </w:r>
      <w:r>
        <w:rPr>
          <w:rFonts w:ascii="Times New Roman" w:hAnsi="Times New Roman" w:cs="Times New Roman"/>
          <w:u w:val="single"/>
        </w:rPr>
        <w:t>等杂质，因此需要净化去除各种杂质，除杂的顺序为先除铜→除铁铝→深度除杂，此部分除杂净化与磷酸铁锂线相同。滤渣为铜渣和铁铝渣，经洗涤后作为废品外售，洗涤废水返回浸出槽；滤液进入萃取车间进行萃取。</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a.滤液先加铁粉除铜，经压滤进行固液分离，得到海绵铜和除铜后液；</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b.除铜后液中加氢氧化钠溶液，经压滤进行固液分离，得到铁铝渣和除铁铝后液；</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c.除铁铝后液加氢氧化钠溶液进行深度除杂，经压滤进行固液分离，得到沉锂前液和深度除杂渣。</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发生主要化学反应如下：</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Cu</w:t>
      </w:r>
      <w:r>
        <w:rPr>
          <w:rFonts w:ascii="Times New Roman" w:hAnsi="Times New Roman" w:cs="Times New Roman"/>
          <w:u w:val="single"/>
          <w:vertAlign w:val="superscript"/>
        </w:rPr>
        <w:t>2+</w:t>
      </w:r>
      <w:r>
        <w:rPr>
          <w:rFonts w:ascii="Times New Roman" w:hAnsi="Times New Roman" w:cs="Times New Roman"/>
          <w:u w:val="single"/>
        </w:rPr>
        <w:t xml:space="preserve"> + Fe→Cu↓+ Fe</w:t>
      </w:r>
      <w:r>
        <w:rPr>
          <w:rFonts w:ascii="Times New Roman" w:hAnsi="Times New Roman" w:cs="Times New Roman"/>
          <w:u w:val="single"/>
          <w:vertAlign w:val="superscript"/>
        </w:rPr>
        <w:t>2+</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除铁铝、净化除杂过程发生的主要反应如下：</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2Fe</w:t>
      </w:r>
      <w:r>
        <w:rPr>
          <w:rFonts w:ascii="Times New Roman" w:hAnsi="Times New Roman" w:cs="Times New Roman"/>
          <w:u w:val="single"/>
          <w:vertAlign w:val="superscript"/>
        </w:rPr>
        <w:t>2+</w:t>
      </w:r>
      <w:r>
        <w:rPr>
          <w:rFonts w:ascii="Times New Roman" w:hAnsi="Times New Roman" w:cs="Times New Roman"/>
          <w:u w:val="single"/>
        </w:rPr>
        <w:t xml:space="preserve"> +H</w:t>
      </w:r>
      <w:r>
        <w:rPr>
          <w:rFonts w:ascii="Times New Roman" w:hAnsi="Times New Roman" w:cs="Times New Roman"/>
          <w:u w:val="single"/>
          <w:vertAlign w:val="subscript"/>
        </w:rPr>
        <w:t>2</w:t>
      </w:r>
      <w:r>
        <w:rPr>
          <w:rFonts w:ascii="Times New Roman" w:hAnsi="Times New Roman" w:cs="Times New Roman"/>
          <w:u w:val="single"/>
        </w:rPr>
        <w:t>O</w:t>
      </w:r>
      <w:r>
        <w:rPr>
          <w:rFonts w:ascii="Times New Roman" w:hAnsi="Times New Roman" w:cs="Times New Roman"/>
          <w:u w:val="single"/>
          <w:vertAlign w:val="subscript"/>
        </w:rPr>
        <w:t>2</w:t>
      </w:r>
      <w:r>
        <w:rPr>
          <w:rFonts w:ascii="Times New Roman" w:hAnsi="Times New Roman" w:cs="Times New Roman"/>
          <w:u w:val="single"/>
        </w:rPr>
        <w:t>+2CO</w:t>
      </w:r>
      <w:r>
        <w:rPr>
          <w:rFonts w:ascii="Times New Roman" w:hAnsi="Times New Roman" w:cs="Times New Roman"/>
          <w:u w:val="single"/>
          <w:vertAlign w:val="subscript"/>
        </w:rPr>
        <w:t>3</w:t>
      </w:r>
      <w:r>
        <w:rPr>
          <w:rFonts w:ascii="Times New Roman" w:hAnsi="Times New Roman" w:cs="Times New Roman"/>
          <w:u w:val="single"/>
          <w:vertAlign w:val="superscript"/>
        </w:rPr>
        <w:t>2-</w:t>
      </w:r>
      <w:r>
        <w:rPr>
          <w:rFonts w:ascii="Times New Roman" w:hAnsi="Times New Roman" w:cs="Times New Roman"/>
          <w:u w:val="single"/>
        </w:rPr>
        <w:t>→2FeOOH↓+2CO</w:t>
      </w:r>
      <w:r>
        <w:rPr>
          <w:rFonts w:ascii="Times New Roman" w:hAnsi="Times New Roman" w:cs="Times New Roman"/>
          <w:u w:val="single"/>
          <w:vertAlign w:val="subscript"/>
        </w:rPr>
        <w:t>2</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4Fe</w:t>
      </w:r>
      <w:r>
        <w:rPr>
          <w:rFonts w:ascii="Times New Roman" w:hAnsi="Times New Roman" w:cs="Times New Roman"/>
          <w:u w:val="single"/>
          <w:vertAlign w:val="superscript"/>
        </w:rPr>
        <w:t>2+</w:t>
      </w:r>
      <w:r>
        <w:rPr>
          <w:rFonts w:ascii="Times New Roman" w:hAnsi="Times New Roman" w:cs="Times New Roman"/>
          <w:u w:val="single"/>
        </w:rPr>
        <w:t xml:space="preserve"> +O</w:t>
      </w:r>
      <w:r>
        <w:rPr>
          <w:rFonts w:ascii="Times New Roman" w:hAnsi="Times New Roman" w:cs="Times New Roman"/>
          <w:u w:val="single"/>
          <w:vertAlign w:val="subscript"/>
        </w:rPr>
        <w:t>2</w:t>
      </w:r>
      <w:r>
        <w:rPr>
          <w:rFonts w:ascii="Times New Roman" w:hAnsi="Times New Roman" w:cs="Times New Roman"/>
          <w:u w:val="single"/>
        </w:rPr>
        <w:t>+2H</w:t>
      </w:r>
      <w:r>
        <w:rPr>
          <w:rFonts w:ascii="Times New Roman" w:hAnsi="Times New Roman" w:cs="Times New Roman"/>
          <w:u w:val="single"/>
          <w:vertAlign w:val="subscript"/>
        </w:rPr>
        <w:t>2</w:t>
      </w:r>
      <w:r>
        <w:rPr>
          <w:rFonts w:ascii="Times New Roman" w:hAnsi="Times New Roman" w:cs="Times New Roman"/>
          <w:u w:val="single"/>
        </w:rPr>
        <w:t>O+4CO</w:t>
      </w:r>
      <w:r>
        <w:rPr>
          <w:rFonts w:ascii="Times New Roman" w:hAnsi="Times New Roman" w:cs="Times New Roman"/>
          <w:u w:val="single"/>
          <w:vertAlign w:val="subscript"/>
        </w:rPr>
        <w:t>3</w:t>
      </w:r>
      <w:r>
        <w:rPr>
          <w:rFonts w:ascii="Times New Roman" w:hAnsi="Times New Roman" w:cs="Times New Roman"/>
          <w:u w:val="single"/>
          <w:vertAlign w:val="superscript"/>
        </w:rPr>
        <w:t>2-</w:t>
      </w:r>
      <w:r>
        <w:rPr>
          <w:rFonts w:ascii="Times New Roman" w:hAnsi="Times New Roman" w:cs="Times New Roman"/>
          <w:u w:val="single"/>
        </w:rPr>
        <w:t>→4FeOOH↓+4CO</w:t>
      </w:r>
      <w:r>
        <w:rPr>
          <w:rFonts w:ascii="Times New Roman" w:hAnsi="Times New Roman" w:cs="Times New Roman"/>
          <w:u w:val="single"/>
          <w:vertAlign w:val="subscript"/>
        </w:rPr>
        <w:t>2</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Mn</w:t>
      </w:r>
      <w:r>
        <w:rPr>
          <w:rFonts w:ascii="Times New Roman" w:hAnsi="Times New Roman" w:cs="Times New Roman"/>
          <w:u w:val="single"/>
          <w:vertAlign w:val="superscript"/>
        </w:rPr>
        <w:t>2+</w:t>
      </w:r>
      <w:r>
        <w:rPr>
          <w:rFonts w:ascii="Times New Roman" w:hAnsi="Times New Roman" w:cs="Times New Roman"/>
          <w:u w:val="single"/>
        </w:rPr>
        <w:t>+ CO</w:t>
      </w:r>
      <w:r>
        <w:rPr>
          <w:rFonts w:ascii="Times New Roman" w:hAnsi="Times New Roman" w:cs="Times New Roman"/>
          <w:u w:val="single"/>
          <w:vertAlign w:val="subscript"/>
        </w:rPr>
        <w:t>3</w:t>
      </w:r>
      <w:r>
        <w:rPr>
          <w:rFonts w:ascii="Times New Roman" w:hAnsi="Times New Roman" w:cs="Times New Roman"/>
          <w:u w:val="single"/>
          <w:vertAlign w:val="superscript"/>
        </w:rPr>
        <w:t>2-</w:t>
      </w:r>
      <w:r>
        <w:rPr>
          <w:rFonts w:ascii="Times New Roman" w:hAnsi="Times New Roman" w:cs="Times New Roman"/>
          <w:u w:val="single"/>
        </w:rPr>
        <w:t>→MnCO</w:t>
      </w:r>
      <w:r>
        <w:rPr>
          <w:rFonts w:ascii="Times New Roman" w:hAnsi="Times New Roman" w:cs="Times New Roman"/>
          <w:u w:val="single"/>
          <w:vertAlign w:val="subscript"/>
        </w:rPr>
        <w:t>3</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Mn</w:t>
      </w:r>
      <w:r>
        <w:rPr>
          <w:rFonts w:ascii="Times New Roman" w:hAnsi="Times New Roman" w:cs="Times New Roman"/>
          <w:u w:val="single"/>
          <w:vertAlign w:val="superscript"/>
        </w:rPr>
        <w:t>2+</w:t>
      </w:r>
      <w:r>
        <w:rPr>
          <w:rFonts w:ascii="Times New Roman" w:hAnsi="Times New Roman" w:cs="Times New Roman"/>
          <w:u w:val="single"/>
        </w:rPr>
        <w:t>+ 2OH</w:t>
      </w:r>
      <w:r>
        <w:rPr>
          <w:rFonts w:ascii="Times New Roman" w:hAnsi="Times New Roman" w:cs="Times New Roman"/>
          <w:u w:val="single"/>
          <w:vertAlign w:val="superscript"/>
        </w:rPr>
        <w:t>-</w:t>
      </w:r>
      <w:r>
        <w:rPr>
          <w:rFonts w:ascii="Times New Roman" w:hAnsi="Times New Roman" w:cs="Times New Roman"/>
          <w:u w:val="single"/>
        </w:rPr>
        <w:t>→Mn（OH）</w:t>
      </w:r>
      <w:r>
        <w:rPr>
          <w:rFonts w:ascii="Times New Roman" w:hAnsi="Times New Roman" w:cs="Times New Roman"/>
          <w:u w:val="single"/>
          <w:vertAlign w:val="subscript"/>
        </w:rPr>
        <w:t>2</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Fe</w:t>
      </w:r>
      <w:r>
        <w:rPr>
          <w:rFonts w:ascii="Times New Roman" w:hAnsi="Times New Roman" w:cs="Times New Roman"/>
          <w:u w:val="single"/>
          <w:vertAlign w:val="superscript"/>
        </w:rPr>
        <w:t>3+</w:t>
      </w:r>
      <w:r>
        <w:rPr>
          <w:rFonts w:ascii="Times New Roman" w:hAnsi="Times New Roman" w:cs="Times New Roman"/>
          <w:u w:val="single"/>
        </w:rPr>
        <w:t xml:space="preserve"> + 3OH</w:t>
      </w:r>
      <w:r>
        <w:rPr>
          <w:rFonts w:ascii="Times New Roman" w:hAnsi="Times New Roman" w:cs="Times New Roman"/>
          <w:u w:val="single"/>
          <w:vertAlign w:val="superscript"/>
        </w:rPr>
        <w:t>-</w:t>
      </w:r>
      <w:r>
        <w:rPr>
          <w:rFonts w:ascii="Times New Roman" w:hAnsi="Times New Roman" w:cs="Times New Roman"/>
          <w:u w:val="single"/>
        </w:rPr>
        <w:t>→Fe（OH）</w:t>
      </w:r>
      <w:r>
        <w:rPr>
          <w:rFonts w:ascii="Times New Roman" w:hAnsi="Times New Roman" w:cs="Times New Roman"/>
          <w:u w:val="single"/>
          <w:vertAlign w:val="subscript"/>
        </w:rPr>
        <w:t>3</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Al</w:t>
      </w:r>
      <w:r>
        <w:rPr>
          <w:rFonts w:ascii="Times New Roman" w:hAnsi="Times New Roman" w:cs="Times New Roman"/>
          <w:u w:val="single"/>
          <w:vertAlign w:val="superscript"/>
        </w:rPr>
        <w:t>3+</w:t>
      </w:r>
      <w:r>
        <w:rPr>
          <w:rFonts w:ascii="Times New Roman" w:hAnsi="Times New Roman" w:cs="Times New Roman"/>
          <w:u w:val="single"/>
        </w:rPr>
        <w:t xml:space="preserve"> + 3OH</w:t>
      </w:r>
      <w:r>
        <w:rPr>
          <w:rFonts w:ascii="Times New Roman" w:hAnsi="Times New Roman" w:cs="Times New Roman"/>
          <w:u w:val="single"/>
          <w:vertAlign w:val="superscript"/>
        </w:rPr>
        <w:t>-</w:t>
      </w:r>
      <w:r>
        <w:rPr>
          <w:rFonts w:ascii="Times New Roman" w:hAnsi="Times New Roman" w:cs="Times New Roman"/>
          <w:u w:val="single"/>
        </w:rPr>
        <w:t>→Al（OH）</w:t>
      </w:r>
      <w:r>
        <w:rPr>
          <w:rFonts w:ascii="Times New Roman" w:hAnsi="Times New Roman" w:cs="Times New Roman"/>
          <w:u w:val="single"/>
          <w:vertAlign w:val="subscript"/>
        </w:rPr>
        <w:t>3</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Mg</w:t>
      </w:r>
      <w:r>
        <w:rPr>
          <w:rFonts w:ascii="Times New Roman" w:hAnsi="Times New Roman" w:cs="Times New Roman"/>
          <w:u w:val="single"/>
          <w:vertAlign w:val="superscript"/>
        </w:rPr>
        <w:t>2+</w:t>
      </w:r>
      <w:r>
        <w:rPr>
          <w:rFonts w:ascii="Times New Roman" w:hAnsi="Times New Roman" w:cs="Times New Roman"/>
          <w:u w:val="single"/>
        </w:rPr>
        <w:t xml:space="preserve"> + 2OH</w:t>
      </w:r>
      <w:r>
        <w:rPr>
          <w:rFonts w:ascii="Times New Roman" w:hAnsi="Times New Roman" w:cs="Times New Roman"/>
          <w:u w:val="single"/>
          <w:vertAlign w:val="superscript"/>
        </w:rPr>
        <w:t>-</w:t>
      </w:r>
      <w:r>
        <w:rPr>
          <w:rFonts w:ascii="Times New Roman" w:hAnsi="Times New Roman" w:cs="Times New Roman"/>
          <w:u w:val="single"/>
        </w:rPr>
        <w:t>→Mg（OH）</w:t>
      </w:r>
      <w:r>
        <w:rPr>
          <w:rFonts w:ascii="Times New Roman" w:hAnsi="Times New Roman" w:cs="Times New Roman"/>
          <w:u w:val="single"/>
          <w:vertAlign w:val="subscript"/>
        </w:rPr>
        <w:t>2</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Mg</w:t>
      </w:r>
      <w:r>
        <w:rPr>
          <w:rFonts w:ascii="Times New Roman" w:hAnsi="Times New Roman" w:cs="Times New Roman"/>
          <w:u w:val="single"/>
          <w:vertAlign w:val="superscript"/>
        </w:rPr>
        <w:t>2+</w:t>
      </w:r>
      <w:r>
        <w:rPr>
          <w:rFonts w:ascii="Times New Roman" w:hAnsi="Times New Roman" w:cs="Times New Roman"/>
          <w:u w:val="single"/>
        </w:rPr>
        <w:t>+ CO</w:t>
      </w:r>
      <w:r>
        <w:rPr>
          <w:rFonts w:ascii="Times New Roman" w:hAnsi="Times New Roman" w:cs="Times New Roman"/>
          <w:u w:val="single"/>
          <w:vertAlign w:val="subscript"/>
        </w:rPr>
        <w:t>3</w:t>
      </w:r>
      <w:r>
        <w:rPr>
          <w:rFonts w:ascii="Times New Roman" w:hAnsi="Times New Roman" w:cs="Times New Roman"/>
          <w:u w:val="single"/>
          <w:vertAlign w:val="superscript"/>
        </w:rPr>
        <w:t>2-</w:t>
      </w:r>
      <w:r>
        <w:rPr>
          <w:rFonts w:ascii="Times New Roman" w:hAnsi="Times New Roman" w:cs="Times New Roman"/>
          <w:u w:val="single"/>
        </w:rPr>
        <w:t>→MgCO</w:t>
      </w:r>
      <w:r>
        <w:rPr>
          <w:rFonts w:ascii="Times New Roman" w:hAnsi="Times New Roman" w:cs="Times New Roman"/>
          <w:u w:val="single"/>
          <w:vertAlign w:val="subscript"/>
        </w:rPr>
        <w:t>3</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Ca</w:t>
      </w:r>
      <w:r>
        <w:rPr>
          <w:rFonts w:ascii="Times New Roman" w:hAnsi="Times New Roman" w:cs="Times New Roman"/>
          <w:u w:val="single"/>
          <w:vertAlign w:val="superscript"/>
        </w:rPr>
        <w:t>2+</w:t>
      </w:r>
      <w:r>
        <w:rPr>
          <w:rFonts w:ascii="Times New Roman" w:hAnsi="Times New Roman" w:cs="Times New Roman"/>
          <w:u w:val="single"/>
        </w:rPr>
        <w:t>+ CO</w:t>
      </w:r>
      <w:r>
        <w:rPr>
          <w:rFonts w:ascii="Times New Roman" w:hAnsi="Times New Roman" w:cs="Times New Roman"/>
          <w:u w:val="single"/>
          <w:vertAlign w:val="subscript"/>
        </w:rPr>
        <w:t>3</w:t>
      </w:r>
      <w:r>
        <w:rPr>
          <w:rFonts w:ascii="Times New Roman" w:hAnsi="Times New Roman" w:cs="Times New Roman"/>
          <w:u w:val="single"/>
          <w:vertAlign w:val="superscript"/>
        </w:rPr>
        <w:t>2-</w:t>
      </w:r>
      <w:r>
        <w:rPr>
          <w:rFonts w:ascii="Times New Roman" w:hAnsi="Times New Roman" w:cs="Times New Roman"/>
          <w:u w:val="single"/>
        </w:rPr>
        <w:t>→CaCO</w:t>
      </w:r>
      <w:r>
        <w:rPr>
          <w:rFonts w:ascii="Times New Roman" w:hAnsi="Times New Roman" w:cs="Times New Roman"/>
          <w:u w:val="single"/>
          <w:vertAlign w:val="subscript"/>
        </w:rPr>
        <w:t>3</w:t>
      </w:r>
      <w:r>
        <w:rPr>
          <w:rFonts w:ascii="Times New Roman" w:hAnsi="Times New Roman" w:cs="Times New Roman"/>
          <w:u w:val="single"/>
        </w:rPr>
        <w:t>↓</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4）萃取</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萃取工艺主要为P204萃取生产硫酸锰、P507萃取生产硫酸钴、P507萃取生产硫酸镍（含C272萃取工艺进行萃镁除杂工艺）三部分组成，各部分萃取生产线是由6个单元组成，分别是：皂化，萃取，洗涤，反萃，澄清等工序。</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皂化：首先萃取剂与稀释剂溶剂油按照体积比1：3配成萃取剂，加入计算量的液碱将萃取剂进行皂化，皂化的作用是将液碱中的Na离子置换P507（HA）上的氢离子，使其由氢型置换成钠型，一般情况下皂化率为65%，其pH约为7～8。</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萃取：将稀释后的待萃取酸浸液和皂化后的有机萃取剂按照计算的流量比进行多级逆流萃取，使得水相中的镍钴锰等金属离子负载到有机相上，而硅、氟、Na、SO</w:t>
      </w:r>
      <w:r>
        <w:rPr>
          <w:rFonts w:ascii="Times New Roman" w:hAnsi="Times New Roman" w:cs="Times New Roman"/>
          <w:u w:val="single"/>
          <w:vertAlign w:val="subscript"/>
        </w:rPr>
        <w:t>4</w:t>
      </w:r>
      <w:r>
        <w:rPr>
          <w:rFonts w:ascii="Times New Roman" w:hAnsi="Times New Roman" w:cs="Times New Roman"/>
          <w:u w:val="single"/>
          <w:vertAlign w:val="superscript"/>
        </w:rPr>
        <w:t>2-</w:t>
      </w:r>
      <w:r>
        <w:rPr>
          <w:rFonts w:ascii="Times New Roman" w:hAnsi="Times New Roman" w:cs="Times New Roman"/>
          <w:u w:val="single"/>
        </w:rPr>
        <w:t>等杂质离子在水相中，萃余液进入</w:t>
      </w:r>
      <w:r>
        <w:rPr>
          <w:rFonts w:hint="eastAsia" w:ascii="Times New Roman" w:hAnsi="Times New Roman" w:cs="Times New Roman"/>
          <w:u w:val="single"/>
        </w:rPr>
        <w:t>MVR系统，回收碳酸锂、元明粉产品。</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洗涤：洗涤主要是将负载有金属离子的有机物中的附液洗掉，洗涤的目的主要是控制反萃液中的阴离子。</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反萃：取负载镍钴锰的有机相，用4N的硫酸将有机相中的镍钴锰通过多级反萃到水相中，出口水相的pH控制在4～4.5。</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萃取剂P204萃取金属次序为Fe</w:t>
      </w:r>
      <w:r>
        <w:rPr>
          <w:rFonts w:ascii="Times New Roman" w:hAnsi="Times New Roman" w:cs="Times New Roman"/>
          <w:u w:val="single"/>
          <w:vertAlign w:val="superscript"/>
        </w:rPr>
        <w:t>3+</w:t>
      </w:r>
      <w:r>
        <w:rPr>
          <w:rFonts w:ascii="Times New Roman" w:hAnsi="Times New Roman" w:cs="Times New Roman"/>
          <w:u w:val="single"/>
        </w:rPr>
        <w:t xml:space="preserve"> &gt; Zn</w:t>
      </w:r>
      <w:r>
        <w:rPr>
          <w:rFonts w:ascii="Times New Roman" w:hAnsi="Times New Roman" w:cs="Times New Roman"/>
          <w:u w:val="single"/>
          <w:vertAlign w:val="superscript"/>
        </w:rPr>
        <w:t>2+</w:t>
      </w:r>
      <w:r>
        <w:rPr>
          <w:rFonts w:ascii="Times New Roman" w:hAnsi="Times New Roman" w:cs="Times New Roman"/>
          <w:u w:val="single"/>
        </w:rPr>
        <w:t xml:space="preserve"> &gt; Ca</w:t>
      </w:r>
      <w:r>
        <w:rPr>
          <w:rFonts w:ascii="Times New Roman" w:hAnsi="Times New Roman" w:cs="Times New Roman"/>
          <w:u w:val="single"/>
          <w:vertAlign w:val="superscript"/>
        </w:rPr>
        <w:t>2+</w:t>
      </w:r>
      <w:r>
        <w:rPr>
          <w:rFonts w:ascii="Times New Roman" w:hAnsi="Times New Roman" w:cs="Times New Roman"/>
          <w:u w:val="single"/>
        </w:rPr>
        <w:t xml:space="preserve"> &gt; Fe</w:t>
      </w:r>
      <w:r>
        <w:rPr>
          <w:rFonts w:ascii="Times New Roman" w:hAnsi="Times New Roman" w:cs="Times New Roman"/>
          <w:u w:val="single"/>
          <w:vertAlign w:val="superscript"/>
        </w:rPr>
        <w:t>2+</w:t>
      </w:r>
      <w:r>
        <w:rPr>
          <w:rFonts w:ascii="Times New Roman" w:hAnsi="Times New Roman" w:cs="Times New Roman"/>
          <w:u w:val="single"/>
        </w:rPr>
        <w:t>&gt;Al</w:t>
      </w:r>
      <w:r>
        <w:rPr>
          <w:rFonts w:ascii="Times New Roman" w:hAnsi="Times New Roman" w:cs="Times New Roman"/>
          <w:u w:val="single"/>
          <w:vertAlign w:val="superscript"/>
        </w:rPr>
        <w:t>3+</w:t>
      </w:r>
      <w:r>
        <w:rPr>
          <w:rFonts w:ascii="Times New Roman" w:hAnsi="Times New Roman" w:cs="Times New Roman"/>
          <w:u w:val="single"/>
        </w:rPr>
        <w:t xml:space="preserve"> &gt; Cu</w:t>
      </w:r>
      <w:r>
        <w:rPr>
          <w:rFonts w:ascii="Times New Roman" w:hAnsi="Times New Roman" w:cs="Times New Roman"/>
          <w:u w:val="single"/>
          <w:vertAlign w:val="superscript"/>
        </w:rPr>
        <w:t>2+</w:t>
      </w:r>
      <w:r>
        <w:rPr>
          <w:rFonts w:ascii="Times New Roman" w:hAnsi="Times New Roman" w:cs="Times New Roman"/>
          <w:u w:val="single"/>
        </w:rPr>
        <w:t>≈Mn</w:t>
      </w:r>
      <w:r>
        <w:rPr>
          <w:rFonts w:ascii="Times New Roman" w:hAnsi="Times New Roman" w:cs="Times New Roman"/>
          <w:u w:val="single"/>
          <w:vertAlign w:val="superscript"/>
        </w:rPr>
        <w:t>2+</w:t>
      </w:r>
      <w:r>
        <w:rPr>
          <w:rFonts w:ascii="Times New Roman" w:hAnsi="Times New Roman" w:cs="Times New Roman"/>
          <w:u w:val="single"/>
        </w:rPr>
        <w:t xml:space="preserve"> &gt; Co</w:t>
      </w:r>
      <w:r>
        <w:rPr>
          <w:rFonts w:ascii="Times New Roman" w:hAnsi="Times New Roman" w:cs="Times New Roman"/>
          <w:u w:val="single"/>
          <w:vertAlign w:val="superscript"/>
        </w:rPr>
        <w:t>2+</w:t>
      </w:r>
      <w:r>
        <w:rPr>
          <w:rFonts w:ascii="Times New Roman" w:hAnsi="Times New Roman" w:cs="Times New Roman"/>
          <w:u w:val="single"/>
        </w:rPr>
        <w:t xml:space="preserve"> &gt; Mg</w:t>
      </w:r>
      <w:r>
        <w:rPr>
          <w:rFonts w:ascii="Times New Roman" w:hAnsi="Times New Roman" w:cs="Times New Roman"/>
          <w:u w:val="single"/>
          <w:vertAlign w:val="superscript"/>
        </w:rPr>
        <w:t xml:space="preserve">2+ </w:t>
      </w:r>
      <w:r>
        <w:rPr>
          <w:rFonts w:ascii="Times New Roman" w:hAnsi="Times New Roman" w:cs="Times New Roman"/>
          <w:u w:val="single"/>
        </w:rPr>
        <w:t>&gt; Ni</w:t>
      </w:r>
      <w:r>
        <w:rPr>
          <w:rFonts w:ascii="Times New Roman" w:hAnsi="Times New Roman" w:cs="Times New Roman"/>
          <w:u w:val="single"/>
          <w:vertAlign w:val="superscript"/>
        </w:rPr>
        <w:t>2+</w:t>
      </w:r>
      <w:r>
        <w:rPr>
          <w:rFonts w:ascii="Times New Roman" w:hAnsi="Times New Roman" w:cs="Times New Roman"/>
          <w:u w:val="single"/>
        </w:rPr>
        <w:t>；</w:t>
      </w:r>
    </w:p>
    <w:p>
      <w:pPr>
        <w:spacing w:line="360" w:lineRule="auto"/>
        <w:ind w:firstLine="464" w:firstLineChars="200"/>
        <w:rPr>
          <w:rFonts w:ascii="Times New Roman" w:hAnsi="Times New Roman" w:cs="Times New Roman"/>
          <w:spacing w:val="-4"/>
          <w:u w:val="single"/>
        </w:rPr>
      </w:pPr>
      <w:r>
        <w:rPr>
          <w:rFonts w:ascii="Times New Roman" w:hAnsi="Times New Roman" w:cs="Times New Roman"/>
          <w:spacing w:val="-4"/>
          <w:u w:val="single"/>
        </w:rPr>
        <w:t>萃取剂</w:t>
      </w:r>
      <w:r>
        <w:rPr>
          <w:rFonts w:ascii="Times New Roman" w:hAnsi="Times New Roman" w:cs="Times New Roman"/>
          <w:u w:val="single"/>
        </w:rPr>
        <w:t>P507</w:t>
      </w:r>
      <w:r>
        <w:rPr>
          <w:rFonts w:ascii="Times New Roman" w:hAnsi="Times New Roman" w:cs="Times New Roman"/>
          <w:spacing w:val="-4"/>
          <w:u w:val="single"/>
        </w:rPr>
        <w:t>萃取金属次序为Fe</w:t>
      </w:r>
      <w:r>
        <w:rPr>
          <w:rFonts w:ascii="Times New Roman" w:hAnsi="Times New Roman" w:cs="Times New Roman"/>
          <w:spacing w:val="-4"/>
          <w:u w:val="single"/>
          <w:vertAlign w:val="superscript"/>
        </w:rPr>
        <w:t>3+</w:t>
      </w:r>
      <w:r>
        <w:rPr>
          <w:rFonts w:ascii="Times New Roman" w:hAnsi="Times New Roman" w:cs="Times New Roman"/>
          <w:spacing w:val="-4"/>
          <w:u w:val="single"/>
        </w:rPr>
        <w:t>&gt;Zn</w:t>
      </w:r>
      <w:r>
        <w:rPr>
          <w:rFonts w:ascii="Times New Roman" w:hAnsi="Times New Roman" w:cs="Times New Roman"/>
          <w:spacing w:val="-4"/>
          <w:u w:val="single"/>
          <w:vertAlign w:val="superscript"/>
        </w:rPr>
        <w:t>2+</w:t>
      </w:r>
      <w:r>
        <w:rPr>
          <w:rFonts w:ascii="Times New Roman" w:hAnsi="Times New Roman" w:cs="Times New Roman"/>
          <w:spacing w:val="-4"/>
          <w:u w:val="single"/>
        </w:rPr>
        <w:t>&gt;Cu</w:t>
      </w:r>
      <w:r>
        <w:rPr>
          <w:rFonts w:ascii="Times New Roman" w:hAnsi="Times New Roman" w:cs="Times New Roman"/>
          <w:spacing w:val="-4"/>
          <w:u w:val="single"/>
          <w:vertAlign w:val="superscript"/>
        </w:rPr>
        <w:t>2+</w:t>
      </w:r>
      <w:r>
        <w:rPr>
          <w:rFonts w:ascii="Times New Roman" w:hAnsi="Times New Roman" w:cs="Times New Roman"/>
          <w:spacing w:val="-4"/>
          <w:u w:val="single"/>
        </w:rPr>
        <w:t>≈Ca</w:t>
      </w:r>
      <w:r>
        <w:rPr>
          <w:rFonts w:ascii="Times New Roman" w:hAnsi="Times New Roman" w:cs="Times New Roman"/>
          <w:spacing w:val="-4"/>
          <w:u w:val="single"/>
          <w:vertAlign w:val="superscript"/>
        </w:rPr>
        <w:t>2+</w:t>
      </w:r>
      <w:r>
        <w:rPr>
          <w:rFonts w:ascii="Times New Roman" w:hAnsi="Times New Roman" w:cs="Times New Roman"/>
          <w:spacing w:val="-4"/>
          <w:u w:val="single"/>
        </w:rPr>
        <w:t>≈Mn</w:t>
      </w:r>
      <w:r>
        <w:rPr>
          <w:rFonts w:ascii="Times New Roman" w:hAnsi="Times New Roman" w:cs="Times New Roman"/>
          <w:spacing w:val="-4"/>
          <w:u w:val="single"/>
          <w:vertAlign w:val="superscript"/>
        </w:rPr>
        <w:t>2+</w:t>
      </w:r>
      <w:r>
        <w:rPr>
          <w:rFonts w:ascii="Times New Roman" w:hAnsi="Times New Roman" w:cs="Times New Roman"/>
          <w:spacing w:val="-4"/>
          <w:u w:val="single"/>
        </w:rPr>
        <w:t>&gt;Co</w:t>
      </w:r>
      <w:r>
        <w:rPr>
          <w:rFonts w:ascii="Times New Roman" w:hAnsi="Times New Roman" w:cs="Times New Roman"/>
          <w:spacing w:val="-4"/>
          <w:u w:val="single"/>
          <w:vertAlign w:val="superscript"/>
        </w:rPr>
        <w:t>2+</w:t>
      </w:r>
      <w:r>
        <w:rPr>
          <w:rFonts w:ascii="Times New Roman" w:hAnsi="Times New Roman" w:cs="Times New Roman"/>
          <w:spacing w:val="-4"/>
          <w:u w:val="single"/>
        </w:rPr>
        <w:t>&gt;Mg</w:t>
      </w:r>
      <w:r>
        <w:rPr>
          <w:rFonts w:ascii="Times New Roman" w:hAnsi="Times New Roman" w:cs="Times New Roman"/>
          <w:spacing w:val="-4"/>
          <w:u w:val="single"/>
          <w:vertAlign w:val="superscript"/>
        </w:rPr>
        <w:t>2+</w:t>
      </w:r>
      <w:r>
        <w:rPr>
          <w:rFonts w:ascii="Times New Roman" w:hAnsi="Times New Roman" w:cs="Times New Roman"/>
          <w:spacing w:val="-4"/>
          <w:u w:val="single"/>
        </w:rPr>
        <w:t>&gt;Ni</w:t>
      </w:r>
      <w:r>
        <w:rPr>
          <w:rFonts w:ascii="Times New Roman" w:hAnsi="Times New Roman" w:cs="Times New Roman"/>
          <w:spacing w:val="-4"/>
          <w:u w:val="single"/>
          <w:vertAlign w:val="superscript"/>
        </w:rPr>
        <w:t>2+</w:t>
      </w:r>
      <w:r>
        <w:rPr>
          <w:rFonts w:ascii="Times New Roman" w:hAnsi="Times New Roman" w:cs="Times New Roman"/>
          <w:spacing w:val="-4"/>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萃取剂C272萃取金属次序为Fe</w:t>
      </w:r>
      <w:r>
        <w:rPr>
          <w:rFonts w:ascii="Times New Roman" w:hAnsi="Times New Roman" w:cs="Times New Roman"/>
          <w:u w:val="single"/>
          <w:vertAlign w:val="superscript"/>
        </w:rPr>
        <w:t>3+</w:t>
      </w:r>
      <w:r>
        <w:rPr>
          <w:rFonts w:ascii="Times New Roman" w:hAnsi="Times New Roman" w:cs="Times New Roman"/>
          <w:u w:val="single"/>
        </w:rPr>
        <w:t>&gt;Zn</w:t>
      </w:r>
      <w:r>
        <w:rPr>
          <w:rFonts w:ascii="Times New Roman" w:hAnsi="Times New Roman" w:cs="Times New Roman"/>
          <w:u w:val="single"/>
          <w:vertAlign w:val="superscript"/>
        </w:rPr>
        <w:t>2+</w:t>
      </w:r>
      <w:r>
        <w:rPr>
          <w:rFonts w:ascii="Times New Roman" w:hAnsi="Times New Roman" w:cs="Times New Roman"/>
          <w:u w:val="single"/>
        </w:rPr>
        <w:t>&gt;Cu</w:t>
      </w:r>
      <w:r>
        <w:rPr>
          <w:rFonts w:ascii="Times New Roman" w:hAnsi="Times New Roman" w:cs="Times New Roman"/>
          <w:u w:val="single"/>
          <w:vertAlign w:val="superscript"/>
        </w:rPr>
        <w:t>2+</w:t>
      </w:r>
      <w:r>
        <w:rPr>
          <w:rFonts w:ascii="Times New Roman" w:hAnsi="Times New Roman" w:cs="Times New Roman"/>
          <w:u w:val="single"/>
        </w:rPr>
        <w:t xml:space="preserve"> &gt;Pb</w:t>
      </w:r>
      <w:r>
        <w:rPr>
          <w:rFonts w:ascii="Times New Roman" w:hAnsi="Times New Roman" w:cs="Times New Roman"/>
          <w:u w:val="single"/>
          <w:vertAlign w:val="superscript"/>
        </w:rPr>
        <w:t>2+</w:t>
      </w:r>
      <w:r>
        <w:rPr>
          <w:rFonts w:ascii="Times New Roman" w:hAnsi="Times New Roman" w:cs="Times New Roman"/>
          <w:u w:val="single"/>
        </w:rPr>
        <w:t>&gt;Co</w:t>
      </w:r>
      <w:r>
        <w:rPr>
          <w:rFonts w:ascii="Times New Roman" w:hAnsi="Times New Roman" w:cs="Times New Roman"/>
          <w:u w:val="single"/>
          <w:vertAlign w:val="superscript"/>
        </w:rPr>
        <w:t>2+</w:t>
      </w:r>
      <w:r>
        <w:rPr>
          <w:rFonts w:ascii="Times New Roman" w:hAnsi="Times New Roman" w:cs="Times New Roman"/>
          <w:u w:val="single"/>
        </w:rPr>
        <w:t>&gt;Mg</w:t>
      </w:r>
      <w:r>
        <w:rPr>
          <w:rFonts w:ascii="Times New Roman" w:hAnsi="Times New Roman" w:cs="Times New Roman"/>
          <w:u w:val="single"/>
          <w:vertAlign w:val="superscript"/>
        </w:rPr>
        <w:t>2+</w:t>
      </w:r>
      <w:r>
        <w:rPr>
          <w:rFonts w:ascii="Times New Roman" w:hAnsi="Times New Roman" w:cs="Times New Roman"/>
          <w:u w:val="single"/>
        </w:rPr>
        <w:t>&gt;Ca</w:t>
      </w:r>
      <w:r>
        <w:rPr>
          <w:rFonts w:ascii="Times New Roman" w:hAnsi="Times New Roman" w:cs="Times New Roman"/>
          <w:u w:val="single"/>
          <w:vertAlign w:val="superscript"/>
        </w:rPr>
        <w:t>2+</w:t>
      </w:r>
      <w:r>
        <w:rPr>
          <w:rFonts w:ascii="Times New Roman" w:hAnsi="Times New Roman" w:cs="Times New Roman"/>
          <w:u w:val="single"/>
        </w:rPr>
        <w:t>&gt;Ni</w:t>
      </w:r>
      <w:r>
        <w:rPr>
          <w:rFonts w:ascii="Times New Roman" w:hAnsi="Times New Roman" w:cs="Times New Roman"/>
          <w:u w:val="single"/>
          <w:vertAlign w:val="superscript"/>
        </w:rPr>
        <w:t>2+</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萃取反应：nR-Na+Me</w:t>
      </w:r>
      <w:r>
        <w:rPr>
          <w:rFonts w:ascii="Times New Roman" w:hAnsi="Times New Roman" w:cs="Times New Roman"/>
          <w:u w:val="single"/>
          <w:vertAlign w:val="superscript"/>
        </w:rPr>
        <w:t>n+</w:t>
      </w:r>
      <w:r>
        <w:rPr>
          <w:rFonts w:ascii="Times New Roman" w:hAnsi="Times New Roman" w:cs="Times New Roman"/>
          <w:u w:val="single"/>
        </w:rPr>
        <w:t>→Rn-Me+nNa</w:t>
      </w:r>
      <w:r>
        <w:rPr>
          <w:rFonts w:ascii="Times New Roman" w:hAnsi="Times New Roman" w:cs="Times New Roman"/>
          <w:u w:val="single"/>
          <w:vertAlign w:val="superscript"/>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反萃反应：Rn-Me+NH</w:t>
      </w:r>
      <w:r>
        <w:rPr>
          <w:rFonts w:ascii="Times New Roman" w:hAnsi="Times New Roman" w:cs="Times New Roman"/>
          <w:u w:val="single"/>
          <w:vertAlign w:val="superscript"/>
        </w:rPr>
        <w:t>+</w:t>
      </w:r>
      <w:r>
        <w:rPr>
          <w:rFonts w:ascii="Times New Roman" w:hAnsi="Times New Roman" w:cs="Times New Roman"/>
          <w:u w:val="single"/>
        </w:rPr>
        <w:t>→Nrh+Me</w:t>
      </w:r>
      <w:r>
        <w:rPr>
          <w:rFonts w:ascii="Times New Roman" w:hAnsi="Times New Roman" w:cs="Times New Roman"/>
          <w:u w:val="single"/>
          <w:vertAlign w:val="superscript"/>
        </w:rPr>
        <w:t>n+</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A、P204萃取生产硫酸锰</w:t>
      </w:r>
    </w:p>
    <w:p>
      <w:pPr>
        <w:autoSpaceDE w:val="0"/>
        <w:autoSpaceDN w:val="0"/>
        <w:spacing w:line="360" w:lineRule="auto"/>
        <w:ind w:firstLine="480" w:firstLineChars="200"/>
        <w:jc w:val="left"/>
        <w:rPr>
          <w:rFonts w:ascii="Times New Roman" w:hAnsi="Times New Roman" w:cs="Times New Roman"/>
          <w:szCs w:val="24"/>
          <w:u w:val="single"/>
        </w:rPr>
      </w:pPr>
      <w:r>
        <w:rPr>
          <w:rFonts w:ascii="Times New Roman" w:hAnsi="Times New Roman" w:cs="Times New Roman"/>
          <w:szCs w:val="24"/>
          <w:u w:val="single"/>
        </w:rPr>
        <w:t>经冷却后的浸出液进入P204系统进行萃取除杂，萃取槽中添加萃取剂P204和碱液、磺化煤油，碱液作为萃取剂的皂化剂，磺化煤油作为稀释剂。滤液与萃取剂反向进入萃取箱，液碱先和萃取剂进行皂化反应，液碱中的 Na</w:t>
      </w:r>
      <w:r>
        <w:rPr>
          <w:rFonts w:ascii="Times New Roman" w:hAnsi="Times New Roman" w:cs="Times New Roman"/>
          <w:szCs w:val="24"/>
          <w:u w:val="single"/>
          <w:vertAlign w:val="superscript"/>
        </w:rPr>
        <w:t>+</w:t>
      </w:r>
      <w:r>
        <w:rPr>
          <w:rFonts w:ascii="Times New Roman" w:hAnsi="Times New Roman" w:cs="Times New Roman"/>
          <w:szCs w:val="24"/>
          <w:u w:val="single"/>
        </w:rPr>
        <w:t>离子与萃取剂中H</w:t>
      </w:r>
      <w:r>
        <w:rPr>
          <w:rFonts w:ascii="Times New Roman" w:hAnsi="Times New Roman" w:cs="Times New Roman"/>
          <w:szCs w:val="24"/>
          <w:u w:val="single"/>
          <w:vertAlign w:val="superscript"/>
        </w:rPr>
        <w:t>+</w:t>
      </w:r>
      <w:r>
        <w:rPr>
          <w:rFonts w:ascii="Times New Roman" w:hAnsi="Times New Roman" w:cs="Times New Roman"/>
          <w:szCs w:val="24"/>
          <w:u w:val="single"/>
        </w:rPr>
        <w:t>离子置换。皂化后的萃取剂再与滤液进行萃取，通过萃取条件的控制，将滤液中的 Co</w:t>
      </w:r>
      <w:r>
        <w:rPr>
          <w:rFonts w:ascii="Times New Roman" w:hAnsi="Times New Roman" w:cs="Times New Roman"/>
          <w:szCs w:val="24"/>
          <w:u w:val="single"/>
          <w:vertAlign w:val="superscript"/>
        </w:rPr>
        <w:t>2+</w:t>
      </w:r>
      <w:r>
        <w:rPr>
          <w:rFonts w:ascii="Times New Roman" w:hAnsi="Times New Roman" w:cs="Times New Roman"/>
          <w:szCs w:val="24"/>
          <w:u w:val="single"/>
        </w:rPr>
        <w:t>、Mn</w:t>
      </w:r>
      <w:r>
        <w:rPr>
          <w:rFonts w:ascii="Times New Roman" w:hAnsi="Times New Roman" w:cs="Times New Roman"/>
          <w:szCs w:val="24"/>
          <w:u w:val="single"/>
          <w:vertAlign w:val="superscript"/>
        </w:rPr>
        <w:t>2+</w:t>
      </w:r>
      <w:r>
        <w:rPr>
          <w:rFonts w:ascii="Times New Roman" w:hAnsi="Times New Roman" w:cs="Times New Roman"/>
          <w:szCs w:val="24"/>
          <w:u w:val="single"/>
        </w:rPr>
        <w:t>、Ca</w:t>
      </w:r>
      <w:r>
        <w:rPr>
          <w:rFonts w:ascii="Times New Roman" w:hAnsi="Times New Roman" w:cs="Times New Roman"/>
          <w:szCs w:val="24"/>
          <w:u w:val="single"/>
          <w:vertAlign w:val="superscript"/>
        </w:rPr>
        <w:t>2+</w:t>
      </w:r>
      <w:r>
        <w:rPr>
          <w:rFonts w:ascii="Times New Roman" w:hAnsi="Times New Roman" w:cs="Times New Roman"/>
          <w:szCs w:val="24"/>
          <w:u w:val="single"/>
        </w:rPr>
        <w:t>离子与萃取剂中 Na</w:t>
      </w:r>
      <w:r>
        <w:rPr>
          <w:rFonts w:ascii="Times New Roman" w:hAnsi="Times New Roman" w:cs="Times New Roman"/>
          <w:szCs w:val="24"/>
          <w:u w:val="single"/>
          <w:vertAlign w:val="superscript"/>
        </w:rPr>
        <w:t>+</w:t>
      </w:r>
      <w:r>
        <w:rPr>
          <w:rFonts w:ascii="Times New Roman" w:hAnsi="Times New Roman" w:cs="Times New Roman"/>
          <w:szCs w:val="24"/>
          <w:u w:val="single"/>
        </w:rPr>
        <w:t>进行置换，成为负载有机相，然后再与硫酸进行反萃（反萃温度为＜30</w:t>
      </w:r>
      <w:r>
        <w:rPr>
          <w:rFonts w:hint="eastAsia" w:ascii="宋体" w:hAnsi="宋体" w:eastAsia="宋体" w:cs="宋体"/>
          <w:szCs w:val="24"/>
          <w:u w:val="single"/>
        </w:rPr>
        <w:t>℃</w:t>
      </w:r>
      <w:r>
        <w:rPr>
          <w:rFonts w:ascii="Times New Roman" w:hAnsi="Times New Roman" w:cs="Times New Roman"/>
          <w:szCs w:val="24"/>
          <w:u w:val="single"/>
        </w:rPr>
        <w:t>），生成 CaSO</w:t>
      </w:r>
      <w:r>
        <w:rPr>
          <w:rFonts w:ascii="Times New Roman" w:hAnsi="Times New Roman" w:cs="Times New Roman"/>
          <w:szCs w:val="24"/>
          <w:u w:val="single"/>
          <w:vertAlign w:val="subscript"/>
        </w:rPr>
        <w:t>4</w:t>
      </w:r>
      <w:r>
        <w:rPr>
          <w:rFonts w:ascii="Times New Roman" w:hAnsi="Times New Roman" w:cs="Times New Roman"/>
          <w:szCs w:val="24"/>
          <w:u w:val="single"/>
        </w:rPr>
        <w:t>、MnSO</w:t>
      </w:r>
      <w:r>
        <w:rPr>
          <w:rFonts w:ascii="Times New Roman" w:hAnsi="Times New Roman" w:cs="Times New Roman"/>
          <w:szCs w:val="24"/>
          <w:u w:val="single"/>
          <w:vertAlign w:val="subscript"/>
        </w:rPr>
        <w:t>4</w:t>
      </w:r>
      <w:r>
        <w:rPr>
          <w:rFonts w:ascii="Times New Roman" w:hAnsi="Times New Roman" w:cs="Times New Roman"/>
          <w:szCs w:val="24"/>
          <w:u w:val="single"/>
        </w:rPr>
        <w:t>，萃取剂返回使用。该工序主要反应方程式如下：</w:t>
      </w:r>
    </w:p>
    <w:p>
      <w:pPr>
        <w:autoSpaceDE w:val="0"/>
        <w:autoSpaceDN w:val="0"/>
        <w:spacing w:line="360" w:lineRule="auto"/>
        <w:ind w:firstLine="480" w:firstLineChars="200"/>
        <w:jc w:val="left"/>
        <w:rPr>
          <w:rFonts w:ascii="Times New Roman" w:hAnsi="Times New Roman" w:cs="Times New Roman"/>
          <w:szCs w:val="24"/>
          <w:u w:val="single"/>
        </w:rPr>
      </w:pPr>
      <w:r>
        <w:rPr>
          <w:rFonts w:ascii="Times New Roman" w:hAnsi="Times New Roman" w:cs="Times New Roman"/>
          <w:szCs w:val="24"/>
          <w:u w:val="single"/>
        </w:rPr>
        <w:t>P204 皂化：（R'O）</w:t>
      </w:r>
      <w:r>
        <w:rPr>
          <w:rFonts w:ascii="Times New Roman" w:hAnsi="Times New Roman" w:cs="Times New Roman"/>
          <w:szCs w:val="24"/>
          <w:u w:val="single"/>
          <w:vertAlign w:val="subscript"/>
        </w:rPr>
        <w:t>2</w:t>
      </w:r>
      <w:r>
        <w:rPr>
          <w:rFonts w:ascii="Times New Roman" w:hAnsi="Times New Roman" w:cs="Times New Roman"/>
          <w:szCs w:val="24"/>
          <w:u w:val="single"/>
        </w:rPr>
        <w:t>POOH+NaOH＝（R'O）</w:t>
      </w:r>
      <w:r>
        <w:rPr>
          <w:rFonts w:ascii="Times New Roman" w:hAnsi="Times New Roman" w:cs="Times New Roman"/>
          <w:szCs w:val="24"/>
          <w:u w:val="single"/>
          <w:vertAlign w:val="subscript"/>
        </w:rPr>
        <w:t>2</w:t>
      </w:r>
      <w:r>
        <w:rPr>
          <w:rFonts w:ascii="Times New Roman" w:hAnsi="Times New Roman" w:cs="Times New Roman"/>
          <w:szCs w:val="24"/>
          <w:u w:val="single"/>
        </w:rPr>
        <w:t>POONa+H</w:t>
      </w:r>
      <w:r>
        <w:rPr>
          <w:rFonts w:ascii="Times New Roman" w:hAnsi="Times New Roman" w:cs="Times New Roman"/>
          <w:szCs w:val="24"/>
          <w:u w:val="single"/>
          <w:vertAlign w:val="subscript"/>
        </w:rPr>
        <w:t>2</w:t>
      </w:r>
      <w:r>
        <w:rPr>
          <w:rFonts w:ascii="Times New Roman" w:hAnsi="Times New Roman" w:cs="Times New Roman"/>
          <w:szCs w:val="24"/>
          <w:u w:val="single"/>
        </w:rPr>
        <w:t>O（1）</w:t>
      </w:r>
    </w:p>
    <w:p>
      <w:pPr>
        <w:autoSpaceDE w:val="0"/>
        <w:autoSpaceDN w:val="0"/>
        <w:spacing w:line="360" w:lineRule="auto"/>
        <w:ind w:firstLine="480" w:firstLineChars="200"/>
        <w:jc w:val="left"/>
        <w:rPr>
          <w:rFonts w:ascii="Times New Roman" w:hAnsi="Times New Roman" w:cs="Times New Roman"/>
          <w:szCs w:val="24"/>
          <w:u w:val="single"/>
        </w:rPr>
      </w:pPr>
      <w:r>
        <w:rPr>
          <w:rFonts w:ascii="Times New Roman" w:hAnsi="Times New Roman" w:cs="Times New Roman"/>
          <w:szCs w:val="24"/>
          <w:u w:val="single"/>
        </w:rPr>
        <w:t>P204 萃取：2（R'O）</w:t>
      </w:r>
      <w:r>
        <w:rPr>
          <w:rFonts w:ascii="Times New Roman" w:hAnsi="Times New Roman" w:cs="Times New Roman"/>
          <w:szCs w:val="24"/>
          <w:u w:val="single"/>
          <w:vertAlign w:val="subscript"/>
        </w:rPr>
        <w:t>2</w:t>
      </w:r>
      <w:r>
        <w:rPr>
          <w:rFonts w:ascii="Times New Roman" w:hAnsi="Times New Roman" w:cs="Times New Roman"/>
          <w:szCs w:val="24"/>
          <w:u w:val="single"/>
        </w:rPr>
        <w:t>POONa+MeSO</w:t>
      </w:r>
      <w:r>
        <w:rPr>
          <w:rFonts w:ascii="Times New Roman" w:hAnsi="Times New Roman" w:cs="Times New Roman"/>
          <w:szCs w:val="24"/>
          <w:u w:val="single"/>
          <w:vertAlign w:val="subscript"/>
        </w:rPr>
        <w:t>4</w:t>
      </w:r>
      <w:r>
        <w:rPr>
          <w:rFonts w:ascii="Times New Roman" w:hAnsi="Times New Roman" w:cs="Times New Roman"/>
          <w:szCs w:val="24"/>
          <w:u w:val="single"/>
        </w:rPr>
        <w:t>＝[（R'O）</w:t>
      </w:r>
      <w:r>
        <w:rPr>
          <w:rFonts w:ascii="Times New Roman" w:hAnsi="Times New Roman" w:cs="Times New Roman"/>
          <w:szCs w:val="24"/>
          <w:u w:val="single"/>
          <w:vertAlign w:val="subscript"/>
        </w:rPr>
        <w:t>2</w:t>
      </w:r>
      <w:r>
        <w:rPr>
          <w:rFonts w:ascii="Times New Roman" w:hAnsi="Times New Roman" w:cs="Times New Roman"/>
          <w:szCs w:val="24"/>
          <w:u w:val="single"/>
        </w:rPr>
        <w:t>POO]</w:t>
      </w:r>
      <w:r>
        <w:rPr>
          <w:rFonts w:ascii="Times New Roman" w:hAnsi="Times New Roman" w:cs="Times New Roman"/>
          <w:szCs w:val="24"/>
          <w:u w:val="single"/>
          <w:vertAlign w:val="subscript"/>
        </w:rPr>
        <w:t>2</w:t>
      </w:r>
      <w:r>
        <w:rPr>
          <w:rFonts w:ascii="Times New Roman" w:hAnsi="Times New Roman" w:cs="Times New Roman"/>
          <w:szCs w:val="24"/>
          <w:u w:val="single"/>
        </w:rPr>
        <w:t>Me+Na</w:t>
      </w:r>
      <w:r>
        <w:rPr>
          <w:rFonts w:ascii="Times New Roman" w:hAnsi="Times New Roman" w:cs="Times New Roman"/>
          <w:szCs w:val="24"/>
          <w:u w:val="single"/>
          <w:vertAlign w:val="subscript"/>
        </w:rPr>
        <w:t>2</w:t>
      </w:r>
      <w:r>
        <w:rPr>
          <w:rFonts w:ascii="Times New Roman" w:hAnsi="Times New Roman" w:cs="Times New Roman"/>
          <w:szCs w:val="24"/>
          <w:u w:val="single"/>
        </w:rPr>
        <w:t>SO</w:t>
      </w:r>
      <w:r>
        <w:rPr>
          <w:rFonts w:ascii="Times New Roman" w:hAnsi="Times New Roman" w:cs="Times New Roman"/>
          <w:szCs w:val="24"/>
          <w:u w:val="single"/>
          <w:vertAlign w:val="subscript"/>
        </w:rPr>
        <w:t>4</w:t>
      </w:r>
      <w:r>
        <w:rPr>
          <w:rFonts w:ascii="Times New Roman" w:hAnsi="Times New Roman" w:cs="Times New Roman"/>
          <w:szCs w:val="24"/>
          <w:u w:val="single"/>
        </w:rPr>
        <w:t>（2）</w:t>
      </w:r>
    </w:p>
    <w:p>
      <w:pPr>
        <w:autoSpaceDE w:val="0"/>
        <w:autoSpaceDN w:val="0"/>
        <w:spacing w:line="360" w:lineRule="auto"/>
        <w:ind w:firstLine="480" w:firstLineChars="200"/>
        <w:jc w:val="left"/>
        <w:rPr>
          <w:rFonts w:ascii="Times New Roman" w:hAnsi="Times New Roman" w:cs="Times New Roman"/>
          <w:szCs w:val="24"/>
          <w:u w:val="single"/>
        </w:rPr>
      </w:pPr>
      <w:r>
        <w:rPr>
          <w:rFonts w:ascii="Times New Roman" w:hAnsi="Times New Roman" w:cs="Times New Roman"/>
          <w:szCs w:val="24"/>
          <w:u w:val="single"/>
        </w:rPr>
        <w:t>其中：Me  为 Ca、Mn 等金属。</w:t>
      </w:r>
    </w:p>
    <w:p>
      <w:pPr>
        <w:autoSpaceDE w:val="0"/>
        <w:autoSpaceDN w:val="0"/>
        <w:spacing w:line="360" w:lineRule="auto"/>
        <w:ind w:firstLine="480" w:firstLineChars="200"/>
        <w:jc w:val="left"/>
        <w:rPr>
          <w:rFonts w:ascii="Times New Roman" w:hAnsi="Times New Roman" w:cs="Times New Roman"/>
          <w:szCs w:val="24"/>
          <w:u w:val="single"/>
        </w:rPr>
      </w:pPr>
      <w:r>
        <w:rPr>
          <w:rFonts w:ascii="Times New Roman" w:hAnsi="Times New Roman" w:cs="Times New Roman"/>
          <w:szCs w:val="24"/>
          <w:u w:val="single"/>
        </w:rPr>
        <w:t>硫酸反萃：[（R'O）</w:t>
      </w:r>
      <w:r>
        <w:rPr>
          <w:rFonts w:ascii="Times New Roman" w:hAnsi="Times New Roman" w:cs="Times New Roman"/>
          <w:szCs w:val="24"/>
          <w:u w:val="single"/>
          <w:vertAlign w:val="subscript"/>
        </w:rPr>
        <w:t>2</w:t>
      </w:r>
      <w:r>
        <w:rPr>
          <w:rFonts w:ascii="Times New Roman" w:hAnsi="Times New Roman" w:cs="Times New Roman"/>
          <w:szCs w:val="24"/>
          <w:u w:val="single"/>
        </w:rPr>
        <w:t>POO]</w:t>
      </w:r>
      <w:r>
        <w:rPr>
          <w:rFonts w:ascii="Times New Roman" w:hAnsi="Times New Roman" w:cs="Times New Roman"/>
          <w:szCs w:val="24"/>
          <w:u w:val="single"/>
          <w:vertAlign w:val="subscript"/>
        </w:rPr>
        <w:t>2</w:t>
      </w:r>
      <w:r>
        <w:rPr>
          <w:rFonts w:ascii="Times New Roman" w:hAnsi="Times New Roman" w:cs="Times New Roman"/>
          <w:szCs w:val="24"/>
          <w:u w:val="single"/>
        </w:rPr>
        <w:t>Me+H</w:t>
      </w:r>
      <w:r>
        <w:rPr>
          <w:rFonts w:ascii="Times New Roman" w:hAnsi="Times New Roman" w:cs="Times New Roman"/>
          <w:szCs w:val="24"/>
          <w:u w:val="single"/>
          <w:vertAlign w:val="subscript"/>
        </w:rPr>
        <w:t>2</w:t>
      </w:r>
      <w:r>
        <w:rPr>
          <w:rFonts w:ascii="Times New Roman" w:hAnsi="Times New Roman" w:cs="Times New Roman"/>
          <w:szCs w:val="24"/>
          <w:u w:val="single"/>
        </w:rPr>
        <w:t>SO</w:t>
      </w:r>
      <w:r>
        <w:rPr>
          <w:rFonts w:ascii="Times New Roman" w:hAnsi="Times New Roman" w:cs="Times New Roman"/>
          <w:szCs w:val="24"/>
          <w:u w:val="single"/>
          <w:vertAlign w:val="subscript"/>
        </w:rPr>
        <w:t>4</w:t>
      </w:r>
      <w:r>
        <w:rPr>
          <w:rFonts w:ascii="Times New Roman" w:hAnsi="Times New Roman" w:cs="Times New Roman"/>
          <w:szCs w:val="24"/>
          <w:u w:val="single"/>
        </w:rPr>
        <w:t>＝2（R'O）</w:t>
      </w:r>
      <w:r>
        <w:rPr>
          <w:rFonts w:ascii="Times New Roman" w:hAnsi="Times New Roman" w:cs="Times New Roman"/>
          <w:szCs w:val="24"/>
          <w:u w:val="single"/>
          <w:vertAlign w:val="subscript"/>
        </w:rPr>
        <w:t>2</w:t>
      </w:r>
      <w:r>
        <w:rPr>
          <w:rFonts w:ascii="Times New Roman" w:hAnsi="Times New Roman" w:cs="Times New Roman"/>
          <w:szCs w:val="24"/>
          <w:u w:val="single"/>
        </w:rPr>
        <w:t>POOH+MeSO</w:t>
      </w:r>
      <w:r>
        <w:rPr>
          <w:rFonts w:ascii="Times New Roman" w:hAnsi="Times New Roman" w:cs="Times New Roman"/>
          <w:szCs w:val="24"/>
          <w:u w:val="single"/>
          <w:vertAlign w:val="subscript"/>
        </w:rPr>
        <w:t>4</w:t>
      </w:r>
      <w:r>
        <w:rPr>
          <w:rFonts w:ascii="Times New Roman" w:hAnsi="Times New Roman" w:cs="Times New Roman"/>
          <w:szCs w:val="24"/>
          <w:u w:val="single"/>
        </w:rPr>
        <w:t>（3）</w:t>
      </w:r>
    </w:p>
    <w:p>
      <w:pPr>
        <w:autoSpaceDE w:val="0"/>
        <w:autoSpaceDN w:val="0"/>
        <w:spacing w:line="360" w:lineRule="auto"/>
        <w:ind w:firstLine="480" w:firstLineChars="200"/>
        <w:jc w:val="left"/>
        <w:rPr>
          <w:rFonts w:ascii="Times New Roman" w:hAnsi="Times New Roman" w:cs="Times New Roman"/>
          <w:szCs w:val="24"/>
          <w:u w:val="single"/>
        </w:rPr>
      </w:pPr>
      <w:r>
        <w:rPr>
          <w:rFonts w:ascii="Times New Roman" w:hAnsi="Times New Roman" w:cs="Times New Roman"/>
          <w:szCs w:val="24"/>
          <w:u w:val="single"/>
        </w:rPr>
        <w:t>其中：Me为Ca、Mn等金属。</w:t>
      </w:r>
    </w:p>
    <w:p>
      <w:pPr>
        <w:autoSpaceDE w:val="0"/>
        <w:autoSpaceDN w:val="0"/>
        <w:spacing w:line="360" w:lineRule="auto"/>
        <w:ind w:firstLine="480" w:firstLineChars="200"/>
        <w:jc w:val="left"/>
        <w:rPr>
          <w:rFonts w:ascii="Times New Roman" w:hAnsi="Times New Roman" w:cs="Times New Roman"/>
          <w:szCs w:val="24"/>
          <w:u w:val="single"/>
        </w:rPr>
      </w:pPr>
      <w:r>
        <w:rPr>
          <w:rFonts w:ascii="Times New Roman" w:hAnsi="Times New Roman" w:cs="Times New Roman"/>
          <w:szCs w:val="24"/>
          <w:u w:val="single"/>
        </w:rPr>
        <w:t>硫酸反萃得到的少量CaSO</w:t>
      </w:r>
      <w:r>
        <w:rPr>
          <w:rFonts w:ascii="Times New Roman" w:hAnsi="Times New Roman" w:cs="Times New Roman"/>
          <w:szCs w:val="24"/>
          <w:u w:val="single"/>
          <w:vertAlign w:val="subscript"/>
        </w:rPr>
        <w:t>4</w:t>
      </w:r>
      <w:r>
        <w:rPr>
          <w:rFonts w:ascii="Times New Roman" w:hAnsi="Times New Roman" w:cs="Times New Roman"/>
          <w:szCs w:val="24"/>
          <w:u w:val="single"/>
        </w:rPr>
        <w:t>、MnSO</w:t>
      </w:r>
      <w:r>
        <w:rPr>
          <w:rFonts w:ascii="Times New Roman" w:hAnsi="Times New Roman" w:cs="Times New Roman"/>
          <w:szCs w:val="24"/>
          <w:u w:val="single"/>
          <w:vertAlign w:val="subscript"/>
        </w:rPr>
        <w:t>4</w:t>
      </w:r>
      <w:r>
        <w:rPr>
          <w:rFonts w:ascii="Times New Roman" w:hAnsi="Times New Roman" w:cs="Times New Roman"/>
          <w:szCs w:val="24"/>
          <w:u w:val="single"/>
        </w:rPr>
        <w:t>溶液经沉淀过滤净化后得到CaSO</w:t>
      </w:r>
      <w:r>
        <w:rPr>
          <w:rFonts w:ascii="Times New Roman" w:hAnsi="Times New Roman" w:cs="Times New Roman"/>
          <w:szCs w:val="24"/>
          <w:u w:val="single"/>
          <w:vertAlign w:val="subscript"/>
        </w:rPr>
        <w:t>4</w:t>
      </w:r>
      <w:r>
        <w:rPr>
          <w:rFonts w:ascii="Times New Roman" w:hAnsi="Times New Roman" w:cs="Times New Roman"/>
          <w:szCs w:val="24"/>
          <w:u w:val="single"/>
        </w:rPr>
        <w:t>、MnSO</w:t>
      </w:r>
      <w:r>
        <w:rPr>
          <w:rFonts w:ascii="Times New Roman" w:hAnsi="Times New Roman" w:cs="Times New Roman"/>
          <w:szCs w:val="24"/>
          <w:u w:val="single"/>
          <w:vertAlign w:val="subscript"/>
        </w:rPr>
        <w:t>4</w:t>
      </w:r>
      <w:r>
        <w:rPr>
          <w:rFonts w:ascii="Times New Roman" w:hAnsi="Times New Roman" w:cs="Times New Roman"/>
          <w:szCs w:val="24"/>
          <w:u w:val="single"/>
        </w:rPr>
        <w:t>的混合液，经蒸发结晶得到电池级硫酸锰。</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B、P507萃取生产硫酸钴</w:t>
      </w:r>
    </w:p>
    <w:p>
      <w:pPr>
        <w:autoSpaceDE w:val="0"/>
        <w:autoSpaceDN w:val="0"/>
        <w:spacing w:line="360" w:lineRule="auto"/>
        <w:ind w:firstLine="480" w:firstLineChars="200"/>
        <w:jc w:val="left"/>
        <w:rPr>
          <w:rFonts w:ascii="Times New Roman" w:hAnsi="Times New Roman" w:cs="Times New Roman"/>
          <w:szCs w:val="24"/>
          <w:u w:val="single"/>
        </w:rPr>
      </w:pPr>
      <w:r>
        <w:rPr>
          <w:rFonts w:ascii="Times New Roman" w:hAnsi="Times New Roman" w:cs="Times New Roman"/>
          <w:szCs w:val="24"/>
          <w:u w:val="single"/>
        </w:rPr>
        <w:t>第1工段萃余液（主要含Co、Ni、Mg）泵至萃取槽（P507萃取线），萃取槽中添加萃取剂P507和液碱，液碱作为萃取剂的皂化。滤液与萃取剂反向进入萃取箱，液碱先和萃取剂进行皂化反应。通过萃取条件的控制，将滤液中的 Co</w:t>
      </w:r>
      <w:r>
        <w:rPr>
          <w:rFonts w:ascii="Times New Roman" w:hAnsi="Times New Roman" w:cs="Times New Roman"/>
          <w:szCs w:val="24"/>
          <w:u w:val="single"/>
          <w:vertAlign w:val="superscript"/>
        </w:rPr>
        <w:t>2+</w:t>
      </w:r>
      <w:r>
        <w:rPr>
          <w:rFonts w:ascii="Times New Roman" w:hAnsi="Times New Roman" w:cs="Times New Roman"/>
          <w:szCs w:val="24"/>
          <w:u w:val="single"/>
        </w:rPr>
        <w:t>与萃取剂中Na</w:t>
      </w:r>
      <w:r>
        <w:rPr>
          <w:rFonts w:ascii="Times New Roman" w:hAnsi="Times New Roman" w:cs="Times New Roman"/>
          <w:szCs w:val="24"/>
          <w:u w:val="single"/>
          <w:vertAlign w:val="superscript"/>
        </w:rPr>
        <w:t>+</w:t>
      </w:r>
      <w:r>
        <w:rPr>
          <w:rFonts w:ascii="Times New Roman" w:hAnsi="Times New Roman" w:cs="Times New Roman"/>
          <w:szCs w:val="24"/>
          <w:u w:val="single"/>
        </w:rPr>
        <w:t>进行置换，成为负载有机相，然后再与硫酸进行反萃，生成 CoSO</w:t>
      </w:r>
      <w:r>
        <w:rPr>
          <w:rFonts w:ascii="Times New Roman" w:hAnsi="Times New Roman" w:cs="Times New Roman"/>
          <w:szCs w:val="24"/>
          <w:u w:val="single"/>
          <w:vertAlign w:val="subscript"/>
        </w:rPr>
        <w:t>4</w:t>
      </w:r>
      <w:r>
        <w:rPr>
          <w:rFonts w:ascii="Times New Roman" w:hAnsi="Times New Roman" w:cs="Times New Roman"/>
          <w:szCs w:val="24"/>
          <w:u w:val="single"/>
        </w:rPr>
        <w:t xml:space="preserve">。萃取剂返回到萃取槽。得到的富钴溶液送浓缩釜和结晶釜进行浓缩结晶，硫酸钴结晶离心脱水后得到电池级硫酸钴。 </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主要化学方程式</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P507皂化：HR+NaOH＝NaR+H</w:t>
      </w:r>
      <w:r>
        <w:rPr>
          <w:rFonts w:ascii="Times New Roman" w:hAnsi="Times New Roman" w:cs="Times New Roman"/>
          <w:u w:val="single"/>
          <w:vertAlign w:val="subscript"/>
        </w:rPr>
        <w:t>2</w:t>
      </w:r>
      <w:r>
        <w:rPr>
          <w:rFonts w:ascii="Times New Roman" w:hAnsi="Times New Roman" w:cs="Times New Roman"/>
          <w:u w:val="single"/>
        </w:rPr>
        <w:t>O</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P507萃取：nNaR+Me</w:t>
      </w:r>
      <w:r>
        <w:rPr>
          <w:rFonts w:ascii="Times New Roman" w:hAnsi="Times New Roman" w:cs="Times New Roman"/>
          <w:u w:val="single"/>
          <w:vertAlign w:val="superscript"/>
        </w:rPr>
        <w:t>n+</w:t>
      </w:r>
      <w:r>
        <w:rPr>
          <w:rFonts w:ascii="Times New Roman" w:hAnsi="Times New Roman" w:cs="Times New Roman"/>
          <w:u w:val="single"/>
        </w:rPr>
        <w:t>＝MeR</w:t>
      </w:r>
      <w:r>
        <w:rPr>
          <w:rFonts w:ascii="Times New Roman" w:hAnsi="Times New Roman" w:cs="Times New Roman"/>
          <w:u w:val="single"/>
          <w:vertAlign w:val="subscript"/>
        </w:rPr>
        <w:t>n</w:t>
      </w:r>
      <w:r>
        <w:rPr>
          <w:rFonts w:ascii="Times New Roman" w:hAnsi="Times New Roman" w:cs="Times New Roman"/>
          <w:u w:val="single"/>
        </w:rPr>
        <w:t>+nNa</w:t>
      </w:r>
      <w:r>
        <w:rPr>
          <w:rFonts w:ascii="Times New Roman" w:hAnsi="Times New Roman" w:cs="Times New Roman"/>
          <w:u w:val="single"/>
          <w:vertAlign w:val="superscript"/>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P507反萃：MeR</w:t>
      </w:r>
      <w:r>
        <w:rPr>
          <w:rFonts w:ascii="Times New Roman" w:hAnsi="Times New Roman" w:cs="Times New Roman"/>
          <w:u w:val="single"/>
          <w:vertAlign w:val="subscript"/>
        </w:rPr>
        <w:t>n</w:t>
      </w:r>
      <w:r>
        <w:rPr>
          <w:rFonts w:ascii="Times New Roman" w:hAnsi="Times New Roman" w:cs="Times New Roman"/>
          <w:u w:val="single"/>
        </w:rPr>
        <w:t>+nH</w:t>
      </w:r>
      <w:r>
        <w:rPr>
          <w:rFonts w:ascii="Times New Roman" w:hAnsi="Times New Roman" w:cs="Times New Roman"/>
          <w:u w:val="single"/>
          <w:vertAlign w:val="superscript"/>
        </w:rPr>
        <w:t>+</w:t>
      </w:r>
      <w:r>
        <w:rPr>
          <w:rFonts w:ascii="Times New Roman" w:hAnsi="Times New Roman" w:cs="Times New Roman"/>
          <w:u w:val="single"/>
        </w:rPr>
        <w:t>＝Me</w:t>
      </w:r>
      <w:r>
        <w:rPr>
          <w:rFonts w:ascii="Times New Roman" w:hAnsi="Times New Roman" w:cs="Times New Roman"/>
          <w:u w:val="single"/>
          <w:vertAlign w:val="superscript"/>
        </w:rPr>
        <w:t>n+</w:t>
      </w:r>
      <w:r>
        <w:rPr>
          <w:rFonts w:ascii="Times New Roman" w:hAnsi="Times New Roman" w:cs="Times New Roman"/>
          <w:u w:val="single"/>
        </w:rPr>
        <w:t>+n（HR）</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其中：HR为P507，Me为Ni、Co。</w:t>
      </w:r>
    </w:p>
    <w:p>
      <w:pPr>
        <w:spacing w:line="360" w:lineRule="auto"/>
        <w:ind w:firstLine="480" w:firstLineChars="200"/>
        <w:rPr>
          <w:rFonts w:ascii="Times New Roman" w:hAnsi="Times New Roman" w:cs="Times New Roman"/>
          <w:bCs/>
          <w:u w:val="single"/>
        </w:rPr>
      </w:pPr>
      <w:r>
        <w:rPr>
          <w:rFonts w:ascii="Times New Roman" w:hAnsi="Times New Roman" w:cs="Times New Roman"/>
          <w:bCs/>
          <w:u w:val="single"/>
        </w:rPr>
        <w:t>d.结晶</w:t>
      </w:r>
    </w:p>
    <w:p>
      <w:pPr>
        <w:spacing w:line="360" w:lineRule="auto"/>
        <w:ind w:firstLine="480" w:firstLineChars="200"/>
        <w:rPr>
          <w:rFonts w:ascii="Times New Roman" w:hAnsi="Times New Roman" w:cs="Times New Roman"/>
          <w:bCs/>
          <w:u w:val="single"/>
        </w:rPr>
      </w:pPr>
      <w:r>
        <w:rPr>
          <w:rFonts w:ascii="Times New Roman" w:hAnsi="Times New Roman" w:cs="Times New Roman"/>
          <w:bCs/>
          <w:u w:val="single"/>
        </w:rPr>
        <w:t>反萃钴产生的硫酸钴溶液经泵送至蒸发器加热蒸发，将溶液浓缩，浓缩液流入结晶槽冷却结晶，然后晶体放至离心机进行固液分离，母液返回蒸发器重结晶，得到硫酸钴电池级硫酸钴产品。</w:t>
      </w:r>
    </w:p>
    <w:p>
      <w:pPr>
        <w:spacing w:line="360" w:lineRule="auto"/>
        <w:ind w:firstLine="480" w:firstLineChars="200"/>
        <w:rPr>
          <w:rFonts w:ascii="Times New Roman" w:hAnsi="Times New Roman" w:cs="Times New Roman"/>
          <w:bCs/>
          <w:u w:val="single"/>
        </w:rPr>
      </w:pPr>
      <w:r>
        <w:rPr>
          <w:rFonts w:ascii="Times New Roman" w:hAnsi="Times New Roman" w:cs="Times New Roman"/>
          <w:bCs/>
          <w:u w:val="single"/>
        </w:rPr>
        <w:t>e.反萃铁、洗酸、皂化</w:t>
      </w:r>
    </w:p>
    <w:p>
      <w:pPr>
        <w:spacing w:line="360" w:lineRule="auto"/>
        <w:ind w:firstLine="480" w:firstLineChars="200"/>
        <w:rPr>
          <w:rFonts w:ascii="Times New Roman" w:hAnsi="Times New Roman" w:cs="Times New Roman"/>
          <w:bCs/>
          <w:u w:val="single"/>
        </w:rPr>
      </w:pPr>
      <w:r>
        <w:rPr>
          <w:rFonts w:ascii="Times New Roman" w:hAnsi="Times New Roman" w:cs="Times New Roman"/>
          <w:bCs/>
          <w:u w:val="single"/>
        </w:rPr>
        <w:t>经硫酸反萃后的负载有机相主要含有铁，进入反铁段，用7.5mol/L（15N）硫酸进行反萃铁，反铁液循环使用后返回浸出工序；反铁有机相用纯水洗酸，洗酸后的水循环使用后返浸出工序，洗酸后的有机相以32%的氢氧化钠溶液作为皂化剂进行再生，再生产生的P507可返回到萃取阶段循环使用。</w:t>
      </w:r>
    </w:p>
    <w:p>
      <w:pPr>
        <w:spacing w:line="360" w:lineRule="auto"/>
        <w:ind w:firstLine="482" w:firstLineChars="200"/>
        <w:rPr>
          <w:rFonts w:ascii="Times New Roman" w:hAnsi="Times New Roman" w:cs="Times New Roman"/>
          <w:b/>
          <w:bCs/>
          <w:u w:val="single"/>
        </w:rPr>
      </w:pPr>
      <w:r>
        <w:rPr>
          <w:rFonts w:ascii="Times New Roman" w:hAnsi="Times New Roman" w:cs="Times New Roman"/>
          <w:b/>
          <w:bCs/>
          <w:u w:val="single"/>
        </w:rPr>
        <w:t>C、P507萃取生产硫酸镍</w:t>
      </w:r>
    </w:p>
    <w:p>
      <w:pPr>
        <w:autoSpaceDE w:val="0"/>
        <w:autoSpaceDN w:val="0"/>
        <w:spacing w:line="360" w:lineRule="auto"/>
        <w:ind w:firstLine="480" w:firstLineChars="200"/>
        <w:jc w:val="left"/>
        <w:rPr>
          <w:rFonts w:ascii="Times New Roman" w:hAnsi="Times New Roman" w:cs="Times New Roman"/>
          <w:szCs w:val="24"/>
          <w:u w:val="single"/>
        </w:rPr>
      </w:pPr>
      <w:r>
        <w:rPr>
          <w:rFonts w:ascii="Times New Roman" w:hAnsi="Times New Roman" w:cs="Times New Roman"/>
          <w:szCs w:val="24"/>
          <w:u w:val="single"/>
        </w:rPr>
        <w:t>第 2工段富镍萃余液（主要含 Ni）泵至萃取槽，萃取槽中添加萃取剂 P507和液碱，液碱作为萃取剂的皂化。滤液与萃取剂反向进入萃取箱，液碱先和萃取剂进行皂化反应。皂化后的萃取剂再与滤液进行萃取，通过萃取条件的控制，将滤液中的 Ni 离子与萃取剂中 Na</w:t>
      </w:r>
      <w:r>
        <w:rPr>
          <w:rFonts w:ascii="Times New Roman" w:hAnsi="Times New Roman" w:cs="Times New Roman"/>
          <w:szCs w:val="24"/>
          <w:u w:val="single"/>
          <w:vertAlign w:val="superscript"/>
        </w:rPr>
        <w:t>+</w:t>
      </w:r>
      <w:r>
        <w:rPr>
          <w:rFonts w:ascii="Times New Roman" w:hAnsi="Times New Roman" w:cs="Times New Roman"/>
          <w:szCs w:val="24"/>
          <w:u w:val="single"/>
        </w:rPr>
        <w:t>进行置换，成为负载有机相，然后再与硫酸进行反萃，生成 NiSO</w:t>
      </w:r>
      <w:r>
        <w:rPr>
          <w:rFonts w:ascii="Times New Roman" w:hAnsi="Times New Roman" w:cs="Times New Roman"/>
          <w:szCs w:val="24"/>
          <w:u w:val="single"/>
          <w:vertAlign w:val="subscript"/>
        </w:rPr>
        <w:t>4</w:t>
      </w:r>
      <w:r>
        <w:rPr>
          <w:rFonts w:ascii="Times New Roman" w:hAnsi="Times New Roman" w:cs="Times New Roman"/>
          <w:szCs w:val="24"/>
          <w:u w:val="single"/>
        </w:rPr>
        <w:t>，萃取剂返回第3工段萃取槽。</w:t>
      </w:r>
    </w:p>
    <w:p>
      <w:pPr>
        <w:autoSpaceDE w:val="0"/>
        <w:autoSpaceDN w:val="0"/>
        <w:spacing w:line="360" w:lineRule="auto"/>
        <w:ind w:firstLine="480" w:firstLineChars="200"/>
        <w:jc w:val="left"/>
        <w:rPr>
          <w:rFonts w:ascii="Times New Roman" w:hAnsi="Times New Roman" w:cs="Times New Roman"/>
          <w:szCs w:val="24"/>
          <w:u w:val="single"/>
        </w:rPr>
      </w:pPr>
      <w:r>
        <w:rPr>
          <w:rFonts w:ascii="Times New Roman" w:hAnsi="Times New Roman" w:cs="Times New Roman"/>
          <w:szCs w:val="24"/>
          <w:u w:val="single"/>
        </w:rPr>
        <w:t>得到的富镍溶液送C272萃取槽（第4工段）。</w:t>
      </w:r>
    </w:p>
    <w:p>
      <w:pPr>
        <w:spacing w:line="360" w:lineRule="auto"/>
        <w:ind w:firstLine="482" w:firstLineChars="200"/>
        <w:rPr>
          <w:rFonts w:ascii="Times New Roman" w:hAnsi="Times New Roman" w:cs="Times New Roman"/>
          <w:b/>
          <w:bCs/>
          <w:u w:val="single"/>
        </w:rPr>
      </w:pPr>
      <w:r>
        <w:rPr>
          <w:rFonts w:ascii="Times New Roman" w:hAnsi="Times New Roman" w:cs="Times New Roman"/>
          <w:b/>
          <w:bCs/>
          <w:u w:val="single"/>
        </w:rPr>
        <w:t>D、C272萃取镁（第4工段）</w:t>
      </w:r>
    </w:p>
    <w:p>
      <w:pPr>
        <w:autoSpaceDE w:val="0"/>
        <w:autoSpaceDN w:val="0"/>
        <w:spacing w:line="360" w:lineRule="auto"/>
        <w:ind w:firstLine="480" w:firstLineChars="200"/>
        <w:jc w:val="left"/>
        <w:rPr>
          <w:rFonts w:ascii="Times New Roman" w:hAnsi="Times New Roman" w:cs="Times New Roman"/>
          <w:szCs w:val="24"/>
          <w:u w:val="single"/>
        </w:rPr>
      </w:pPr>
      <w:r>
        <w:rPr>
          <w:rFonts w:ascii="Times New Roman" w:hAnsi="Times New Roman" w:cs="Times New Roman"/>
          <w:szCs w:val="24"/>
          <w:u w:val="single"/>
        </w:rPr>
        <w:t>第3工段得到的富镍溶液泵至C272萃取槽，萃取槽中添加萃取剂C272和液碱，液碱作为萃取剂的皂化。滤液与萃取剂反向进入萃取箱，液碱先和萃取剂进行皂化反应。皂化后的萃取剂再与滤液进行萃取，通过萃取条件的控制，将滤液中的 Mg 离子与萃取剂中 Na</w:t>
      </w:r>
      <w:r>
        <w:rPr>
          <w:rFonts w:ascii="Times New Roman" w:hAnsi="Times New Roman" w:cs="Times New Roman"/>
          <w:szCs w:val="24"/>
          <w:u w:val="single"/>
          <w:vertAlign w:val="superscript"/>
        </w:rPr>
        <w:t>+</w:t>
      </w:r>
      <w:r>
        <w:rPr>
          <w:rFonts w:ascii="Times New Roman" w:hAnsi="Times New Roman" w:cs="Times New Roman"/>
          <w:szCs w:val="24"/>
          <w:u w:val="single"/>
        </w:rPr>
        <w:t>进行置换，成为负载有机相，然后再与硫酸进行反萃，生成MgSO</w:t>
      </w:r>
      <w:r>
        <w:rPr>
          <w:rFonts w:ascii="Times New Roman" w:hAnsi="Times New Roman" w:cs="Times New Roman"/>
          <w:szCs w:val="24"/>
          <w:u w:val="single"/>
          <w:vertAlign w:val="subscript"/>
        </w:rPr>
        <w:t>4</w:t>
      </w:r>
      <w:r>
        <w:rPr>
          <w:rFonts w:ascii="Times New Roman" w:hAnsi="Times New Roman" w:cs="Times New Roman"/>
          <w:szCs w:val="24"/>
          <w:u w:val="single"/>
        </w:rPr>
        <w:t>溶液，萃取剂返回第4工段萃取槽。得到的硫酸镁溶液送浓缩釜和结晶釜加新蒸汽进行浓缩结晶，硫酸镁结晶通过离心机分离脱水后得到成品MgSO</w:t>
      </w:r>
      <w:r>
        <w:rPr>
          <w:rFonts w:ascii="Times New Roman" w:hAnsi="Times New Roman" w:cs="Times New Roman"/>
          <w:szCs w:val="24"/>
          <w:u w:val="single"/>
          <w:vertAlign w:val="subscript"/>
        </w:rPr>
        <w:t>4</w:t>
      </w:r>
      <w:r>
        <w:rPr>
          <w:rFonts w:ascii="Times New Roman" w:hAnsi="Times New Roman" w:cs="Times New Roman"/>
          <w:szCs w:val="24"/>
          <w:u w:val="single"/>
        </w:rPr>
        <w:t>。C272萃取槽中的水相为硫酸镍溶液，送浓缩釜和结晶釜加新蒸汽进行浓缩结晶，硫酸镁结晶通过离心机分离脱水后得到电池级硫酸镍。</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5）浓缩脱钠</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三元系统产出的沉锂前液要先进行浓缩脱钠。进入蒸发结晶工序（采用MVR蒸发）浓缩脱钠，经蒸发、结晶、离心机脱水、盘式干燥机干燥、包装后产出元明粉产品（工业级硫酸钠），冷凝水回用前序工艺，离心液含锂进入沉锂工序。</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6）沉锂</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滤液</w:t>
      </w:r>
      <w:r>
        <w:rPr>
          <w:rFonts w:ascii="Times New Roman" w:hAnsi="Times New Roman" w:cs="Times New Roman"/>
          <w:szCs w:val="24"/>
          <w:u w:val="single"/>
        </w:rPr>
        <w:t>加入碳酸钠反应生成碳酸锂和硫酸钠，</w:t>
      </w:r>
      <w:r>
        <w:rPr>
          <w:rFonts w:ascii="Times New Roman" w:hAnsi="Times New Roman" w:cs="Times New Roman"/>
          <w:u w:val="single"/>
        </w:rPr>
        <w:t>碳酸锂经过离心洗涤、烘干、破碎后进行包装。硫酸钠溶液返回上一步蒸发结晶工序进行进一步浓缩回用。</w:t>
      </w:r>
    </w:p>
    <w:p>
      <w:pPr>
        <w:pStyle w:val="4"/>
        <w:rPr>
          <w:rFonts w:ascii="Times New Roman" w:hAnsi="Times New Roman" w:cs="Times New Roman"/>
          <w:szCs w:val="28"/>
        </w:rPr>
      </w:pPr>
      <w:bookmarkStart w:id="165" w:name="_Toc144236761"/>
      <w:bookmarkStart w:id="166" w:name="_Toc144276891"/>
      <w:bookmarkStart w:id="167" w:name="_Toc147848011"/>
      <w:r>
        <w:rPr>
          <w:rFonts w:ascii="Times New Roman" w:hAnsi="Times New Roman" w:cs="Times New Roman"/>
          <w:szCs w:val="28"/>
        </w:rPr>
        <w:t xml:space="preserve">3.2.3 </w:t>
      </w:r>
      <w:r>
        <w:rPr>
          <w:rFonts w:ascii="Times New Roman" w:hAnsi="Times New Roman" w:cs="Times New Roman"/>
        </w:rPr>
        <w:t>运营期</w:t>
      </w:r>
      <w:r>
        <w:rPr>
          <w:rFonts w:ascii="Times New Roman" w:hAnsi="Times New Roman" w:cs="Times New Roman"/>
          <w:szCs w:val="28"/>
        </w:rPr>
        <w:t>产污环节汇总</w:t>
      </w:r>
      <w:bookmarkEnd w:id="165"/>
      <w:bookmarkEnd w:id="166"/>
      <w:bookmarkEnd w:id="167"/>
    </w:p>
    <w:p>
      <w:pPr>
        <w:spacing w:line="360" w:lineRule="auto"/>
        <w:ind w:firstLine="480"/>
        <w:rPr>
          <w:rFonts w:ascii="Times New Roman" w:hAnsi="Times New Roman" w:cs="Times New Roman"/>
        </w:rPr>
      </w:pPr>
      <w:r>
        <w:rPr>
          <w:rFonts w:ascii="Times New Roman" w:hAnsi="Times New Roman" w:cs="Times New Roman"/>
        </w:rPr>
        <w:t>本项目产污环节分析见下表。</w:t>
      </w:r>
    </w:p>
    <w:p>
      <w:pPr>
        <w:pStyle w:val="6"/>
      </w:pPr>
      <w:r>
        <w:t>表</w:t>
      </w:r>
      <w:r>
        <w:rPr>
          <w:rFonts w:hint="eastAsia"/>
        </w:rPr>
        <w:t xml:space="preserve">3.2-5  </w:t>
      </w:r>
      <w:r>
        <w:t>本项目产污环节分析表</w:t>
      </w:r>
    </w:p>
    <w:tbl>
      <w:tblPr>
        <w:tblStyle w:val="3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1387"/>
        <w:gridCol w:w="1699"/>
        <w:gridCol w:w="1734"/>
        <w:gridCol w:w="1807"/>
        <w:gridCol w:w="11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Align w:val="center"/>
          </w:tcPr>
          <w:p>
            <w:pPr>
              <w:pStyle w:val="63"/>
            </w:pPr>
            <w:r>
              <w:t>类别</w:t>
            </w:r>
          </w:p>
        </w:tc>
        <w:tc>
          <w:tcPr>
            <w:tcW w:w="1387" w:type="dxa"/>
            <w:vAlign w:val="center"/>
          </w:tcPr>
          <w:p>
            <w:pPr>
              <w:pStyle w:val="63"/>
            </w:pPr>
            <w:r>
              <w:t>生产工序</w:t>
            </w:r>
          </w:p>
        </w:tc>
        <w:tc>
          <w:tcPr>
            <w:tcW w:w="1699" w:type="dxa"/>
            <w:vAlign w:val="center"/>
          </w:tcPr>
          <w:p>
            <w:pPr>
              <w:pStyle w:val="63"/>
            </w:pPr>
            <w:r>
              <w:t>产生环节及名称</w:t>
            </w:r>
          </w:p>
        </w:tc>
        <w:tc>
          <w:tcPr>
            <w:tcW w:w="1734" w:type="dxa"/>
            <w:vAlign w:val="center"/>
          </w:tcPr>
          <w:p>
            <w:pPr>
              <w:pStyle w:val="63"/>
            </w:pPr>
            <w:r>
              <w:t>主要污染物</w:t>
            </w:r>
          </w:p>
        </w:tc>
        <w:tc>
          <w:tcPr>
            <w:tcW w:w="1807" w:type="dxa"/>
            <w:vAlign w:val="center"/>
          </w:tcPr>
          <w:p>
            <w:pPr>
              <w:pStyle w:val="63"/>
            </w:pPr>
            <w:r>
              <w:t>处理方式</w:t>
            </w:r>
          </w:p>
        </w:tc>
        <w:tc>
          <w:tcPr>
            <w:tcW w:w="1190" w:type="dxa"/>
            <w:vAlign w:val="center"/>
          </w:tcPr>
          <w:p>
            <w:pPr>
              <w:pStyle w:val="63"/>
            </w:pPr>
            <w:r>
              <w:t>排放去向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restart"/>
            <w:vAlign w:val="center"/>
          </w:tcPr>
          <w:p>
            <w:pPr>
              <w:pStyle w:val="63"/>
            </w:pPr>
            <w:r>
              <w:t>废气</w:t>
            </w:r>
          </w:p>
        </w:tc>
        <w:tc>
          <w:tcPr>
            <w:tcW w:w="1387" w:type="dxa"/>
            <w:vAlign w:val="center"/>
          </w:tcPr>
          <w:p>
            <w:pPr>
              <w:pStyle w:val="63"/>
            </w:pPr>
            <w:r>
              <w:t>梯次利用</w:t>
            </w:r>
          </w:p>
        </w:tc>
        <w:tc>
          <w:tcPr>
            <w:tcW w:w="1699" w:type="dxa"/>
            <w:vAlign w:val="center"/>
          </w:tcPr>
          <w:p>
            <w:pPr>
              <w:pStyle w:val="63"/>
            </w:pPr>
            <w:r>
              <w:t>焊接</w:t>
            </w:r>
          </w:p>
        </w:tc>
        <w:tc>
          <w:tcPr>
            <w:tcW w:w="1734" w:type="dxa"/>
            <w:vAlign w:val="center"/>
          </w:tcPr>
          <w:p>
            <w:pPr>
              <w:pStyle w:val="63"/>
            </w:pPr>
            <w:r>
              <w:t>焊接烟尘</w:t>
            </w:r>
          </w:p>
        </w:tc>
        <w:tc>
          <w:tcPr>
            <w:tcW w:w="1807" w:type="dxa"/>
            <w:vAlign w:val="center"/>
          </w:tcPr>
          <w:p>
            <w:pPr>
              <w:pStyle w:val="63"/>
            </w:pPr>
            <w:r>
              <w:t>微负压收集+烟雾净化设备</w:t>
            </w:r>
          </w:p>
        </w:tc>
        <w:tc>
          <w:tcPr>
            <w:tcW w:w="1190" w:type="dxa"/>
            <w:vAlign w:val="center"/>
          </w:tcPr>
          <w:p>
            <w:pPr>
              <w:pStyle w:val="63"/>
            </w:pPr>
            <w:r>
              <w:t>无组织排放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restart"/>
            <w:vAlign w:val="center"/>
          </w:tcPr>
          <w:p>
            <w:pPr>
              <w:pStyle w:val="63"/>
            </w:pPr>
            <w:r>
              <w:t>预处理系统</w:t>
            </w:r>
          </w:p>
        </w:tc>
        <w:tc>
          <w:tcPr>
            <w:tcW w:w="1699" w:type="dxa"/>
            <w:vAlign w:val="center"/>
          </w:tcPr>
          <w:p>
            <w:pPr>
              <w:pStyle w:val="63"/>
            </w:pPr>
            <w:r>
              <w:t>破碎废气</w:t>
            </w:r>
          </w:p>
        </w:tc>
        <w:tc>
          <w:tcPr>
            <w:tcW w:w="1734" w:type="dxa"/>
            <w:vAlign w:val="center"/>
          </w:tcPr>
          <w:p>
            <w:pPr>
              <w:pStyle w:val="63"/>
            </w:pPr>
            <w:r>
              <w:t>颗粒物、非甲烷总烃、Ni、Co、Mn</w:t>
            </w:r>
          </w:p>
        </w:tc>
        <w:tc>
          <w:tcPr>
            <w:tcW w:w="1807" w:type="dxa"/>
            <w:vMerge w:val="restart"/>
            <w:vAlign w:val="center"/>
          </w:tcPr>
          <w:p>
            <w:pPr>
              <w:pStyle w:val="63"/>
            </w:pPr>
            <w:r>
              <w:t>进入废气焚烧炉</w:t>
            </w: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continue"/>
            <w:vAlign w:val="center"/>
          </w:tcPr>
          <w:p>
            <w:pPr>
              <w:pStyle w:val="63"/>
            </w:pPr>
          </w:p>
        </w:tc>
        <w:tc>
          <w:tcPr>
            <w:tcW w:w="1699" w:type="dxa"/>
            <w:vAlign w:val="center"/>
          </w:tcPr>
          <w:p>
            <w:pPr>
              <w:pStyle w:val="63"/>
            </w:pPr>
            <w:r>
              <w:t>热解废气</w:t>
            </w:r>
          </w:p>
        </w:tc>
        <w:tc>
          <w:tcPr>
            <w:tcW w:w="1734" w:type="dxa"/>
            <w:vAlign w:val="center"/>
          </w:tcPr>
          <w:p>
            <w:pPr>
              <w:pStyle w:val="63"/>
            </w:pPr>
            <w:r>
              <w:t>非甲烷总烃、氟化物</w:t>
            </w:r>
          </w:p>
        </w:tc>
        <w:tc>
          <w:tcPr>
            <w:tcW w:w="1807" w:type="dxa"/>
            <w:vMerge w:val="continue"/>
            <w:vAlign w:val="center"/>
          </w:tcPr>
          <w:p>
            <w:pPr>
              <w:pStyle w:val="63"/>
            </w:pP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continue"/>
            <w:vAlign w:val="center"/>
          </w:tcPr>
          <w:p>
            <w:pPr>
              <w:pStyle w:val="63"/>
            </w:pPr>
          </w:p>
        </w:tc>
        <w:tc>
          <w:tcPr>
            <w:tcW w:w="1699" w:type="dxa"/>
            <w:vAlign w:val="center"/>
          </w:tcPr>
          <w:p>
            <w:pPr>
              <w:pStyle w:val="63"/>
            </w:pPr>
            <w:r>
              <w:t>焚烧炉烟气+天然气燃烧废气</w:t>
            </w:r>
          </w:p>
        </w:tc>
        <w:tc>
          <w:tcPr>
            <w:tcW w:w="1734" w:type="dxa"/>
            <w:vAlign w:val="center"/>
          </w:tcPr>
          <w:p>
            <w:pPr>
              <w:pStyle w:val="63"/>
            </w:pPr>
            <w:r>
              <w:t>SO</w:t>
            </w:r>
            <w:r>
              <w:rPr>
                <w:vertAlign w:val="subscript"/>
              </w:rPr>
              <w:t>2</w:t>
            </w:r>
            <w:r>
              <w:t>、NOx、颗粒物、非甲烷总烃、HF</w:t>
            </w:r>
          </w:p>
        </w:tc>
        <w:tc>
          <w:tcPr>
            <w:tcW w:w="1807" w:type="dxa"/>
            <w:vAlign w:val="center"/>
          </w:tcPr>
          <w:p>
            <w:pPr>
              <w:pStyle w:val="63"/>
            </w:pPr>
            <w:r>
              <w:t>急冷+三级水洗+碱液喷淋+30m排气筒</w:t>
            </w:r>
          </w:p>
        </w:tc>
        <w:tc>
          <w:tcPr>
            <w:tcW w:w="1190" w:type="dxa"/>
            <w:vAlign w:val="center"/>
          </w:tcPr>
          <w:p>
            <w:pPr>
              <w:pStyle w:val="63"/>
            </w:pPr>
            <w:r>
              <w:t>排气筒排放（P1）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Align w:val="center"/>
          </w:tcPr>
          <w:p>
            <w:pPr>
              <w:pStyle w:val="63"/>
            </w:pPr>
            <w:r>
              <w:t>浸出车间</w:t>
            </w:r>
          </w:p>
        </w:tc>
        <w:tc>
          <w:tcPr>
            <w:tcW w:w="1699" w:type="dxa"/>
            <w:vAlign w:val="center"/>
          </w:tcPr>
          <w:p>
            <w:pPr>
              <w:pStyle w:val="63"/>
            </w:pPr>
            <w:r>
              <w:t>酸浸反应槽废气</w:t>
            </w:r>
          </w:p>
        </w:tc>
        <w:tc>
          <w:tcPr>
            <w:tcW w:w="1734" w:type="dxa"/>
            <w:vAlign w:val="center"/>
          </w:tcPr>
          <w:p>
            <w:pPr>
              <w:pStyle w:val="63"/>
            </w:pPr>
            <w:r>
              <w:t>硫酸雾</w:t>
            </w:r>
          </w:p>
        </w:tc>
        <w:tc>
          <w:tcPr>
            <w:tcW w:w="1807" w:type="dxa"/>
            <w:vAlign w:val="center"/>
          </w:tcPr>
          <w:p>
            <w:pPr>
              <w:pStyle w:val="63"/>
            </w:pPr>
            <w:r>
              <w:t>碱液喷淋</w:t>
            </w:r>
            <w:r>
              <w:rPr>
                <w:rFonts w:hint="eastAsia"/>
              </w:rPr>
              <w:t>+20m</w:t>
            </w:r>
            <w:r>
              <w:t>排气筒</w:t>
            </w:r>
          </w:p>
        </w:tc>
        <w:tc>
          <w:tcPr>
            <w:tcW w:w="1190" w:type="dxa"/>
            <w:vAlign w:val="center"/>
          </w:tcPr>
          <w:p>
            <w:pPr>
              <w:pStyle w:val="63"/>
            </w:pPr>
            <w:r>
              <w:t>排气筒排放（P2）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Align w:val="center"/>
          </w:tcPr>
          <w:p>
            <w:pPr>
              <w:pStyle w:val="63"/>
            </w:pPr>
            <w:r>
              <w:t>萃取废气</w:t>
            </w:r>
          </w:p>
        </w:tc>
        <w:tc>
          <w:tcPr>
            <w:tcW w:w="1699" w:type="dxa"/>
            <w:vAlign w:val="center"/>
          </w:tcPr>
          <w:p>
            <w:pPr>
              <w:pStyle w:val="63"/>
            </w:pPr>
            <w:r>
              <w:t>萃取废气</w:t>
            </w:r>
          </w:p>
        </w:tc>
        <w:tc>
          <w:tcPr>
            <w:tcW w:w="1734" w:type="dxa"/>
            <w:vAlign w:val="center"/>
          </w:tcPr>
          <w:p>
            <w:pPr>
              <w:pStyle w:val="63"/>
            </w:pPr>
            <w:r>
              <w:t>非甲烷总烃、硫酸雾</w:t>
            </w:r>
          </w:p>
        </w:tc>
        <w:tc>
          <w:tcPr>
            <w:tcW w:w="1807" w:type="dxa"/>
            <w:vAlign w:val="center"/>
          </w:tcPr>
          <w:p>
            <w:pPr>
              <w:pStyle w:val="63"/>
            </w:pPr>
            <w:r>
              <w:rPr>
                <w:rFonts w:hint="eastAsia"/>
              </w:rPr>
              <w:t>酸雾净化+干式过滤器+活性炭吸附+15m</w:t>
            </w:r>
            <w:r>
              <w:t>排气筒</w:t>
            </w:r>
          </w:p>
        </w:tc>
        <w:tc>
          <w:tcPr>
            <w:tcW w:w="1190" w:type="dxa"/>
            <w:vAlign w:val="center"/>
          </w:tcPr>
          <w:p>
            <w:pPr>
              <w:pStyle w:val="63"/>
            </w:pPr>
            <w:r>
              <w:t>排气筒排放（P3）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Align w:val="center"/>
          </w:tcPr>
          <w:p>
            <w:pPr>
              <w:pStyle w:val="63"/>
            </w:pPr>
            <w:r>
              <w:t>储罐区</w:t>
            </w:r>
          </w:p>
        </w:tc>
        <w:tc>
          <w:tcPr>
            <w:tcW w:w="1699" w:type="dxa"/>
            <w:vAlign w:val="center"/>
          </w:tcPr>
          <w:p>
            <w:pPr>
              <w:pStyle w:val="63"/>
            </w:pPr>
            <w:r>
              <w:t>硫酸存储</w:t>
            </w:r>
          </w:p>
        </w:tc>
        <w:tc>
          <w:tcPr>
            <w:tcW w:w="1734" w:type="dxa"/>
            <w:vAlign w:val="center"/>
          </w:tcPr>
          <w:p>
            <w:pPr>
              <w:pStyle w:val="63"/>
            </w:pPr>
            <w:r>
              <w:t>硫酸雾</w:t>
            </w:r>
          </w:p>
        </w:tc>
        <w:tc>
          <w:tcPr>
            <w:tcW w:w="1807" w:type="dxa"/>
            <w:vAlign w:val="center"/>
          </w:tcPr>
          <w:p>
            <w:pPr>
              <w:pStyle w:val="63"/>
            </w:pPr>
            <w:r>
              <w:t>/</w:t>
            </w:r>
          </w:p>
        </w:tc>
        <w:tc>
          <w:tcPr>
            <w:tcW w:w="1190" w:type="dxa"/>
            <w:vAlign w:val="center"/>
          </w:tcPr>
          <w:p>
            <w:pPr>
              <w:pStyle w:val="63"/>
            </w:pPr>
            <w: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3086" w:type="dxa"/>
            <w:gridSpan w:val="2"/>
            <w:vAlign w:val="center"/>
          </w:tcPr>
          <w:p>
            <w:pPr>
              <w:pStyle w:val="63"/>
            </w:pPr>
            <w:r>
              <w:t>生物质锅炉</w:t>
            </w:r>
          </w:p>
        </w:tc>
        <w:tc>
          <w:tcPr>
            <w:tcW w:w="1734" w:type="dxa"/>
            <w:vAlign w:val="center"/>
          </w:tcPr>
          <w:p>
            <w:pPr>
              <w:pStyle w:val="63"/>
            </w:pPr>
            <w:r>
              <w:t>SO</w:t>
            </w:r>
            <w:r>
              <w:rPr>
                <w:vertAlign w:val="subscript"/>
              </w:rPr>
              <w:t>2</w:t>
            </w:r>
            <w:r>
              <w:t>、NOx、颗粒物</w:t>
            </w:r>
          </w:p>
        </w:tc>
        <w:tc>
          <w:tcPr>
            <w:tcW w:w="1807" w:type="dxa"/>
            <w:vAlign w:val="center"/>
          </w:tcPr>
          <w:p>
            <w:pPr>
              <w:pStyle w:val="63"/>
            </w:pPr>
            <w:r>
              <w:rPr>
                <w:rFonts w:hint="eastAsia"/>
              </w:rPr>
              <w:t>低氮燃烧+布袋除尘+40m</w:t>
            </w:r>
            <w:r>
              <w:t>排气筒</w:t>
            </w:r>
          </w:p>
        </w:tc>
        <w:tc>
          <w:tcPr>
            <w:tcW w:w="1190" w:type="dxa"/>
            <w:vAlign w:val="center"/>
          </w:tcPr>
          <w:p>
            <w:pPr>
              <w:pStyle w:val="63"/>
            </w:pPr>
            <w:r>
              <w:t>排气筒排放（P4）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Align w:val="center"/>
          </w:tcPr>
          <w:p>
            <w:pPr>
              <w:pStyle w:val="63"/>
            </w:pPr>
            <w:r>
              <w:t>萃取车间</w:t>
            </w:r>
          </w:p>
        </w:tc>
        <w:tc>
          <w:tcPr>
            <w:tcW w:w="1699" w:type="dxa"/>
            <w:vAlign w:val="center"/>
          </w:tcPr>
          <w:p>
            <w:pPr>
              <w:pStyle w:val="63"/>
            </w:pPr>
            <w:r>
              <w:t>萃取剂存储</w:t>
            </w:r>
          </w:p>
        </w:tc>
        <w:tc>
          <w:tcPr>
            <w:tcW w:w="1734" w:type="dxa"/>
            <w:vAlign w:val="center"/>
          </w:tcPr>
          <w:p>
            <w:pPr>
              <w:pStyle w:val="63"/>
            </w:pPr>
            <w:r>
              <w:t>非甲烷总烃</w:t>
            </w:r>
          </w:p>
        </w:tc>
        <w:tc>
          <w:tcPr>
            <w:tcW w:w="1807" w:type="dxa"/>
            <w:vAlign w:val="center"/>
          </w:tcPr>
          <w:p>
            <w:pPr>
              <w:pStyle w:val="63"/>
            </w:pPr>
            <w:r>
              <w:t>/</w:t>
            </w:r>
          </w:p>
        </w:tc>
        <w:tc>
          <w:tcPr>
            <w:tcW w:w="1190" w:type="dxa"/>
            <w:vAlign w:val="center"/>
          </w:tcPr>
          <w:p>
            <w:pPr>
              <w:pStyle w:val="63"/>
            </w:pPr>
            <w: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Align w:val="center"/>
          </w:tcPr>
          <w:p>
            <w:pPr>
              <w:pStyle w:val="63"/>
            </w:pPr>
            <w:r>
              <w:t>浸出车间和萃取车间</w:t>
            </w:r>
          </w:p>
        </w:tc>
        <w:tc>
          <w:tcPr>
            <w:tcW w:w="1699" w:type="dxa"/>
            <w:vAlign w:val="center"/>
          </w:tcPr>
          <w:p>
            <w:pPr>
              <w:pStyle w:val="63"/>
            </w:pPr>
            <w:r>
              <w:t>跑冒滴漏</w:t>
            </w:r>
          </w:p>
        </w:tc>
        <w:tc>
          <w:tcPr>
            <w:tcW w:w="1734" w:type="dxa"/>
            <w:vAlign w:val="center"/>
          </w:tcPr>
          <w:p>
            <w:pPr>
              <w:pStyle w:val="63"/>
            </w:pPr>
            <w:r>
              <w:t>硫酸雾</w:t>
            </w:r>
          </w:p>
        </w:tc>
        <w:tc>
          <w:tcPr>
            <w:tcW w:w="1807" w:type="dxa"/>
            <w:vAlign w:val="center"/>
          </w:tcPr>
          <w:p>
            <w:pPr>
              <w:pStyle w:val="63"/>
            </w:pPr>
            <w:r>
              <w:t>/</w:t>
            </w:r>
          </w:p>
        </w:tc>
        <w:tc>
          <w:tcPr>
            <w:tcW w:w="1190" w:type="dxa"/>
            <w:vAlign w:val="center"/>
          </w:tcPr>
          <w:p>
            <w:pPr>
              <w:pStyle w:val="63"/>
            </w:pPr>
            <w: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Align w:val="center"/>
          </w:tcPr>
          <w:p>
            <w:pPr>
              <w:pStyle w:val="63"/>
            </w:pPr>
            <w:r>
              <w:t>食堂</w:t>
            </w:r>
          </w:p>
        </w:tc>
        <w:tc>
          <w:tcPr>
            <w:tcW w:w="1699" w:type="dxa"/>
            <w:vAlign w:val="center"/>
          </w:tcPr>
          <w:p>
            <w:pPr>
              <w:pStyle w:val="63"/>
            </w:pPr>
            <w:r>
              <w:t>食堂</w:t>
            </w:r>
          </w:p>
        </w:tc>
        <w:tc>
          <w:tcPr>
            <w:tcW w:w="1734" w:type="dxa"/>
            <w:vAlign w:val="center"/>
          </w:tcPr>
          <w:p>
            <w:pPr>
              <w:pStyle w:val="63"/>
            </w:pPr>
            <w:r>
              <w:t>油烟</w:t>
            </w:r>
          </w:p>
        </w:tc>
        <w:tc>
          <w:tcPr>
            <w:tcW w:w="1807" w:type="dxa"/>
            <w:vAlign w:val="center"/>
          </w:tcPr>
          <w:p>
            <w:pPr>
              <w:pStyle w:val="63"/>
            </w:pPr>
            <w:r>
              <w:t>油烟净化装置</w:t>
            </w:r>
          </w:p>
        </w:tc>
        <w:tc>
          <w:tcPr>
            <w:tcW w:w="1190" w:type="dxa"/>
            <w:vAlign w:val="center"/>
          </w:tcPr>
          <w:p>
            <w:pPr>
              <w:pStyle w:val="63"/>
            </w:pPr>
            <w:r>
              <w:t>屋顶排放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restart"/>
            <w:vAlign w:val="center"/>
          </w:tcPr>
          <w:p>
            <w:pPr>
              <w:pStyle w:val="63"/>
            </w:pPr>
            <w:r>
              <w:t>固体废物</w:t>
            </w:r>
          </w:p>
        </w:tc>
        <w:tc>
          <w:tcPr>
            <w:tcW w:w="1387" w:type="dxa"/>
            <w:vMerge w:val="restart"/>
            <w:vAlign w:val="center"/>
          </w:tcPr>
          <w:p>
            <w:pPr>
              <w:pStyle w:val="63"/>
            </w:pPr>
            <w:r>
              <w:t>梯次利用</w:t>
            </w:r>
          </w:p>
        </w:tc>
        <w:tc>
          <w:tcPr>
            <w:tcW w:w="1699" w:type="dxa"/>
            <w:vAlign w:val="center"/>
          </w:tcPr>
          <w:p>
            <w:pPr>
              <w:pStyle w:val="63"/>
            </w:pPr>
            <w:r>
              <w:t>电池包铁外壳</w:t>
            </w:r>
          </w:p>
        </w:tc>
        <w:tc>
          <w:tcPr>
            <w:tcW w:w="1734" w:type="dxa"/>
            <w:vAlign w:val="center"/>
          </w:tcPr>
          <w:p>
            <w:pPr>
              <w:pStyle w:val="63"/>
            </w:pPr>
            <w:r>
              <w:t>铁</w:t>
            </w:r>
          </w:p>
        </w:tc>
        <w:tc>
          <w:tcPr>
            <w:tcW w:w="1807" w:type="dxa"/>
            <w:vAlign w:val="center"/>
          </w:tcPr>
          <w:p>
            <w:pPr>
              <w:pStyle w:val="63"/>
            </w:pPr>
            <w:r>
              <w:t>外售</w:t>
            </w: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continue"/>
            <w:vAlign w:val="center"/>
          </w:tcPr>
          <w:p>
            <w:pPr>
              <w:pStyle w:val="63"/>
            </w:pPr>
          </w:p>
        </w:tc>
        <w:tc>
          <w:tcPr>
            <w:tcW w:w="1699" w:type="dxa"/>
            <w:vAlign w:val="center"/>
          </w:tcPr>
          <w:p>
            <w:pPr>
              <w:pStyle w:val="63"/>
            </w:pPr>
            <w:r>
              <w:t>导流排</w:t>
            </w:r>
          </w:p>
        </w:tc>
        <w:tc>
          <w:tcPr>
            <w:tcW w:w="1734" w:type="dxa"/>
            <w:vAlign w:val="center"/>
          </w:tcPr>
          <w:p>
            <w:pPr>
              <w:pStyle w:val="63"/>
            </w:pPr>
            <w:r>
              <w:t>铜</w:t>
            </w:r>
          </w:p>
        </w:tc>
        <w:tc>
          <w:tcPr>
            <w:tcW w:w="1807" w:type="dxa"/>
            <w:vAlign w:val="center"/>
          </w:tcPr>
          <w:p>
            <w:pPr>
              <w:pStyle w:val="63"/>
            </w:pPr>
            <w:r>
              <w:t>外售</w:t>
            </w: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continue"/>
            <w:vAlign w:val="center"/>
          </w:tcPr>
          <w:p>
            <w:pPr>
              <w:pStyle w:val="63"/>
            </w:pPr>
          </w:p>
        </w:tc>
        <w:tc>
          <w:tcPr>
            <w:tcW w:w="1699" w:type="dxa"/>
            <w:vAlign w:val="center"/>
          </w:tcPr>
          <w:p>
            <w:pPr>
              <w:pStyle w:val="63"/>
            </w:pPr>
            <w:r>
              <w:t>线材</w:t>
            </w:r>
          </w:p>
        </w:tc>
        <w:tc>
          <w:tcPr>
            <w:tcW w:w="1734" w:type="dxa"/>
            <w:vAlign w:val="center"/>
          </w:tcPr>
          <w:p>
            <w:pPr>
              <w:pStyle w:val="63"/>
            </w:pPr>
            <w:r>
              <w:t>铜</w:t>
            </w:r>
          </w:p>
        </w:tc>
        <w:tc>
          <w:tcPr>
            <w:tcW w:w="1807" w:type="dxa"/>
            <w:vAlign w:val="center"/>
          </w:tcPr>
          <w:p>
            <w:pPr>
              <w:pStyle w:val="63"/>
            </w:pPr>
            <w:r>
              <w:t>外售</w:t>
            </w: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continue"/>
            <w:vAlign w:val="center"/>
          </w:tcPr>
          <w:p>
            <w:pPr>
              <w:pStyle w:val="63"/>
            </w:pPr>
          </w:p>
        </w:tc>
        <w:tc>
          <w:tcPr>
            <w:tcW w:w="1699" w:type="dxa"/>
            <w:vAlign w:val="center"/>
          </w:tcPr>
          <w:p>
            <w:pPr>
              <w:pStyle w:val="63"/>
            </w:pPr>
            <w:r>
              <w:t>电池包塑料件</w:t>
            </w:r>
          </w:p>
        </w:tc>
        <w:tc>
          <w:tcPr>
            <w:tcW w:w="1734" w:type="dxa"/>
            <w:vAlign w:val="center"/>
          </w:tcPr>
          <w:p>
            <w:pPr>
              <w:pStyle w:val="63"/>
            </w:pPr>
            <w:r>
              <w:t>塑料</w:t>
            </w:r>
          </w:p>
        </w:tc>
        <w:tc>
          <w:tcPr>
            <w:tcW w:w="1807" w:type="dxa"/>
            <w:vAlign w:val="center"/>
          </w:tcPr>
          <w:p>
            <w:pPr>
              <w:pStyle w:val="63"/>
            </w:pPr>
            <w:r>
              <w:t>外售</w:t>
            </w: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continue"/>
            <w:vAlign w:val="center"/>
          </w:tcPr>
          <w:p>
            <w:pPr>
              <w:pStyle w:val="63"/>
            </w:pPr>
          </w:p>
        </w:tc>
        <w:tc>
          <w:tcPr>
            <w:tcW w:w="1699" w:type="dxa"/>
            <w:vAlign w:val="center"/>
          </w:tcPr>
          <w:p>
            <w:pPr>
              <w:pStyle w:val="63"/>
            </w:pPr>
            <w:r>
              <w:t>废BMS模块</w:t>
            </w:r>
          </w:p>
        </w:tc>
        <w:tc>
          <w:tcPr>
            <w:tcW w:w="1734" w:type="dxa"/>
            <w:vAlign w:val="center"/>
          </w:tcPr>
          <w:p>
            <w:pPr>
              <w:pStyle w:val="63"/>
            </w:pPr>
            <w:r>
              <w:t>电路板</w:t>
            </w:r>
          </w:p>
        </w:tc>
        <w:tc>
          <w:tcPr>
            <w:tcW w:w="1807" w:type="dxa"/>
            <w:vAlign w:val="center"/>
          </w:tcPr>
          <w:p>
            <w:pPr>
              <w:pStyle w:val="63"/>
            </w:pPr>
            <w:r>
              <w:t>交由有资质的单位处理</w:t>
            </w: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continue"/>
            <w:vAlign w:val="center"/>
          </w:tcPr>
          <w:p>
            <w:pPr>
              <w:pStyle w:val="63"/>
            </w:pPr>
          </w:p>
        </w:tc>
        <w:tc>
          <w:tcPr>
            <w:tcW w:w="1699" w:type="dxa"/>
            <w:vAlign w:val="center"/>
          </w:tcPr>
          <w:p>
            <w:pPr>
              <w:pStyle w:val="63"/>
            </w:pPr>
            <w:r>
              <w:t>不可利用的电池或破损的电池</w:t>
            </w:r>
          </w:p>
        </w:tc>
        <w:tc>
          <w:tcPr>
            <w:tcW w:w="1734" w:type="dxa"/>
            <w:vAlign w:val="center"/>
          </w:tcPr>
          <w:p>
            <w:pPr>
              <w:pStyle w:val="63"/>
            </w:pPr>
            <w:r>
              <w:t>电池</w:t>
            </w:r>
          </w:p>
        </w:tc>
        <w:tc>
          <w:tcPr>
            <w:tcW w:w="1807" w:type="dxa"/>
            <w:vAlign w:val="center"/>
          </w:tcPr>
          <w:p>
            <w:pPr>
              <w:pStyle w:val="63"/>
            </w:pPr>
            <w:r>
              <w:t>送预处理车间</w:t>
            </w: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restart"/>
            <w:vAlign w:val="center"/>
          </w:tcPr>
          <w:p>
            <w:pPr>
              <w:pStyle w:val="63"/>
            </w:pPr>
            <w:r>
              <w:t>预处理系统</w:t>
            </w:r>
          </w:p>
        </w:tc>
        <w:tc>
          <w:tcPr>
            <w:tcW w:w="1699" w:type="dxa"/>
            <w:vAlign w:val="center"/>
          </w:tcPr>
          <w:p>
            <w:pPr>
              <w:pStyle w:val="63"/>
            </w:pPr>
            <w:r>
              <w:t>拆解过程产生的塑料外壳</w:t>
            </w:r>
          </w:p>
        </w:tc>
        <w:tc>
          <w:tcPr>
            <w:tcW w:w="1734" w:type="dxa"/>
            <w:vAlign w:val="center"/>
          </w:tcPr>
          <w:p>
            <w:pPr>
              <w:pStyle w:val="63"/>
            </w:pPr>
            <w:r>
              <w:t>一般工业固废</w:t>
            </w:r>
          </w:p>
        </w:tc>
        <w:tc>
          <w:tcPr>
            <w:tcW w:w="1807" w:type="dxa"/>
            <w:vAlign w:val="center"/>
          </w:tcPr>
          <w:p>
            <w:pPr>
              <w:pStyle w:val="63"/>
            </w:pPr>
            <w:r>
              <w:t>外售</w:t>
            </w: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continue"/>
            <w:vAlign w:val="center"/>
          </w:tcPr>
          <w:p>
            <w:pPr>
              <w:pStyle w:val="63"/>
            </w:pPr>
          </w:p>
        </w:tc>
        <w:tc>
          <w:tcPr>
            <w:tcW w:w="1699" w:type="dxa"/>
            <w:vAlign w:val="center"/>
          </w:tcPr>
          <w:p>
            <w:pPr>
              <w:pStyle w:val="63"/>
            </w:pPr>
            <w:r>
              <w:t>破碎过程产生的铝、铜、石墨负极</w:t>
            </w:r>
          </w:p>
        </w:tc>
        <w:tc>
          <w:tcPr>
            <w:tcW w:w="1734" w:type="dxa"/>
            <w:vAlign w:val="center"/>
          </w:tcPr>
          <w:p>
            <w:pPr>
              <w:pStyle w:val="63"/>
            </w:pPr>
            <w:r>
              <w:t>一般固废</w:t>
            </w:r>
          </w:p>
        </w:tc>
        <w:tc>
          <w:tcPr>
            <w:tcW w:w="1807" w:type="dxa"/>
            <w:vAlign w:val="center"/>
          </w:tcPr>
          <w:p>
            <w:pPr>
              <w:pStyle w:val="63"/>
            </w:pPr>
            <w:r>
              <w:t>外售</w:t>
            </w: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restart"/>
            <w:vAlign w:val="center"/>
          </w:tcPr>
          <w:p>
            <w:pPr>
              <w:pStyle w:val="63"/>
            </w:pPr>
            <w:r>
              <w:t>酸浸、萃取</w:t>
            </w:r>
          </w:p>
        </w:tc>
        <w:tc>
          <w:tcPr>
            <w:tcW w:w="1699" w:type="dxa"/>
            <w:vAlign w:val="center"/>
          </w:tcPr>
          <w:p>
            <w:pPr>
              <w:pStyle w:val="63"/>
            </w:pPr>
            <w:r>
              <w:t>石墨</w:t>
            </w:r>
          </w:p>
        </w:tc>
        <w:tc>
          <w:tcPr>
            <w:tcW w:w="1734" w:type="dxa"/>
            <w:vAlign w:val="center"/>
          </w:tcPr>
          <w:p>
            <w:pPr>
              <w:pStyle w:val="63"/>
            </w:pPr>
            <w:r>
              <w:t>一般固废</w:t>
            </w:r>
          </w:p>
        </w:tc>
        <w:tc>
          <w:tcPr>
            <w:tcW w:w="1807" w:type="dxa"/>
            <w:vMerge w:val="restart"/>
            <w:vAlign w:val="center"/>
          </w:tcPr>
          <w:p>
            <w:pPr>
              <w:pStyle w:val="63"/>
            </w:pPr>
            <w:r>
              <w:t>外售</w:t>
            </w: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continue"/>
            <w:vAlign w:val="center"/>
          </w:tcPr>
          <w:p>
            <w:pPr>
              <w:pStyle w:val="63"/>
            </w:pPr>
          </w:p>
        </w:tc>
        <w:tc>
          <w:tcPr>
            <w:tcW w:w="1699" w:type="dxa"/>
            <w:vAlign w:val="center"/>
          </w:tcPr>
          <w:p>
            <w:pPr>
              <w:pStyle w:val="63"/>
            </w:pPr>
            <w:r>
              <w:t>铁铝渣</w:t>
            </w:r>
          </w:p>
        </w:tc>
        <w:tc>
          <w:tcPr>
            <w:tcW w:w="1734" w:type="dxa"/>
            <w:vAlign w:val="center"/>
          </w:tcPr>
          <w:p>
            <w:pPr>
              <w:pStyle w:val="63"/>
            </w:pPr>
            <w:r>
              <w:t>一般固废</w:t>
            </w:r>
          </w:p>
        </w:tc>
        <w:tc>
          <w:tcPr>
            <w:tcW w:w="1807" w:type="dxa"/>
            <w:vMerge w:val="continue"/>
            <w:vAlign w:val="center"/>
          </w:tcPr>
          <w:p>
            <w:pPr>
              <w:pStyle w:val="63"/>
            </w:pP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continue"/>
            <w:vAlign w:val="center"/>
          </w:tcPr>
          <w:p>
            <w:pPr>
              <w:pStyle w:val="63"/>
            </w:pPr>
          </w:p>
        </w:tc>
        <w:tc>
          <w:tcPr>
            <w:tcW w:w="1699" w:type="dxa"/>
            <w:vAlign w:val="center"/>
          </w:tcPr>
          <w:p>
            <w:pPr>
              <w:pStyle w:val="63"/>
            </w:pPr>
            <w:r>
              <w:t>废弃盐类物质</w:t>
            </w:r>
          </w:p>
        </w:tc>
        <w:tc>
          <w:tcPr>
            <w:tcW w:w="1734" w:type="dxa"/>
            <w:vAlign w:val="center"/>
          </w:tcPr>
          <w:p>
            <w:pPr>
              <w:pStyle w:val="63"/>
            </w:pPr>
            <w:r>
              <w:t>一般固废</w:t>
            </w:r>
          </w:p>
          <w:p>
            <w:pPr>
              <w:pStyle w:val="63"/>
            </w:pPr>
            <w:r>
              <w:t>危险废物</w:t>
            </w:r>
          </w:p>
        </w:tc>
        <w:tc>
          <w:tcPr>
            <w:tcW w:w="1807" w:type="dxa"/>
            <w:vAlign w:val="center"/>
          </w:tcPr>
          <w:p>
            <w:pPr>
              <w:pStyle w:val="63"/>
            </w:pPr>
            <w:r>
              <w:t>投产后根据毒性浸出实验结果判别属性；在未明确属性情况下，严格按危废管理要求进行管理</w:t>
            </w: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restart"/>
            <w:vAlign w:val="center"/>
          </w:tcPr>
          <w:p>
            <w:pPr>
              <w:pStyle w:val="63"/>
            </w:pPr>
            <w:r>
              <w:t>三废处理</w:t>
            </w:r>
          </w:p>
        </w:tc>
        <w:tc>
          <w:tcPr>
            <w:tcW w:w="1699" w:type="dxa"/>
            <w:vAlign w:val="center"/>
          </w:tcPr>
          <w:p>
            <w:pPr>
              <w:pStyle w:val="63"/>
            </w:pPr>
            <w:r>
              <w:t>氟化钙</w:t>
            </w:r>
          </w:p>
        </w:tc>
        <w:tc>
          <w:tcPr>
            <w:tcW w:w="1734" w:type="dxa"/>
            <w:vAlign w:val="center"/>
          </w:tcPr>
          <w:p>
            <w:pPr>
              <w:pStyle w:val="63"/>
            </w:pPr>
            <w:r>
              <w:t>一般固废</w:t>
            </w:r>
          </w:p>
        </w:tc>
        <w:tc>
          <w:tcPr>
            <w:tcW w:w="1807" w:type="dxa"/>
            <w:vAlign w:val="center"/>
          </w:tcPr>
          <w:p>
            <w:pPr>
              <w:pStyle w:val="63"/>
            </w:pPr>
            <w:r>
              <w:t>外售</w:t>
            </w: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continue"/>
            <w:vAlign w:val="center"/>
          </w:tcPr>
          <w:p>
            <w:pPr>
              <w:pStyle w:val="63"/>
            </w:pPr>
          </w:p>
        </w:tc>
        <w:tc>
          <w:tcPr>
            <w:tcW w:w="1699" w:type="dxa"/>
            <w:vAlign w:val="center"/>
          </w:tcPr>
          <w:p>
            <w:pPr>
              <w:pStyle w:val="63"/>
            </w:pPr>
            <w:r>
              <w:t>废活性炭</w:t>
            </w:r>
          </w:p>
        </w:tc>
        <w:tc>
          <w:tcPr>
            <w:tcW w:w="1734" w:type="dxa"/>
            <w:vAlign w:val="center"/>
          </w:tcPr>
          <w:p>
            <w:pPr>
              <w:pStyle w:val="63"/>
            </w:pPr>
            <w:r>
              <w:t>危险废物</w:t>
            </w:r>
          </w:p>
        </w:tc>
        <w:tc>
          <w:tcPr>
            <w:tcW w:w="1807" w:type="dxa"/>
            <w:vMerge w:val="restart"/>
            <w:vAlign w:val="center"/>
          </w:tcPr>
          <w:p>
            <w:pPr>
              <w:pStyle w:val="63"/>
            </w:pPr>
            <w:r>
              <w:t>交由有资质的单位处理</w:t>
            </w: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continue"/>
            <w:vAlign w:val="center"/>
          </w:tcPr>
          <w:p>
            <w:pPr>
              <w:pStyle w:val="63"/>
            </w:pPr>
          </w:p>
        </w:tc>
        <w:tc>
          <w:tcPr>
            <w:tcW w:w="1699" w:type="dxa"/>
            <w:vAlign w:val="center"/>
          </w:tcPr>
          <w:p>
            <w:pPr>
              <w:pStyle w:val="63"/>
            </w:pPr>
            <w:r>
              <w:t>废过滤棉</w:t>
            </w:r>
          </w:p>
        </w:tc>
        <w:tc>
          <w:tcPr>
            <w:tcW w:w="1734" w:type="dxa"/>
            <w:vAlign w:val="center"/>
          </w:tcPr>
          <w:p>
            <w:pPr>
              <w:pStyle w:val="63"/>
            </w:pPr>
            <w:r>
              <w:t>危险废物</w:t>
            </w:r>
          </w:p>
        </w:tc>
        <w:tc>
          <w:tcPr>
            <w:tcW w:w="1807" w:type="dxa"/>
            <w:vMerge w:val="continue"/>
            <w:vAlign w:val="center"/>
          </w:tcPr>
          <w:p>
            <w:pPr>
              <w:pStyle w:val="63"/>
            </w:pP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continue"/>
            <w:vAlign w:val="center"/>
          </w:tcPr>
          <w:p>
            <w:pPr>
              <w:pStyle w:val="63"/>
            </w:pPr>
          </w:p>
        </w:tc>
        <w:tc>
          <w:tcPr>
            <w:tcW w:w="1699" w:type="dxa"/>
            <w:vAlign w:val="center"/>
          </w:tcPr>
          <w:p>
            <w:pPr>
              <w:pStyle w:val="63"/>
            </w:pPr>
            <w:r>
              <w:t>废机油</w:t>
            </w:r>
          </w:p>
        </w:tc>
        <w:tc>
          <w:tcPr>
            <w:tcW w:w="1734" w:type="dxa"/>
            <w:vAlign w:val="center"/>
          </w:tcPr>
          <w:p>
            <w:pPr>
              <w:pStyle w:val="63"/>
            </w:pPr>
            <w:r>
              <w:t>危险废物</w:t>
            </w:r>
          </w:p>
        </w:tc>
        <w:tc>
          <w:tcPr>
            <w:tcW w:w="1807" w:type="dxa"/>
            <w:vMerge w:val="continue"/>
            <w:vAlign w:val="center"/>
          </w:tcPr>
          <w:p>
            <w:pPr>
              <w:pStyle w:val="63"/>
            </w:pP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continue"/>
            <w:vAlign w:val="center"/>
          </w:tcPr>
          <w:p>
            <w:pPr>
              <w:pStyle w:val="63"/>
            </w:pPr>
          </w:p>
        </w:tc>
        <w:tc>
          <w:tcPr>
            <w:tcW w:w="1699" w:type="dxa"/>
            <w:vAlign w:val="center"/>
          </w:tcPr>
          <w:p>
            <w:pPr>
              <w:pStyle w:val="63"/>
            </w:pPr>
            <w:r>
              <w:t>含油抹布</w:t>
            </w:r>
          </w:p>
        </w:tc>
        <w:tc>
          <w:tcPr>
            <w:tcW w:w="1734" w:type="dxa"/>
            <w:vAlign w:val="center"/>
          </w:tcPr>
          <w:p>
            <w:pPr>
              <w:pStyle w:val="63"/>
            </w:pPr>
            <w:r>
              <w:t>危险废物</w:t>
            </w:r>
          </w:p>
        </w:tc>
        <w:tc>
          <w:tcPr>
            <w:tcW w:w="1807" w:type="dxa"/>
            <w:vMerge w:val="continue"/>
            <w:vAlign w:val="center"/>
          </w:tcPr>
          <w:p>
            <w:pPr>
              <w:pStyle w:val="63"/>
            </w:pP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continue"/>
            <w:vAlign w:val="center"/>
          </w:tcPr>
          <w:p>
            <w:pPr>
              <w:pStyle w:val="63"/>
            </w:pPr>
          </w:p>
        </w:tc>
        <w:tc>
          <w:tcPr>
            <w:tcW w:w="1699" w:type="dxa"/>
            <w:vAlign w:val="center"/>
          </w:tcPr>
          <w:p>
            <w:pPr>
              <w:pStyle w:val="63"/>
            </w:pPr>
            <w:r>
              <w:t>生活垃圾</w:t>
            </w:r>
          </w:p>
        </w:tc>
        <w:tc>
          <w:tcPr>
            <w:tcW w:w="1734" w:type="dxa"/>
            <w:vAlign w:val="center"/>
          </w:tcPr>
          <w:p>
            <w:pPr>
              <w:pStyle w:val="63"/>
            </w:pPr>
            <w:r>
              <w:t>/</w:t>
            </w:r>
          </w:p>
        </w:tc>
        <w:tc>
          <w:tcPr>
            <w:tcW w:w="1807" w:type="dxa"/>
            <w:vAlign w:val="center"/>
          </w:tcPr>
          <w:p>
            <w:pPr>
              <w:pStyle w:val="63"/>
            </w:pPr>
            <w:r>
              <w:t>交由环卫部门处理</w:t>
            </w: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restart"/>
            <w:vAlign w:val="center"/>
          </w:tcPr>
          <w:p>
            <w:pPr>
              <w:pStyle w:val="63"/>
            </w:pPr>
            <w:r>
              <w:t>纯水制备</w:t>
            </w:r>
          </w:p>
        </w:tc>
        <w:tc>
          <w:tcPr>
            <w:tcW w:w="1699" w:type="dxa"/>
            <w:vAlign w:val="center"/>
          </w:tcPr>
          <w:p>
            <w:pPr>
              <w:pStyle w:val="63"/>
            </w:pPr>
            <w:r>
              <w:t>废弃离子交换树脂</w:t>
            </w:r>
          </w:p>
        </w:tc>
        <w:tc>
          <w:tcPr>
            <w:tcW w:w="1734" w:type="dxa"/>
            <w:vAlign w:val="center"/>
          </w:tcPr>
          <w:p>
            <w:pPr>
              <w:pStyle w:val="63"/>
            </w:pPr>
            <w:r>
              <w:t>一般固废</w:t>
            </w:r>
          </w:p>
        </w:tc>
        <w:tc>
          <w:tcPr>
            <w:tcW w:w="1807" w:type="dxa"/>
            <w:vMerge w:val="restart"/>
            <w:vAlign w:val="center"/>
          </w:tcPr>
          <w:p>
            <w:pPr>
              <w:pStyle w:val="63"/>
            </w:pPr>
            <w:r>
              <w:t>交由环卫部门处理</w:t>
            </w: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1387" w:type="dxa"/>
            <w:vMerge w:val="continue"/>
            <w:vAlign w:val="center"/>
          </w:tcPr>
          <w:p>
            <w:pPr>
              <w:pStyle w:val="63"/>
            </w:pPr>
          </w:p>
        </w:tc>
        <w:tc>
          <w:tcPr>
            <w:tcW w:w="1699" w:type="dxa"/>
            <w:vAlign w:val="center"/>
          </w:tcPr>
          <w:p>
            <w:pPr>
              <w:pStyle w:val="63"/>
            </w:pPr>
            <w:r>
              <w:t>废活性炭</w:t>
            </w:r>
          </w:p>
        </w:tc>
        <w:tc>
          <w:tcPr>
            <w:tcW w:w="1734" w:type="dxa"/>
            <w:vAlign w:val="center"/>
          </w:tcPr>
          <w:p>
            <w:pPr>
              <w:pStyle w:val="63"/>
            </w:pPr>
            <w:r>
              <w:t>一般固废</w:t>
            </w:r>
          </w:p>
        </w:tc>
        <w:tc>
          <w:tcPr>
            <w:tcW w:w="1807" w:type="dxa"/>
            <w:vMerge w:val="continue"/>
            <w:vAlign w:val="center"/>
          </w:tcPr>
          <w:p>
            <w:pPr>
              <w:pStyle w:val="63"/>
            </w:pPr>
          </w:p>
        </w:tc>
        <w:tc>
          <w:tcPr>
            <w:tcW w:w="1190" w:type="dxa"/>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restart"/>
            <w:vAlign w:val="center"/>
          </w:tcPr>
          <w:p>
            <w:pPr>
              <w:pStyle w:val="63"/>
            </w:pPr>
            <w:r>
              <w:t>废水</w:t>
            </w:r>
          </w:p>
        </w:tc>
        <w:tc>
          <w:tcPr>
            <w:tcW w:w="3086" w:type="dxa"/>
            <w:gridSpan w:val="2"/>
            <w:vAlign w:val="center"/>
          </w:tcPr>
          <w:p>
            <w:pPr>
              <w:pStyle w:val="63"/>
            </w:pPr>
            <w:r>
              <w:t>纯水制备废水</w:t>
            </w:r>
          </w:p>
        </w:tc>
        <w:tc>
          <w:tcPr>
            <w:tcW w:w="1734" w:type="dxa"/>
            <w:vAlign w:val="center"/>
          </w:tcPr>
          <w:p>
            <w:pPr>
              <w:pStyle w:val="63"/>
            </w:pPr>
            <w:r>
              <w:t>COD、全盐量</w:t>
            </w:r>
          </w:p>
        </w:tc>
        <w:tc>
          <w:tcPr>
            <w:tcW w:w="1807" w:type="dxa"/>
            <w:vMerge w:val="restart"/>
            <w:vAlign w:val="center"/>
          </w:tcPr>
          <w:p>
            <w:pPr>
              <w:pStyle w:val="63"/>
            </w:pPr>
            <w:r>
              <w:t>排入厂区废水处理站</w:t>
            </w:r>
          </w:p>
        </w:tc>
        <w:tc>
          <w:tcPr>
            <w:tcW w:w="1190" w:type="dxa"/>
            <w:vMerge w:val="restart"/>
            <w:vAlign w:val="center"/>
          </w:tcPr>
          <w:p>
            <w:pPr>
              <w:pStyle w:val="63"/>
            </w:pPr>
            <w:r>
              <w:t>回用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3086" w:type="dxa"/>
            <w:gridSpan w:val="2"/>
            <w:vAlign w:val="center"/>
          </w:tcPr>
          <w:p>
            <w:pPr>
              <w:pStyle w:val="63"/>
            </w:pPr>
            <w:r>
              <w:t>锅炉排污水</w:t>
            </w:r>
          </w:p>
        </w:tc>
        <w:tc>
          <w:tcPr>
            <w:tcW w:w="1734" w:type="dxa"/>
            <w:vAlign w:val="center"/>
          </w:tcPr>
          <w:p>
            <w:pPr>
              <w:pStyle w:val="63"/>
            </w:pPr>
            <w:r>
              <w:t>COD、全盐量</w:t>
            </w:r>
          </w:p>
        </w:tc>
        <w:tc>
          <w:tcPr>
            <w:tcW w:w="1807" w:type="dxa"/>
            <w:vMerge w:val="continue"/>
            <w:vAlign w:val="center"/>
          </w:tcPr>
          <w:p>
            <w:pPr>
              <w:pStyle w:val="63"/>
            </w:pPr>
          </w:p>
        </w:tc>
        <w:tc>
          <w:tcPr>
            <w:tcW w:w="1190" w:type="dxa"/>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3086" w:type="dxa"/>
            <w:gridSpan w:val="2"/>
            <w:vAlign w:val="center"/>
          </w:tcPr>
          <w:p>
            <w:pPr>
              <w:pStyle w:val="63"/>
            </w:pPr>
            <w:r>
              <w:t>三级水喷淋和碱液喷淋废水</w:t>
            </w:r>
          </w:p>
        </w:tc>
        <w:tc>
          <w:tcPr>
            <w:tcW w:w="1734" w:type="dxa"/>
            <w:vAlign w:val="center"/>
          </w:tcPr>
          <w:p>
            <w:pPr>
              <w:pStyle w:val="63"/>
            </w:pPr>
            <w:r>
              <w:t>pH、氟化物、COD、SS、镍、锰、钴</w:t>
            </w:r>
          </w:p>
        </w:tc>
        <w:tc>
          <w:tcPr>
            <w:tcW w:w="1807" w:type="dxa"/>
            <w:vAlign w:val="center"/>
          </w:tcPr>
          <w:p>
            <w:pPr>
              <w:pStyle w:val="63"/>
            </w:pPr>
            <w:r>
              <w:t>脱氟处理后全部回用于三级水喷淋和碱液喷淋</w:t>
            </w:r>
          </w:p>
        </w:tc>
        <w:tc>
          <w:tcPr>
            <w:tcW w:w="1190" w:type="dxa"/>
            <w:vAlign w:val="center"/>
          </w:tcPr>
          <w:p>
            <w:pPr>
              <w:pStyle w:val="63"/>
            </w:pPr>
            <w:r>
              <w:t>回用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3086" w:type="dxa"/>
            <w:gridSpan w:val="2"/>
            <w:vAlign w:val="center"/>
          </w:tcPr>
          <w:p>
            <w:pPr>
              <w:pStyle w:val="63"/>
            </w:pPr>
            <w:r>
              <w:t>铁铝渣和铜渣洗废水</w:t>
            </w:r>
          </w:p>
        </w:tc>
        <w:tc>
          <w:tcPr>
            <w:tcW w:w="1734" w:type="dxa"/>
            <w:vAlign w:val="center"/>
          </w:tcPr>
          <w:p>
            <w:pPr>
              <w:pStyle w:val="63"/>
            </w:pPr>
            <w:r>
              <w:t>pH、硫酸盐、钴、镍、锰</w:t>
            </w:r>
          </w:p>
        </w:tc>
        <w:tc>
          <w:tcPr>
            <w:tcW w:w="1807" w:type="dxa"/>
            <w:vAlign w:val="center"/>
          </w:tcPr>
          <w:p>
            <w:pPr>
              <w:pStyle w:val="63"/>
            </w:pPr>
            <w:r>
              <w:t>返回浸出工段利用</w:t>
            </w:r>
          </w:p>
        </w:tc>
        <w:tc>
          <w:tcPr>
            <w:tcW w:w="1190" w:type="dxa"/>
            <w:vAlign w:val="center"/>
          </w:tcPr>
          <w:p>
            <w:pPr>
              <w:pStyle w:val="63"/>
            </w:pPr>
            <w:r>
              <w:t>回用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3086" w:type="dxa"/>
            <w:gridSpan w:val="2"/>
            <w:vAlign w:val="center"/>
          </w:tcPr>
          <w:p>
            <w:pPr>
              <w:pStyle w:val="63"/>
            </w:pPr>
            <w:r>
              <w:t>浸出车间酸雾洗涤塔</w:t>
            </w:r>
          </w:p>
        </w:tc>
        <w:tc>
          <w:tcPr>
            <w:tcW w:w="1734" w:type="dxa"/>
            <w:vAlign w:val="center"/>
          </w:tcPr>
          <w:p>
            <w:pPr>
              <w:pStyle w:val="63"/>
            </w:pPr>
            <w:r>
              <w:t>pH、硫酸盐、氯化物</w:t>
            </w:r>
          </w:p>
        </w:tc>
        <w:tc>
          <w:tcPr>
            <w:tcW w:w="1807" w:type="dxa"/>
            <w:vMerge w:val="restart"/>
            <w:vAlign w:val="center"/>
          </w:tcPr>
          <w:p>
            <w:pPr>
              <w:pStyle w:val="63"/>
            </w:pPr>
            <w:r>
              <w:t>排入厂区废水处理站</w:t>
            </w:r>
          </w:p>
        </w:tc>
        <w:tc>
          <w:tcPr>
            <w:tcW w:w="1190" w:type="dxa"/>
            <w:vMerge w:val="restart"/>
            <w:vAlign w:val="center"/>
          </w:tcPr>
          <w:p>
            <w:pPr>
              <w:pStyle w:val="63"/>
            </w:pPr>
            <w:r>
              <w:t>回用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3086" w:type="dxa"/>
            <w:gridSpan w:val="2"/>
            <w:vAlign w:val="center"/>
          </w:tcPr>
          <w:p>
            <w:pPr>
              <w:pStyle w:val="63"/>
            </w:pPr>
            <w:r>
              <w:t>萃取车间酸雾洗涤塔废水</w:t>
            </w:r>
          </w:p>
        </w:tc>
        <w:tc>
          <w:tcPr>
            <w:tcW w:w="1734" w:type="dxa"/>
            <w:vAlign w:val="center"/>
          </w:tcPr>
          <w:p>
            <w:pPr>
              <w:pStyle w:val="63"/>
            </w:pPr>
            <w:r>
              <w:t>pH、硫酸盐</w:t>
            </w:r>
          </w:p>
        </w:tc>
        <w:tc>
          <w:tcPr>
            <w:tcW w:w="1807" w:type="dxa"/>
            <w:vMerge w:val="continue"/>
            <w:vAlign w:val="center"/>
          </w:tcPr>
          <w:p>
            <w:pPr>
              <w:pStyle w:val="63"/>
            </w:pPr>
          </w:p>
        </w:tc>
        <w:tc>
          <w:tcPr>
            <w:tcW w:w="1190" w:type="dxa"/>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3086" w:type="dxa"/>
            <w:gridSpan w:val="2"/>
            <w:vAlign w:val="center"/>
          </w:tcPr>
          <w:p>
            <w:pPr>
              <w:pStyle w:val="63"/>
            </w:pPr>
            <w:r>
              <w:t>蒸发结晶离心分离废水</w:t>
            </w:r>
          </w:p>
        </w:tc>
        <w:tc>
          <w:tcPr>
            <w:tcW w:w="1734" w:type="dxa"/>
            <w:vAlign w:val="center"/>
          </w:tcPr>
          <w:p>
            <w:pPr>
              <w:pStyle w:val="63"/>
            </w:pPr>
            <w:r>
              <w:t>SS、COD、硫酸盐、氯化物、镍、钴、锰</w:t>
            </w:r>
          </w:p>
        </w:tc>
        <w:tc>
          <w:tcPr>
            <w:tcW w:w="1807" w:type="dxa"/>
            <w:vMerge w:val="restart"/>
            <w:vAlign w:val="center"/>
          </w:tcPr>
          <w:p>
            <w:pPr>
              <w:pStyle w:val="63"/>
            </w:pPr>
            <w:r>
              <w:t>预处理后排入厂区废水处理站</w:t>
            </w:r>
          </w:p>
        </w:tc>
        <w:tc>
          <w:tcPr>
            <w:tcW w:w="1190" w:type="dxa"/>
            <w:vMerge w:val="restart"/>
            <w:vAlign w:val="center"/>
          </w:tcPr>
          <w:p>
            <w:pPr>
              <w:pStyle w:val="63"/>
            </w:pPr>
            <w:r>
              <w:t>回用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3086" w:type="dxa"/>
            <w:gridSpan w:val="2"/>
            <w:vAlign w:val="center"/>
          </w:tcPr>
          <w:p>
            <w:pPr>
              <w:pStyle w:val="63"/>
            </w:pPr>
            <w:r>
              <w:t>地面冲洗废水</w:t>
            </w:r>
          </w:p>
        </w:tc>
        <w:tc>
          <w:tcPr>
            <w:tcW w:w="1734" w:type="dxa"/>
            <w:vAlign w:val="center"/>
          </w:tcPr>
          <w:p>
            <w:pPr>
              <w:pStyle w:val="63"/>
            </w:pPr>
            <w:r>
              <w:t>pH、SS、COD</w:t>
            </w:r>
          </w:p>
        </w:tc>
        <w:tc>
          <w:tcPr>
            <w:tcW w:w="1807" w:type="dxa"/>
            <w:vMerge w:val="continue"/>
            <w:vAlign w:val="center"/>
          </w:tcPr>
          <w:p>
            <w:pPr>
              <w:pStyle w:val="63"/>
            </w:pPr>
          </w:p>
        </w:tc>
        <w:tc>
          <w:tcPr>
            <w:tcW w:w="1190" w:type="dxa"/>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3086" w:type="dxa"/>
            <w:gridSpan w:val="2"/>
            <w:vAlign w:val="center"/>
          </w:tcPr>
          <w:p>
            <w:pPr>
              <w:pStyle w:val="63"/>
            </w:pPr>
            <w:r>
              <w:t>办公生活</w:t>
            </w:r>
          </w:p>
        </w:tc>
        <w:tc>
          <w:tcPr>
            <w:tcW w:w="1734" w:type="dxa"/>
            <w:vAlign w:val="center"/>
          </w:tcPr>
          <w:p>
            <w:pPr>
              <w:pStyle w:val="63"/>
            </w:pPr>
            <w:r>
              <w:t>COD、BOD、氨氮、动植物油</w:t>
            </w:r>
          </w:p>
        </w:tc>
        <w:tc>
          <w:tcPr>
            <w:tcW w:w="1807" w:type="dxa"/>
            <w:vAlign w:val="center"/>
          </w:tcPr>
          <w:p>
            <w:pPr>
              <w:pStyle w:val="63"/>
            </w:pPr>
            <w:r>
              <w:t>化粪池</w:t>
            </w:r>
          </w:p>
        </w:tc>
        <w:tc>
          <w:tcPr>
            <w:tcW w:w="1190" w:type="dxa"/>
            <w:vAlign w:val="center"/>
          </w:tcPr>
          <w:p>
            <w:pPr>
              <w:pStyle w:val="63"/>
            </w:pPr>
            <w:r>
              <w:t>园区管网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Merge w:val="continue"/>
            <w:vAlign w:val="center"/>
          </w:tcPr>
          <w:p>
            <w:pPr>
              <w:pStyle w:val="63"/>
            </w:pPr>
          </w:p>
        </w:tc>
        <w:tc>
          <w:tcPr>
            <w:tcW w:w="3086" w:type="dxa"/>
            <w:gridSpan w:val="2"/>
            <w:vAlign w:val="center"/>
          </w:tcPr>
          <w:p>
            <w:pPr>
              <w:pStyle w:val="63"/>
            </w:pPr>
            <w:r>
              <w:rPr>
                <w:rFonts w:hint="eastAsia"/>
              </w:rPr>
              <w:t>冷凝水</w:t>
            </w:r>
          </w:p>
        </w:tc>
        <w:tc>
          <w:tcPr>
            <w:tcW w:w="1734" w:type="dxa"/>
            <w:vAlign w:val="center"/>
          </w:tcPr>
          <w:p>
            <w:pPr>
              <w:pStyle w:val="63"/>
            </w:pPr>
            <w:r>
              <w:t>SS、COD</w:t>
            </w:r>
            <w:r>
              <w:rPr>
                <w:rFonts w:hint="eastAsia"/>
              </w:rPr>
              <w:t>、氨氮</w:t>
            </w:r>
          </w:p>
        </w:tc>
        <w:tc>
          <w:tcPr>
            <w:tcW w:w="1807" w:type="dxa"/>
            <w:vAlign w:val="center"/>
          </w:tcPr>
          <w:p>
            <w:pPr>
              <w:pStyle w:val="63"/>
            </w:pPr>
            <w:r>
              <w:rPr>
                <w:rFonts w:hint="eastAsia"/>
              </w:rPr>
              <w:t>/</w:t>
            </w:r>
          </w:p>
        </w:tc>
        <w:tc>
          <w:tcPr>
            <w:tcW w:w="1190" w:type="dxa"/>
            <w:vAlign w:val="center"/>
          </w:tcPr>
          <w:p>
            <w:pPr>
              <w:pStyle w:val="63"/>
            </w:pPr>
            <w:r>
              <w:rPr>
                <w:rFonts w:hint="eastAsia"/>
              </w:rPr>
              <w:t>部分回用，部分外排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5" w:type="dxa"/>
            <w:vAlign w:val="center"/>
          </w:tcPr>
          <w:p>
            <w:pPr>
              <w:pStyle w:val="63"/>
            </w:pPr>
            <w:r>
              <w:t>噪声</w:t>
            </w:r>
          </w:p>
        </w:tc>
        <w:tc>
          <w:tcPr>
            <w:tcW w:w="3086" w:type="dxa"/>
            <w:gridSpan w:val="2"/>
            <w:vAlign w:val="center"/>
          </w:tcPr>
          <w:p>
            <w:pPr>
              <w:pStyle w:val="63"/>
            </w:pPr>
            <w:r>
              <w:t>设备运行噪声</w:t>
            </w:r>
          </w:p>
        </w:tc>
        <w:tc>
          <w:tcPr>
            <w:tcW w:w="1734" w:type="dxa"/>
            <w:vAlign w:val="center"/>
          </w:tcPr>
          <w:p>
            <w:pPr>
              <w:pStyle w:val="63"/>
            </w:pPr>
          </w:p>
        </w:tc>
        <w:tc>
          <w:tcPr>
            <w:tcW w:w="1807" w:type="dxa"/>
            <w:vAlign w:val="center"/>
          </w:tcPr>
          <w:p>
            <w:pPr>
              <w:pStyle w:val="63"/>
            </w:pPr>
            <w:r>
              <w:t>隔声减振</w:t>
            </w:r>
          </w:p>
        </w:tc>
        <w:tc>
          <w:tcPr>
            <w:tcW w:w="1190" w:type="dxa"/>
            <w:vAlign w:val="center"/>
          </w:tcPr>
          <w:p>
            <w:pPr>
              <w:pStyle w:val="63"/>
            </w:pPr>
            <w:r>
              <w:t>/</w:t>
            </w:r>
          </w:p>
        </w:tc>
      </w:tr>
    </w:tbl>
    <w:p>
      <w:pPr>
        <w:pStyle w:val="4"/>
        <w:rPr>
          <w:rFonts w:ascii="Times New Roman" w:hAnsi="Times New Roman" w:cs="Times New Roman"/>
        </w:rPr>
      </w:pPr>
      <w:bookmarkStart w:id="168" w:name="_Toc144236762"/>
      <w:bookmarkStart w:id="169" w:name="_Toc144276892"/>
      <w:bookmarkStart w:id="170" w:name="_Toc147848012"/>
      <w:r>
        <w:rPr>
          <w:rFonts w:ascii="Times New Roman" w:hAnsi="Times New Roman" w:cs="Times New Roman"/>
        </w:rPr>
        <w:t>3.2.4 运营期物料平衡</w:t>
      </w:r>
      <w:bookmarkEnd w:id="168"/>
      <w:bookmarkEnd w:id="169"/>
      <w:bookmarkEnd w:id="170"/>
    </w:p>
    <w:p>
      <w:pPr>
        <w:spacing w:line="360" w:lineRule="auto"/>
        <w:ind w:firstLine="480" w:firstLineChars="200"/>
        <w:rPr>
          <w:rFonts w:ascii="Times New Roman" w:hAnsi="Times New Roman" w:cs="Times New Roman"/>
        </w:rPr>
      </w:pPr>
      <w:r>
        <w:rPr>
          <w:rFonts w:ascii="Times New Roman" w:hAnsi="Times New Roman" w:cs="Times New Roman"/>
        </w:rPr>
        <w:t>由于各个厂家生产的锂电池成分都略有不同，故本项目选取市场上常见的某锂电池平均成份（典型成分）进行物料平衡分析。</w:t>
      </w:r>
    </w:p>
    <w:p>
      <w:pPr>
        <w:pStyle w:val="5"/>
        <w:ind w:firstLine="482"/>
        <w:rPr>
          <w:rFonts w:ascii="Times New Roman" w:hAnsi="Times New Roman" w:cs="Times New Roman" w:eastAsiaTheme="minorEastAsia"/>
        </w:rPr>
      </w:pPr>
      <w:bookmarkStart w:id="171" w:name="_Hlk79655744"/>
      <w:r>
        <w:rPr>
          <w:rFonts w:ascii="Times New Roman" w:hAnsi="Times New Roman" w:cs="Times New Roman" w:eastAsiaTheme="minorEastAsia"/>
        </w:rPr>
        <w:t>3.2.4.1 梯次利用</w:t>
      </w:r>
    </w:p>
    <w:p>
      <w:pPr>
        <w:pStyle w:val="6"/>
        <w:rPr>
          <w:rFonts w:ascii="Times New Roman" w:hAnsi="Times New Roman" w:cs="Times New Roman"/>
        </w:rPr>
      </w:pPr>
      <w:r>
        <w:rPr>
          <w:rFonts w:ascii="Times New Roman" w:hAnsi="Times New Roman" w:cs="Times New Roman"/>
        </w:rPr>
        <w:t>表3.2-</w:t>
      </w:r>
      <w:r>
        <w:rPr>
          <w:rFonts w:hint="eastAsia" w:ascii="Times New Roman" w:hAnsi="Times New Roman" w:cs="Times New Roman"/>
        </w:rPr>
        <w:t>6</w:t>
      </w:r>
      <w:r>
        <w:rPr>
          <w:rFonts w:ascii="Times New Roman" w:hAnsi="Times New Roman" w:cs="Times New Roman"/>
        </w:rPr>
        <w:t xml:space="preserve">  梯次利用车间物料平衡一览表</w:t>
      </w:r>
    </w:p>
    <w:tbl>
      <w:tblPr>
        <w:tblStyle w:val="35"/>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675"/>
        <w:gridCol w:w="1560"/>
        <w:gridCol w:w="708"/>
        <w:gridCol w:w="1134"/>
        <w:gridCol w:w="709"/>
        <w:gridCol w:w="1701"/>
        <w:gridCol w:w="912"/>
        <w:gridCol w:w="113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077" w:type="dxa"/>
            <w:gridSpan w:val="4"/>
            <w:vAlign w:val="center"/>
          </w:tcPr>
          <w:p>
            <w:pPr>
              <w:pStyle w:val="63"/>
            </w:pPr>
            <w:r>
              <w:t>投入</w:t>
            </w:r>
          </w:p>
        </w:tc>
        <w:tc>
          <w:tcPr>
            <w:tcW w:w="4452" w:type="dxa"/>
            <w:gridSpan w:val="4"/>
            <w:vAlign w:val="center"/>
          </w:tcPr>
          <w:p>
            <w:pPr>
              <w:pStyle w:val="63"/>
            </w:pPr>
            <w:r>
              <w:t>产出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r>
              <w:t>序号</w:t>
            </w:r>
          </w:p>
        </w:tc>
        <w:tc>
          <w:tcPr>
            <w:tcW w:w="1560" w:type="dxa"/>
            <w:vAlign w:val="center"/>
          </w:tcPr>
          <w:p>
            <w:pPr>
              <w:pStyle w:val="63"/>
            </w:pPr>
            <w:r>
              <w:t>名称</w:t>
            </w:r>
          </w:p>
        </w:tc>
        <w:tc>
          <w:tcPr>
            <w:tcW w:w="708" w:type="dxa"/>
            <w:vAlign w:val="center"/>
          </w:tcPr>
          <w:p>
            <w:pPr>
              <w:pStyle w:val="63"/>
            </w:pPr>
            <w:r>
              <w:t>单位</w:t>
            </w:r>
          </w:p>
        </w:tc>
        <w:tc>
          <w:tcPr>
            <w:tcW w:w="1134" w:type="dxa"/>
            <w:vAlign w:val="center"/>
          </w:tcPr>
          <w:p>
            <w:pPr>
              <w:pStyle w:val="63"/>
            </w:pPr>
            <w:r>
              <w:t>投入量</w:t>
            </w:r>
          </w:p>
        </w:tc>
        <w:tc>
          <w:tcPr>
            <w:tcW w:w="709" w:type="dxa"/>
            <w:vAlign w:val="center"/>
          </w:tcPr>
          <w:p>
            <w:pPr>
              <w:pStyle w:val="63"/>
            </w:pPr>
            <w:r>
              <w:t>序号</w:t>
            </w:r>
          </w:p>
        </w:tc>
        <w:tc>
          <w:tcPr>
            <w:tcW w:w="1701" w:type="dxa"/>
            <w:vAlign w:val="center"/>
          </w:tcPr>
          <w:p>
            <w:pPr>
              <w:pStyle w:val="63"/>
            </w:pPr>
            <w:r>
              <w:t>名称</w:t>
            </w:r>
          </w:p>
        </w:tc>
        <w:tc>
          <w:tcPr>
            <w:tcW w:w="912" w:type="dxa"/>
            <w:vAlign w:val="center"/>
          </w:tcPr>
          <w:p>
            <w:pPr>
              <w:pStyle w:val="63"/>
            </w:pPr>
            <w:r>
              <w:t>单位</w:t>
            </w:r>
          </w:p>
        </w:tc>
        <w:tc>
          <w:tcPr>
            <w:tcW w:w="1130" w:type="dxa"/>
            <w:vAlign w:val="center"/>
          </w:tcPr>
          <w:p>
            <w:pPr>
              <w:pStyle w:val="63"/>
            </w:pPr>
            <w:r>
              <w:t>产出量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r>
              <w:t>1</w:t>
            </w:r>
          </w:p>
        </w:tc>
        <w:tc>
          <w:tcPr>
            <w:tcW w:w="1560" w:type="dxa"/>
            <w:vAlign w:val="center"/>
          </w:tcPr>
          <w:p>
            <w:pPr>
              <w:pStyle w:val="63"/>
            </w:pPr>
            <w:r>
              <w:t>磷酸铁锂电池</w:t>
            </w:r>
          </w:p>
        </w:tc>
        <w:tc>
          <w:tcPr>
            <w:tcW w:w="708" w:type="dxa"/>
            <w:vAlign w:val="center"/>
          </w:tcPr>
          <w:p>
            <w:pPr>
              <w:pStyle w:val="63"/>
            </w:pPr>
            <w:r>
              <w:t>t/a</w:t>
            </w:r>
          </w:p>
        </w:tc>
        <w:tc>
          <w:tcPr>
            <w:tcW w:w="1134" w:type="dxa"/>
            <w:vAlign w:val="center"/>
          </w:tcPr>
          <w:p>
            <w:pPr>
              <w:pStyle w:val="63"/>
            </w:pPr>
            <w:r>
              <w:t>25000</w:t>
            </w:r>
          </w:p>
        </w:tc>
        <w:tc>
          <w:tcPr>
            <w:tcW w:w="709" w:type="dxa"/>
            <w:vAlign w:val="center"/>
          </w:tcPr>
          <w:p>
            <w:pPr>
              <w:pStyle w:val="63"/>
            </w:pPr>
            <w:r>
              <w:t>1</w:t>
            </w:r>
          </w:p>
        </w:tc>
        <w:tc>
          <w:tcPr>
            <w:tcW w:w="1701" w:type="dxa"/>
            <w:vAlign w:val="center"/>
          </w:tcPr>
          <w:p>
            <w:pPr>
              <w:pStyle w:val="63"/>
            </w:pPr>
            <w:r>
              <w:t>梯次利用产品</w:t>
            </w:r>
          </w:p>
        </w:tc>
        <w:tc>
          <w:tcPr>
            <w:tcW w:w="912" w:type="dxa"/>
            <w:vAlign w:val="center"/>
          </w:tcPr>
          <w:p>
            <w:pPr>
              <w:pStyle w:val="63"/>
            </w:pPr>
            <w:r>
              <w:t>t/a</w:t>
            </w:r>
          </w:p>
        </w:tc>
        <w:tc>
          <w:tcPr>
            <w:tcW w:w="1130" w:type="dxa"/>
            <w:vAlign w:val="center"/>
          </w:tcPr>
          <w:p>
            <w:pPr>
              <w:jc w:val="center"/>
              <w:rPr>
                <w:rFonts w:ascii="Times New Roman" w:hAnsi="Times New Roman" w:cs="Times New Roman"/>
                <w:sz w:val="21"/>
                <w:szCs w:val="21"/>
              </w:rPr>
            </w:pPr>
            <w:r>
              <w:rPr>
                <w:rFonts w:ascii="Times New Roman" w:hAnsi="Times New Roman" w:cs="Times New Roman"/>
                <w:sz w:val="21"/>
                <w:szCs w:val="21"/>
              </w:rPr>
              <w:t>12500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p>
        </w:tc>
        <w:tc>
          <w:tcPr>
            <w:tcW w:w="1560" w:type="dxa"/>
            <w:vAlign w:val="center"/>
          </w:tcPr>
          <w:p>
            <w:pPr>
              <w:pStyle w:val="63"/>
            </w:pPr>
          </w:p>
        </w:tc>
        <w:tc>
          <w:tcPr>
            <w:tcW w:w="708" w:type="dxa"/>
            <w:vAlign w:val="center"/>
          </w:tcPr>
          <w:p>
            <w:pPr>
              <w:pStyle w:val="63"/>
            </w:pPr>
          </w:p>
        </w:tc>
        <w:tc>
          <w:tcPr>
            <w:tcW w:w="1134" w:type="dxa"/>
            <w:vAlign w:val="center"/>
          </w:tcPr>
          <w:p>
            <w:pPr>
              <w:pStyle w:val="63"/>
            </w:pPr>
          </w:p>
        </w:tc>
        <w:tc>
          <w:tcPr>
            <w:tcW w:w="709" w:type="dxa"/>
            <w:vAlign w:val="center"/>
          </w:tcPr>
          <w:p>
            <w:pPr>
              <w:pStyle w:val="63"/>
            </w:pPr>
            <w:r>
              <w:t>2</w:t>
            </w:r>
          </w:p>
        </w:tc>
        <w:tc>
          <w:tcPr>
            <w:tcW w:w="1701" w:type="dxa"/>
            <w:vAlign w:val="center"/>
          </w:tcPr>
          <w:p>
            <w:pPr>
              <w:pStyle w:val="63"/>
            </w:pPr>
            <w:r>
              <w:t>废电芯</w:t>
            </w:r>
          </w:p>
        </w:tc>
        <w:tc>
          <w:tcPr>
            <w:tcW w:w="912" w:type="dxa"/>
            <w:vAlign w:val="center"/>
          </w:tcPr>
          <w:p>
            <w:pPr>
              <w:pStyle w:val="63"/>
            </w:pPr>
            <w:r>
              <w:t>t/a</w:t>
            </w:r>
          </w:p>
        </w:tc>
        <w:tc>
          <w:tcPr>
            <w:tcW w:w="1130" w:type="dxa"/>
            <w:vAlign w:val="center"/>
          </w:tcPr>
          <w:p>
            <w:pPr>
              <w:jc w:val="center"/>
              <w:rPr>
                <w:rFonts w:ascii="Times New Roman" w:hAnsi="Times New Roman" w:cs="Times New Roman"/>
                <w:sz w:val="21"/>
                <w:szCs w:val="21"/>
              </w:rPr>
            </w:pPr>
            <w:r>
              <w:rPr>
                <w:rFonts w:ascii="Times New Roman" w:hAnsi="Times New Roman" w:cs="Times New Roman"/>
                <w:sz w:val="21"/>
                <w:szCs w:val="21"/>
              </w:rPr>
              <w:t>8750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p>
        </w:tc>
        <w:tc>
          <w:tcPr>
            <w:tcW w:w="1560" w:type="dxa"/>
            <w:vAlign w:val="center"/>
          </w:tcPr>
          <w:p>
            <w:pPr>
              <w:pStyle w:val="63"/>
            </w:pPr>
          </w:p>
        </w:tc>
        <w:tc>
          <w:tcPr>
            <w:tcW w:w="708" w:type="dxa"/>
            <w:vAlign w:val="center"/>
          </w:tcPr>
          <w:p>
            <w:pPr>
              <w:pStyle w:val="63"/>
            </w:pPr>
          </w:p>
        </w:tc>
        <w:tc>
          <w:tcPr>
            <w:tcW w:w="1134" w:type="dxa"/>
            <w:vAlign w:val="center"/>
          </w:tcPr>
          <w:p>
            <w:pPr>
              <w:pStyle w:val="63"/>
            </w:pPr>
          </w:p>
        </w:tc>
        <w:tc>
          <w:tcPr>
            <w:tcW w:w="709" w:type="dxa"/>
            <w:vAlign w:val="center"/>
          </w:tcPr>
          <w:p>
            <w:pPr>
              <w:pStyle w:val="63"/>
            </w:pPr>
            <w:r>
              <w:t>3</w:t>
            </w:r>
          </w:p>
        </w:tc>
        <w:tc>
          <w:tcPr>
            <w:tcW w:w="1701" w:type="dxa"/>
            <w:vAlign w:val="center"/>
          </w:tcPr>
          <w:p>
            <w:pPr>
              <w:pStyle w:val="63"/>
            </w:pPr>
            <w:r>
              <w:t>电池包铁外壳</w:t>
            </w:r>
          </w:p>
        </w:tc>
        <w:tc>
          <w:tcPr>
            <w:tcW w:w="912" w:type="dxa"/>
            <w:vAlign w:val="center"/>
          </w:tcPr>
          <w:p>
            <w:pPr>
              <w:pStyle w:val="63"/>
            </w:pPr>
            <w:r>
              <w:t>t/a</w:t>
            </w:r>
          </w:p>
        </w:tc>
        <w:tc>
          <w:tcPr>
            <w:tcW w:w="1130" w:type="dxa"/>
            <w:vAlign w:val="center"/>
          </w:tcPr>
          <w:p>
            <w:pPr>
              <w:jc w:val="center"/>
              <w:rPr>
                <w:rFonts w:ascii="Times New Roman" w:hAnsi="Times New Roman" w:cs="Times New Roman"/>
                <w:sz w:val="21"/>
                <w:szCs w:val="21"/>
              </w:rPr>
            </w:pPr>
            <w:r>
              <w:rPr>
                <w:rFonts w:ascii="Times New Roman" w:hAnsi="Times New Roman" w:cs="Times New Roman"/>
                <w:sz w:val="21"/>
                <w:szCs w:val="21"/>
              </w:rPr>
              <w:t>1625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p>
        </w:tc>
        <w:tc>
          <w:tcPr>
            <w:tcW w:w="1560" w:type="dxa"/>
            <w:vAlign w:val="center"/>
          </w:tcPr>
          <w:p>
            <w:pPr>
              <w:pStyle w:val="63"/>
            </w:pPr>
          </w:p>
        </w:tc>
        <w:tc>
          <w:tcPr>
            <w:tcW w:w="708" w:type="dxa"/>
            <w:vAlign w:val="center"/>
          </w:tcPr>
          <w:p>
            <w:pPr>
              <w:pStyle w:val="63"/>
            </w:pPr>
          </w:p>
        </w:tc>
        <w:tc>
          <w:tcPr>
            <w:tcW w:w="1134" w:type="dxa"/>
            <w:vAlign w:val="center"/>
          </w:tcPr>
          <w:p>
            <w:pPr>
              <w:pStyle w:val="63"/>
            </w:pPr>
          </w:p>
        </w:tc>
        <w:tc>
          <w:tcPr>
            <w:tcW w:w="709" w:type="dxa"/>
            <w:vAlign w:val="center"/>
          </w:tcPr>
          <w:p>
            <w:pPr>
              <w:pStyle w:val="63"/>
            </w:pPr>
            <w:r>
              <w:t>4</w:t>
            </w:r>
          </w:p>
        </w:tc>
        <w:tc>
          <w:tcPr>
            <w:tcW w:w="1701" w:type="dxa"/>
            <w:vAlign w:val="center"/>
          </w:tcPr>
          <w:p>
            <w:pPr>
              <w:pStyle w:val="63"/>
            </w:pPr>
            <w:r>
              <w:t>导流排（铜）</w:t>
            </w:r>
          </w:p>
        </w:tc>
        <w:tc>
          <w:tcPr>
            <w:tcW w:w="912" w:type="dxa"/>
            <w:vAlign w:val="center"/>
          </w:tcPr>
          <w:p>
            <w:pPr>
              <w:pStyle w:val="63"/>
            </w:pPr>
            <w:r>
              <w:t>t/a</w:t>
            </w:r>
          </w:p>
        </w:tc>
        <w:tc>
          <w:tcPr>
            <w:tcW w:w="1130" w:type="dxa"/>
            <w:vAlign w:val="center"/>
          </w:tcPr>
          <w:p>
            <w:pPr>
              <w:jc w:val="center"/>
              <w:rPr>
                <w:rFonts w:ascii="Times New Roman" w:hAnsi="Times New Roman" w:cs="Times New Roman"/>
                <w:sz w:val="21"/>
                <w:szCs w:val="21"/>
              </w:rPr>
            </w:pPr>
            <w:r>
              <w:rPr>
                <w:rFonts w:ascii="Times New Roman" w:hAnsi="Times New Roman" w:cs="Times New Roman"/>
                <w:sz w:val="21"/>
                <w:szCs w:val="21"/>
              </w:rPr>
              <w:t>187.5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p>
        </w:tc>
        <w:tc>
          <w:tcPr>
            <w:tcW w:w="1560" w:type="dxa"/>
            <w:vAlign w:val="center"/>
          </w:tcPr>
          <w:p>
            <w:pPr>
              <w:pStyle w:val="63"/>
            </w:pPr>
          </w:p>
        </w:tc>
        <w:tc>
          <w:tcPr>
            <w:tcW w:w="708" w:type="dxa"/>
            <w:vAlign w:val="center"/>
          </w:tcPr>
          <w:p>
            <w:pPr>
              <w:pStyle w:val="63"/>
            </w:pPr>
          </w:p>
        </w:tc>
        <w:tc>
          <w:tcPr>
            <w:tcW w:w="1134" w:type="dxa"/>
            <w:vAlign w:val="center"/>
          </w:tcPr>
          <w:p>
            <w:pPr>
              <w:pStyle w:val="63"/>
            </w:pPr>
          </w:p>
        </w:tc>
        <w:tc>
          <w:tcPr>
            <w:tcW w:w="709" w:type="dxa"/>
            <w:vAlign w:val="center"/>
          </w:tcPr>
          <w:p>
            <w:pPr>
              <w:pStyle w:val="63"/>
            </w:pPr>
            <w:r>
              <w:t>5</w:t>
            </w:r>
          </w:p>
        </w:tc>
        <w:tc>
          <w:tcPr>
            <w:tcW w:w="1701" w:type="dxa"/>
            <w:vAlign w:val="center"/>
          </w:tcPr>
          <w:p>
            <w:pPr>
              <w:pStyle w:val="63"/>
            </w:pPr>
            <w:r>
              <w:t>导流排（铝）</w:t>
            </w:r>
          </w:p>
        </w:tc>
        <w:tc>
          <w:tcPr>
            <w:tcW w:w="912" w:type="dxa"/>
            <w:vAlign w:val="center"/>
          </w:tcPr>
          <w:p>
            <w:pPr>
              <w:pStyle w:val="63"/>
            </w:pPr>
            <w:r>
              <w:t>t/a</w:t>
            </w:r>
          </w:p>
        </w:tc>
        <w:tc>
          <w:tcPr>
            <w:tcW w:w="1130" w:type="dxa"/>
            <w:vAlign w:val="center"/>
          </w:tcPr>
          <w:p>
            <w:pPr>
              <w:jc w:val="center"/>
              <w:rPr>
                <w:rFonts w:ascii="Times New Roman" w:hAnsi="Times New Roman" w:cs="Times New Roman"/>
                <w:sz w:val="21"/>
                <w:szCs w:val="21"/>
              </w:rPr>
            </w:pPr>
            <w:r>
              <w:rPr>
                <w:rFonts w:ascii="Times New Roman" w:hAnsi="Times New Roman" w:cs="Times New Roman"/>
                <w:sz w:val="21"/>
                <w:szCs w:val="21"/>
              </w:rPr>
              <w:t>856.25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p>
        </w:tc>
        <w:tc>
          <w:tcPr>
            <w:tcW w:w="1560" w:type="dxa"/>
            <w:vAlign w:val="center"/>
          </w:tcPr>
          <w:p>
            <w:pPr>
              <w:pStyle w:val="63"/>
            </w:pPr>
          </w:p>
        </w:tc>
        <w:tc>
          <w:tcPr>
            <w:tcW w:w="708" w:type="dxa"/>
            <w:vAlign w:val="center"/>
          </w:tcPr>
          <w:p>
            <w:pPr>
              <w:pStyle w:val="63"/>
            </w:pPr>
          </w:p>
        </w:tc>
        <w:tc>
          <w:tcPr>
            <w:tcW w:w="1134" w:type="dxa"/>
            <w:vAlign w:val="center"/>
          </w:tcPr>
          <w:p>
            <w:pPr>
              <w:pStyle w:val="63"/>
            </w:pPr>
          </w:p>
        </w:tc>
        <w:tc>
          <w:tcPr>
            <w:tcW w:w="709" w:type="dxa"/>
            <w:vAlign w:val="center"/>
          </w:tcPr>
          <w:p>
            <w:pPr>
              <w:pStyle w:val="63"/>
            </w:pPr>
            <w:r>
              <w:t>6</w:t>
            </w:r>
          </w:p>
        </w:tc>
        <w:tc>
          <w:tcPr>
            <w:tcW w:w="1701" w:type="dxa"/>
            <w:vAlign w:val="center"/>
          </w:tcPr>
          <w:p>
            <w:pPr>
              <w:pStyle w:val="63"/>
            </w:pPr>
            <w:r>
              <w:t>线材</w:t>
            </w:r>
          </w:p>
        </w:tc>
        <w:tc>
          <w:tcPr>
            <w:tcW w:w="912" w:type="dxa"/>
            <w:vAlign w:val="center"/>
          </w:tcPr>
          <w:p>
            <w:pPr>
              <w:pStyle w:val="63"/>
            </w:pPr>
            <w:r>
              <w:t>t/a</w:t>
            </w:r>
          </w:p>
        </w:tc>
        <w:tc>
          <w:tcPr>
            <w:tcW w:w="1130" w:type="dxa"/>
            <w:vAlign w:val="center"/>
          </w:tcPr>
          <w:p>
            <w:pPr>
              <w:jc w:val="center"/>
              <w:rPr>
                <w:rFonts w:ascii="Times New Roman" w:hAnsi="Times New Roman" w:cs="Times New Roman"/>
                <w:sz w:val="21"/>
                <w:szCs w:val="21"/>
              </w:rPr>
            </w:pPr>
            <w:r>
              <w:rPr>
                <w:rFonts w:ascii="Times New Roman" w:hAnsi="Times New Roman" w:cs="Times New Roman"/>
                <w:sz w:val="21"/>
                <w:szCs w:val="21"/>
              </w:rPr>
              <w:t>300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p>
        </w:tc>
        <w:tc>
          <w:tcPr>
            <w:tcW w:w="1560" w:type="dxa"/>
            <w:vAlign w:val="center"/>
          </w:tcPr>
          <w:p>
            <w:pPr>
              <w:pStyle w:val="63"/>
            </w:pPr>
          </w:p>
        </w:tc>
        <w:tc>
          <w:tcPr>
            <w:tcW w:w="708" w:type="dxa"/>
            <w:vAlign w:val="center"/>
          </w:tcPr>
          <w:p>
            <w:pPr>
              <w:pStyle w:val="63"/>
            </w:pPr>
          </w:p>
        </w:tc>
        <w:tc>
          <w:tcPr>
            <w:tcW w:w="1134" w:type="dxa"/>
            <w:vAlign w:val="center"/>
          </w:tcPr>
          <w:p>
            <w:pPr>
              <w:pStyle w:val="63"/>
            </w:pPr>
          </w:p>
        </w:tc>
        <w:tc>
          <w:tcPr>
            <w:tcW w:w="709" w:type="dxa"/>
            <w:vAlign w:val="center"/>
          </w:tcPr>
          <w:p>
            <w:pPr>
              <w:pStyle w:val="63"/>
            </w:pPr>
            <w:r>
              <w:t>7</w:t>
            </w:r>
          </w:p>
        </w:tc>
        <w:tc>
          <w:tcPr>
            <w:tcW w:w="1701" w:type="dxa"/>
            <w:vAlign w:val="center"/>
          </w:tcPr>
          <w:p>
            <w:pPr>
              <w:pStyle w:val="63"/>
            </w:pPr>
            <w:r>
              <w:t>电池包塑料件</w:t>
            </w:r>
          </w:p>
        </w:tc>
        <w:tc>
          <w:tcPr>
            <w:tcW w:w="912" w:type="dxa"/>
            <w:vAlign w:val="center"/>
          </w:tcPr>
          <w:p>
            <w:pPr>
              <w:pStyle w:val="63"/>
            </w:pPr>
            <w:r>
              <w:t>t/a</w:t>
            </w:r>
          </w:p>
        </w:tc>
        <w:tc>
          <w:tcPr>
            <w:tcW w:w="1130" w:type="dxa"/>
            <w:vAlign w:val="center"/>
          </w:tcPr>
          <w:p>
            <w:pPr>
              <w:jc w:val="center"/>
              <w:rPr>
                <w:rFonts w:ascii="Times New Roman" w:hAnsi="Times New Roman" w:cs="Times New Roman"/>
                <w:sz w:val="21"/>
                <w:szCs w:val="21"/>
              </w:rPr>
            </w:pPr>
            <w:r>
              <w:rPr>
                <w:rFonts w:ascii="Times New Roman" w:hAnsi="Times New Roman" w:cs="Times New Roman"/>
                <w:sz w:val="21"/>
                <w:szCs w:val="21"/>
              </w:rPr>
              <w:t>750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p>
        </w:tc>
        <w:tc>
          <w:tcPr>
            <w:tcW w:w="1560" w:type="dxa"/>
            <w:vAlign w:val="center"/>
          </w:tcPr>
          <w:p>
            <w:pPr>
              <w:pStyle w:val="63"/>
            </w:pPr>
          </w:p>
        </w:tc>
        <w:tc>
          <w:tcPr>
            <w:tcW w:w="708" w:type="dxa"/>
            <w:vAlign w:val="center"/>
          </w:tcPr>
          <w:p>
            <w:pPr>
              <w:pStyle w:val="63"/>
            </w:pPr>
          </w:p>
        </w:tc>
        <w:tc>
          <w:tcPr>
            <w:tcW w:w="1134" w:type="dxa"/>
            <w:vAlign w:val="center"/>
          </w:tcPr>
          <w:p>
            <w:pPr>
              <w:pStyle w:val="63"/>
            </w:pPr>
          </w:p>
        </w:tc>
        <w:tc>
          <w:tcPr>
            <w:tcW w:w="709" w:type="dxa"/>
            <w:vAlign w:val="center"/>
          </w:tcPr>
          <w:p>
            <w:pPr>
              <w:pStyle w:val="63"/>
            </w:pPr>
            <w:r>
              <w:t>8</w:t>
            </w:r>
          </w:p>
        </w:tc>
        <w:tc>
          <w:tcPr>
            <w:tcW w:w="1701" w:type="dxa"/>
            <w:vAlign w:val="center"/>
          </w:tcPr>
          <w:p>
            <w:pPr>
              <w:pStyle w:val="63"/>
            </w:pPr>
            <w:r>
              <w:t>废BMS模块</w:t>
            </w:r>
          </w:p>
        </w:tc>
        <w:tc>
          <w:tcPr>
            <w:tcW w:w="912" w:type="dxa"/>
            <w:vAlign w:val="center"/>
          </w:tcPr>
          <w:p>
            <w:pPr>
              <w:pStyle w:val="63"/>
            </w:pPr>
            <w:r>
              <w:t>t/a</w:t>
            </w:r>
          </w:p>
        </w:tc>
        <w:tc>
          <w:tcPr>
            <w:tcW w:w="1130" w:type="dxa"/>
            <w:vAlign w:val="center"/>
          </w:tcPr>
          <w:p>
            <w:pPr>
              <w:jc w:val="center"/>
              <w:rPr>
                <w:rFonts w:ascii="Times New Roman" w:hAnsi="Times New Roman" w:cs="Times New Roman"/>
                <w:sz w:val="21"/>
                <w:szCs w:val="21"/>
              </w:rPr>
            </w:pPr>
            <w:r>
              <w:rPr>
                <w:rFonts w:ascii="Times New Roman" w:hAnsi="Times New Roman" w:cs="Times New Roman"/>
                <w:sz w:val="21"/>
                <w:szCs w:val="21"/>
              </w:rPr>
              <w:t>31.25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235" w:type="dxa"/>
            <w:gridSpan w:val="2"/>
            <w:vAlign w:val="center"/>
          </w:tcPr>
          <w:p>
            <w:pPr>
              <w:pStyle w:val="63"/>
            </w:pPr>
            <w:r>
              <w:t>合计</w:t>
            </w:r>
          </w:p>
        </w:tc>
        <w:tc>
          <w:tcPr>
            <w:tcW w:w="708" w:type="dxa"/>
            <w:vAlign w:val="center"/>
          </w:tcPr>
          <w:p>
            <w:pPr>
              <w:pStyle w:val="63"/>
            </w:pPr>
          </w:p>
        </w:tc>
        <w:tc>
          <w:tcPr>
            <w:tcW w:w="1134" w:type="dxa"/>
            <w:vAlign w:val="center"/>
          </w:tcPr>
          <w:p>
            <w:pPr>
              <w:pStyle w:val="63"/>
            </w:pPr>
            <w:r>
              <w:t>25000</w:t>
            </w:r>
          </w:p>
        </w:tc>
        <w:tc>
          <w:tcPr>
            <w:tcW w:w="3322" w:type="dxa"/>
            <w:gridSpan w:val="3"/>
            <w:vAlign w:val="center"/>
          </w:tcPr>
          <w:p>
            <w:pPr>
              <w:pStyle w:val="63"/>
            </w:pPr>
            <w:r>
              <w:t>合计</w:t>
            </w:r>
          </w:p>
        </w:tc>
        <w:tc>
          <w:tcPr>
            <w:tcW w:w="1130" w:type="dxa"/>
            <w:vAlign w:val="center"/>
          </w:tcPr>
          <w:p>
            <w:pPr>
              <w:pStyle w:val="63"/>
            </w:pPr>
            <w:r>
              <w:t>25000</w:t>
            </w:r>
          </w:p>
        </w:tc>
      </w:tr>
      <w:bookmarkEnd w:id="171"/>
    </w:tbl>
    <w:p>
      <w:pPr>
        <w:spacing w:line="360" w:lineRule="auto"/>
        <w:jc w:val="center"/>
        <w:rPr>
          <w:rFonts w:ascii="Times New Roman" w:hAnsi="Times New Roman" w:cs="Times New Roman"/>
        </w:rPr>
      </w:pPr>
    </w:p>
    <w:p>
      <w:pPr>
        <w:spacing w:line="360" w:lineRule="auto"/>
        <w:jc w:val="center"/>
        <w:rPr>
          <w:rFonts w:ascii="Times New Roman" w:hAnsi="Times New Roman" w:cs="Times New Roman"/>
        </w:rPr>
      </w:pPr>
      <w:r>
        <w:object>
          <v:shape id="_x0000_i1031" o:spt="75" type="#_x0000_t75" style="height:184.7pt;width:394.45pt;" o:ole="t" filled="f" o:preferrelative="t" stroked="f" coordsize="21600,21600">
            <v:path/>
            <v:fill on="f" focussize="0,0"/>
            <v:stroke on="f" joinstyle="miter"/>
            <v:imagedata r:id="rId41" o:title=""/>
            <o:lock v:ext="edit" aspectratio="t"/>
            <w10:wrap type="none"/>
            <w10:anchorlock/>
          </v:shape>
          <o:OLEObject Type="Embed" ProgID="Visio.Drawing.11" ShapeID="_x0000_i1031" DrawAspect="Content" ObjectID="_1468075731" r:id="rId40">
            <o:LockedField>false</o:LockedField>
          </o:OLEObject>
        </w:object>
      </w:r>
    </w:p>
    <w:p>
      <w:pPr>
        <w:pStyle w:val="6"/>
        <w:rPr>
          <w:rFonts w:ascii="Times New Roman" w:hAnsi="Times New Roman" w:cs="Times New Roman"/>
        </w:rPr>
      </w:pPr>
      <w:r>
        <w:rPr>
          <w:rFonts w:ascii="Times New Roman" w:hAnsi="Times New Roman" w:cs="Times New Roman"/>
        </w:rPr>
        <w:t>图3.2-</w:t>
      </w:r>
      <w:r>
        <w:rPr>
          <w:rFonts w:hint="eastAsia" w:ascii="Times New Roman" w:hAnsi="Times New Roman" w:cs="Times New Roman"/>
        </w:rPr>
        <w:t>7</w:t>
      </w:r>
      <w:r>
        <w:rPr>
          <w:rFonts w:ascii="Times New Roman" w:hAnsi="Times New Roman" w:cs="Times New Roman"/>
        </w:rPr>
        <w:t xml:space="preserve">  梯次利用工序物料流向图</w:t>
      </w:r>
    </w:p>
    <w:p>
      <w:pPr>
        <w:pStyle w:val="5"/>
        <w:ind w:firstLine="482"/>
        <w:rPr>
          <w:rFonts w:ascii="Times New Roman" w:hAnsi="Times New Roman" w:cs="Times New Roman" w:eastAsiaTheme="minorEastAsia"/>
        </w:rPr>
      </w:pPr>
      <w:r>
        <w:rPr>
          <w:rFonts w:ascii="Times New Roman" w:hAnsi="Times New Roman" w:cs="Times New Roman" w:eastAsiaTheme="minorEastAsia"/>
        </w:rPr>
        <w:t>3.2.4.2 预处理车间</w:t>
      </w:r>
    </w:p>
    <w:p>
      <w:pPr>
        <w:pStyle w:val="6"/>
        <w:rPr>
          <w:rFonts w:ascii="Times New Roman" w:hAnsi="Times New Roman" w:cs="Times New Roman"/>
        </w:rPr>
      </w:pPr>
      <w:r>
        <w:rPr>
          <w:rFonts w:ascii="Times New Roman" w:hAnsi="Times New Roman" w:cs="Times New Roman"/>
        </w:rPr>
        <w:t>表3.2-</w:t>
      </w:r>
      <w:r>
        <w:rPr>
          <w:rFonts w:hint="eastAsia" w:ascii="Times New Roman" w:hAnsi="Times New Roman" w:cs="Times New Roman"/>
        </w:rPr>
        <w:t>7</w:t>
      </w:r>
      <w:r>
        <w:rPr>
          <w:rFonts w:ascii="Times New Roman" w:hAnsi="Times New Roman" w:cs="Times New Roman"/>
        </w:rPr>
        <w:t xml:space="preserve">  预处理车间物料平衡一览表</w:t>
      </w:r>
    </w:p>
    <w:tbl>
      <w:tblPr>
        <w:tblStyle w:val="35"/>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673"/>
        <w:gridCol w:w="1552"/>
        <w:gridCol w:w="706"/>
        <w:gridCol w:w="1131"/>
        <w:gridCol w:w="707"/>
        <w:gridCol w:w="1834"/>
        <w:gridCol w:w="767"/>
        <w:gridCol w:w="115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077" w:type="dxa"/>
            <w:gridSpan w:val="4"/>
            <w:vAlign w:val="center"/>
          </w:tcPr>
          <w:p>
            <w:pPr>
              <w:pStyle w:val="63"/>
              <w:rPr>
                <w:szCs w:val="21"/>
              </w:rPr>
            </w:pPr>
            <w:r>
              <w:rPr>
                <w:szCs w:val="21"/>
              </w:rPr>
              <w:t>投入</w:t>
            </w:r>
          </w:p>
        </w:tc>
        <w:tc>
          <w:tcPr>
            <w:tcW w:w="4483" w:type="dxa"/>
            <w:gridSpan w:val="4"/>
            <w:vAlign w:val="center"/>
          </w:tcPr>
          <w:p>
            <w:pPr>
              <w:pStyle w:val="63"/>
              <w:rPr>
                <w:szCs w:val="21"/>
              </w:rPr>
            </w:pPr>
            <w:r>
              <w:rPr>
                <w:szCs w:val="21"/>
              </w:rPr>
              <w:t>产出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rPr>
                <w:szCs w:val="21"/>
              </w:rPr>
            </w:pPr>
            <w:r>
              <w:rPr>
                <w:szCs w:val="21"/>
              </w:rPr>
              <w:t>序号</w:t>
            </w:r>
          </w:p>
        </w:tc>
        <w:tc>
          <w:tcPr>
            <w:tcW w:w="1560" w:type="dxa"/>
            <w:vAlign w:val="center"/>
          </w:tcPr>
          <w:p>
            <w:pPr>
              <w:pStyle w:val="63"/>
              <w:rPr>
                <w:szCs w:val="21"/>
              </w:rPr>
            </w:pPr>
            <w:r>
              <w:rPr>
                <w:szCs w:val="21"/>
              </w:rPr>
              <w:t>名称</w:t>
            </w:r>
          </w:p>
        </w:tc>
        <w:tc>
          <w:tcPr>
            <w:tcW w:w="708" w:type="dxa"/>
            <w:vAlign w:val="center"/>
          </w:tcPr>
          <w:p>
            <w:pPr>
              <w:pStyle w:val="63"/>
              <w:rPr>
                <w:szCs w:val="21"/>
              </w:rPr>
            </w:pPr>
            <w:r>
              <w:rPr>
                <w:szCs w:val="21"/>
              </w:rPr>
              <w:t>单位</w:t>
            </w:r>
          </w:p>
        </w:tc>
        <w:tc>
          <w:tcPr>
            <w:tcW w:w="1134" w:type="dxa"/>
            <w:vAlign w:val="center"/>
          </w:tcPr>
          <w:p>
            <w:pPr>
              <w:pStyle w:val="63"/>
              <w:rPr>
                <w:szCs w:val="21"/>
              </w:rPr>
            </w:pPr>
            <w:r>
              <w:rPr>
                <w:szCs w:val="21"/>
              </w:rPr>
              <w:t>投入量</w:t>
            </w:r>
          </w:p>
        </w:tc>
        <w:tc>
          <w:tcPr>
            <w:tcW w:w="709" w:type="dxa"/>
            <w:vAlign w:val="center"/>
          </w:tcPr>
          <w:p>
            <w:pPr>
              <w:pStyle w:val="63"/>
              <w:rPr>
                <w:szCs w:val="21"/>
              </w:rPr>
            </w:pPr>
            <w:r>
              <w:rPr>
                <w:szCs w:val="21"/>
              </w:rPr>
              <w:t>序号</w:t>
            </w:r>
          </w:p>
        </w:tc>
        <w:tc>
          <w:tcPr>
            <w:tcW w:w="1843" w:type="dxa"/>
            <w:vAlign w:val="center"/>
          </w:tcPr>
          <w:p>
            <w:pPr>
              <w:pStyle w:val="63"/>
              <w:rPr>
                <w:szCs w:val="21"/>
              </w:rPr>
            </w:pPr>
            <w:r>
              <w:rPr>
                <w:szCs w:val="21"/>
              </w:rPr>
              <w:t>名称</w:t>
            </w:r>
          </w:p>
        </w:tc>
        <w:tc>
          <w:tcPr>
            <w:tcW w:w="770" w:type="dxa"/>
            <w:vAlign w:val="center"/>
          </w:tcPr>
          <w:p>
            <w:pPr>
              <w:pStyle w:val="63"/>
              <w:rPr>
                <w:szCs w:val="21"/>
              </w:rPr>
            </w:pPr>
            <w:r>
              <w:rPr>
                <w:szCs w:val="21"/>
              </w:rPr>
              <w:t>单位</w:t>
            </w:r>
          </w:p>
        </w:tc>
        <w:tc>
          <w:tcPr>
            <w:tcW w:w="1161" w:type="dxa"/>
            <w:vAlign w:val="center"/>
          </w:tcPr>
          <w:p>
            <w:pPr>
              <w:pStyle w:val="63"/>
              <w:rPr>
                <w:szCs w:val="21"/>
              </w:rPr>
            </w:pPr>
            <w:r>
              <w:rPr>
                <w:szCs w:val="21"/>
              </w:rPr>
              <w:t>产出量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rPr>
                <w:szCs w:val="21"/>
              </w:rPr>
            </w:pPr>
            <w:r>
              <w:rPr>
                <w:szCs w:val="21"/>
              </w:rPr>
              <w:t>1</w:t>
            </w:r>
          </w:p>
        </w:tc>
        <w:tc>
          <w:tcPr>
            <w:tcW w:w="1560" w:type="dxa"/>
            <w:vAlign w:val="center"/>
          </w:tcPr>
          <w:p>
            <w:pPr>
              <w:pStyle w:val="63"/>
              <w:rPr>
                <w:szCs w:val="21"/>
              </w:rPr>
            </w:pPr>
            <w:r>
              <w:rPr>
                <w:szCs w:val="21"/>
              </w:rPr>
              <w:t>外购废三元锂电池</w:t>
            </w:r>
          </w:p>
        </w:tc>
        <w:tc>
          <w:tcPr>
            <w:tcW w:w="708" w:type="dxa"/>
            <w:vAlign w:val="center"/>
          </w:tcPr>
          <w:p>
            <w:pPr>
              <w:pStyle w:val="63"/>
              <w:rPr>
                <w:szCs w:val="21"/>
              </w:rPr>
            </w:pPr>
            <w:r>
              <w:rPr>
                <w:szCs w:val="21"/>
              </w:rPr>
              <w:t>t/a</w:t>
            </w:r>
          </w:p>
        </w:tc>
        <w:tc>
          <w:tcPr>
            <w:tcW w:w="1134" w:type="dxa"/>
            <w:vAlign w:val="center"/>
          </w:tcPr>
          <w:p>
            <w:pPr>
              <w:pStyle w:val="63"/>
              <w:rPr>
                <w:szCs w:val="21"/>
              </w:rPr>
            </w:pPr>
            <w:r>
              <w:rPr>
                <w:szCs w:val="21"/>
              </w:rPr>
              <w:t>10000</w:t>
            </w:r>
          </w:p>
        </w:tc>
        <w:tc>
          <w:tcPr>
            <w:tcW w:w="709" w:type="dxa"/>
            <w:vAlign w:val="center"/>
          </w:tcPr>
          <w:p>
            <w:pPr>
              <w:pStyle w:val="63"/>
              <w:rPr>
                <w:szCs w:val="21"/>
              </w:rPr>
            </w:pPr>
            <w:r>
              <w:rPr>
                <w:szCs w:val="21"/>
              </w:rPr>
              <w:t>1</w:t>
            </w:r>
          </w:p>
        </w:tc>
        <w:tc>
          <w:tcPr>
            <w:tcW w:w="1843" w:type="dxa"/>
            <w:vAlign w:val="center"/>
          </w:tcPr>
          <w:p>
            <w:pPr>
              <w:pStyle w:val="63"/>
              <w:rPr>
                <w:szCs w:val="21"/>
              </w:rPr>
            </w:pPr>
            <w:r>
              <w:rPr>
                <w:szCs w:val="21"/>
              </w:rPr>
              <w:t>三元黑粉</w:t>
            </w:r>
          </w:p>
        </w:tc>
        <w:tc>
          <w:tcPr>
            <w:tcW w:w="770" w:type="dxa"/>
            <w:vAlign w:val="center"/>
          </w:tcPr>
          <w:p>
            <w:pPr>
              <w:pStyle w:val="63"/>
              <w:rPr>
                <w:szCs w:val="21"/>
              </w:rPr>
            </w:pPr>
            <w:r>
              <w:rPr>
                <w:szCs w:val="21"/>
              </w:rPr>
              <w:t>t/a</w:t>
            </w:r>
          </w:p>
        </w:tc>
        <w:tc>
          <w:tcPr>
            <w:tcW w:w="1161" w:type="dxa"/>
            <w:vAlign w:val="center"/>
          </w:tcPr>
          <w:p>
            <w:pPr>
              <w:pStyle w:val="63"/>
              <w:rPr>
                <w:rFonts w:eastAsia="宋体"/>
                <w:color w:val="000000"/>
                <w:szCs w:val="21"/>
              </w:rPr>
            </w:pPr>
            <w:r>
              <w:rPr>
                <w:sz w:val="22"/>
              </w:rPr>
              <w:t>5400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rPr>
                <w:szCs w:val="21"/>
              </w:rPr>
            </w:pPr>
            <w:r>
              <w:rPr>
                <w:szCs w:val="21"/>
              </w:rPr>
              <w:t>2</w:t>
            </w:r>
          </w:p>
        </w:tc>
        <w:tc>
          <w:tcPr>
            <w:tcW w:w="1560" w:type="dxa"/>
            <w:vAlign w:val="center"/>
          </w:tcPr>
          <w:p>
            <w:pPr>
              <w:pStyle w:val="63"/>
              <w:rPr>
                <w:szCs w:val="21"/>
              </w:rPr>
            </w:pPr>
            <w:r>
              <w:rPr>
                <w:szCs w:val="21"/>
              </w:rPr>
              <w:t>外购废磷酸铁锂电池</w:t>
            </w:r>
          </w:p>
        </w:tc>
        <w:tc>
          <w:tcPr>
            <w:tcW w:w="708" w:type="dxa"/>
            <w:vAlign w:val="center"/>
          </w:tcPr>
          <w:p>
            <w:pPr>
              <w:pStyle w:val="63"/>
              <w:rPr>
                <w:szCs w:val="21"/>
              </w:rPr>
            </w:pPr>
            <w:r>
              <w:rPr>
                <w:szCs w:val="21"/>
              </w:rPr>
              <w:t>t/a</w:t>
            </w:r>
          </w:p>
        </w:tc>
        <w:tc>
          <w:tcPr>
            <w:tcW w:w="1134" w:type="dxa"/>
            <w:vAlign w:val="center"/>
          </w:tcPr>
          <w:p>
            <w:pPr>
              <w:pStyle w:val="63"/>
              <w:rPr>
                <w:szCs w:val="21"/>
              </w:rPr>
            </w:pPr>
            <w:r>
              <w:rPr>
                <w:szCs w:val="21"/>
              </w:rPr>
              <w:t>21250</w:t>
            </w:r>
          </w:p>
        </w:tc>
        <w:tc>
          <w:tcPr>
            <w:tcW w:w="709" w:type="dxa"/>
            <w:vAlign w:val="center"/>
          </w:tcPr>
          <w:p>
            <w:pPr>
              <w:pStyle w:val="63"/>
              <w:rPr>
                <w:szCs w:val="21"/>
              </w:rPr>
            </w:pPr>
            <w:r>
              <w:rPr>
                <w:szCs w:val="21"/>
              </w:rPr>
              <w:t>2</w:t>
            </w:r>
          </w:p>
        </w:tc>
        <w:tc>
          <w:tcPr>
            <w:tcW w:w="1843" w:type="dxa"/>
            <w:vAlign w:val="center"/>
          </w:tcPr>
          <w:p>
            <w:pPr>
              <w:pStyle w:val="63"/>
              <w:rPr>
                <w:szCs w:val="21"/>
              </w:rPr>
            </w:pPr>
            <w:r>
              <w:rPr>
                <w:rFonts w:hint="eastAsia"/>
                <w:szCs w:val="21"/>
              </w:rPr>
              <w:t>磷酸</w:t>
            </w:r>
            <w:r>
              <w:rPr>
                <w:szCs w:val="21"/>
              </w:rPr>
              <w:t>铁锂黑粉</w:t>
            </w:r>
          </w:p>
        </w:tc>
        <w:tc>
          <w:tcPr>
            <w:tcW w:w="770" w:type="dxa"/>
            <w:vAlign w:val="center"/>
          </w:tcPr>
          <w:p>
            <w:pPr>
              <w:pStyle w:val="63"/>
              <w:rPr>
                <w:szCs w:val="21"/>
              </w:rPr>
            </w:pPr>
            <w:r>
              <w:rPr>
                <w:szCs w:val="21"/>
              </w:rPr>
              <w:t>t/a</w:t>
            </w:r>
          </w:p>
        </w:tc>
        <w:tc>
          <w:tcPr>
            <w:tcW w:w="1161" w:type="dxa"/>
            <w:vAlign w:val="center"/>
          </w:tcPr>
          <w:p>
            <w:pPr>
              <w:pStyle w:val="63"/>
              <w:rPr>
                <w:rFonts w:eastAsia="宋体"/>
                <w:color w:val="000000"/>
                <w:szCs w:val="21"/>
              </w:rPr>
            </w:pPr>
            <w:r>
              <w:rPr>
                <w:sz w:val="22"/>
              </w:rPr>
              <w:t>17370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rPr>
                <w:szCs w:val="21"/>
              </w:rPr>
            </w:pPr>
            <w:r>
              <w:rPr>
                <w:szCs w:val="21"/>
              </w:rPr>
              <w:t>3</w:t>
            </w:r>
          </w:p>
        </w:tc>
        <w:tc>
          <w:tcPr>
            <w:tcW w:w="1560" w:type="dxa"/>
            <w:vAlign w:val="center"/>
          </w:tcPr>
          <w:p>
            <w:pPr>
              <w:pStyle w:val="63"/>
              <w:rPr>
                <w:szCs w:val="21"/>
              </w:rPr>
            </w:pPr>
            <w:r>
              <w:rPr>
                <w:szCs w:val="21"/>
              </w:rPr>
              <w:t>梯次利用得到废电芯</w:t>
            </w:r>
          </w:p>
        </w:tc>
        <w:tc>
          <w:tcPr>
            <w:tcW w:w="708" w:type="dxa"/>
            <w:vAlign w:val="center"/>
          </w:tcPr>
          <w:p>
            <w:pPr>
              <w:pStyle w:val="63"/>
              <w:rPr>
                <w:szCs w:val="21"/>
              </w:rPr>
            </w:pPr>
            <w:r>
              <w:rPr>
                <w:szCs w:val="21"/>
              </w:rPr>
              <w:t>t/a</w:t>
            </w:r>
          </w:p>
        </w:tc>
        <w:tc>
          <w:tcPr>
            <w:tcW w:w="1134" w:type="dxa"/>
            <w:vAlign w:val="center"/>
          </w:tcPr>
          <w:p>
            <w:pPr>
              <w:pStyle w:val="63"/>
              <w:rPr>
                <w:szCs w:val="21"/>
              </w:rPr>
            </w:pPr>
            <w:r>
              <w:rPr>
                <w:szCs w:val="21"/>
              </w:rPr>
              <w:t>8750</w:t>
            </w:r>
          </w:p>
        </w:tc>
        <w:tc>
          <w:tcPr>
            <w:tcW w:w="709" w:type="dxa"/>
            <w:vAlign w:val="center"/>
          </w:tcPr>
          <w:p>
            <w:pPr>
              <w:pStyle w:val="63"/>
              <w:rPr>
                <w:szCs w:val="21"/>
              </w:rPr>
            </w:pPr>
            <w:r>
              <w:rPr>
                <w:szCs w:val="21"/>
              </w:rPr>
              <w:t>3</w:t>
            </w:r>
          </w:p>
        </w:tc>
        <w:tc>
          <w:tcPr>
            <w:tcW w:w="1843" w:type="dxa"/>
            <w:vAlign w:val="center"/>
          </w:tcPr>
          <w:p>
            <w:pPr>
              <w:pStyle w:val="63"/>
              <w:rPr>
                <w:szCs w:val="21"/>
              </w:rPr>
            </w:pPr>
            <w:r>
              <w:rPr>
                <w:szCs w:val="21"/>
              </w:rPr>
              <w:t>铜</w:t>
            </w:r>
          </w:p>
        </w:tc>
        <w:tc>
          <w:tcPr>
            <w:tcW w:w="770" w:type="dxa"/>
            <w:vAlign w:val="center"/>
          </w:tcPr>
          <w:p>
            <w:pPr>
              <w:pStyle w:val="63"/>
              <w:rPr>
                <w:szCs w:val="21"/>
              </w:rPr>
            </w:pPr>
            <w:r>
              <w:rPr>
                <w:szCs w:val="21"/>
              </w:rPr>
              <w:t>t/a</w:t>
            </w:r>
          </w:p>
        </w:tc>
        <w:tc>
          <w:tcPr>
            <w:tcW w:w="1161" w:type="dxa"/>
            <w:vAlign w:val="center"/>
          </w:tcPr>
          <w:p>
            <w:pPr>
              <w:pStyle w:val="63"/>
              <w:rPr>
                <w:rFonts w:eastAsia="宋体"/>
                <w:color w:val="000000"/>
                <w:szCs w:val="21"/>
              </w:rPr>
            </w:pPr>
            <w:r>
              <w:rPr>
                <w:color w:val="000000"/>
                <w:szCs w:val="21"/>
              </w:rPr>
              <w:t>2000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rPr>
                <w:szCs w:val="21"/>
              </w:rPr>
            </w:pPr>
            <w:r>
              <w:rPr>
                <w:rFonts w:hint="eastAsia"/>
                <w:szCs w:val="21"/>
              </w:rPr>
              <w:t>4</w:t>
            </w:r>
          </w:p>
        </w:tc>
        <w:tc>
          <w:tcPr>
            <w:tcW w:w="1560" w:type="dxa"/>
            <w:vAlign w:val="center"/>
          </w:tcPr>
          <w:p>
            <w:pPr>
              <w:pStyle w:val="63"/>
              <w:rPr>
                <w:szCs w:val="21"/>
              </w:rPr>
            </w:pPr>
            <w:r>
              <w:rPr>
                <w:rFonts w:hint="eastAsia"/>
                <w:szCs w:val="21"/>
              </w:rPr>
              <w:t>石灰乳</w:t>
            </w:r>
          </w:p>
        </w:tc>
        <w:tc>
          <w:tcPr>
            <w:tcW w:w="708" w:type="dxa"/>
            <w:vAlign w:val="center"/>
          </w:tcPr>
          <w:p>
            <w:pPr>
              <w:pStyle w:val="63"/>
              <w:rPr>
                <w:szCs w:val="21"/>
              </w:rPr>
            </w:pPr>
            <w:r>
              <w:rPr>
                <w:szCs w:val="21"/>
              </w:rPr>
              <w:t>t/a</w:t>
            </w:r>
          </w:p>
        </w:tc>
        <w:tc>
          <w:tcPr>
            <w:tcW w:w="1134" w:type="dxa"/>
            <w:vAlign w:val="center"/>
          </w:tcPr>
          <w:p>
            <w:pPr>
              <w:pStyle w:val="63"/>
              <w:rPr>
                <w:szCs w:val="21"/>
              </w:rPr>
            </w:pPr>
            <w:r>
              <w:rPr>
                <w:rFonts w:hint="eastAsia"/>
                <w:szCs w:val="21"/>
              </w:rPr>
              <w:t>154</w:t>
            </w:r>
          </w:p>
        </w:tc>
        <w:tc>
          <w:tcPr>
            <w:tcW w:w="709" w:type="dxa"/>
            <w:vAlign w:val="center"/>
          </w:tcPr>
          <w:p>
            <w:pPr>
              <w:pStyle w:val="63"/>
              <w:rPr>
                <w:szCs w:val="21"/>
              </w:rPr>
            </w:pPr>
            <w:r>
              <w:rPr>
                <w:szCs w:val="21"/>
              </w:rPr>
              <w:t>4</w:t>
            </w:r>
          </w:p>
        </w:tc>
        <w:tc>
          <w:tcPr>
            <w:tcW w:w="1843" w:type="dxa"/>
            <w:vAlign w:val="center"/>
          </w:tcPr>
          <w:p>
            <w:pPr>
              <w:pStyle w:val="63"/>
              <w:rPr>
                <w:szCs w:val="21"/>
              </w:rPr>
            </w:pPr>
            <w:r>
              <w:rPr>
                <w:szCs w:val="21"/>
              </w:rPr>
              <w:t>铝</w:t>
            </w:r>
          </w:p>
        </w:tc>
        <w:tc>
          <w:tcPr>
            <w:tcW w:w="770" w:type="dxa"/>
            <w:vAlign w:val="center"/>
          </w:tcPr>
          <w:p>
            <w:pPr>
              <w:pStyle w:val="63"/>
              <w:rPr>
                <w:szCs w:val="21"/>
              </w:rPr>
            </w:pPr>
            <w:r>
              <w:rPr>
                <w:szCs w:val="21"/>
              </w:rPr>
              <w:t>t/a</w:t>
            </w:r>
          </w:p>
        </w:tc>
        <w:tc>
          <w:tcPr>
            <w:tcW w:w="1161" w:type="dxa"/>
            <w:vAlign w:val="center"/>
          </w:tcPr>
          <w:p>
            <w:pPr>
              <w:pStyle w:val="63"/>
              <w:rPr>
                <w:rFonts w:eastAsia="宋体"/>
                <w:color w:val="000000"/>
                <w:szCs w:val="21"/>
              </w:rPr>
            </w:pPr>
            <w:r>
              <w:rPr>
                <w:color w:val="000000"/>
                <w:szCs w:val="21"/>
              </w:rPr>
              <w:t>4900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rPr>
                <w:szCs w:val="21"/>
              </w:rPr>
            </w:pPr>
          </w:p>
        </w:tc>
        <w:tc>
          <w:tcPr>
            <w:tcW w:w="1560" w:type="dxa"/>
            <w:vAlign w:val="center"/>
          </w:tcPr>
          <w:p>
            <w:pPr>
              <w:pStyle w:val="63"/>
              <w:rPr>
                <w:szCs w:val="21"/>
              </w:rPr>
            </w:pPr>
          </w:p>
        </w:tc>
        <w:tc>
          <w:tcPr>
            <w:tcW w:w="708" w:type="dxa"/>
            <w:vAlign w:val="center"/>
          </w:tcPr>
          <w:p>
            <w:pPr>
              <w:pStyle w:val="63"/>
              <w:rPr>
                <w:szCs w:val="21"/>
              </w:rPr>
            </w:pPr>
          </w:p>
        </w:tc>
        <w:tc>
          <w:tcPr>
            <w:tcW w:w="1134" w:type="dxa"/>
            <w:vAlign w:val="center"/>
          </w:tcPr>
          <w:p>
            <w:pPr>
              <w:pStyle w:val="63"/>
              <w:rPr>
                <w:szCs w:val="21"/>
              </w:rPr>
            </w:pPr>
          </w:p>
        </w:tc>
        <w:tc>
          <w:tcPr>
            <w:tcW w:w="709" w:type="dxa"/>
            <w:vAlign w:val="center"/>
          </w:tcPr>
          <w:p>
            <w:pPr>
              <w:pStyle w:val="63"/>
              <w:rPr>
                <w:szCs w:val="21"/>
              </w:rPr>
            </w:pPr>
            <w:r>
              <w:rPr>
                <w:szCs w:val="21"/>
              </w:rPr>
              <w:t>5</w:t>
            </w:r>
          </w:p>
        </w:tc>
        <w:tc>
          <w:tcPr>
            <w:tcW w:w="1843" w:type="dxa"/>
            <w:vAlign w:val="center"/>
          </w:tcPr>
          <w:p>
            <w:pPr>
              <w:pStyle w:val="63"/>
              <w:rPr>
                <w:szCs w:val="21"/>
              </w:rPr>
            </w:pPr>
            <w:r>
              <w:rPr>
                <w:szCs w:val="21"/>
              </w:rPr>
              <w:t>铁（桩头）</w:t>
            </w:r>
          </w:p>
        </w:tc>
        <w:tc>
          <w:tcPr>
            <w:tcW w:w="770" w:type="dxa"/>
            <w:vAlign w:val="center"/>
          </w:tcPr>
          <w:p>
            <w:pPr>
              <w:pStyle w:val="63"/>
              <w:rPr>
                <w:szCs w:val="21"/>
              </w:rPr>
            </w:pPr>
            <w:r>
              <w:rPr>
                <w:szCs w:val="21"/>
              </w:rPr>
              <w:t>t/a</w:t>
            </w:r>
          </w:p>
        </w:tc>
        <w:tc>
          <w:tcPr>
            <w:tcW w:w="1161" w:type="dxa"/>
            <w:vAlign w:val="center"/>
          </w:tcPr>
          <w:p>
            <w:pPr>
              <w:pStyle w:val="63"/>
              <w:rPr>
                <w:rFonts w:eastAsia="宋体"/>
                <w:color w:val="000000"/>
                <w:szCs w:val="21"/>
              </w:rPr>
            </w:pPr>
            <w:r>
              <w:rPr>
                <w:color w:val="000000"/>
                <w:szCs w:val="21"/>
              </w:rPr>
              <w:t>4200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rPr>
                <w:szCs w:val="21"/>
              </w:rPr>
            </w:pPr>
          </w:p>
        </w:tc>
        <w:tc>
          <w:tcPr>
            <w:tcW w:w="1560" w:type="dxa"/>
            <w:vAlign w:val="center"/>
          </w:tcPr>
          <w:p>
            <w:pPr>
              <w:pStyle w:val="63"/>
              <w:rPr>
                <w:szCs w:val="21"/>
              </w:rPr>
            </w:pPr>
          </w:p>
        </w:tc>
        <w:tc>
          <w:tcPr>
            <w:tcW w:w="708" w:type="dxa"/>
            <w:vAlign w:val="center"/>
          </w:tcPr>
          <w:p>
            <w:pPr>
              <w:pStyle w:val="63"/>
              <w:rPr>
                <w:szCs w:val="21"/>
              </w:rPr>
            </w:pPr>
          </w:p>
        </w:tc>
        <w:tc>
          <w:tcPr>
            <w:tcW w:w="1134" w:type="dxa"/>
            <w:vAlign w:val="center"/>
          </w:tcPr>
          <w:p>
            <w:pPr>
              <w:pStyle w:val="63"/>
              <w:rPr>
                <w:szCs w:val="21"/>
              </w:rPr>
            </w:pPr>
          </w:p>
        </w:tc>
        <w:tc>
          <w:tcPr>
            <w:tcW w:w="709" w:type="dxa"/>
            <w:vAlign w:val="center"/>
          </w:tcPr>
          <w:p>
            <w:pPr>
              <w:pStyle w:val="63"/>
              <w:rPr>
                <w:szCs w:val="21"/>
              </w:rPr>
            </w:pPr>
            <w:r>
              <w:rPr>
                <w:szCs w:val="21"/>
              </w:rPr>
              <w:t>6</w:t>
            </w:r>
          </w:p>
        </w:tc>
        <w:tc>
          <w:tcPr>
            <w:tcW w:w="1843" w:type="dxa"/>
            <w:vAlign w:val="center"/>
          </w:tcPr>
          <w:p>
            <w:pPr>
              <w:pStyle w:val="63"/>
              <w:rPr>
                <w:szCs w:val="21"/>
              </w:rPr>
            </w:pPr>
            <w:r>
              <w:rPr>
                <w:szCs w:val="21"/>
              </w:rPr>
              <w:t>塑料外壳</w:t>
            </w:r>
          </w:p>
        </w:tc>
        <w:tc>
          <w:tcPr>
            <w:tcW w:w="770" w:type="dxa"/>
            <w:vAlign w:val="center"/>
          </w:tcPr>
          <w:p>
            <w:pPr>
              <w:pStyle w:val="63"/>
              <w:rPr>
                <w:szCs w:val="21"/>
              </w:rPr>
            </w:pPr>
            <w:r>
              <w:rPr>
                <w:szCs w:val="21"/>
              </w:rPr>
              <w:t>t/a</w:t>
            </w:r>
          </w:p>
        </w:tc>
        <w:tc>
          <w:tcPr>
            <w:tcW w:w="1161" w:type="dxa"/>
            <w:vAlign w:val="center"/>
          </w:tcPr>
          <w:p>
            <w:pPr>
              <w:pStyle w:val="63"/>
              <w:rPr>
                <w:rFonts w:eastAsia="宋体"/>
                <w:color w:val="000000"/>
                <w:szCs w:val="21"/>
              </w:rPr>
            </w:pPr>
            <w:r>
              <w:rPr>
                <w:color w:val="000000"/>
                <w:szCs w:val="21"/>
              </w:rPr>
              <w:t>2130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rPr>
                <w:szCs w:val="21"/>
              </w:rPr>
            </w:pPr>
          </w:p>
        </w:tc>
        <w:tc>
          <w:tcPr>
            <w:tcW w:w="1560" w:type="dxa"/>
            <w:vAlign w:val="center"/>
          </w:tcPr>
          <w:p>
            <w:pPr>
              <w:pStyle w:val="63"/>
              <w:rPr>
                <w:szCs w:val="21"/>
              </w:rPr>
            </w:pPr>
          </w:p>
        </w:tc>
        <w:tc>
          <w:tcPr>
            <w:tcW w:w="708" w:type="dxa"/>
            <w:vAlign w:val="center"/>
          </w:tcPr>
          <w:p>
            <w:pPr>
              <w:pStyle w:val="63"/>
              <w:rPr>
                <w:szCs w:val="21"/>
              </w:rPr>
            </w:pPr>
          </w:p>
        </w:tc>
        <w:tc>
          <w:tcPr>
            <w:tcW w:w="1134" w:type="dxa"/>
            <w:vAlign w:val="center"/>
          </w:tcPr>
          <w:p>
            <w:pPr>
              <w:pStyle w:val="63"/>
              <w:rPr>
                <w:szCs w:val="21"/>
              </w:rPr>
            </w:pPr>
          </w:p>
        </w:tc>
        <w:tc>
          <w:tcPr>
            <w:tcW w:w="709" w:type="dxa"/>
            <w:vAlign w:val="center"/>
          </w:tcPr>
          <w:p>
            <w:pPr>
              <w:pStyle w:val="63"/>
              <w:rPr>
                <w:szCs w:val="21"/>
              </w:rPr>
            </w:pPr>
            <w:r>
              <w:rPr>
                <w:szCs w:val="21"/>
              </w:rPr>
              <w:t>7</w:t>
            </w:r>
          </w:p>
        </w:tc>
        <w:tc>
          <w:tcPr>
            <w:tcW w:w="1843" w:type="dxa"/>
            <w:vAlign w:val="center"/>
          </w:tcPr>
          <w:p>
            <w:pPr>
              <w:pStyle w:val="63"/>
              <w:rPr>
                <w:szCs w:val="21"/>
              </w:rPr>
            </w:pPr>
            <w:r>
              <w:rPr>
                <w:rFonts w:hint="eastAsia"/>
                <w:szCs w:val="21"/>
              </w:rPr>
              <w:t>外排</w:t>
            </w:r>
            <w:r>
              <w:rPr>
                <w:szCs w:val="21"/>
              </w:rPr>
              <w:t>氟化物</w:t>
            </w:r>
          </w:p>
        </w:tc>
        <w:tc>
          <w:tcPr>
            <w:tcW w:w="770" w:type="dxa"/>
            <w:vAlign w:val="center"/>
          </w:tcPr>
          <w:p>
            <w:pPr>
              <w:pStyle w:val="63"/>
              <w:rPr>
                <w:szCs w:val="21"/>
              </w:rPr>
            </w:pPr>
            <w:r>
              <w:rPr>
                <w:szCs w:val="21"/>
              </w:rPr>
              <w:t>t/a</w:t>
            </w:r>
          </w:p>
        </w:tc>
        <w:tc>
          <w:tcPr>
            <w:tcW w:w="1161" w:type="dxa"/>
            <w:vAlign w:val="center"/>
          </w:tcPr>
          <w:p>
            <w:pPr>
              <w:pStyle w:val="63"/>
              <w:rPr>
                <w:rFonts w:eastAsia="宋体"/>
                <w:color w:val="000000"/>
                <w:szCs w:val="21"/>
              </w:rPr>
            </w:pPr>
            <w:r>
              <w:rPr>
                <w:color w:val="000000"/>
                <w:szCs w:val="21"/>
              </w:rPr>
              <w:t>1.07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rPr>
                <w:szCs w:val="21"/>
              </w:rPr>
            </w:pPr>
          </w:p>
        </w:tc>
        <w:tc>
          <w:tcPr>
            <w:tcW w:w="1560" w:type="dxa"/>
            <w:vAlign w:val="center"/>
          </w:tcPr>
          <w:p>
            <w:pPr>
              <w:pStyle w:val="63"/>
              <w:rPr>
                <w:szCs w:val="21"/>
              </w:rPr>
            </w:pPr>
          </w:p>
        </w:tc>
        <w:tc>
          <w:tcPr>
            <w:tcW w:w="708" w:type="dxa"/>
            <w:vAlign w:val="center"/>
          </w:tcPr>
          <w:p>
            <w:pPr>
              <w:pStyle w:val="63"/>
              <w:rPr>
                <w:szCs w:val="21"/>
              </w:rPr>
            </w:pPr>
          </w:p>
        </w:tc>
        <w:tc>
          <w:tcPr>
            <w:tcW w:w="1134" w:type="dxa"/>
            <w:vAlign w:val="center"/>
          </w:tcPr>
          <w:p>
            <w:pPr>
              <w:pStyle w:val="63"/>
              <w:rPr>
                <w:szCs w:val="21"/>
              </w:rPr>
            </w:pPr>
          </w:p>
        </w:tc>
        <w:tc>
          <w:tcPr>
            <w:tcW w:w="709" w:type="dxa"/>
            <w:vAlign w:val="center"/>
          </w:tcPr>
          <w:p>
            <w:pPr>
              <w:pStyle w:val="63"/>
              <w:rPr>
                <w:szCs w:val="21"/>
              </w:rPr>
            </w:pPr>
            <w:r>
              <w:rPr>
                <w:szCs w:val="21"/>
              </w:rPr>
              <w:t>8</w:t>
            </w:r>
          </w:p>
        </w:tc>
        <w:tc>
          <w:tcPr>
            <w:tcW w:w="1843" w:type="dxa"/>
            <w:vAlign w:val="center"/>
          </w:tcPr>
          <w:p>
            <w:pPr>
              <w:pStyle w:val="63"/>
              <w:rPr>
                <w:szCs w:val="21"/>
              </w:rPr>
            </w:pPr>
            <w:r>
              <w:rPr>
                <w:rFonts w:hint="eastAsia"/>
                <w:szCs w:val="21"/>
              </w:rPr>
              <w:t>吸收氟化物</w:t>
            </w:r>
          </w:p>
        </w:tc>
        <w:tc>
          <w:tcPr>
            <w:tcW w:w="770" w:type="dxa"/>
            <w:vAlign w:val="center"/>
          </w:tcPr>
          <w:p>
            <w:pPr>
              <w:pStyle w:val="63"/>
              <w:rPr>
                <w:szCs w:val="21"/>
              </w:rPr>
            </w:pPr>
            <w:r>
              <w:rPr>
                <w:szCs w:val="21"/>
              </w:rPr>
              <w:t>t/a</w:t>
            </w:r>
          </w:p>
        </w:tc>
        <w:tc>
          <w:tcPr>
            <w:tcW w:w="1161" w:type="dxa"/>
            <w:vAlign w:val="center"/>
          </w:tcPr>
          <w:p>
            <w:pPr>
              <w:pStyle w:val="63"/>
              <w:rPr>
                <w:rFonts w:eastAsia="宋体"/>
                <w:color w:val="000000"/>
                <w:szCs w:val="21"/>
              </w:rPr>
            </w:pPr>
            <w:r>
              <w:rPr>
                <w:color w:val="000000"/>
                <w:szCs w:val="21"/>
              </w:rPr>
              <w:t>607.56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rPr>
                <w:szCs w:val="21"/>
              </w:rPr>
            </w:pPr>
          </w:p>
        </w:tc>
        <w:tc>
          <w:tcPr>
            <w:tcW w:w="1560" w:type="dxa"/>
            <w:vAlign w:val="center"/>
          </w:tcPr>
          <w:p>
            <w:pPr>
              <w:pStyle w:val="63"/>
              <w:rPr>
                <w:szCs w:val="21"/>
              </w:rPr>
            </w:pPr>
          </w:p>
        </w:tc>
        <w:tc>
          <w:tcPr>
            <w:tcW w:w="708" w:type="dxa"/>
            <w:vAlign w:val="center"/>
          </w:tcPr>
          <w:p>
            <w:pPr>
              <w:pStyle w:val="63"/>
              <w:rPr>
                <w:szCs w:val="21"/>
              </w:rPr>
            </w:pPr>
          </w:p>
        </w:tc>
        <w:tc>
          <w:tcPr>
            <w:tcW w:w="1134" w:type="dxa"/>
            <w:vAlign w:val="center"/>
          </w:tcPr>
          <w:p>
            <w:pPr>
              <w:pStyle w:val="63"/>
              <w:rPr>
                <w:szCs w:val="21"/>
              </w:rPr>
            </w:pPr>
          </w:p>
        </w:tc>
        <w:tc>
          <w:tcPr>
            <w:tcW w:w="709" w:type="dxa"/>
            <w:vAlign w:val="center"/>
          </w:tcPr>
          <w:p>
            <w:pPr>
              <w:pStyle w:val="63"/>
              <w:rPr>
                <w:szCs w:val="21"/>
              </w:rPr>
            </w:pPr>
            <w:r>
              <w:rPr>
                <w:szCs w:val="21"/>
              </w:rPr>
              <w:t>9</w:t>
            </w:r>
          </w:p>
        </w:tc>
        <w:tc>
          <w:tcPr>
            <w:tcW w:w="1843" w:type="dxa"/>
            <w:vAlign w:val="center"/>
          </w:tcPr>
          <w:p>
            <w:pPr>
              <w:pStyle w:val="63"/>
              <w:rPr>
                <w:szCs w:val="21"/>
              </w:rPr>
            </w:pPr>
            <w:r>
              <w:rPr>
                <w:rFonts w:hint="eastAsia"/>
                <w:szCs w:val="21"/>
              </w:rPr>
              <w:t>有机物焚烧</w:t>
            </w:r>
          </w:p>
        </w:tc>
        <w:tc>
          <w:tcPr>
            <w:tcW w:w="770" w:type="dxa"/>
            <w:vAlign w:val="center"/>
          </w:tcPr>
          <w:p>
            <w:pPr>
              <w:pStyle w:val="63"/>
              <w:rPr>
                <w:szCs w:val="21"/>
              </w:rPr>
            </w:pPr>
            <w:r>
              <w:rPr>
                <w:szCs w:val="21"/>
              </w:rPr>
              <w:t>t/a</w:t>
            </w:r>
          </w:p>
        </w:tc>
        <w:tc>
          <w:tcPr>
            <w:tcW w:w="1161" w:type="dxa"/>
            <w:vAlign w:val="center"/>
          </w:tcPr>
          <w:p>
            <w:pPr>
              <w:pStyle w:val="63"/>
              <w:rPr>
                <w:rFonts w:eastAsia="宋体"/>
                <w:color w:val="000000"/>
                <w:szCs w:val="21"/>
              </w:rPr>
            </w:pPr>
            <w:r>
              <w:rPr>
                <w:color w:val="000000"/>
                <w:szCs w:val="21"/>
              </w:rPr>
              <w:t>2332.28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rPr>
                <w:szCs w:val="21"/>
              </w:rPr>
            </w:pPr>
          </w:p>
        </w:tc>
        <w:tc>
          <w:tcPr>
            <w:tcW w:w="1560" w:type="dxa"/>
            <w:vAlign w:val="center"/>
          </w:tcPr>
          <w:p>
            <w:pPr>
              <w:pStyle w:val="63"/>
              <w:rPr>
                <w:szCs w:val="21"/>
              </w:rPr>
            </w:pPr>
          </w:p>
        </w:tc>
        <w:tc>
          <w:tcPr>
            <w:tcW w:w="708" w:type="dxa"/>
            <w:vAlign w:val="center"/>
          </w:tcPr>
          <w:p>
            <w:pPr>
              <w:pStyle w:val="63"/>
              <w:rPr>
                <w:szCs w:val="21"/>
              </w:rPr>
            </w:pPr>
          </w:p>
        </w:tc>
        <w:tc>
          <w:tcPr>
            <w:tcW w:w="1134" w:type="dxa"/>
            <w:vAlign w:val="center"/>
          </w:tcPr>
          <w:p>
            <w:pPr>
              <w:pStyle w:val="63"/>
              <w:rPr>
                <w:szCs w:val="21"/>
              </w:rPr>
            </w:pPr>
          </w:p>
        </w:tc>
        <w:tc>
          <w:tcPr>
            <w:tcW w:w="709" w:type="dxa"/>
            <w:vAlign w:val="center"/>
          </w:tcPr>
          <w:p>
            <w:pPr>
              <w:pStyle w:val="63"/>
              <w:rPr>
                <w:szCs w:val="21"/>
              </w:rPr>
            </w:pPr>
            <w:r>
              <w:rPr>
                <w:rFonts w:hint="eastAsia"/>
                <w:szCs w:val="21"/>
              </w:rPr>
              <w:t>10</w:t>
            </w:r>
          </w:p>
        </w:tc>
        <w:tc>
          <w:tcPr>
            <w:tcW w:w="1843" w:type="dxa"/>
            <w:vAlign w:val="center"/>
          </w:tcPr>
          <w:p>
            <w:pPr>
              <w:pStyle w:val="63"/>
              <w:rPr>
                <w:szCs w:val="21"/>
              </w:rPr>
            </w:pPr>
            <w:r>
              <w:rPr>
                <w:rFonts w:hint="eastAsia"/>
                <w:szCs w:val="21"/>
              </w:rPr>
              <w:t>有机物排放</w:t>
            </w:r>
          </w:p>
        </w:tc>
        <w:tc>
          <w:tcPr>
            <w:tcW w:w="770" w:type="dxa"/>
            <w:vAlign w:val="center"/>
          </w:tcPr>
          <w:p>
            <w:pPr>
              <w:pStyle w:val="63"/>
              <w:rPr>
                <w:szCs w:val="21"/>
              </w:rPr>
            </w:pPr>
            <w:r>
              <w:rPr>
                <w:szCs w:val="21"/>
              </w:rPr>
              <w:t>t/a</w:t>
            </w:r>
          </w:p>
        </w:tc>
        <w:tc>
          <w:tcPr>
            <w:tcW w:w="1161" w:type="dxa"/>
            <w:vAlign w:val="center"/>
          </w:tcPr>
          <w:p>
            <w:pPr>
              <w:pStyle w:val="63"/>
              <w:rPr>
                <w:rFonts w:eastAsia="宋体"/>
                <w:color w:val="000000"/>
                <w:szCs w:val="21"/>
              </w:rPr>
            </w:pPr>
            <w:r>
              <w:rPr>
                <w:rFonts w:hint="eastAsia"/>
                <w:color w:val="000000"/>
                <w:szCs w:val="21"/>
              </w:rPr>
              <w:t>11.72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rPr>
                <w:szCs w:val="21"/>
              </w:rPr>
            </w:pPr>
          </w:p>
        </w:tc>
        <w:tc>
          <w:tcPr>
            <w:tcW w:w="1560" w:type="dxa"/>
            <w:vAlign w:val="center"/>
          </w:tcPr>
          <w:p>
            <w:pPr>
              <w:pStyle w:val="63"/>
              <w:rPr>
                <w:szCs w:val="21"/>
              </w:rPr>
            </w:pPr>
          </w:p>
        </w:tc>
        <w:tc>
          <w:tcPr>
            <w:tcW w:w="708" w:type="dxa"/>
            <w:vAlign w:val="center"/>
          </w:tcPr>
          <w:p>
            <w:pPr>
              <w:pStyle w:val="63"/>
              <w:rPr>
                <w:szCs w:val="21"/>
              </w:rPr>
            </w:pPr>
          </w:p>
        </w:tc>
        <w:tc>
          <w:tcPr>
            <w:tcW w:w="1134" w:type="dxa"/>
            <w:vAlign w:val="center"/>
          </w:tcPr>
          <w:p>
            <w:pPr>
              <w:pStyle w:val="63"/>
              <w:rPr>
                <w:szCs w:val="21"/>
              </w:rPr>
            </w:pPr>
          </w:p>
        </w:tc>
        <w:tc>
          <w:tcPr>
            <w:tcW w:w="709" w:type="dxa"/>
            <w:vAlign w:val="center"/>
          </w:tcPr>
          <w:p>
            <w:pPr>
              <w:pStyle w:val="63"/>
              <w:rPr>
                <w:szCs w:val="21"/>
              </w:rPr>
            </w:pPr>
          </w:p>
        </w:tc>
        <w:tc>
          <w:tcPr>
            <w:tcW w:w="1843" w:type="dxa"/>
            <w:vAlign w:val="center"/>
          </w:tcPr>
          <w:p>
            <w:pPr>
              <w:pStyle w:val="63"/>
              <w:rPr>
                <w:szCs w:val="21"/>
              </w:rPr>
            </w:pPr>
            <w:r>
              <w:rPr>
                <w:szCs w:val="21"/>
              </w:rPr>
              <w:t>隔膜产生的CO</w:t>
            </w:r>
            <w:r>
              <w:rPr>
                <w:szCs w:val="21"/>
                <w:vertAlign w:val="subscript"/>
              </w:rPr>
              <w:t>2</w:t>
            </w:r>
            <w:r>
              <w:rPr>
                <w:szCs w:val="21"/>
              </w:rPr>
              <w:t>和H</w:t>
            </w:r>
            <w:r>
              <w:rPr>
                <w:szCs w:val="21"/>
                <w:vertAlign w:val="subscript"/>
              </w:rPr>
              <w:t>2</w:t>
            </w:r>
            <w:r>
              <w:rPr>
                <w:szCs w:val="21"/>
              </w:rPr>
              <w:t>O</w:t>
            </w:r>
          </w:p>
        </w:tc>
        <w:tc>
          <w:tcPr>
            <w:tcW w:w="770" w:type="dxa"/>
            <w:vAlign w:val="center"/>
          </w:tcPr>
          <w:p>
            <w:pPr>
              <w:pStyle w:val="63"/>
              <w:rPr>
                <w:szCs w:val="21"/>
              </w:rPr>
            </w:pPr>
            <w:r>
              <w:rPr>
                <w:szCs w:val="21"/>
              </w:rPr>
              <w:t>t/a</w:t>
            </w:r>
          </w:p>
        </w:tc>
        <w:tc>
          <w:tcPr>
            <w:tcW w:w="1161" w:type="dxa"/>
            <w:vAlign w:val="center"/>
          </w:tcPr>
          <w:p>
            <w:pPr>
              <w:pStyle w:val="63"/>
              <w:rPr>
                <w:rFonts w:eastAsia="宋体"/>
                <w:color w:val="000000"/>
                <w:szCs w:val="21"/>
              </w:rPr>
            </w:pPr>
            <w:r>
              <w:rPr>
                <w:color w:val="000000"/>
                <w:szCs w:val="21"/>
              </w:rPr>
              <w:t>1200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rPr>
                <w:szCs w:val="21"/>
              </w:rPr>
            </w:pPr>
          </w:p>
        </w:tc>
        <w:tc>
          <w:tcPr>
            <w:tcW w:w="1560" w:type="dxa"/>
            <w:vAlign w:val="center"/>
          </w:tcPr>
          <w:p>
            <w:pPr>
              <w:pStyle w:val="63"/>
              <w:rPr>
                <w:szCs w:val="21"/>
              </w:rPr>
            </w:pPr>
          </w:p>
        </w:tc>
        <w:tc>
          <w:tcPr>
            <w:tcW w:w="708" w:type="dxa"/>
            <w:vAlign w:val="center"/>
          </w:tcPr>
          <w:p>
            <w:pPr>
              <w:pStyle w:val="63"/>
              <w:rPr>
                <w:szCs w:val="21"/>
              </w:rPr>
            </w:pPr>
          </w:p>
        </w:tc>
        <w:tc>
          <w:tcPr>
            <w:tcW w:w="1134" w:type="dxa"/>
            <w:vAlign w:val="center"/>
          </w:tcPr>
          <w:p>
            <w:pPr>
              <w:pStyle w:val="63"/>
              <w:rPr>
                <w:szCs w:val="21"/>
              </w:rPr>
            </w:pPr>
          </w:p>
        </w:tc>
        <w:tc>
          <w:tcPr>
            <w:tcW w:w="709" w:type="dxa"/>
            <w:vAlign w:val="center"/>
          </w:tcPr>
          <w:p>
            <w:pPr>
              <w:pStyle w:val="63"/>
              <w:rPr>
                <w:szCs w:val="21"/>
              </w:rPr>
            </w:pPr>
          </w:p>
        </w:tc>
        <w:tc>
          <w:tcPr>
            <w:tcW w:w="1843" w:type="dxa"/>
            <w:vAlign w:val="center"/>
          </w:tcPr>
          <w:p>
            <w:pPr>
              <w:pStyle w:val="63"/>
              <w:rPr>
                <w:szCs w:val="21"/>
              </w:rPr>
            </w:pPr>
            <w:r>
              <w:rPr>
                <w:rFonts w:hint="eastAsia"/>
                <w:szCs w:val="21"/>
              </w:rPr>
              <w:t>外排颗粒物</w:t>
            </w:r>
          </w:p>
        </w:tc>
        <w:tc>
          <w:tcPr>
            <w:tcW w:w="770" w:type="dxa"/>
            <w:vAlign w:val="center"/>
          </w:tcPr>
          <w:p>
            <w:pPr>
              <w:pStyle w:val="63"/>
              <w:rPr>
                <w:szCs w:val="21"/>
              </w:rPr>
            </w:pPr>
            <w:r>
              <w:rPr>
                <w:szCs w:val="21"/>
              </w:rPr>
              <w:t>t/a</w:t>
            </w:r>
          </w:p>
        </w:tc>
        <w:tc>
          <w:tcPr>
            <w:tcW w:w="1161" w:type="dxa"/>
            <w:vAlign w:val="center"/>
          </w:tcPr>
          <w:p>
            <w:pPr>
              <w:pStyle w:val="63"/>
              <w:rPr>
                <w:rFonts w:eastAsia="宋体"/>
                <w:color w:val="000000"/>
                <w:szCs w:val="21"/>
              </w:rPr>
            </w:pPr>
            <w:r>
              <w:rPr>
                <w:color w:val="000000"/>
                <w:szCs w:val="21"/>
              </w:rPr>
              <w:t>0.013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rPr>
                <w:szCs w:val="21"/>
              </w:rPr>
            </w:pPr>
          </w:p>
        </w:tc>
        <w:tc>
          <w:tcPr>
            <w:tcW w:w="1560" w:type="dxa"/>
            <w:vAlign w:val="center"/>
          </w:tcPr>
          <w:p>
            <w:pPr>
              <w:pStyle w:val="63"/>
              <w:rPr>
                <w:szCs w:val="21"/>
              </w:rPr>
            </w:pPr>
          </w:p>
        </w:tc>
        <w:tc>
          <w:tcPr>
            <w:tcW w:w="708" w:type="dxa"/>
            <w:vAlign w:val="center"/>
          </w:tcPr>
          <w:p>
            <w:pPr>
              <w:pStyle w:val="63"/>
              <w:rPr>
                <w:szCs w:val="21"/>
              </w:rPr>
            </w:pPr>
          </w:p>
        </w:tc>
        <w:tc>
          <w:tcPr>
            <w:tcW w:w="1134" w:type="dxa"/>
            <w:vAlign w:val="center"/>
          </w:tcPr>
          <w:p>
            <w:pPr>
              <w:pStyle w:val="63"/>
              <w:rPr>
                <w:szCs w:val="21"/>
              </w:rPr>
            </w:pPr>
          </w:p>
        </w:tc>
        <w:tc>
          <w:tcPr>
            <w:tcW w:w="709" w:type="dxa"/>
            <w:vAlign w:val="center"/>
          </w:tcPr>
          <w:p>
            <w:pPr>
              <w:pStyle w:val="63"/>
              <w:rPr>
                <w:szCs w:val="21"/>
              </w:rPr>
            </w:pPr>
          </w:p>
        </w:tc>
        <w:tc>
          <w:tcPr>
            <w:tcW w:w="1843" w:type="dxa"/>
            <w:vAlign w:val="center"/>
          </w:tcPr>
          <w:p>
            <w:pPr>
              <w:pStyle w:val="63"/>
              <w:rPr>
                <w:szCs w:val="21"/>
              </w:rPr>
            </w:pPr>
            <w:r>
              <w:rPr>
                <w:rFonts w:hint="eastAsia"/>
                <w:szCs w:val="21"/>
              </w:rPr>
              <w:t>布袋收集颗粒物</w:t>
            </w:r>
          </w:p>
        </w:tc>
        <w:tc>
          <w:tcPr>
            <w:tcW w:w="770" w:type="dxa"/>
            <w:vAlign w:val="center"/>
          </w:tcPr>
          <w:p>
            <w:pPr>
              <w:pStyle w:val="63"/>
              <w:rPr>
                <w:szCs w:val="21"/>
              </w:rPr>
            </w:pPr>
            <w:r>
              <w:rPr>
                <w:szCs w:val="21"/>
              </w:rPr>
              <w:t>t/a</w:t>
            </w:r>
          </w:p>
        </w:tc>
        <w:tc>
          <w:tcPr>
            <w:tcW w:w="1161" w:type="dxa"/>
            <w:vAlign w:val="center"/>
          </w:tcPr>
          <w:p>
            <w:pPr>
              <w:pStyle w:val="63"/>
              <w:rPr>
                <w:rFonts w:eastAsia="宋体"/>
                <w:color w:val="000000"/>
                <w:szCs w:val="21"/>
              </w:rPr>
            </w:pPr>
            <w:r>
              <w:rPr>
                <w:color w:val="000000"/>
                <w:szCs w:val="21"/>
              </w:rPr>
              <w:t>1.357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943" w:type="dxa"/>
            <w:gridSpan w:val="3"/>
            <w:vAlign w:val="center"/>
          </w:tcPr>
          <w:p>
            <w:pPr>
              <w:pStyle w:val="63"/>
              <w:rPr>
                <w:szCs w:val="21"/>
              </w:rPr>
            </w:pPr>
            <w:r>
              <w:rPr>
                <w:szCs w:val="21"/>
              </w:rPr>
              <w:t>合计</w:t>
            </w:r>
          </w:p>
        </w:tc>
        <w:tc>
          <w:tcPr>
            <w:tcW w:w="1134" w:type="dxa"/>
            <w:vAlign w:val="center"/>
          </w:tcPr>
          <w:p>
            <w:pPr>
              <w:pStyle w:val="63"/>
              <w:rPr>
                <w:szCs w:val="21"/>
              </w:rPr>
            </w:pPr>
            <w:r>
              <w:rPr>
                <w:szCs w:val="21"/>
              </w:rPr>
              <w:t>40</w:t>
            </w:r>
            <w:r>
              <w:rPr>
                <w:rFonts w:hint="eastAsia"/>
                <w:szCs w:val="21"/>
              </w:rPr>
              <w:t>154</w:t>
            </w:r>
          </w:p>
        </w:tc>
        <w:tc>
          <w:tcPr>
            <w:tcW w:w="3322" w:type="dxa"/>
            <w:gridSpan w:val="3"/>
            <w:vAlign w:val="center"/>
          </w:tcPr>
          <w:p>
            <w:pPr>
              <w:pStyle w:val="63"/>
              <w:rPr>
                <w:szCs w:val="21"/>
              </w:rPr>
            </w:pPr>
            <w:r>
              <w:rPr>
                <w:szCs w:val="21"/>
              </w:rPr>
              <w:t>合计</w:t>
            </w:r>
          </w:p>
        </w:tc>
        <w:tc>
          <w:tcPr>
            <w:tcW w:w="1161" w:type="dxa"/>
            <w:vAlign w:val="center"/>
          </w:tcPr>
          <w:p>
            <w:pPr>
              <w:pStyle w:val="63"/>
              <w:rPr>
                <w:szCs w:val="21"/>
              </w:rPr>
            </w:pPr>
            <w:r>
              <w:rPr>
                <w:szCs w:val="21"/>
              </w:rPr>
              <w:t>40</w:t>
            </w:r>
            <w:r>
              <w:rPr>
                <w:rFonts w:hint="eastAsia"/>
                <w:szCs w:val="21"/>
              </w:rPr>
              <w:t>154</w:t>
            </w:r>
          </w:p>
        </w:tc>
      </w:tr>
    </w:tbl>
    <w:p>
      <w:pPr>
        <w:pStyle w:val="5"/>
        <w:ind w:firstLine="482"/>
        <w:rPr>
          <w:rFonts w:ascii="Times New Roman" w:hAnsi="Times New Roman" w:cs="Times New Roman" w:eastAsiaTheme="minorEastAsia"/>
        </w:rPr>
      </w:pPr>
      <w:r>
        <w:rPr>
          <w:rFonts w:ascii="Times New Roman" w:hAnsi="Times New Roman" w:cs="Times New Roman" w:eastAsiaTheme="minorEastAsia"/>
        </w:rPr>
        <w:t>3.2.4.3 磷酸铁锂黑粉湿法处理</w:t>
      </w:r>
    </w:p>
    <w:p>
      <w:pPr>
        <w:pStyle w:val="6"/>
        <w:rPr>
          <w:rFonts w:ascii="Times New Roman" w:hAnsi="Times New Roman" w:cs="Times New Roman"/>
        </w:rPr>
      </w:pPr>
      <w:r>
        <w:rPr>
          <w:rFonts w:ascii="Times New Roman" w:hAnsi="Times New Roman" w:cs="Times New Roman"/>
        </w:rPr>
        <w:t>表3.2-</w:t>
      </w:r>
      <w:r>
        <w:rPr>
          <w:rFonts w:hint="eastAsia" w:ascii="Times New Roman" w:hAnsi="Times New Roman" w:cs="Times New Roman"/>
        </w:rPr>
        <w:t>8</w:t>
      </w:r>
      <w:r>
        <w:rPr>
          <w:rFonts w:ascii="Times New Roman" w:hAnsi="Times New Roman" w:cs="Times New Roman"/>
        </w:rPr>
        <w:t xml:space="preserve">  磷酸铁锂黑粉（正负极粉）湿法处理车间物料平衡一览表</w:t>
      </w:r>
    </w:p>
    <w:tbl>
      <w:tblPr>
        <w:tblStyle w:val="35"/>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675"/>
        <w:gridCol w:w="1560"/>
        <w:gridCol w:w="708"/>
        <w:gridCol w:w="1134"/>
        <w:gridCol w:w="709"/>
        <w:gridCol w:w="1843"/>
        <w:gridCol w:w="770"/>
        <w:gridCol w:w="113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077" w:type="dxa"/>
            <w:gridSpan w:val="4"/>
            <w:vAlign w:val="center"/>
          </w:tcPr>
          <w:p>
            <w:pPr>
              <w:pStyle w:val="63"/>
            </w:pPr>
            <w:r>
              <w:t>投入</w:t>
            </w:r>
          </w:p>
        </w:tc>
        <w:tc>
          <w:tcPr>
            <w:tcW w:w="4452" w:type="dxa"/>
            <w:gridSpan w:val="4"/>
            <w:vAlign w:val="center"/>
          </w:tcPr>
          <w:p>
            <w:pPr>
              <w:pStyle w:val="63"/>
            </w:pPr>
            <w:r>
              <w:t>产出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r>
              <w:t>序号</w:t>
            </w:r>
          </w:p>
        </w:tc>
        <w:tc>
          <w:tcPr>
            <w:tcW w:w="1560" w:type="dxa"/>
            <w:vAlign w:val="center"/>
          </w:tcPr>
          <w:p>
            <w:pPr>
              <w:pStyle w:val="63"/>
            </w:pPr>
            <w:r>
              <w:t>名称</w:t>
            </w:r>
          </w:p>
        </w:tc>
        <w:tc>
          <w:tcPr>
            <w:tcW w:w="708" w:type="dxa"/>
            <w:vAlign w:val="center"/>
          </w:tcPr>
          <w:p>
            <w:pPr>
              <w:pStyle w:val="63"/>
            </w:pPr>
            <w:r>
              <w:t>单位</w:t>
            </w:r>
          </w:p>
        </w:tc>
        <w:tc>
          <w:tcPr>
            <w:tcW w:w="1134" w:type="dxa"/>
            <w:vAlign w:val="center"/>
          </w:tcPr>
          <w:p>
            <w:pPr>
              <w:pStyle w:val="63"/>
            </w:pPr>
            <w:r>
              <w:t>投入量</w:t>
            </w:r>
          </w:p>
        </w:tc>
        <w:tc>
          <w:tcPr>
            <w:tcW w:w="709" w:type="dxa"/>
            <w:vAlign w:val="center"/>
          </w:tcPr>
          <w:p>
            <w:pPr>
              <w:pStyle w:val="63"/>
            </w:pPr>
            <w:r>
              <w:t>序号</w:t>
            </w:r>
          </w:p>
        </w:tc>
        <w:tc>
          <w:tcPr>
            <w:tcW w:w="1843" w:type="dxa"/>
            <w:vAlign w:val="center"/>
          </w:tcPr>
          <w:p>
            <w:pPr>
              <w:pStyle w:val="63"/>
            </w:pPr>
            <w:r>
              <w:t>名称</w:t>
            </w:r>
          </w:p>
        </w:tc>
        <w:tc>
          <w:tcPr>
            <w:tcW w:w="770" w:type="dxa"/>
            <w:vAlign w:val="center"/>
          </w:tcPr>
          <w:p>
            <w:pPr>
              <w:pStyle w:val="63"/>
            </w:pPr>
            <w:r>
              <w:t>单位</w:t>
            </w:r>
          </w:p>
        </w:tc>
        <w:tc>
          <w:tcPr>
            <w:tcW w:w="1130" w:type="dxa"/>
            <w:vAlign w:val="center"/>
          </w:tcPr>
          <w:p>
            <w:pPr>
              <w:pStyle w:val="63"/>
            </w:pPr>
            <w:r>
              <w:t>产出量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r>
              <w:t>1</w:t>
            </w:r>
          </w:p>
        </w:tc>
        <w:tc>
          <w:tcPr>
            <w:tcW w:w="1560" w:type="dxa"/>
            <w:vAlign w:val="center"/>
          </w:tcPr>
          <w:p>
            <w:pPr>
              <w:pStyle w:val="63"/>
              <w:rPr>
                <w:sz w:val="22"/>
              </w:rPr>
            </w:pPr>
            <w:r>
              <w:rPr>
                <w:sz w:val="22"/>
              </w:rPr>
              <w:t>磷酸铁锂黑粉</w:t>
            </w:r>
          </w:p>
        </w:tc>
        <w:tc>
          <w:tcPr>
            <w:tcW w:w="708" w:type="dxa"/>
            <w:vAlign w:val="center"/>
          </w:tcPr>
          <w:p>
            <w:pPr>
              <w:pStyle w:val="63"/>
            </w:pPr>
            <w:r>
              <w:t>t/a</w:t>
            </w:r>
          </w:p>
        </w:tc>
        <w:tc>
          <w:tcPr>
            <w:tcW w:w="1134" w:type="dxa"/>
            <w:vAlign w:val="center"/>
          </w:tcPr>
          <w:p>
            <w:pPr>
              <w:pStyle w:val="63"/>
              <w:rPr>
                <w:sz w:val="22"/>
              </w:rPr>
            </w:pPr>
            <w:r>
              <w:rPr>
                <w:sz w:val="22"/>
              </w:rPr>
              <w:t>17370</w:t>
            </w:r>
          </w:p>
        </w:tc>
        <w:tc>
          <w:tcPr>
            <w:tcW w:w="709" w:type="dxa"/>
            <w:vAlign w:val="center"/>
          </w:tcPr>
          <w:p>
            <w:pPr>
              <w:pStyle w:val="63"/>
            </w:pPr>
            <w:r>
              <w:t>1</w:t>
            </w:r>
          </w:p>
        </w:tc>
        <w:tc>
          <w:tcPr>
            <w:tcW w:w="1843" w:type="dxa"/>
            <w:vAlign w:val="center"/>
          </w:tcPr>
          <w:p>
            <w:pPr>
              <w:pStyle w:val="63"/>
              <w:rPr>
                <w:sz w:val="22"/>
              </w:rPr>
            </w:pPr>
            <w:r>
              <w:rPr>
                <w:sz w:val="22"/>
              </w:rPr>
              <w:t>电池级碳酸锂</w:t>
            </w:r>
          </w:p>
        </w:tc>
        <w:tc>
          <w:tcPr>
            <w:tcW w:w="770" w:type="dxa"/>
            <w:vAlign w:val="center"/>
          </w:tcPr>
          <w:p>
            <w:pPr>
              <w:pStyle w:val="63"/>
            </w:pPr>
            <w:r>
              <w:t>t/a</w:t>
            </w:r>
          </w:p>
        </w:tc>
        <w:tc>
          <w:tcPr>
            <w:tcW w:w="1130" w:type="dxa"/>
            <w:vAlign w:val="center"/>
          </w:tcPr>
          <w:p>
            <w:pPr>
              <w:pStyle w:val="63"/>
              <w:rPr>
                <w:sz w:val="22"/>
              </w:rPr>
            </w:pPr>
            <w:r>
              <w:rPr>
                <w:sz w:val="22"/>
              </w:rPr>
              <w:t>2262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r>
              <w:t>2</w:t>
            </w:r>
          </w:p>
        </w:tc>
        <w:tc>
          <w:tcPr>
            <w:tcW w:w="1560" w:type="dxa"/>
            <w:vAlign w:val="center"/>
          </w:tcPr>
          <w:p>
            <w:pPr>
              <w:pStyle w:val="63"/>
              <w:rPr>
                <w:sz w:val="22"/>
              </w:rPr>
            </w:pPr>
            <w:r>
              <w:rPr>
                <w:sz w:val="22"/>
              </w:rPr>
              <w:t>硫酸</w:t>
            </w:r>
          </w:p>
        </w:tc>
        <w:tc>
          <w:tcPr>
            <w:tcW w:w="708" w:type="dxa"/>
            <w:vAlign w:val="center"/>
          </w:tcPr>
          <w:p>
            <w:pPr>
              <w:pStyle w:val="63"/>
            </w:pPr>
            <w:r>
              <w:t>t/a</w:t>
            </w:r>
          </w:p>
        </w:tc>
        <w:tc>
          <w:tcPr>
            <w:tcW w:w="1134" w:type="dxa"/>
            <w:vAlign w:val="center"/>
          </w:tcPr>
          <w:p>
            <w:pPr>
              <w:pStyle w:val="63"/>
              <w:rPr>
                <w:sz w:val="22"/>
              </w:rPr>
            </w:pPr>
            <w:r>
              <w:rPr>
                <w:sz w:val="22"/>
              </w:rPr>
              <w:t>5815</w:t>
            </w:r>
          </w:p>
        </w:tc>
        <w:tc>
          <w:tcPr>
            <w:tcW w:w="709" w:type="dxa"/>
            <w:vAlign w:val="center"/>
          </w:tcPr>
          <w:p>
            <w:pPr>
              <w:pStyle w:val="63"/>
            </w:pPr>
            <w:r>
              <w:t>2</w:t>
            </w:r>
          </w:p>
        </w:tc>
        <w:tc>
          <w:tcPr>
            <w:tcW w:w="1843" w:type="dxa"/>
            <w:vAlign w:val="center"/>
          </w:tcPr>
          <w:p>
            <w:pPr>
              <w:pStyle w:val="63"/>
              <w:rPr>
                <w:sz w:val="22"/>
              </w:rPr>
            </w:pPr>
            <w:r>
              <w:rPr>
                <w:sz w:val="22"/>
              </w:rPr>
              <w:t>电池级磷酸铁</w:t>
            </w:r>
          </w:p>
        </w:tc>
        <w:tc>
          <w:tcPr>
            <w:tcW w:w="770" w:type="dxa"/>
            <w:vAlign w:val="center"/>
          </w:tcPr>
          <w:p>
            <w:pPr>
              <w:pStyle w:val="63"/>
            </w:pPr>
            <w:r>
              <w:t>t/a</w:t>
            </w:r>
          </w:p>
        </w:tc>
        <w:tc>
          <w:tcPr>
            <w:tcW w:w="1130" w:type="dxa"/>
            <w:vAlign w:val="center"/>
          </w:tcPr>
          <w:p>
            <w:pPr>
              <w:pStyle w:val="63"/>
              <w:rPr>
                <w:sz w:val="22"/>
              </w:rPr>
            </w:pPr>
            <w:r>
              <w:rPr>
                <w:sz w:val="22"/>
              </w:rPr>
              <w:t>16316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r>
              <w:t>3</w:t>
            </w:r>
          </w:p>
        </w:tc>
        <w:tc>
          <w:tcPr>
            <w:tcW w:w="1560" w:type="dxa"/>
            <w:vAlign w:val="center"/>
          </w:tcPr>
          <w:p>
            <w:pPr>
              <w:pStyle w:val="63"/>
              <w:rPr>
                <w:sz w:val="22"/>
              </w:rPr>
            </w:pPr>
            <w:r>
              <w:rPr>
                <w:sz w:val="22"/>
              </w:rPr>
              <w:t>氯酸钠</w:t>
            </w:r>
          </w:p>
        </w:tc>
        <w:tc>
          <w:tcPr>
            <w:tcW w:w="708" w:type="dxa"/>
            <w:vAlign w:val="center"/>
          </w:tcPr>
          <w:p>
            <w:pPr>
              <w:pStyle w:val="63"/>
            </w:pPr>
            <w:r>
              <w:t>t/a</w:t>
            </w:r>
          </w:p>
        </w:tc>
        <w:tc>
          <w:tcPr>
            <w:tcW w:w="1134" w:type="dxa"/>
            <w:vAlign w:val="center"/>
          </w:tcPr>
          <w:p>
            <w:pPr>
              <w:pStyle w:val="63"/>
              <w:rPr>
                <w:sz w:val="22"/>
              </w:rPr>
            </w:pPr>
            <w:r>
              <w:rPr>
                <w:sz w:val="22"/>
              </w:rPr>
              <w:t>1737</w:t>
            </w:r>
          </w:p>
        </w:tc>
        <w:tc>
          <w:tcPr>
            <w:tcW w:w="709" w:type="dxa"/>
            <w:vAlign w:val="center"/>
          </w:tcPr>
          <w:p>
            <w:pPr>
              <w:pStyle w:val="63"/>
            </w:pPr>
            <w:r>
              <w:t>3</w:t>
            </w:r>
          </w:p>
        </w:tc>
        <w:tc>
          <w:tcPr>
            <w:tcW w:w="1843" w:type="dxa"/>
            <w:vAlign w:val="center"/>
          </w:tcPr>
          <w:p>
            <w:pPr>
              <w:pStyle w:val="63"/>
              <w:rPr>
                <w:sz w:val="22"/>
              </w:rPr>
            </w:pPr>
            <w:r>
              <w:rPr>
                <w:sz w:val="22"/>
              </w:rPr>
              <w:t>石墨</w:t>
            </w:r>
          </w:p>
        </w:tc>
        <w:tc>
          <w:tcPr>
            <w:tcW w:w="770" w:type="dxa"/>
            <w:vAlign w:val="center"/>
          </w:tcPr>
          <w:p>
            <w:pPr>
              <w:pStyle w:val="63"/>
            </w:pPr>
            <w:r>
              <w:t>t/a</w:t>
            </w:r>
          </w:p>
        </w:tc>
        <w:tc>
          <w:tcPr>
            <w:tcW w:w="1130" w:type="dxa"/>
            <w:vAlign w:val="center"/>
          </w:tcPr>
          <w:p>
            <w:pPr>
              <w:pStyle w:val="63"/>
              <w:rPr>
                <w:sz w:val="22"/>
              </w:rPr>
            </w:pPr>
            <w:r>
              <w:rPr>
                <w:sz w:val="22"/>
              </w:rPr>
              <w:t>4432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r>
              <w:t>4</w:t>
            </w:r>
          </w:p>
        </w:tc>
        <w:tc>
          <w:tcPr>
            <w:tcW w:w="1560" w:type="dxa"/>
            <w:vAlign w:val="center"/>
          </w:tcPr>
          <w:p>
            <w:pPr>
              <w:pStyle w:val="63"/>
              <w:rPr>
                <w:sz w:val="22"/>
              </w:rPr>
            </w:pPr>
            <w:r>
              <w:rPr>
                <w:sz w:val="22"/>
              </w:rPr>
              <w:t>液碱</w:t>
            </w:r>
          </w:p>
        </w:tc>
        <w:tc>
          <w:tcPr>
            <w:tcW w:w="708" w:type="dxa"/>
            <w:vAlign w:val="center"/>
          </w:tcPr>
          <w:p>
            <w:pPr>
              <w:pStyle w:val="63"/>
            </w:pPr>
            <w:r>
              <w:t>t/a</w:t>
            </w:r>
          </w:p>
        </w:tc>
        <w:tc>
          <w:tcPr>
            <w:tcW w:w="1134" w:type="dxa"/>
            <w:vAlign w:val="center"/>
          </w:tcPr>
          <w:p>
            <w:pPr>
              <w:pStyle w:val="63"/>
              <w:rPr>
                <w:sz w:val="22"/>
              </w:rPr>
            </w:pPr>
            <w:r>
              <w:rPr>
                <w:sz w:val="22"/>
              </w:rPr>
              <w:t>4321</w:t>
            </w:r>
          </w:p>
        </w:tc>
        <w:tc>
          <w:tcPr>
            <w:tcW w:w="709" w:type="dxa"/>
            <w:vAlign w:val="center"/>
          </w:tcPr>
          <w:p>
            <w:pPr>
              <w:pStyle w:val="63"/>
            </w:pPr>
            <w:r>
              <w:t>4</w:t>
            </w:r>
          </w:p>
        </w:tc>
        <w:tc>
          <w:tcPr>
            <w:tcW w:w="1843" w:type="dxa"/>
            <w:vAlign w:val="center"/>
          </w:tcPr>
          <w:p>
            <w:pPr>
              <w:pStyle w:val="63"/>
              <w:rPr>
                <w:sz w:val="22"/>
              </w:rPr>
            </w:pPr>
            <w:r>
              <w:rPr>
                <w:sz w:val="22"/>
              </w:rPr>
              <w:t>工业氯化钠</w:t>
            </w:r>
          </w:p>
        </w:tc>
        <w:tc>
          <w:tcPr>
            <w:tcW w:w="770" w:type="dxa"/>
            <w:vAlign w:val="center"/>
          </w:tcPr>
          <w:p>
            <w:pPr>
              <w:pStyle w:val="63"/>
            </w:pPr>
            <w:r>
              <w:t>t/a</w:t>
            </w:r>
          </w:p>
        </w:tc>
        <w:tc>
          <w:tcPr>
            <w:tcW w:w="1130" w:type="dxa"/>
            <w:vAlign w:val="center"/>
          </w:tcPr>
          <w:p>
            <w:pPr>
              <w:pStyle w:val="63"/>
              <w:rPr>
                <w:sz w:val="22"/>
              </w:rPr>
            </w:pPr>
            <w:r>
              <w:rPr>
                <w:sz w:val="22"/>
              </w:rPr>
              <w:t>1274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r>
              <w:t>5</w:t>
            </w:r>
          </w:p>
        </w:tc>
        <w:tc>
          <w:tcPr>
            <w:tcW w:w="1560" w:type="dxa"/>
            <w:vAlign w:val="center"/>
          </w:tcPr>
          <w:p>
            <w:pPr>
              <w:pStyle w:val="63"/>
              <w:rPr>
                <w:sz w:val="22"/>
              </w:rPr>
            </w:pPr>
            <w:r>
              <w:rPr>
                <w:sz w:val="22"/>
              </w:rPr>
              <w:t>纯碱</w:t>
            </w:r>
          </w:p>
        </w:tc>
        <w:tc>
          <w:tcPr>
            <w:tcW w:w="708" w:type="dxa"/>
            <w:vAlign w:val="center"/>
          </w:tcPr>
          <w:p>
            <w:pPr>
              <w:pStyle w:val="63"/>
            </w:pPr>
            <w:r>
              <w:t>t/a</w:t>
            </w:r>
          </w:p>
        </w:tc>
        <w:tc>
          <w:tcPr>
            <w:tcW w:w="1134" w:type="dxa"/>
            <w:vAlign w:val="center"/>
          </w:tcPr>
          <w:p>
            <w:pPr>
              <w:pStyle w:val="63"/>
              <w:rPr>
                <w:sz w:val="22"/>
              </w:rPr>
            </w:pPr>
            <w:r>
              <w:rPr>
                <w:sz w:val="22"/>
              </w:rPr>
              <w:t>5643</w:t>
            </w:r>
          </w:p>
        </w:tc>
        <w:tc>
          <w:tcPr>
            <w:tcW w:w="709" w:type="dxa"/>
            <w:vAlign w:val="center"/>
          </w:tcPr>
          <w:p>
            <w:pPr>
              <w:pStyle w:val="63"/>
            </w:pPr>
            <w:r>
              <w:t>5</w:t>
            </w:r>
          </w:p>
        </w:tc>
        <w:tc>
          <w:tcPr>
            <w:tcW w:w="1843" w:type="dxa"/>
            <w:vAlign w:val="center"/>
          </w:tcPr>
          <w:p>
            <w:pPr>
              <w:pStyle w:val="63"/>
              <w:rPr>
                <w:sz w:val="22"/>
              </w:rPr>
            </w:pPr>
            <w:r>
              <w:rPr>
                <w:sz w:val="22"/>
              </w:rPr>
              <w:t>硫酸钠</w:t>
            </w:r>
          </w:p>
        </w:tc>
        <w:tc>
          <w:tcPr>
            <w:tcW w:w="770" w:type="dxa"/>
            <w:vAlign w:val="center"/>
          </w:tcPr>
          <w:p>
            <w:pPr>
              <w:pStyle w:val="63"/>
            </w:pPr>
            <w:r>
              <w:t>t/a</w:t>
            </w:r>
          </w:p>
        </w:tc>
        <w:tc>
          <w:tcPr>
            <w:tcW w:w="1130" w:type="dxa"/>
            <w:vAlign w:val="center"/>
          </w:tcPr>
          <w:p>
            <w:pPr>
              <w:pStyle w:val="63"/>
              <w:rPr>
                <w:sz w:val="22"/>
              </w:rPr>
            </w:pPr>
            <w:r>
              <w:rPr>
                <w:sz w:val="22"/>
              </w:rPr>
              <w:t>6102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r>
              <w:t>6</w:t>
            </w:r>
          </w:p>
        </w:tc>
        <w:tc>
          <w:tcPr>
            <w:tcW w:w="1560" w:type="dxa"/>
            <w:vAlign w:val="center"/>
          </w:tcPr>
          <w:p>
            <w:pPr>
              <w:pStyle w:val="63"/>
              <w:rPr>
                <w:sz w:val="22"/>
              </w:rPr>
            </w:pPr>
            <w:r>
              <w:rPr>
                <w:sz w:val="22"/>
              </w:rPr>
              <w:t>水</w:t>
            </w:r>
          </w:p>
        </w:tc>
        <w:tc>
          <w:tcPr>
            <w:tcW w:w="708" w:type="dxa"/>
            <w:vAlign w:val="center"/>
          </w:tcPr>
          <w:p>
            <w:pPr>
              <w:pStyle w:val="63"/>
            </w:pPr>
            <w:r>
              <w:t>t/a</w:t>
            </w:r>
          </w:p>
        </w:tc>
        <w:tc>
          <w:tcPr>
            <w:tcW w:w="1134" w:type="dxa"/>
            <w:vAlign w:val="center"/>
          </w:tcPr>
          <w:p>
            <w:pPr>
              <w:pStyle w:val="63"/>
              <w:rPr>
                <w:sz w:val="22"/>
              </w:rPr>
            </w:pPr>
            <w:r>
              <w:rPr>
                <w:sz w:val="22"/>
              </w:rPr>
              <w:t>13664</w:t>
            </w:r>
          </w:p>
        </w:tc>
        <w:tc>
          <w:tcPr>
            <w:tcW w:w="709" w:type="dxa"/>
            <w:vAlign w:val="center"/>
          </w:tcPr>
          <w:p>
            <w:pPr>
              <w:pStyle w:val="63"/>
            </w:pPr>
            <w:r>
              <w:t>6</w:t>
            </w:r>
          </w:p>
        </w:tc>
        <w:tc>
          <w:tcPr>
            <w:tcW w:w="1843" w:type="dxa"/>
            <w:vAlign w:val="center"/>
          </w:tcPr>
          <w:p>
            <w:pPr>
              <w:pStyle w:val="63"/>
              <w:rPr>
                <w:sz w:val="22"/>
              </w:rPr>
            </w:pPr>
            <w:r>
              <w:rPr>
                <w:sz w:val="22"/>
              </w:rPr>
              <w:t>渣</w:t>
            </w:r>
          </w:p>
        </w:tc>
        <w:tc>
          <w:tcPr>
            <w:tcW w:w="770" w:type="dxa"/>
            <w:vAlign w:val="center"/>
          </w:tcPr>
          <w:p>
            <w:pPr>
              <w:pStyle w:val="63"/>
            </w:pPr>
            <w:r>
              <w:t>t/a</w:t>
            </w:r>
          </w:p>
        </w:tc>
        <w:tc>
          <w:tcPr>
            <w:tcW w:w="1130" w:type="dxa"/>
            <w:vAlign w:val="center"/>
          </w:tcPr>
          <w:p>
            <w:pPr>
              <w:pStyle w:val="63"/>
              <w:rPr>
                <w:sz w:val="22"/>
              </w:rPr>
            </w:pPr>
            <w:r>
              <w:rPr>
                <w:sz w:val="22"/>
              </w:rPr>
              <w:t>3894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p>
        </w:tc>
        <w:tc>
          <w:tcPr>
            <w:tcW w:w="1560" w:type="dxa"/>
            <w:vAlign w:val="center"/>
          </w:tcPr>
          <w:p>
            <w:pPr>
              <w:pStyle w:val="63"/>
            </w:pPr>
          </w:p>
        </w:tc>
        <w:tc>
          <w:tcPr>
            <w:tcW w:w="708" w:type="dxa"/>
            <w:vAlign w:val="center"/>
          </w:tcPr>
          <w:p>
            <w:pPr>
              <w:pStyle w:val="63"/>
            </w:pPr>
          </w:p>
        </w:tc>
        <w:tc>
          <w:tcPr>
            <w:tcW w:w="1134" w:type="dxa"/>
            <w:vAlign w:val="center"/>
          </w:tcPr>
          <w:p>
            <w:pPr>
              <w:pStyle w:val="63"/>
            </w:pPr>
          </w:p>
        </w:tc>
        <w:tc>
          <w:tcPr>
            <w:tcW w:w="709" w:type="dxa"/>
            <w:vAlign w:val="center"/>
          </w:tcPr>
          <w:p>
            <w:pPr>
              <w:pStyle w:val="63"/>
            </w:pPr>
            <w:r>
              <w:t>7</w:t>
            </w:r>
          </w:p>
        </w:tc>
        <w:tc>
          <w:tcPr>
            <w:tcW w:w="1843" w:type="dxa"/>
            <w:vAlign w:val="center"/>
          </w:tcPr>
          <w:p>
            <w:pPr>
              <w:pStyle w:val="63"/>
              <w:rPr>
                <w:sz w:val="22"/>
              </w:rPr>
            </w:pPr>
            <w:r>
              <w:rPr>
                <w:sz w:val="22"/>
              </w:rPr>
              <w:t>水</w:t>
            </w:r>
          </w:p>
        </w:tc>
        <w:tc>
          <w:tcPr>
            <w:tcW w:w="770" w:type="dxa"/>
            <w:vAlign w:val="center"/>
          </w:tcPr>
          <w:p>
            <w:pPr>
              <w:pStyle w:val="63"/>
            </w:pPr>
            <w:r>
              <w:t>t/a</w:t>
            </w:r>
          </w:p>
        </w:tc>
        <w:tc>
          <w:tcPr>
            <w:tcW w:w="1130" w:type="dxa"/>
            <w:vAlign w:val="center"/>
          </w:tcPr>
          <w:p>
            <w:pPr>
              <w:pStyle w:val="63"/>
              <w:rPr>
                <w:sz w:val="22"/>
              </w:rPr>
            </w:pPr>
            <w:r>
              <w:rPr>
                <w:sz w:val="22"/>
              </w:rPr>
              <w:t>13390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p>
        </w:tc>
        <w:tc>
          <w:tcPr>
            <w:tcW w:w="1560" w:type="dxa"/>
            <w:vAlign w:val="center"/>
          </w:tcPr>
          <w:p>
            <w:pPr>
              <w:pStyle w:val="63"/>
            </w:pPr>
          </w:p>
        </w:tc>
        <w:tc>
          <w:tcPr>
            <w:tcW w:w="708" w:type="dxa"/>
            <w:vAlign w:val="center"/>
          </w:tcPr>
          <w:p>
            <w:pPr>
              <w:pStyle w:val="63"/>
            </w:pPr>
          </w:p>
        </w:tc>
        <w:tc>
          <w:tcPr>
            <w:tcW w:w="1134" w:type="dxa"/>
            <w:vAlign w:val="center"/>
          </w:tcPr>
          <w:p>
            <w:pPr>
              <w:pStyle w:val="63"/>
            </w:pPr>
          </w:p>
        </w:tc>
        <w:tc>
          <w:tcPr>
            <w:tcW w:w="709" w:type="dxa"/>
            <w:vAlign w:val="center"/>
          </w:tcPr>
          <w:p>
            <w:pPr>
              <w:pStyle w:val="63"/>
            </w:pPr>
            <w:r>
              <w:t>8</w:t>
            </w:r>
          </w:p>
        </w:tc>
        <w:tc>
          <w:tcPr>
            <w:tcW w:w="1843" w:type="dxa"/>
            <w:vAlign w:val="center"/>
          </w:tcPr>
          <w:p>
            <w:pPr>
              <w:pStyle w:val="63"/>
              <w:rPr>
                <w:sz w:val="22"/>
              </w:rPr>
            </w:pPr>
            <w:r>
              <w:rPr>
                <w:sz w:val="22"/>
              </w:rPr>
              <w:t>损耗水</w:t>
            </w:r>
          </w:p>
        </w:tc>
        <w:tc>
          <w:tcPr>
            <w:tcW w:w="770" w:type="dxa"/>
            <w:vAlign w:val="center"/>
          </w:tcPr>
          <w:p>
            <w:pPr>
              <w:pStyle w:val="63"/>
            </w:pPr>
            <w:r>
              <w:t>t/a</w:t>
            </w:r>
          </w:p>
        </w:tc>
        <w:tc>
          <w:tcPr>
            <w:tcW w:w="1130" w:type="dxa"/>
            <w:vAlign w:val="center"/>
          </w:tcPr>
          <w:p>
            <w:pPr>
              <w:pStyle w:val="63"/>
              <w:rPr>
                <w:sz w:val="22"/>
              </w:rPr>
            </w:pPr>
            <w:r>
              <w:rPr>
                <w:sz w:val="22"/>
              </w:rPr>
              <w:t>880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943" w:type="dxa"/>
            <w:gridSpan w:val="3"/>
            <w:vAlign w:val="center"/>
          </w:tcPr>
          <w:p>
            <w:pPr>
              <w:pStyle w:val="63"/>
            </w:pPr>
            <w:r>
              <w:t>合计</w:t>
            </w:r>
          </w:p>
        </w:tc>
        <w:tc>
          <w:tcPr>
            <w:tcW w:w="1134" w:type="dxa"/>
            <w:vAlign w:val="center"/>
          </w:tcPr>
          <w:p>
            <w:pPr>
              <w:pStyle w:val="63"/>
            </w:pPr>
            <w:r>
              <w:t>48550</w:t>
            </w:r>
          </w:p>
        </w:tc>
        <w:tc>
          <w:tcPr>
            <w:tcW w:w="3322" w:type="dxa"/>
            <w:gridSpan w:val="3"/>
            <w:vAlign w:val="center"/>
          </w:tcPr>
          <w:p>
            <w:pPr>
              <w:pStyle w:val="63"/>
            </w:pPr>
            <w:r>
              <w:t>合计</w:t>
            </w:r>
          </w:p>
        </w:tc>
        <w:tc>
          <w:tcPr>
            <w:tcW w:w="1130" w:type="dxa"/>
            <w:vAlign w:val="center"/>
          </w:tcPr>
          <w:p>
            <w:pPr>
              <w:pStyle w:val="63"/>
            </w:pPr>
            <w:r>
              <w:t>48550</w:t>
            </w:r>
          </w:p>
        </w:tc>
      </w:tr>
    </w:tbl>
    <w:p>
      <w:pPr>
        <w:pStyle w:val="5"/>
        <w:ind w:firstLine="482"/>
        <w:rPr>
          <w:rFonts w:ascii="Times New Roman" w:hAnsi="Times New Roman" w:cs="Times New Roman" w:eastAsiaTheme="minorEastAsia"/>
        </w:rPr>
      </w:pPr>
      <w:r>
        <w:rPr>
          <w:rFonts w:ascii="Times New Roman" w:hAnsi="Times New Roman" w:cs="Times New Roman" w:eastAsiaTheme="minorEastAsia"/>
        </w:rPr>
        <w:t>3.2.4.4 三元黑粉湿法处理</w:t>
      </w:r>
    </w:p>
    <w:p>
      <w:pPr>
        <w:pStyle w:val="6"/>
        <w:rPr>
          <w:rFonts w:ascii="Times New Roman" w:hAnsi="Times New Roman" w:cs="Times New Roman"/>
        </w:rPr>
      </w:pPr>
      <w:r>
        <w:rPr>
          <w:rFonts w:ascii="Times New Roman" w:hAnsi="Times New Roman" w:cs="Times New Roman"/>
        </w:rPr>
        <w:t>表3.2-</w:t>
      </w:r>
      <w:r>
        <w:rPr>
          <w:rFonts w:hint="eastAsia" w:ascii="Times New Roman" w:hAnsi="Times New Roman" w:cs="Times New Roman"/>
        </w:rPr>
        <w:t xml:space="preserve">9  </w:t>
      </w:r>
      <w:r>
        <w:rPr>
          <w:rFonts w:ascii="Times New Roman" w:hAnsi="Times New Roman" w:cs="Times New Roman"/>
        </w:rPr>
        <w:t>三元锂电池黑粉（正负极粉）湿法处理车间物料平衡一览表</w:t>
      </w:r>
    </w:p>
    <w:tbl>
      <w:tblPr>
        <w:tblStyle w:val="35"/>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675"/>
        <w:gridCol w:w="1560"/>
        <w:gridCol w:w="708"/>
        <w:gridCol w:w="1134"/>
        <w:gridCol w:w="709"/>
        <w:gridCol w:w="1843"/>
        <w:gridCol w:w="770"/>
        <w:gridCol w:w="113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077" w:type="dxa"/>
            <w:gridSpan w:val="4"/>
            <w:vAlign w:val="center"/>
          </w:tcPr>
          <w:p>
            <w:pPr>
              <w:pStyle w:val="63"/>
            </w:pPr>
            <w:r>
              <w:t>投入</w:t>
            </w:r>
          </w:p>
        </w:tc>
        <w:tc>
          <w:tcPr>
            <w:tcW w:w="4452" w:type="dxa"/>
            <w:gridSpan w:val="4"/>
            <w:vAlign w:val="center"/>
          </w:tcPr>
          <w:p>
            <w:pPr>
              <w:pStyle w:val="63"/>
            </w:pPr>
            <w:r>
              <w:t>产出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r>
              <w:t>序号</w:t>
            </w:r>
          </w:p>
        </w:tc>
        <w:tc>
          <w:tcPr>
            <w:tcW w:w="1560" w:type="dxa"/>
            <w:vAlign w:val="center"/>
          </w:tcPr>
          <w:p>
            <w:pPr>
              <w:pStyle w:val="63"/>
            </w:pPr>
            <w:r>
              <w:t>名称</w:t>
            </w:r>
          </w:p>
        </w:tc>
        <w:tc>
          <w:tcPr>
            <w:tcW w:w="708" w:type="dxa"/>
            <w:vAlign w:val="center"/>
          </w:tcPr>
          <w:p>
            <w:pPr>
              <w:pStyle w:val="63"/>
            </w:pPr>
            <w:r>
              <w:t>单位</w:t>
            </w:r>
          </w:p>
        </w:tc>
        <w:tc>
          <w:tcPr>
            <w:tcW w:w="1134" w:type="dxa"/>
            <w:vAlign w:val="center"/>
          </w:tcPr>
          <w:p>
            <w:pPr>
              <w:pStyle w:val="63"/>
            </w:pPr>
            <w:r>
              <w:t>投入量</w:t>
            </w:r>
          </w:p>
        </w:tc>
        <w:tc>
          <w:tcPr>
            <w:tcW w:w="709" w:type="dxa"/>
            <w:vAlign w:val="center"/>
          </w:tcPr>
          <w:p>
            <w:pPr>
              <w:pStyle w:val="63"/>
            </w:pPr>
            <w:r>
              <w:t>序号</w:t>
            </w:r>
          </w:p>
        </w:tc>
        <w:tc>
          <w:tcPr>
            <w:tcW w:w="1843" w:type="dxa"/>
            <w:vAlign w:val="center"/>
          </w:tcPr>
          <w:p>
            <w:pPr>
              <w:pStyle w:val="63"/>
            </w:pPr>
            <w:r>
              <w:t>名称</w:t>
            </w:r>
          </w:p>
        </w:tc>
        <w:tc>
          <w:tcPr>
            <w:tcW w:w="770" w:type="dxa"/>
            <w:vAlign w:val="center"/>
          </w:tcPr>
          <w:p>
            <w:pPr>
              <w:pStyle w:val="63"/>
            </w:pPr>
            <w:r>
              <w:t>单位</w:t>
            </w:r>
          </w:p>
        </w:tc>
        <w:tc>
          <w:tcPr>
            <w:tcW w:w="1130" w:type="dxa"/>
            <w:vAlign w:val="center"/>
          </w:tcPr>
          <w:p>
            <w:pPr>
              <w:pStyle w:val="63"/>
            </w:pPr>
            <w:r>
              <w:t>产出量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r>
              <w:t>1</w:t>
            </w:r>
          </w:p>
        </w:tc>
        <w:tc>
          <w:tcPr>
            <w:tcW w:w="1560" w:type="dxa"/>
            <w:vAlign w:val="center"/>
          </w:tcPr>
          <w:p>
            <w:pPr>
              <w:pStyle w:val="63"/>
              <w:rPr>
                <w:sz w:val="22"/>
              </w:rPr>
            </w:pPr>
            <w:r>
              <w:rPr>
                <w:sz w:val="22"/>
              </w:rPr>
              <w:t>三元黑粉</w:t>
            </w:r>
          </w:p>
        </w:tc>
        <w:tc>
          <w:tcPr>
            <w:tcW w:w="708" w:type="dxa"/>
            <w:vAlign w:val="center"/>
          </w:tcPr>
          <w:p>
            <w:pPr>
              <w:pStyle w:val="63"/>
            </w:pPr>
            <w:r>
              <w:t>t/a</w:t>
            </w:r>
          </w:p>
        </w:tc>
        <w:tc>
          <w:tcPr>
            <w:tcW w:w="1134" w:type="dxa"/>
            <w:vAlign w:val="center"/>
          </w:tcPr>
          <w:p>
            <w:pPr>
              <w:pStyle w:val="63"/>
              <w:rPr>
                <w:sz w:val="22"/>
              </w:rPr>
            </w:pPr>
            <w:r>
              <w:rPr>
                <w:sz w:val="22"/>
              </w:rPr>
              <w:t>5400</w:t>
            </w:r>
          </w:p>
        </w:tc>
        <w:tc>
          <w:tcPr>
            <w:tcW w:w="709" w:type="dxa"/>
            <w:vAlign w:val="center"/>
          </w:tcPr>
          <w:p>
            <w:pPr>
              <w:pStyle w:val="63"/>
            </w:pPr>
            <w:r>
              <w:t>1</w:t>
            </w:r>
          </w:p>
        </w:tc>
        <w:tc>
          <w:tcPr>
            <w:tcW w:w="1843" w:type="dxa"/>
            <w:vAlign w:val="center"/>
          </w:tcPr>
          <w:p>
            <w:pPr>
              <w:pStyle w:val="63"/>
              <w:rPr>
                <w:sz w:val="22"/>
              </w:rPr>
            </w:pPr>
            <w:r>
              <w:rPr>
                <w:rFonts w:hint="eastAsia"/>
                <w:sz w:val="22"/>
              </w:rPr>
              <w:t>电池级</w:t>
            </w:r>
            <w:r>
              <w:rPr>
                <w:sz w:val="22"/>
              </w:rPr>
              <w:t>硫酸锰晶体</w:t>
            </w:r>
          </w:p>
        </w:tc>
        <w:tc>
          <w:tcPr>
            <w:tcW w:w="770" w:type="dxa"/>
            <w:vAlign w:val="center"/>
          </w:tcPr>
          <w:p>
            <w:pPr>
              <w:pStyle w:val="63"/>
            </w:pPr>
            <w:r>
              <w:t>t/a</w:t>
            </w:r>
          </w:p>
        </w:tc>
        <w:tc>
          <w:tcPr>
            <w:tcW w:w="1130" w:type="dxa"/>
            <w:vAlign w:val="center"/>
          </w:tcPr>
          <w:p>
            <w:pPr>
              <w:pStyle w:val="63"/>
              <w:rPr>
                <w:sz w:val="22"/>
              </w:rPr>
            </w:pPr>
            <w:r>
              <w:rPr>
                <w:sz w:val="22"/>
              </w:rPr>
              <w:t>1004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r>
              <w:t>2</w:t>
            </w:r>
          </w:p>
        </w:tc>
        <w:tc>
          <w:tcPr>
            <w:tcW w:w="1560" w:type="dxa"/>
            <w:vAlign w:val="center"/>
          </w:tcPr>
          <w:p>
            <w:pPr>
              <w:pStyle w:val="63"/>
              <w:rPr>
                <w:sz w:val="22"/>
              </w:rPr>
            </w:pPr>
            <w:r>
              <w:rPr>
                <w:sz w:val="22"/>
              </w:rPr>
              <w:t>硫酸</w:t>
            </w:r>
          </w:p>
        </w:tc>
        <w:tc>
          <w:tcPr>
            <w:tcW w:w="708" w:type="dxa"/>
            <w:vAlign w:val="center"/>
          </w:tcPr>
          <w:p>
            <w:pPr>
              <w:pStyle w:val="63"/>
            </w:pPr>
          </w:p>
        </w:tc>
        <w:tc>
          <w:tcPr>
            <w:tcW w:w="1134" w:type="dxa"/>
            <w:vAlign w:val="center"/>
          </w:tcPr>
          <w:p>
            <w:pPr>
              <w:pStyle w:val="63"/>
              <w:rPr>
                <w:sz w:val="22"/>
              </w:rPr>
            </w:pPr>
            <w:r>
              <w:rPr>
                <w:sz w:val="22"/>
              </w:rPr>
              <w:t>5655</w:t>
            </w:r>
          </w:p>
        </w:tc>
        <w:tc>
          <w:tcPr>
            <w:tcW w:w="709" w:type="dxa"/>
            <w:vAlign w:val="center"/>
          </w:tcPr>
          <w:p>
            <w:pPr>
              <w:pStyle w:val="63"/>
            </w:pPr>
            <w:r>
              <w:t>2</w:t>
            </w:r>
          </w:p>
        </w:tc>
        <w:tc>
          <w:tcPr>
            <w:tcW w:w="1843" w:type="dxa"/>
            <w:vAlign w:val="center"/>
          </w:tcPr>
          <w:p>
            <w:pPr>
              <w:pStyle w:val="63"/>
              <w:rPr>
                <w:sz w:val="22"/>
              </w:rPr>
            </w:pPr>
            <w:r>
              <w:rPr>
                <w:rFonts w:hint="eastAsia"/>
                <w:sz w:val="22"/>
              </w:rPr>
              <w:t>电池级</w:t>
            </w:r>
            <w:r>
              <w:rPr>
                <w:sz w:val="22"/>
              </w:rPr>
              <w:t>硫酸钴晶体</w:t>
            </w:r>
          </w:p>
        </w:tc>
        <w:tc>
          <w:tcPr>
            <w:tcW w:w="770" w:type="dxa"/>
            <w:vAlign w:val="center"/>
          </w:tcPr>
          <w:p>
            <w:pPr>
              <w:pStyle w:val="63"/>
            </w:pPr>
            <w:r>
              <w:t>t/a</w:t>
            </w:r>
          </w:p>
        </w:tc>
        <w:tc>
          <w:tcPr>
            <w:tcW w:w="1130" w:type="dxa"/>
            <w:vAlign w:val="center"/>
          </w:tcPr>
          <w:p>
            <w:pPr>
              <w:pStyle w:val="63"/>
              <w:rPr>
                <w:sz w:val="22"/>
              </w:rPr>
            </w:pPr>
            <w:r>
              <w:rPr>
                <w:sz w:val="22"/>
              </w:rPr>
              <w:t>963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r>
              <w:t>3</w:t>
            </w:r>
          </w:p>
        </w:tc>
        <w:tc>
          <w:tcPr>
            <w:tcW w:w="1560" w:type="dxa"/>
            <w:vAlign w:val="center"/>
          </w:tcPr>
          <w:p>
            <w:pPr>
              <w:pStyle w:val="63"/>
              <w:rPr>
                <w:sz w:val="22"/>
              </w:rPr>
            </w:pPr>
            <w:r>
              <w:rPr>
                <w:sz w:val="22"/>
              </w:rPr>
              <w:t>硫代硫酸钠</w:t>
            </w:r>
          </w:p>
        </w:tc>
        <w:tc>
          <w:tcPr>
            <w:tcW w:w="708" w:type="dxa"/>
            <w:vAlign w:val="center"/>
          </w:tcPr>
          <w:p>
            <w:pPr>
              <w:pStyle w:val="63"/>
            </w:pPr>
          </w:p>
        </w:tc>
        <w:tc>
          <w:tcPr>
            <w:tcW w:w="1134" w:type="dxa"/>
            <w:vAlign w:val="center"/>
          </w:tcPr>
          <w:p>
            <w:pPr>
              <w:pStyle w:val="63"/>
              <w:rPr>
                <w:sz w:val="22"/>
              </w:rPr>
            </w:pPr>
            <w:r>
              <w:rPr>
                <w:sz w:val="22"/>
              </w:rPr>
              <w:t>5405</w:t>
            </w:r>
          </w:p>
        </w:tc>
        <w:tc>
          <w:tcPr>
            <w:tcW w:w="709" w:type="dxa"/>
            <w:vAlign w:val="center"/>
          </w:tcPr>
          <w:p>
            <w:pPr>
              <w:pStyle w:val="63"/>
            </w:pPr>
            <w:r>
              <w:t>3</w:t>
            </w:r>
          </w:p>
        </w:tc>
        <w:tc>
          <w:tcPr>
            <w:tcW w:w="1843" w:type="dxa"/>
            <w:vAlign w:val="center"/>
          </w:tcPr>
          <w:p>
            <w:pPr>
              <w:pStyle w:val="63"/>
              <w:rPr>
                <w:sz w:val="22"/>
              </w:rPr>
            </w:pPr>
            <w:r>
              <w:rPr>
                <w:rFonts w:hint="eastAsia"/>
                <w:sz w:val="22"/>
              </w:rPr>
              <w:t>电池级</w:t>
            </w:r>
            <w:r>
              <w:rPr>
                <w:sz w:val="22"/>
              </w:rPr>
              <w:t>硫酸镍晶体</w:t>
            </w:r>
          </w:p>
        </w:tc>
        <w:tc>
          <w:tcPr>
            <w:tcW w:w="770" w:type="dxa"/>
            <w:vAlign w:val="center"/>
          </w:tcPr>
          <w:p>
            <w:pPr>
              <w:pStyle w:val="63"/>
            </w:pPr>
            <w:r>
              <w:t>t/a</w:t>
            </w:r>
          </w:p>
        </w:tc>
        <w:tc>
          <w:tcPr>
            <w:tcW w:w="1130" w:type="dxa"/>
            <w:vAlign w:val="center"/>
          </w:tcPr>
          <w:p>
            <w:pPr>
              <w:pStyle w:val="63"/>
              <w:rPr>
                <w:sz w:val="22"/>
              </w:rPr>
            </w:pPr>
            <w:r>
              <w:rPr>
                <w:sz w:val="22"/>
              </w:rPr>
              <w:t>3106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r>
              <w:t>4</w:t>
            </w:r>
          </w:p>
        </w:tc>
        <w:tc>
          <w:tcPr>
            <w:tcW w:w="1560" w:type="dxa"/>
            <w:vAlign w:val="center"/>
          </w:tcPr>
          <w:p>
            <w:pPr>
              <w:pStyle w:val="63"/>
              <w:rPr>
                <w:sz w:val="22"/>
              </w:rPr>
            </w:pPr>
            <w:r>
              <w:rPr>
                <w:sz w:val="22"/>
              </w:rPr>
              <w:t>碳酸钠</w:t>
            </w:r>
          </w:p>
        </w:tc>
        <w:tc>
          <w:tcPr>
            <w:tcW w:w="708" w:type="dxa"/>
            <w:vAlign w:val="center"/>
          </w:tcPr>
          <w:p>
            <w:pPr>
              <w:pStyle w:val="63"/>
            </w:pPr>
          </w:p>
        </w:tc>
        <w:tc>
          <w:tcPr>
            <w:tcW w:w="1134" w:type="dxa"/>
            <w:vAlign w:val="center"/>
          </w:tcPr>
          <w:p>
            <w:pPr>
              <w:pStyle w:val="63"/>
              <w:rPr>
                <w:sz w:val="22"/>
              </w:rPr>
            </w:pPr>
            <w:r>
              <w:rPr>
                <w:sz w:val="22"/>
              </w:rPr>
              <w:t>1617</w:t>
            </w:r>
          </w:p>
        </w:tc>
        <w:tc>
          <w:tcPr>
            <w:tcW w:w="709" w:type="dxa"/>
            <w:vAlign w:val="center"/>
          </w:tcPr>
          <w:p>
            <w:pPr>
              <w:pStyle w:val="63"/>
            </w:pPr>
            <w:r>
              <w:t>4</w:t>
            </w:r>
          </w:p>
        </w:tc>
        <w:tc>
          <w:tcPr>
            <w:tcW w:w="1843" w:type="dxa"/>
            <w:vAlign w:val="center"/>
          </w:tcPr>
          <w:p>
            <w:pPr>
              <w:pStyle w:val="63"/>
              <w:rPr>
                <w:sz w:val="22"/>
              </w:rPr>
            </w:pPr>
            <w:r>
              <w:rPr>
                <w:sz w:val="22"/>
              </w:rPr>
              <w:t>电池级碳酸锂</w:t>
            </w:r>
          </w:p>
        </w:tc>
        <w:tc>
          <w:tcPr>
            <w:tcW w:w="770" w:type="dxa"/>
            <w:vAlign w:val="center"/>
          </w:tcPr>
          <w:p>
            <w:pPr>
              <w:pStyle w:val="63"/>
            </w:pPr>
            <w:r>
              <w:t>t/a</w:t>
            </w:r>
          </w:p>
        </w:tc>
        <w:tc>
          <w:tcPr>
            <w:tcW w:w="1130" w:type="dxa"/>
            <w:vAlign w:val="center"/>
          </w:tcPr>
          <w:p>
            <w:pPr>
              <w:pStyle w:val="63"/>
              <w:rPr>
                <w:sz w:val="22"/>
              </w:rPr>
            </w:pPr>
            <w:r>
              <w:rPr>
                <w:sz w:val="22"/>
              </w:rPr>
              <w:t>1269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r>
              <w:t>5</w:t>
            </w:r>
          </w:p>
        </w:tc>
        <w:tc>
          <w:tcPr>
            <w:tcW w:w="1560" w:type="dxa"/>
            <w:vAlign w:val="center"/>
          </w:tcPr>
          <w:p>
            <w:pPr>
              <w:pStyle w:val="63"/>
              <w:rPr>
                <w:sz w:val="22"/>
              </w:rPr>
            </w:pPr>
            <w:r>
              <w:rPr>
                <w:sz w:val="22"/>
              </w:rPr>
              <w:t>纯碱</w:t>
            </w:r>
          </w:p>
        </w:tc>
        <w:tc>
          <w:tcPr>
            <w:tcW w:w="708" w:type="dxa"/>
            <w:vAlign w:val="center"/>
          </w:tcPr>
          <w:p>
            <w:pPr>
              <w:pStyle w:val="63"/>
            </w:pPr>
          </w:p>
        </w:tc>
        <w:tc>
          <w:tcPr>
            <w:tcW w:w="1134" w:type="dxa"/>
            <w:vAlign w:val="center"/>
          </w:tcPr>
          <w:p>
            <w:pPr>
              <w:pStyle w:val="63"/>
              <w:rPr>
                <w:sz w:val="22"/>
              </w:rPr>
            </w:pPr>
            <w:r>
              <w:rPr>
                <w:sz w:val="22"/>
              </w:rPr>
              <w:t>2367</w:t>
            </w:r>
          </w:p>
        </w:tc>
        <w:tc>
          <w:tcPr>
            <w:tcW w:w="709" w:type="dxa"/>
            <w:vAlign w:val="center"/>
          </w:tcPr>
          <w:p>
            <w:pPr>
              <w:pStyle w:val="63"/>
            </w:pPr>
            <w:r>
              <w:t>5</w:t>
            </w:r>
          </w:p>
        </w:tc>
        <w:tc>
          <w:tcPr>
            <w:tcW w:w="1843" w:type="dxa"/>
            <w:vAlign w:val="center"/>
          </w:tcPr>
          <w:p>
            <w:pPr>
              <w:pStyle w:val="63"/>
              <w:rPr>
                <w:sz w:val="22"/>
              </w:rPr>
            </w:pPr>
            <w:r>
              <w:rPr>
                <w:sz w:val="22"/>
              </w:rPr>
              <w:t>石墨</w:t>
            </w:r>
          </w:p>
        </w:tc>
        <w:tc>
          <w:tcPr>
            <w:tcW w:w="770" w:type="dxa"/>
            <w:vAlign w:val="center"/>
          </w:tcPr>
          <w:p>
            <w:pPr>
              <w:pStyle w:val="63"/>
            </w:pPr>
            <w:r>
              <w:t>t/a</w:t>
            </w:r>
          </w:p>
        </w:tc>
        <w:tc>
          <w:tcPr>
            <w:tcW w:w="1130" w:type="dxa"/>
            <w:vAlign w:val="center"/>
          </w:tcPr>
          <w:p>
            <w:pPr>
              <w:pStyle w:val="63"/>
              <w:rPr>
                <w:sz w:val="22"/>
              </w:rPr>
            </w:pPr>
            <w:r>
              <w:rPr>
                <w:sz w:val="22"/>
              </w:rPr>
              <w:t>2162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r>
              <w:t>6</w:t>
            </w:r>
          </w:p>
        </w:tc>
        <w:tc>
          <w:tcPr>
            <w:tcW w:w="1560" w:type="dxa"/>
            <w:vAlign w:val="center"/>
          </w:tcPr>
          <w:p>
            <w:pPr>
              <w:pStyle w:val="63"/>
              <w:rPr>
                <w:sz w:val="22"/>
              </w:rPr>
            </w:pPr>
            <w:r>
              <w:rPr>
                <w:sz w:val="22"/>
              </w:rPr>
              <w:t>液碱</w:t>
            </w:r>
          </w:p>
        </w:tc>
        <w:tc>
          <w:tcPr>
            <w:tcW w:w="708" w:type="dxa"/>
            <w:vAlign w:val="center"/>
          </w:tcPr>
          <w:p>
            <w:pPr>
              <w:pStyle w:val="63"/>
            </w:pPr>
          </w:p>
        </w:tc>
        <w:tc>
          <w:tcPr>
            <w:tcW w:w="1134" w:type="dxa"/>
            <w:vAlign w:val="center"/>
          </w:tcPr>
          <w:p>
            <w:pPr>
              <w:pStyle w:val="63"/>
              <w:rPr>
                <w:sz w:val="22"/>
              </w:rPr>
            </w:pPr>
            <w:r>
              <w:rPr>
                <w:sz w:val="22"/>
              </w:rPr>
              <w:t>46</w:t>
            </w:r>
          </w:p>
        </w:tc>
        <w:tc>
          <w:tcPr>
            <w:tcW w:w="709" w:type="dxa"/>
            <w:vAlign w:val="center"/>
          </w:tcPr>
          <w:p>
            <w:pPr>
              <w:pStyle w:val="63"/>
            </w:pPr>
            <w:r>
              <w:t>6</w:t>
            </w:r>
          </w:p>
        </w:tc>
        <w:tc>
          <w:tcPr>
            <w:tcW w:w="1843" w:type="dxa"/>
            <w:vAlign w:val="center"/>
          </w:tcPr>
          <w:p>
            <w:pPr>
              <w:pStyle w:val="63"/>
              <w:rPr>
                <w:sz w:val="22"/>
              </w:rPr>
            </w:pPr>
            <w:r>
              <w:rPr>
                <w:sz w:val="22"/>
              </w:rPr>
              <w:t>铁铝渣</w:t>
            </w:r>
          </w:p>
        </w:tc>
        <w:tc>
          <w:tcPr>
            <w:tcW w:w="770" w:type="dxa"/>
            <w:vAlign w:val="center"/>
          </w:tcPr>
          <w:p>
            <w:pPr>
              <w:pStyle w:val="63"/>
            </w:pPr>
            <w:r>
              <w:t>t/a</w:t>
            </w:r>
          </w:p>
        </w:tc>
        <w:tc>
          <w:tcPr>
            <w:tcW w:w="1130" w:type="dxa"/>
            <w:vAlign w:val="center"/>
          </w:tcPr>
          <w:p>
            <w:pPr>
              <w:pStyle w:val="63"/>
              <w:rPr>
                <w:sz w:val="22"/>
              </w:rPr>
            </w:pPr>
            <w:r>
              <w:rPr>
                <w:sz w:val="22"/>
              </w:rPr>
              <w:t>260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r>
              <w:t>7</w:t>
            </w:r>
          </w:p>
        </w:tc>
        <w:tc>
          <w:tcPr>
            <w:tcW w:w="1560" w:type="dxa"/>
            <w:vAlign w:val="center"/>
          </w:tcPr>
          <w:p>
            <w:pPr>
              <w:pStyle w:val="63"/>
              <w:rPr>
                <w:sz w:val="22"/>
              </w:rPr>
            </w:pPr>
            <w:r>
              <w:rPr>
                <w:sz w:val="22"/>
              </w:rPr>
              <w:t>萃取剂</w:t>
            </w:r>
          </w:p>
        </w:tc>
        <w:tc>
          <w:tcPr>
            <w:tcW w:w="708" w:type="dxa"/>
            <w:vAlign w:val="center"/>
          </w:tcPr>
          <w:p>
            <w:pPr>
              <w:pStyle w:val="63"/>
            </w:pPr>
          </w:p>
        </w:tc>
        <w:tc>
          <w:tcPr>
            <w:tcW w:w="1134" w:type="dxa"/>
            <w:vAlign w:val="center"/>
          </w:tcPr>
          <w:p>
            <w:pPr>
              <w:pStyle w:val="63"/>
              <w:rPr>
                <w:sz w:val="22"/>
              </w:rPr>
            </w:pPr>
            <w:r>
              <w:rPr>
                <w:sz w:val="22"/>
              </w:rPr>
              <w:t>1900</w:t>
            </w:r>
          </w:p>
        </w:tc>
        <w:tc>
          <w:tcPr>
            <w:tcW w:w="709" w:type="dxa"/>
            <w:vAlign w:val="center"/>
          </w:tcPr>
          <w:p>
            <w:pPr>
              <w:pStyle w:val="63"/>
            </w:pPr>
            <w:r>
              <w:t>7</w:t>
            </w:r>
          </w:p>
        </w:tc>
        <w:tc>
          <w:tcPr>
            <w:tcW w:w="1843" w:type="dxa"/>
            <w:vAlign w:val="center"/>
          </w:tcPr>
          <w:p>
            <w:pPr>
              <w:pStyle w:val="63"/>
              <w:rPr>
                <w:sz w:val="22"/>
              </w:rPr>
            </w:pPr>
            <w:r>
              <w:rPr>
                <w:sz w:val="22"/>
              </w:rPr>
              <w:t>硫酸钠</w:t>
            </w:r>
          </w:p>
        </w:tc>
        <w:tc>
          <w:tcPr>
            <w:tcW w:w="770" w:type="dxa"/>
            <w:vAlign w:val="center"/>
          </w:tcPr>
          <w:p>
            <w:pPr>
              <w:pStyle w:val="63"/>
            </w:pPr>
            <w:r>
              <w:t>t/a</w:t>
            </w:r>
          </w:p>
        </w:tc>
        <w:tc>
          <w:tcPr>
            <w:tcW w:w="1130" w:type="dxa"/>
            <w:vAlign w:val="center"/>
          </w:tcPr>
          <w:p>
            <w:pPr>
              <w:pStyle w:val="63"/>
              <w:rPr>
                <w:sz w:val="22"/>
              </w:rPr>
            </w:pPr>
            <w:r>
              <w:rPr>
                <w:sz w:val="22"/>
              </w:rPr>
              <w:t>14784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r>
              <w:t>8</w:t>
            </w:r>
          </w:p>
        </w:tc>
        <w:tc>
          <w:tcPr>
            <w:tcW w:w="1560" w:type="dxa"/>
            <w:vAlign w:val="center"/>
          </w:tcPr>
          <w:p>
            <w:pPr>
              <w:pStyle w:val="63"/>
              <w:rPr>
                <w:sz w:val="22"/>
              </w:rPr>
            </w:pPr>
            <w:r>
              <w:rPr>
                <w:sz w:val="22"/>
              </w:rPr>
              <w:t>铁粉</w:t>
            </w:r>
          </w:p>
        </w:tc>
        <w:tc>
          <w:tcPr>
            <w:tcW w:w="708" w:type="dxa"/>
            <w:vAlign w:val="center"/>
          </w:tcPr>
          <w:p>
            <w:pPr>
              <w:pStyle w:val="63"/>
            </w:pPr>
          </w:p>
        </w:tc>
        <w:tc>
          <w:tcPr>
            <w:tcW w:w="1134" w:type="dxa"/>
            <w:vAlign w:val="center"/>
          </w:tcPr>
          <w:p>
            <w:pPr>
              <w:pStyle w:val="63"/>
              <w:rPr>
                <w:sz w:val="22"/>
              </w:rPr>
            </w:pPr>
            <w:r>
              <w:rPr>
                <w:sz w:val="22"/>
              </w:rPr>
              <w:t>80</w:t>
            </w:r>
          </w:p>
        </w:tc>
        <w:tc>
          <w:tcPr>
            <w:tcW w:w="709" w:type="dxa"/>
            <w:vAlign w:val="center"/>
          </w:tcPr>
          <w:p>
            <w:pPr>
              <w:pStyle w:val="63"/>
            </w:pPr>
            <w:r>
              <w:t>8</w:t>
            </w:r>
          </w:p>
        </w:tc>
        <w:tc>
          <w:tcPr>
            <w:tcW w:w="1843" w:type="dxa"/>
            <w:vAlign w:val="center"/>
          </w:tcPr>
          <w:p>
            <w:pPr>
              <w:pStyle w:val="63"/>
              <w:rPr>
                <w:sz w:val="22"/>
              </w:rPr>
            </w:pPr>
            <w:r>
              <w:rPr>
                <w:sz w:val="22"/>
              </w:rPr>
              <w:t>水</w:t>
            </w:r>
          </w:p>
        </w:tc>
        <w:tc>
          <w:tcPr>
            <w:tcW w:w="770" w:type="dxa"/>
            <w:vAlign w:val="center"/>
          </w:tcPr>
          <w:p>
            <w:pPr>
              <w:pStyle w:val="63"/>
            </w:pPr>
            <w:r>
              <w:t>t/a</w:t>
            </w:r>
          </w:p>
        </w:tc>
        <w:tc>
          <w:tcPr>
            <w:tcW w:w="1130" w:type="dxa"/>
            <w:vAlign w:val="center"/>
          </w:tcPr>
          <w:p>
            <w:pPr>
              <w:pStyle w:val="63"/>
              <w:rPr>
                <w:sz w:val="22"/>
              </w:rPr>
            </w:pPr>
            <w:r>
              <w:rPr>
                <w:sz w:val="22"/>
              </w:rPr>
              <w:t>5488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75" w:type="dxa"/>
            <w:vAlign w:val="center"/>
          </w:tcPr>
          <w:p>
            <w:pPr>
              <w:pStyle w:val="63"/>
            </w:pPr>
            <w:r>
              <w:t>9</w:t>
            </w:r>
          </w:p>
        </w:tc>
        <w:tc>
          <w:tcPr>
            <w:tcW w:w="1560" w:type="dxa"/>
            <w:vAlign w:val="center"/>
          </w:tcPr>
          <w:p>
            <w:pPr>
              <w:pStyle w:val="63"/>
              <w:rPr>
                <w:sz w:val="22"/>
              </w:rPr>
            </w:pPr>
            <w:r>
              <w:rPr>
                <w:sz w:val="22"/>
              </w:rPr>
              <w:t>水</w:t>
            </w:r>
          </w:p>
        </w:tc>
        <w:tc>
          <w:tcPr>
            <w:tcW w:w="708" w:type="dxa"/>
            <w:vAlign w:val="center"/>
          </w:tcPr>
          <w:p>
            <w:pPr>
              <w:pStyle w:val="63"/>
            </w:pPr>
          </w:p>
        </w:tc>
        <w:tc>
          <w:tcPr>
            <w:tcW w:w="1134" w:type="dxa"/>
            <w:vAlign w:val="center"/>
          </w:tcPr>
          <w:p>
            <w:pPr>
              <w:pStyle w:val="63"/>
              <w:rPr>
                <w:sz w:val="22"/>
              </w:rPr>
            </w:pPr>
            <w:r>
              <w:rPr>
                <w:sz w:val="22"/>
              </w:rPr>
              <w:t>8250</w:t>
            </w:r>
          </w:p>
        </w:tc>
        <w:tc>
          <w:tcPr>
            <w:tcW w:w="709" w:type="dxa"/>
            <w:vAlign w:val="center"/>
          </w:tcPr>
          <w:p>
            <w:pPr>
              <w:pStyle w:val="63"/>
            </w:pPr>
            <w:r>
              <w:t>9</w:t>
            </w:r>
          </w:p>
        </w:tc>
        <w:tc>
          <w:tcPr>
            <w:tcW w:w="1843" w:type="dxa"/>
            <w:vAlign w:val="center"/>
          </w:tcPr>
          <w:p>
            <w:pPr>
              <w:pStyle w:val="63"/>
              <w:rPr>
                <w:sz w:val="22"/>
              </w:rPr>
            </w:pPr>
            <w:r>
              <w:rPr>
                <w:sz w:val="22"/>
              </w:rPr>
              <w:t>损耗水</w:t>
            </w:r>
          </w:p>
        </w:tc>
        <w:tc>
          <w:tcPr>
            <w:tcW w:w="770" w:type="dxa"/>
            <w:vAlign w:val="center"/>
          </w:tcPr>
          <w:p>
            <w:pPr>
              <w:pStyle w:val="63"/>
            </w:pPr>
            <w:r>
              <w:t>t/a</w:t>
            </w:r>
          </w:p>
        </w:tc>
        <w:tc>
          <w:tcPr>
            <w:tcW w:w="1130" w:type="dxa"/>
            <w:vAlign w:val="center"/>
          </w:tcPr>
          <w:p>
            <w:pPr>
              <w:pStyle w:val="63"/>
              <w:rPr>
                <w:sz w:val="22"/>
              </w:rPr>
            </w:pPr>
            <w:r>
              <w:rPr>
                <w:sz w:val="22"/>
              </w:rPr>
              <w:t>1684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943" w:type="dxa"/>
            <w:gridSpan w:val="3"/>
            <w:vAlign w:val="center"/>
          </w:tcPr>
          <w:p>
            <w:pPr>
              <w:pStyle w:val="63"/>
            </w:pPr>
            <w:r>
              <w:t>合计</w:t>
            </w:r>
          </w:p>
        </w:tc>
        <w:tc>
          <w:tcPr>
            <w:tcW w:w="1134" w:type="dxa"/>
            <w:vAlign w:val="center"/>
          </w:tcPr>
          <w:p>
            <w:pPr>
              <w:pStyle w:val="63"/>
            </w:pPr>
            <w:r>
              <w:t>30720</w:t>
            </w:r>
          </w:p>
        </w:tc>
        <w:tc>
          <w:tcPr>
            <w:tcW w:w="3322" w:type="dxa"/>
            <w:gridSpan w:val="3"/>
            <w:vAlign w:val="center"/>
          </w:tcPr>
          <w:p>
            <w:pPr>
              <w:pStyle w:val="63"/>
            </w:pPr>
            <w:r>
              <w:t>合计</w:t>
            </w:r>
          </w:p>
        </w:tc>
        <w:tc>
          <w:tcPr>
            <w:tcW w:w="1130" w:type="dxa"/>
            <w:vAlign w:val="center"/>
          </w:tcPr>
          <w:p>
            <w:pPr>
              <w:pStyle w:val="63"/>
            </w:pPr>
            <w:r>
              <w:t>30720</w:t>
            </w:r>
          </w:p>
        </w:tc>
      </w:tr>
    </w:tbl>
    <w:p>
      <w:pPr>
        <w:pStyle w:val="4"/>
        <w:rPr>
          <w:rFonts w:ascii="Times New Roman" w:hAnsi="Times New Roman" w:cs="Times New Roman"/>
          <w:u w:val="single"/>
        </w:rPr>
      </w:pPr>
      <w:bookmarkStart w:id="172" w:name="_Toc147848013"/>
      <w:bookmarkStart w:id="173" w:name="_Toc144276893"/>
      <w:bookmarkStart w:id="174" w:name="_Toc144236763"/>
      <w:r>
        <w:rPr>
          <w:rFonts w:ascii="Times New Roman" w:hAnsi="Times New Roman" w:cs="Times New Roman"/>
          <w:u w:val="single"/>
        </w:rPr>
        <w:t>3.2.5 运营期元素平衡</w:t>
      </w:r>
      <w:bookmarkEnd w:id="172"/>
      <w:bookmarkEnd w:id="173"/>
      <w:bookmarkEnd w:id="174"/>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本项目废旧锂电池重金属镍、钴、锰、锂物料平衡表见</w:t>
      </w:r>
      <w:r>
        <w:rPr>
          <w:rFonts w:hint="eastAsia" w:ascii="Times New Roman" w:hAnsi="Times New Roman" w:cs="Times New Roman"/>
          <w:u w:val="single"/>
        </w:rPr>
        <w:t>下表所示</w:t>
      </w:r>
      <w:r>
        <w:rPr>
          <w:rFonts w:ascii="Times New Roman" w:hAnsi="Times New Roman" w:cs="Times New Roman"/>
          <w:u w:val="single"/>
        </w:rPr>
        <w:t>。因本项目磷酸铁锂电池中不含镍、锰、钴等金属，因此镍、锰、钴、锂等金属元素平衡中不考虑磷酸铁锂的投入量。</w:t>
      </w:r>
    </w:p>
    <w:p>
      <w:pPr>
        <w:pStyle w:val="5"/>
        <w:ind w:firstLine="482"/>
        <w:rPr>
          <w:u w:val="single"/>
        </w:rPr>
      </w:pPr>
      <w:r>
        <w:rPr>
          <w:rFonts w:hint="eastAsia"/>
          <w:u w:val="single"/>
        </w:rPr>
        <w:t>3.2.5.1 镍元素物料平衡</w:t>
      </w:r>
    </w:p>
    <w:p>
      <w:pPr>
        <w:pStyle w:val="6"/>
        <w:rPr>
          <w:rFonts w:ascii="Times New Roman" w:hAnsi="Times New Roman" w:cs="Times New Roman"/>
          <w:u w:val="single"/>
        </w:rPr>
      </w:pPr>
      <w:r>
        <w:rPr>
          <w:rFonts w:ascii="Times New Roman" w:hAnsi="Times New Roman" w:cs="Times New Roman"/>
          <w:u w:val="single"/>
        </w:rPr>
        <w:t>表3.2-</w:t>
      </w:r>
      <w:r>
        <w:rPr>
          <w:rFonts w:hint="eastAsia" w:ascii="Times New Roman" w:hAnsi="Times New Roman" w:cs="Times New Roman"/>
          <w:u w:val="single"/>
        </w:rPr>
        <w:t xml:space="preserve">10  </w:t>
      </w:r>
      <w:r>
        <w:rPr>
          <w:rFonts w:ascii="Times New Roman" w:hAnsi="Times New Roman" w:cs="Times New Roman"/>
          <w:u w:val="single"/>
        </w:rPr>
        <w:t>镍元素物料平衡表</w:t>
      </w:r>
    </w:p>
    <w:tbl>
      <w:tblPr>
        <w:tblStyle w:val="35"/>
        <w:tblW w:w="8505"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43"/>
        <w:gridCol w:w="858"/>
        <w:gridCol w:w="1134"/>
        <w:gridCol w:w="851"/>
        <w:gridCol w:w="1276"/>
        <w:gridCol w:w="1331"/>
        <w:gridCol w:w="1010"/>
        <w:gridCol w:w="120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3686" w:type="dxa"/>
            <w:gridSpan w:val="4"/>
            <w:vAlign w:val="center"/>
          </w:tcPr>
          <w:p>
            <w:pPr>
              <w:pStyle w:val="63"/>
              <w:rPr>
                <w:u w:val="single"/>
              </w:rPr>
            </w:pPr>
            <w:r>
              <w:rPr>
                <w:u w:val="single"/>
              </w:rPr>
              <w:t>入方</w:t>
            </w:r>
          </w:p>
        </w:tc>
        <w:tc>
          <w:tcPr>
            <w:tcW w:w="4819" w:type="dxa"/>
            <w:gridSpan w:val="4"/>
            <w:vAlign w:val="center"/>
          </w:tcPr>
          <w:p>
            <w:pPr>
              <w:pStyle w:val="63"/>
              <w:rPr>
                <w:u w:val="single"/>
              </w:rPr>
            </w:pPr>
            <w:r>
              <w:rPr>
                <w:u w:val="single"/>
              </w:rPr>
              <w:t>出方</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843" w:type="dxa"/>
            <w:vAlign w:val="center"/>
          </w:tcPr>
          <w:p>
            <w:pPr>
              <w:pStyle w:val="63"/>
              <w:rPr>
                <w:u w:val="single"/>
              </w:rPr>
            </w:pPr>
            <w:r>
              <w:rPr>
                <w:u w:val="single"/>
              </w:rPr>
              <w:t>项目</w:t>
            </w:r>
          </w:p>
        </w:tc>
        <w:tc>
          <w:tcPr>
            <w:tcW w:w="858" w:type="dxa"/>
            <w:vAlign w:val="center"/>
          </w:tcPr>
          <w:p>
            <w:pPr>
              <w:pStyle w:val="63"/>
              <w:rPr>
                <w:u w:val="single"/>
              </w:rPr>
            </w:pPr>
            <w:r>
              <w:rPr>
                <w:u w:val="single"/>
              </w:rPr>
              <w:t>实物量t/a</w:t>
            </w:r>
          </w:p>
        </w:tc>
        <w:tc>
          <w:tcPr>
            <w:tcW w:w="1134" w:type="dxa"/>
            <w:vAlign w:val="center"/>
          </w:tcPr>
          <w:p>
            <w:pPr>
              <w:pStyle w:val="63"/>
              <w:rPr>
                <w:u w:val="single"/>
              </w:rPr>
            </w:pPr>
            <w:r>
              <w:rPr>
                <w:u w:val="single"/>
              </w:rPr>
              <w:t>镍含率</w:t>
            </w:r>
          </w:p>
          <w:p>
            <w:pPr>
              <w:pStyle w:val="63"/>
              <w:rPr>
                <w:u w:val="single"/>
              </w:rPr>
            </w:pPr>
            <w:r>
              <w:rPr>
                <w:u w:val="single"/>
              </w:rPr>
              <w:t>（%）</w:t>
            </w:r>
          </w:p>
        </w:tc>
        <w:tc>
          <w:tcPr>
            <w:tcW w:w="851" w:type="dxa"/>
            <w:vAlign w:val="center"/>
          </w:tcPr>
          <w:p>
            <w:pPr>
              <w:pStyle w:val="63"/>
              <w:rPr>
                <w:u w:val="single"/>
              </w:rPr>
            </w:pPr>
            <w:r>
              <w:rPr>
                <w:u w:val="single"/>
              </w:rPr>
              <w:t>镍含量</w:t>
            </w:r>
          </w:p>
          <w:p>
            <w:pPr>
              <w:pStyle w:val="63"/>
              <w:rPr>
                <w:u w:val="single"/>
              </w:rPr>
            </w:pPr>
            <w:r>
              <w:rPr>
                <w:u w:val="single"/>
              </w:rPr>
              <w:t>（t/a）</w:t>
            </w:r>
          </w:p>
        </w:tc>
        <w:tc>
          <w:tcPr>
            <w:tcW w:w="1276" w:type="dxa"/>
            <w:vAlign w:val="center"/>
          </w:tcPr>
          <w:p>
            <w:pPr>
              <w:pStyle w:val="63"/>
              <w:rPr>
                <w:u w:val="single"/>
              </w:rPr>
            </w:pPr>
            <w:r>
              <w:rPr>
                <w:u w:val="single"/>
              </w:rPr>
              <w:t>项目</w:t>
            </w:r>
          </w:p>
        </w:tc>
        <w:tc>
          <w:tcPr>
            <w:tcW w:w="1331" w:type="dxa"/>
            <w:vAlign w:val="center"/>
          </w:tcPr>
          <w:p>
            <w:pPr>
              <w:pStyle w:val="63"/>
              <w:rPr>
                <w:u w:val="single"/>
              </w:rPr>
            </w:pPr>
            <w:r>
              <w:rPr>
                <w:u w:val="single"/>
              </w:rPr>
              <w:t>实物量t/a</w:t>
            </w:r>
          </w:p>
        </w:tc>
        <w:tc>
          <w:tcPr>
            <w:tcW w:w="1010" w:type="dxa"/>
            <w:vAlign w:val="center"/>
          </w:tcPr>
          <w:p>
            <w:pPr>
              <w:pStyle w:val="63"/>
              <w:rPr>
                <w:u w:val="single"/>
              </w:rPr>
            </w:pPr>
            <w:r>
              <w:rPr>
                <w:u w:val="single"/>
              </w:rPr>
              <w:t>镍含率</w:t>
            </w:r>
          </w:p>
          <w:p>
            <w:pPr>
              <w:pStyle w:val="63"/>
              <w:rPr>
                <w:u w:val="single"/>
              </w:rPr>
            </w:pPr>
            <w:r>
              <w:rPr>
                <w:u w:val="single"/>
              </w:rPr>
              <w:t>（%）</w:t>
            </w:r>
          </w:p>
        </w:tc>
        <w:tc>
          <w:tcPr>
            <w:tcW w:w="1202" w:type="dxa"/>
            <w:vAlign w:val="center"/>
          </w:tcPr>
          <w:p>
            <w:pPr>
              <w:pStyle w:val="63"/>
              <w:rPr>
                <w:u w:val="single"/>
              </w:rPr>
            </w:pPr>
            <w:r>
              <w:rPr>
                <w:u w:val="single"/>
              </w:rPr>
              <w:t>镍含量</w:t>
            </w:r>
          </w:p>
          <w:p>
            <w:pPr>
              <w:pStyle w:val="63"/>
              <w:rPr>
                <w:u w:val="single"/>
              </w:rPr>
            </w:pPr>
            <w:r>
              <w:rPr>
                <w:u w:val="single"/>
              </w:rPr>
              <w:t>（t/a）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843" w:type="dxa"/>
            <w:vAlign w:val="center"/>
          </w:tcPr>
          <w:p>
            <w:pPr>
              <w:pStyle w:val="63"/>
              <w:rPr>
                <w:u w:val="single"/>
              </w:rPr>
            </w:pPr>
            <w:r>
              <w:rPr>
                <w:u w:val="single"/>
              </w:rPr>
              <w:t>废旧三元锂电池</w:t>
            </w:r>
          </w:p>
        </w:tc>
        <w:tc>
          <w:tcPr>
            <w:tcW w:w="858" w:type="dxa"/>
            <w:vAlign w:val="center"/>
          </w:tcPr>
          <w:p>
            <w:pPr>
              <w:pStyle w:val="63"/>
              <w:rPr>
                <w:u w:val="single"/>
              </w:rPr>
            </w:pPr>
            <w:r>
              <w:rPr>
                <w:u w:val="single"/>
              </w:rPr>
              <w:t>10000</w:t>
            </w:r>
          </w:p>
        </w:tc>
        <w:tc>
          <w:tcPr>
            <w:tcW w:w="1134" w:type="dxa"/>
            <w:vAlign w:val="center"/>
          </w:tcPr>
          <w:p>
            <w:pPr>
              <w:pStyle w:val="63"/>
              <w:rPr>
                <w:u w:val="single"/>
              </w:rPr>
            </w:pPr>
            <w:r>
              <w:rPr>
                <w:u w:val="single"/>
              </w:rPr>
              <w:t>10</w:t>
            </w:r>
          </w:p>
        </w:tc>
        <w:tc>
          <w:tcPr>
            <w:tcW w:w="851" w:type="dxa"/>
            <w:vAlign w:val="center"/>
          </w:tcPr>
          <w:p>
            <w:pPr>
              <w:pStyle w:val="63"/>
              <w:rPr>
                <w:u w:val="single"/>
              </w:rPr>
            </w:pPr>
            <w:r>
              <w:rPr>
                <w:u w:val="single"/>
              </w:rPr>
              <w:t>1000</w:t>
            </w:r>
          </w:p>
        </w:tc>
        <w:tc>
          <w:tcPr>
            <w:tcW w:w="1276" w:type="dxa"/>
            <w:vAlign w:val="center"/>
          </w:tcPr>
          <w:p>
            <w:pPr>
              <w:pStyle w:val="63"/>
              <w:rPr>
                <w:u w:val="single"/>
              </w:rPr>
            </w:pPr>
            <w:r>
              <w:rPr>
                <w:u w:val="single"/>
              </w:rPr>
              <w:t>电池级硫酸镍</w:t>
            </w:r>
          </w:p>
        </w:tc>
        <w:tc>
          <w:tcPr>
            <w:tcW w:w="1331" w:type="dxa"/>
            <w:vAlign w:val="center"/>
          </w:tcPr>
          <w:p>
            <w:pPr>
              <w:pStyle w:val="63"/>
              <w:rPr>
                <w:u w:val="single"/>
              </w:rPr>
            </w:pPr>
            <w:r>
              <w:rPr>
                <w:u w:val="single"/>
              </w:rPr>
              <w:t>3106</w:t>
            </w:r>
          </w:p>
        </w:tc>
        <w:tc>
          <w:tcPr>
            <w:tcW w:w="1010" w:type="dxa"/>
            <w:vAlign w:val="center"/>
          </w:tcPr>
          <w:p>
            <w:pPr>
              <w:pStyle w:val="63"/>
              <w:rPr>
                <w:u w:val="single"/>
              </w:rPr>
            </w:pPr>
            <w:r>
              <w:rPr>
                <w:rFonts w:hint="eastAsia"/>
                <w:u w:val="single"/>
              </w:rPr>
              <w:t>31.85</w:t>
            </w:r>
          </w:p>
        </w:tc>
        <w:tc>
          <w:tcPr>
            <w:tcW w:w="1202" w:type="dxa"/>
            <w:vAlign w:val="center"/>
          </w:tcPr>
          <w:p>
            <w:pPr>
              <w:pStyle w:val="63"/>
              <w:rPr>
                <w:u w:val="single"/>
              </w:rPr>
            </w:pPr>
            <w:r>
              <w:rPr>
                <w:u w:val="single"/>
              </w:rPr>
              <w:t>989.24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电池级硫酸钴</w:t>
            </w:r>
          </w:p>
        </w:tc>
        <w:tc>
          <w:tcPr>
            <w:tcW w:w="1331" w:type="dxa"/>
            <w:vAlign w:val="center"/>
          </w:tcPr>
          <w:p>
            <w:pPr>
              <w:pStyle w:val="63"/>
              <w:rPr>
                <w:u w:val="single"/>
              </w:rPr>
            </w:pPr>
            <w:r>
              <w:rPr>
                <w:u w:val="single"/>
              </w:rPr>
              <w:t>963</w:t>
            </w:r>
          </w:p>
        </w:tc>
        <w:tc>
          <w:tcPr>
            <w:tcW w:w="1010" w:type="dxa"/>
            <w:vAlign w:val="center"/>
          </w:tcPr>
          <w:p>
            <w:pPr>
              <w:pStyle w:val="63"/>
              <w:rPr>
                <w:u w:val="single"/>
              </w:rPr>
            </w:pPr>
            <w:r>
              <w:rPr>
                <w:u w:val="single"/>
              </w:rPr>
              <w:t>0.01</w:t>
            </w:r>
          </w:p>
        </w:tc>
        <w:tc>
          <w:tcPr>
            <w:tcW w:w="1202" w:type="dxa"/>
            <w:vAlign w:val="center"/>
          </w:tcPr>
          <w:p>
            <w:pPr>
              <w:pStyle w:val="63"/>
              <w:rPr>
                <w:u w:val="single"/>
              </w:rPr>
            </w:pPr>
            <w:r>
              <w:rPr>
                <w:u w:val="single"/>
              </w:rPr>
              <w:t>0.114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电池级硫酸锰</w:t>
            </w:r>
          </w:p>
        </w:tc>
        <w:tc>
          <w:tcPr>
            <w:tcW w:w="1331" w:type="dxa"/>
            <w:vAlign w:val="center"/>
          </w:tcPr>
          <w:p>
            <w:pPr>
              <w:pStyle w:val="63"/>
              <w:rPr>
                <w:u w:val="single"/>
              </w:rPr>
            </w:pPr>
            <w:r>
              <w:rPr>
                <w:u w:val="single"/>
              </w:rPr>
              <w:t>1004</w:t>
            </w:r>
          </w:p>
        </w:tc>
        <w:tc>
          <w:tcPr>
            <w:tcW w:w="1010" w:type="dxa"/>
            <w:vAlign w:val="center"/>
          </w:tcPr>
          <w:p>
            <w:pPr>
              <w:pStyle w:val="63"/>
              <w:rPr>
                <w:u w:val="single"/>
              </w:rPr>
            </w:pPr>
            <w:r>
              <w:rPr>
                <w:u w:val="single"/>
              </w:rPr>
              <w:t>0.01</w:t>
            </w:r>
          </w:p>
        </w:tc>
        <w:tc>
          <w:tcPr>
            <w:tcW w:w="1202" w:type="dxa"/>
            <w:vAlign w:val="center"/>
          </w:tcPr>
          <w:p>
            <w:pPr>
              <w:pStyle w:val="63"/>
              <w:rPr>
                <w:u w:val="single"/>
              </w:rPr>
            </w:pPr>
            <w:r>
              <w:rPr>
                <w:u w:val="single"/>
              </w:rPr>
              <w:t>0.119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电池级碳酸锂</w:t>
            </w:r>
          </w:p>
        </w:tc>
        <w:tc>
          <w:tcPr>
            <w:tcW w:w="1331" w:type="dxa"/>
            <w:vAlign w:val="center"/>
          </w:tcPr>
          <w:p>
            <w:pPr>
              <w:pStyle w:val="63"/>
              <w:rPr>
                <w:u w:val="single"/>
              </w:rPr>
            </w:pPr>
            <w:r>
              <w:rPr>
                <w:u w:val="single"/>
              </w:rPr>
              <w:t>1269</w:t>
            </w:r>
          </w:p>
        </w:tc>
        <w:tc>
          <w:tcPr>
            <w:tcW w:w="1010" w:type="dxa"/>
            <w:vAlign w:val="center"/>
          </w:tcPr>
          <w:p>
            <w:pPr>
              <w:pStyle w:val="63"/>
              <w:rPr>
                <w:u w:val="single"/>
              </w:rPr>
            </w:pPr>
            <w:r>
              <w:rPr>
                <w:u w:val="single"/>
              </w:rPr>
              <w:t>0.01</w:t>
            </w:r>
          </w:p>
        </w:tc>
        <w:tc>
          <w:tcPr>
            <w:tcW w:w="1202" w:type="dxa"/>
            <w:vAlign w:val="center"/>
          </w:tcPr>
          <w:p>
            <w:pPr>
              <w:pStyle w:val="63"/>
              <w:rPr>
                <w:u w:val="single"/>
              </w:rPr>
            </w:pPr>
            <w:r>
              <w:rPr>
                <w:u w:val="single"/>
              </w:rPr>
              <w:t>0.150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石墨</w:t>
            </w:r>
          </w:p>
        </w:tc>
        <w:tc>
          <w:tcPr>
            <w:tcW w:w="1331" w:type="dxa"/>
            <w:vAlign w:val="center"/>
          </w:tcPr>
          <w:p>
            <w:pPr>
              <w:pStyle w:val="63"/>
              <w:rPr>
                <w:u w:val="single"/>
              </w:rPr>
            </w:pPr>
            <w:r>
              <w:rPr>
                <w:u w:val="single"/>
              </w:rPr>
              <w:t>2162</w:t>
            </w:r>
          </w:p>
        </w:tc>
        <w:tc>
          <w:tcPr>
            <w:tcW w:w="1010" w:type="dxa"/>
            <w:vAlign w:val="center"/>
          </w:tcPr>
          <w:p>
            <w:pPr>
              <w:pStyle w:val="63"/>
              <w:rPr>
                <w:u w:val="single"/>
              </w:rPr>
            </w:pPr>
            <w:r>
              <w:rPr>
                <w:u w:val="single"/>
              </w:rPr>
              <w:t>0.30</w:t>
            </w:r>
          </w:p>
        </w:tc>
        <w:tc>
          <w:tcPr>
            <w:tcW w:w="1202" w:type="dxa"/>
            <w:vAlign w:val="center"/>
          </w:tcPr>
          <w:p>
            <w:pPr>
              <w:pStyle w:val="63"/>
              <w:rPr>
                <w:u w:val="single"/>
              </w:rPr>
            </w:pPr>
            <w:r>
              <w:rPr>
                <w:u w:val="single"/>
              </w:rPr>
              <w:t>6.396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铁铝渣</w:t>
            </w:r>
          </w:p>
        </w:tc>
        <w:tc>
          <w:tcPr>
            <w:tcW w:w="1331" w:type="dxa"/>
            <w:vAlign w:val="center"/>
          </w:tcPr>
          <w:p>
            <w:pPr>
              <w:pStyle w:val="63"/>
              <w:rPr>
                <w:u w:val="single"/>
              </w:rPr>
            </w:pPr>
            <w:r>
              <w:rPr>
                <w:u w:val="single"/>
              </w:rPr>
              <w:t>260</w:t>
            </w:r>
          </w:p>
        </w:tc>
        <w:tc>
          <w:tcPr>
            <w:tcW w:w="1010" w:type="dxa"/>
            <w:vAlign w:val="center"/>
          </w:tcPr>
          <w:p>
            <w:pPr>
              <w:pStyle w:val="63"/>
              <w:rPr>
                <w:u w:val="single"/>
              </w:rPr>
            </w:pPr>
            <w:r>
              <w:rPr>
                <w:u w:val="single"/>
              </w:rPr>
              <w:t>0.53</w:t>
            </w:r>
          </w:p>
        </w:tc>
        <w:tc>
          <w:tcPr>
            <w:tcW w:w="1202" w:type="dxa"/>
            <w:vAlign w:val="center"/>
          </w:tcPr>
          <w:p>
            <w:pPr>
              <w:pStyle w:val="63"/>
              <w:rPr>
                <w:u w:val="single"/>
              </w:rPr>
            </w:pPr>
            <w:r>
              <w:rPr>
                <w:u w:val="single"/>
              </w:rPr>
              <w:t>1.385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硫酸钠</w:t>
            </w:r>
          </w:p>
        </w:tc>
        <w:tc>
          <w:tcPr>
            <w:tcW w:w="1331" w:type="dxa"/>
            <w:vAlign w:val="center"/>
          </w:tcPr>
          <w:p>
            <w:pPr>
              <w:pStyle w:val="63"/>
              <w:rPr>
                <w:u w:val="single"/>
              </w:rPr>
            </w:pPr>
            <w:r>
              <w:rPr>
                <w:u w:val="single"/>
              </w:rPr>
              <w:t>14784</w:t>
            </w:r>
          </w:p>
        </w:tc>
        <w:tc>
          <w:tcPr>
            <w:tcW w:w="1010" w:type="dxa"/>
            <w:vAlign w:val="center"/>
          </w:tcPr>
          <w:p>
            <w:pPr>
              <w:pStyle w:val="63"/>
              <w:rPr>
                <w:u w:val="single"/>
              </w:rPr>
            </w:pPr>
            <w:r>
              <w:rPr>
                <w:rFonts w:hint="eastAsia"/>
                <w:u w:val="single"/>
              </w:rPr>
              <w:t>0.01</w:t>
            </w:r>
          </w:p>
        </w:tc>
        <w:tc>
          <w:tcPr>
            <w:tcW w:w="1202" w:type="dxa"/>
            <w:vAlign w:val="center"/>
          </w:tcPr>
          <w:p>
            <w:pPr>
              <w:pStyle w:val="63"/>
              <w:rPr>
                <w:u w:val="single"/>
              </w:rPr>
            </w:pPr>
            <w:r>
              <w:rPr>
                <w:rFonts w:hint="eastAsia"/>
                <w:u w:val="single"/>
              </w:rPr>
              <w:t>1.48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废</w:t>
            </w:r>
            <w:r>
              <w:rPr>
                <w:rFonts w:hint="eastAsia"/>
                <w:u w:val="single"/>
              </w:rPr>
              <w:t>渣</w:t>
            </w:r>
          </w:p>
        </w:tc>
        <w:tc>
          <w:tcPr>
            <w:tcW w:w="1331" w:type="dxa"/>
            <w:vAlign w:val="center"/>
          </w:tcPr>
          <w:p>
            <w:pPr>
              <w:pStyle w:val="63"/>
              <w:rPr>
                <w:u w:val="single"/>
              </w:rPr>
            </w:pPr>
            <w:r>
              <w:rPr>
                <w:u w:val="single"/>
              </w:rPr>
              <w:t>221.60</w:t>
            </w:r>
          </w:p>
        </w:tc>
        <w:tc>
          <w:tcPr>
            <w:tcW w:w="1010" w:type="dxa"/>
            <w:vAlign w:val="center"/>
          </w:tcPr>
          <w:p>
            <w:pPr>
              <w:pStyle w:val="63"/>
              <w:rPr>
                <w:u w:val="single"/>
              </w:rPr>
            </w:pPr>
            <w:r>
              <w:rPr>
                <w:rFonts w:hint="eastAsia"/>
                <w:u w:val="single"/>
              </w:rPr>
              <w:t>0.5</w:t>
            </w:r>
          </w:p>
        </w:tc>
        <w:tc>
          <w:tcPr>
            <w:tcW w:w="1202" w:type="dxa"/>
            <w:vAlign w:val="center"/>
          </w:tcPr>
          <w:p>
            <w:pPr>
              <w:pStyle w:val="63"/>
              <w:rPr>
                <w:u w:val="single"/>
              </w:rPr>
            </w:pPr>
            <w:r>
              <w:rPr>
                <w:rFonts w:hint="eastAsia"/>
                <w:u w:val="single"/>
              </w:rPr>
              <w:t>1.11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843" w:type="dxa"/>
            <w:vAlign w:val="center"/>
          </w:tcPr>
          <w:p>
            <w:pPr>
              <w:pStyle w:val="63"/>
              <w:rPr>
                <w:u w:val="single"/>
              </w:rPr>
            </w:pPr>
            <w:r>
              <w:rPr>
                <w:u w:val="single"/>
              </w:rPr>
              <w:t>合计</w:t>
            </w: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r>
              <w:rPr>
                <w:u w:val="single"/>
              </w:rPr>
              <w:t>1000</w:t>
            </w:r>
          </w:p>
        </w:tc>
        <w:tc>
          <w:tcPr>
            <w:tcW w:w="1276" w:type="dxa"/>
            <w:vAlign w:val="center"/>
          </w:tcPr>
          <w:p>
            <w:pPr>
              <w:pStyle w:val="63"/>
              <w:rPr>
                <w:u w:val="single"/>
              </w:rPr>
            </w:pPr>
            <w:r>
              <w:rPr>
                <w:u w:val="single"/>
              </w:rPr>
              <w:t>合计</w:t>
            </w:r>
          </w:p>
        </w:tc>
        <w:tc>
          <w:tcPr>
            <w:tcW w:w="1331" w:type="dxa"/>
            <w:vAlign w:val="center"/>
          </w:tcPr>
          <w:p>
            <w:pPr>
              <w:pStyle w:val="63"/>
              <w:rPr>
                <w:u w:val="single"/>
              </w:rPr>
            </w:pPr>
          </w:p>
        </w:tc>
        <w:tc>
          <w:tcPr>
            <w:tcW w:w="1010" w:type="dxa"/>
            <w:vAlign w:val="center"/>
          </w:tcPr>
          <w:p>
            <w:pPr>
              <w:pStyle w:val="63"/>
              <w:rPr>
                <w:u w:val="single"/>
              </w:rPr>
            </w:pPr>
          </w:p>
        </w:tc>
        <w:tc>
          <w:tcPr>
            <w:tcW w:w="1202" w:type="dxa"/>
            <w:vAlign w:val="center"/>
          </w:tcPr>
          <w:p>
            <w:pPr>
              <w:pStyle w:val="63"/>
              <w:rPr>
                <w:u w:val="single"/>
              </w:rPr>
            </w:pPr>
            <w:r>
              <w:rPr>
                <w:u w:val="single"/>
              </w:rPr>
              <w:t>1000</w:t>
            </w:r>
          </w:p>
        </w:tc>
      </w:tr>
    </w:tbl>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镍元素综合回收利用率为98.9%。</w:t>
      </w:r>
    </w:p>
    <w:p>
      <w:pPr>
        <w:pStyle w:val="5"/>
        <w:ind w:firstLine="482"/>
        <w:rPr>
          <w:u w:val="single"/>
        </w:rPr>
      </w:pPr>
      <w:r>
        <w:rPr>
          <w:rFonts w:hint="eastAsia"/>
          <w:u w:val="single"/>
        </w:rPr>
        <w:t xml:space="preserve">3.2.5.2 </w:t>
      </w:r>
      <w:r>
        <w:rPr>
          <w:rFonts w:ascii="Times New Roman" w:hAnsi="Times New Roman" w:cs="Times New Roman"/>
          <w:u w:val="single"/>
        </w:rPr>
        <w:t>钴</w:t>
      </w:r>
      <w:r>
        <w:rPr>
          <w:rFonts w:hint="eastAsia"/>
          <w:u w:val="single"/>
        </w:rPr>
        <w:t>元素物料平衡</w:t>
      </w:r>
    </w:p>
    <w:p>
      <w:pPr>
        <w:pStyle w:val="6"/>
        <w:rPr>
          <w:rFonts w:ascii="Times New Roman" w:hAnsi="Times New Roman" w:cs="Times New Roman"/>
          <w:u w:val="single"/>
        </w:rPr>
      </w:pPr>
      <w:r>
        <w:rPr>
          <w:rFonts w:ascii="Times New Roman" w:hAnsi="Times New Roman" w:cs="Times New Roman"/>
          <w:u w:val="single"/>
        </w:rPr>
        <w:t>表3.2-</w:t>
      </w:r>
      <w:r>
        <w:rPr>
          <w:rFonts w:hint="eastAsia" w:ascii="Times New Roman" w:hAnsi="Times New Roman" w:cs="Times New Roman"/>
          <w:u w:val="single"/>
        </w:rPr>
        <w:t>11</w:t>
      </w:r>
      <w:r>
        <w:rPr>
          <w:rFonts w:ascii="Times New Roman" w:hAnsi="Times New Roman" w:cs="Times New Roman"/>
          <w:u w:val="single"/>
        </w:rPr>
        <w:t xml:space="preserve">  钴元素物料平衡表</w:t>
      </w:r>
    </w:p>
    <w:tbl>
      <w:tblPr>
        <w:tblStyle w:val="35"/>
        <w:tblW w:w="8505"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43"/>
        <w:gridCol w:w="858"/>
        <w:gridCol w:w="1134"/>
        <w:gridCol w:w="851"/>
        <w:gridCol w:w="1276"/>
        <w:gridCol w:w="1331"/>
        <w:gridCol w:w="1010"/>
        <w:gridCol w:w="120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686" w:type="dxa"/>
            <w:gridSpan w:val="4"/>
            <w:vAlign w:val="center"/>
          </w:tcPr>
          <w:p>
            <w:pPr>
              <w:pStyle w:val="63"/>
              <w:rPr>
                <w:u w:val="single"/>
              </w:rPr>
            </w:pPr>
            <w:r>
              <w:rPr>
                <w:u w:val="single"/>
              </w:rPr>
              <w:t>入方</w:t>
            </w:r>
          </w:p>
        </w:tc>
        <w:tc>
          <w:tcPr>
            <w:tcW w:w="4819" w:type="dxa"/>
            <w:gridSpan w:val="4"/>
            <w:vAlign w:val="center"/>
          </w:tcPr>
          <w:p>
            <w:pPr>
              <w:pStyle w:val="63"/>
              <w:rPr>
                <w:u w:val="single"/>
              </w:rPr>
            </w:pPr>
            <w:r>
              <w:rPr>
                <w:u w:val="single"/>
              </w:rPr>
              <w:t>出方</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r>
              <w:rPr>
                <w:u w:val="single"/>
              </w:rPr>
              <w:t>项目</w:t>
            </w:r>
          </w:p>
        </w:tc>
        <w:tc>
          <w:tcPr>
            <w:tcW w:w="858" w:type="dxa"/>
            <w:vAlign w:val="center"/>
          </w:tcPr>
          <w:p>
            <w:pPr>
              <w:pStyle w:val="63"/>
              <w:rPr>
                <w:u w:val="single"/>
              </w:rPr>
            </w:pPr>
            <w:r>
              <w:rPr>
                <w:u w:val="single"/>
              </w:rPr>
              <w:t>实物量t/a</w:t>
            </w:r>
          </w:p>
        </w:tc>
        <w:tc>
          <w:tcPr>
            <w:tcW w:w="1134" w:type="dxa"/>
            <w:vAlign w:val="center"/>
          </w:tcPr>
          <w:p>
            <w:pPr>
              <w:pStyle w:val="63"/>
              <w:rPr>
                <w:u w:val="single"/>
              </w:rPr>
            </w:pPr>
            <w:r>
              <w:rPr>
                <w:u w:val="single"/>
              </w:rPr>
              <w:t>钴含率</w:t>
            </w:r>
          </w:p>
          <w:p>
            <w:pPr>
              <w:pStyle w:val="63"/>
              <w:rPr>
                <w:u w:val="single"/>
              </w:rPr>
            </w:pPr>
            <w:r>
              <w:rPr>
                <w:u w:val="single"/>
              </w:rPr>
              <w:t>（%）</w:t>
            </w:r>
          </w:p>
        </w:tc>
        <w:tc>
          <w:tcPr>
            <w:tcW w:w="851" w:type="dxa"/>
            <w:vAlign w:val="center"/>
          </w:tcPr>
          <w:p>
            <w:pPr>
              <w:pStyle w:val="63"/>
              <w:rPr>
                <w:u w:val="single"/>
              </w:rPr>
            </w:pPr>
            <w:r>
              <w:rPr>
                <w:u w:val="single"/>
              </w:rPr>
              <w:t>钴含量</w:t>
            </w:r>
          </w:p>
          <w:p>
            <w:pPr>
              <w:pStyle w:val="63"/>
              <w:rPr>
                <w:u w:val="single"/>
              </w:rPr>
            </w:pPr>
            <w:r>
              <w:rPr>
                <w:u w:val="single"/>
              </w:rPr>
              <w:t>（t/a）</w:t>
            </w:r>
          </w:p>
        </w:tc>
        <w:tc>
          <w:tcPr>
            <w:tcW w:w="1276" w:type="dxa"/>
            <w:vAlign w:val="center"/>
          </w:tcPr>
          <w:p>
            <w:pPr>
              <w:pStyle w:val="63"/>
              <w:rPr>
                <w:u w:val="single"/>
              </w:rPr>
            </w:pPr>
            <w:r>
              <w:rPr>
                <w:u w:val="single"/>
              </w:rPr>
              <w:t>项目</w:t>
            </w:r>
          </w:p>
        </w:tc>
        <w:tc>
          <w:tcPr>
            <w:tcW w:w="1331" w:type="dxa"/>
            <w:vAlign w:val="center"/>
          </w:tcPr>
          <w:p>
            <w:pPr>
              <w:pStyle w:val="63"/>
              <w:rPr>
                <w:u w:val="single"/>
              </w:rPr>
            </w:pPr>
            <w:r>
              <w:rPr>
                <w:u w:val="single"/>
              </w:rPr>
              <w:t>实物量t/a</w:t>
            </w:r>
          </w:p>
        </w:tc>
        <w:tc>
          <w:tcPr>
            <w:tcW w:w="1010" w:type="dxa"/>
            <w:vAlign w:val="center"/>
          </w:tcPr>
          <w:p>
            <w:pPr>
              <w:pStyle w:val="63"/>
              <w:rPr>
                <w:u w:val="single"/>
              </w:rPr>
            </w:pPr>
            <w:r>
              <w:rPr>
                <w:u w:val="single"/>
              </w:rPr>
              <w:t>钴含率</w:t>
            </w:r>
          </w:p>
          <w:p>
            <w:pPr>
              <w:pStyle w:val="63"/>
              <w:rPr>
                <w:u w:val="single"/>
              </w:rPr>
            </w:pPr>
            <w:r>
              <w:rPr>
                <w:u w:val="single"/>
              </w:rPr>
              <w:t>（%）</w:t>
            </w:r>
          </w:p>
        </w:tc>
        <w:tc>
          <w:tcPr>
            <w:tcW w:w="1202" w:type="dxa"/>
            <w:vAlign w:val="center"/>
          </w:tcPr>
          <w:p>
            <w:pPr>
              <w:pStyle w:val="63"/>
              <w:rPr>
                <w:u w:val="single"/>
              </w:rPr>
            </w:pPr>
            <w:r>
              <w:rPr>
                <w:u w:val="single"/>
              </w:rPr>
              <w:t>钴含量</w:t>
            </w:r>
          </w:p>
          <w:p>
            <w:pPr>
              <w:pStyle w:val="63"/>
              <w:rPr>
                <w:u w:val="single"/>
              </w:rPr>
            </w:pPr>
            <w:r>
              <w:rPr>
                <w:u w:val="single"/>
              </w:rPr>
              <w:t>（t/a）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r>
              <w:rPr>
                <w:u w:val="single"/>
              </w:rPr>
              <w:t>废旧三元锂电池</w:t>
            </w:r>
          </w:p>
        </w:tc>
        <w:tc>
          <w:tcPr>
            <w:tcW w:w="858" w:type="dxa"/>
            <w:vAlign w:val="center"/>
          </w:tcPr>
          <w:p>
            <w:pPr>
              <w:pStyle w:val="63"/>
              <w:rPr>
                <w:u w:val="single"/>
              </w:rPr>
            </w:pPr>
            <w:r>
              <w:rPr>
                <w:u w:val="single"/>
              </w:rPr>
              <w:t>10000</w:t>
            </w:r>
          </w:p>
        </w:tc>
        <w:tc>
          <w:tcPr>
            <w:tcW w:w="1134" w:type="dxa"/>
            <w:vAlign w:val="center"/>
          </w:tcPr>
          <w:p>
            <w:pPr>
              <w:pStyle w:val="63"/>
              <w:rPr>
                <w:u w:val="single"/>
              </w:rPr>
            </w:pPr>
            <w:r>
              <w:rPr>
                <w:u w:val="single"/>
              </w:rPr>
              <w:t>4</w:t>
            </w:r>
          </w:p>
        </w:tc>
        <w:tc>
          <w:tcPr>
            <w:tcW w:w="851" w:type="dxa"/>
            <w:vAlign w:val="center"/>
          </w:tcPr>
          <w:p>
            <w:pPr>
              <w:pStyle w:val="63"/>
              <w:rPr>
                <w:u w:val="single"/>
              </w:rPr>
            </w:pPr>
            <w:r>
              <w:rPr>
                <w:u w:val="single"/>
              </w:rPr>
              <w:t>400</w:t>
            </w:r>
          </w:p>
        </w:tc>
        <w:tc>
          <w:tcPr>
            <w:tcW w:w="1276" w:type="dxa"/>
            <w:vAlign w:val="center"/>
          </w:tcPr>
          <w:p>
            <w:pPr>
              <w:pStyle w:val="63"/>
              <w:rPr>
                <w:u w:val="single"/>
              </w:rPr>
            </w:pPr>
            <w:r>
              <w:rPr>
                <w:u w:val="single"/>
              </w:rPr>
              <w:t>电池级硫酸镍</w:t>
            </w:r>
          </w:p>
        </w:tc>
        <w:tc>
          <w:tcPr>
            <w:tcW w:w="1331" w:type="dxa"/>
            <w:vAlign w:val="center"/>
          </w:tcPr>
          <w:p>
            <w:pPr>
              <w:pStyle w:val="63"/>
              <w:rPr>
                <w:u w:val="single"/>
              </w:rPr>
            </w:pPr>
            <w:r>
              <w:rPr>
                <w:szCs w:val="21"/>
                <w:u w:val="single"/>
              </w:rPr>
              <w:t>3106</w:t>
            </w:r>
          </w:p>
        </w:tc>
        <w:tc>
          <w:tcPr>
            <w:tcW w:w="1010" w:type="dxa"/>
            <w:vAlign w:val="center"/>
          </w:tcPr>
          <w:p>
            <w:pPr>
              <w:pStyle w:val="63"/>
              <w:rPr>
                <w:u w:val="single"/>
              </w:rPr>
            </w:pPr>
            <w:r>
              <w:rPr>
                <w:szCs w:val="21"/>
                <w:u w:val="single"/>
              </w:rPr>
              <w:t>0.01</w:t>
            </w:r>
          </w:p>
        </w:tc>
        <w:tc>
          <w:tcPr>
            <w:tcW w:w="1202" w:type="dxa"/>
            <w:vAlign w:val="center"/>
          </w:tcPr>
          <w:p>
            <w:pPr>
              <w:pStyle w:val="63"/>
              <w:rPr>
                <w:u w:val="single"/>
              </w:rPr>
            </w:pPr>
            <w:r>
              <w:rPr>
                <w:u w:val="single"/>
              </w:rPr>
              <w:t>0.31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电池级硫酸钴</w:t>
            </w:r>
          </w:p>
        </w:tc>
        <w:tc>
          <w:tcPr>
            <w:tcW w:w="1331" w:type="dxa"/>
            <w:vAlign w:val="center"/>
          </w:tcPr>
          <w:p>
            <w:pPr>
              <w:pStyle w:val="63"/>
              <w:rPr>
                <w:u w:val="single"/>
              </w:rPr>
            </w:pPr>
            <w:r>
              <w:rPr>
                <w:szCs w:val="21"/>
                <w:u w:val="single"/>
              </w:rPr>
              <w:t>963</w:t>
            </w:r>
          </w:p>
        </w:tc>
        <w:tc>
          <w:tcPr>
            <w:tcW w:w="1010" w:type="dxa"/>
            <w:vAlign w:val="center"/>
          </w:tcPr>
          <w:p>
            <w:pPr>
              <w:pStyle w:val="63"/>
              <w:rPr>
                <w:u w:val="single"/>
              </w:rPr>
            </w:pPr>
            <w:r>
              <w:rPr>
                <w:rFonts w:hint="eastAsia"/>
                <w:szCs w:val="21"/>
                <w:u w:val="single"/>
              </w:rPr>
              <w:t>40</w:t>
            </w:r>
          </w:p>
        </w:tc>
        <w:tc>
          <w:tcPr>
            <w:tcW w:w="1202" w:type="dxa"/>
            <w:vAlign w:val="center"/>
          </w:tcPr>
          <w:p>
            <w:pPr>
              <w:pStyle w:val="63"/>
              <w:rPr>
                <w:u w:val="single"/>
              </w:rPr>
            </w:pPr>
            <w:r>
              <w:rPr>
                <w:rFonts w:hint="eastAsia"/>
                <w:u w:val="single"/>
              </w:rPr>
              <w:t>387.46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电池级硫酸锰</w:t>
            </w:r>
          </w:p>
        </w:tc>
        <w:tc>
          <w:tcPr>
            <w:tcW w:w="1331" w:type="dxa"/>
            <w:vAlign w:val="center"/>
          </w:tcPr>
          <w:p>
            <w:pPr>
              <w:pStyle w:val="63"/>
              <w:rPr>
                <w:u w:val="single"/>
              </w:rPr>
            </w:pPr>
            <w:r>
              <w:rPr>
                <w:szCs w:val="21"/>
                <w:u w:val="single"/>
              </w:rPr>
              <w:t>1004</w:t>
            </w:r>
          </w:p>
        </w:tc>
        <w:tc>
          <w:tcPr>
            <w:tcW w:w="1010" w:type="dxa"/>
            <w:vAlign w:val="center"/>
          </w:tcPr>
          <w:p>
            <w:pPr>
              <w:pStyle w:val="63"/>
              <w:rPr>
                <w:u w:val="single"/>
              </w:rPr>
            </w:pPr>
            <w:r>
              <w:rPr>
                <w:szCs w:val="21"/>
                <w:u w:val="single"/>
              </w:rPr>
              <w:t>0.01</w:t>
            </w:r>
          </w:p>
        </w:tc>
        <w:tc>
          <w:tcPr>
            <w:tcW w:w="1202" w:type="dxa"/>
            <w:vAlign w:val="center"/>
          </w:tcPr>
          <w:p>
            <w:pPr>
              <w:pStyle w:val="63"/>
              <w:rPr>
                <w:u w:val="single"/>
              </w:rPr>
            </w:pPr>
            <w:r>
              <w:rPr>
                <w:u w:val="single"/>
              </w:rPr>
              <w:t>0.10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电池级碳酸锂</w:t>
            </w:r>
          </w:p>
        </w:tc>
        <w:tc>
          <w:tcPr>
            <w:tcW w:w="1331" w:type="dxa"/>
            <w:vAlign w:val="center"/>
          </w:tcPr>
          <w:p>
            <w:pPr>
              <w:pStyle w:val="63"/>
              <w:rPr>
                <w:u w:val="single"/>
              </w:rPr>
            </w:pPr>
            <w:r>
              <w:rPr>
                <w:szCs w:val="21"/>
                <w:u w:val="single"/>
              </w:rPr>
              <w:t>1269</w:t>
            </w:r>
          </w:p>
        </w:tc>
        <w:tc>
          <w:tcPr>
            <w:tcW w:w="1010" w:type="dxa"/>
            <w:vAlign w:val="center"/>
          </w:tcPr>
          <w:p>
            <w:pPr>
              <w:pStyle w:val="63"/>
              <w:rPr>
                <w:u w:val="single"/>
              </w:rPr>
            </w:pPr>
            <w:r>
              <w:rPr>
                <w:szCs w:val="21"/>
                <w:u w:val="single"/>
              </w:rPr>
              <w:t>0.01</w:t>
            </w:r>
          </w:p>
        </w:tc>
        <w:tc>
          <w:tcPr>
            <w:tcW w:w="1202" w:type="dxa"/>
            <w:vAlign w:val="center"/>
          </w:tcPr>
          <w:p>
            <w:pPr>
              <w:pStyle w:val="63"/>
              <w:rPr>
                <w:u w:val="single"/>
              </w:rPr>
            </w:pPr>
            <w:r>
              <w:rPr>
                <w:u w:val="single"/>
              </w:rPr>
              <w:t>0.12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石墨</w:t>
            </w:r>
          </w:p>
        </w:tc>
        <w:tc>
          <w:tcPr>
            <w:tcW w:w="1331" w:type="dxa"/>
            <w:vAlign w:val="center"/>
          </w:tcPr>
          <w:p>
            <w:pPr>
              <w:pStyle w:val="63"/>
              <w:rPr>
                <w:u w:val="single"/>
              </w:rPr>
            </w:pPr>
            <w:r>
              <w:rPr>
                <w:szCs w:val="21"/>
                <w:u w:val="single"/>
              </w:rPr>
              <w:t>2162</w:t>
            </w:r>
          </w:p>
        </w:tc>
        <w:tc>
          <w:tcPr>
            <w:tcW w:w="1010" w:type="dxa"/>
            <w:vAlign w:val="center"/>
          </w:tcPr>
          <w:p>
            <w:pPr>
              <w:pStyle w:val="63"/>
              <w:rPr>
                <w:u w:val="single"/>
              </w:rPr>
            </w:pPr>
            <w:r>
              <w:rPr>
                <w:szCs w:val="21"/>
                <w:u w:val="single"/>
              </w:rPr>
              <w:t>0.4</w:t>
            </w:r>
          </w:p>
        </w:tc>
        <w:tc>
          <w:tcPr>
            <w:tcW w:w="1202" w:type="dxa"/>
            <w:vAlign w:val="center"/>
          </w:tcPr>
          <w:p>
            <w:pPr>
              <w:pStyle w:val="63"/>
              <w:rPr>
                <w:u w:val="single"/>
              </w:rPr>
            </w:pPr>
            <w:r>
              <w:rPr>
                <w:u w:val="single"/>
              </w:rPr>
              <w:t>8.64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铁铝渣</w:t>
            </w:r>
          </w:p>
        </w:tc>
        <w:tc>
          <w:tcPr>
            <w:tcW w:w="1331" w:type="dxa"/>
            <w:vAlign w:val="center"/>
          </w:tcPr>
          <w:p>
            <w:pPr>
              <w:pStyle w:val="63"/>
              <w:rPr>
                <w:u w:val="single"/>
              </w:rPr>
            </w:pPr>
            <w:r>
              <w:rPr>
                <w:szCs w:val="21"/>
                <w:u w:val="single"/>
              </w:rPr>
              <w:t>260</w:t>
            </w:r>
          </w:p>
        </w:tc>
        <w:tc>
          <w:tcPr>
            <w:tcW w:w="1010" w:type="dxa"/>
            <w:vAlign w:val="center"/>
          </w:tcPr>
          <w:p>
            <w:pPr>
              <w:pStyle w:val="63"/>
              <w:rPr>
                <w:u w:val="single"/>
              </w:rPr>
            </w:pPr>
            <w:r>
              <w:rPr>
                <w:szCs w:val="21"/>
                <w:u w:val="single"/>
              </w:rPr>
              <w:t>0.3</w:t>
            </w:r>
          </w:p>
        </w:tc>
        <w:tc>
          <w:tcPr>
            <w:tcW w:w="1202" w:type="dxa"/>
            <w:vAlign w:val="center"/>
          </w:tcPr>
          <w:p>
            <w:pPr>
              <w:pStyle w:val="63"/>
              <w:rPr>
                <w:u w:val="single"/>
              </w:rPr>
            </w:pPr>
            <w:r>
              <w:rPr>
                <w:u w:val="single"/>
              </w:rPr>
              <w:t>0.78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硫酸钠</w:t>
            </w:r>
          </w:p>
        </w:tc>
        <w:tc>
          <w:tcPr>
            <w:tcW w:w="1331" w:type="dxa"/>
            <w:vAlign w:val="center"/>
          </w:tcPr>
          <w:p>
            <w:pPr>
              <w:pStyle w:val="63"/>
              <w:rPr>
                <w:u w:val="single"/>
              </w:rPr>
            </w:pPr>
            <w:r>
              <w:rPr>
                <w:szCs w:val="21"/>
                <w:u w:val="single"/>
              </w:rPr>
              <w:t>14784</w:t>
            </w:r>
          </w:p>
        </w:tc>
        <w:tc>
          <w:tcPr>
            <w:tcW w:w="1010" w:type="dxa"/>
            <w:vAlign w:val="center"/>
          </w:tcPr>
          <w:p>
            <w:pPr>
              <w:pStyle w:val="63"/>
              <w:rPr>
                <w:u w:val="single"/>
              </w:rPr>
            </w:pPr>
            <w:r>
              <w:rPr>
                <w:rFonts w:hint="eastAsia"/>
                <w:szCs w:val="21"/>
                <w:u w:val="single"/>
              </w:rPr>
              <w:t>0.01</w:t>
            </w:r>
          </w:p>
        </w:tc>
        <w:tc>
          <w:tcPr>
            <w:tcW w:w="1202" w:type="dxa"/>
            <w:vAlign w:val="center"/>
          </w:tcPr>
          <w:p>
            <w:pPr>
              <w:pStyle w:val="63"/>
              <w:rPr>
                <w:u w:val="single"/>
              </w:rPr>
            </w:pPr>
            <w:r>
              <w:rPr>
                <w:rFonts w:hint="eastAsia"/>
                <w:u w:val="single"/>
              </w:rPr>
              <w:t>1.48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废</w:t>
            </w:r>
            <w:r>
              <w:rPr>
                <w:rFonts w:hint="eastAsia"/>
                <w:u w:val="single"/>
              </w:rPr>
              <w:t>渣</w:t>
            </w:r>
          </w:p>
        </w:tc>
        <w:tc>
          <w:tcPr>
            <w:tcW w:w="1331" w:type="dxa"/>
            <w:vAlign w:val="center"/>
          </w:tcPr>
          <w:p>
            <w:pPr>
              <w:pStyle w:val="63"/>
              <w:rPr>
                <w:u w:val="single"/>
              </w:rPr>
            </w:pPr>
            <w:r>
              <w:rPr>
                <w:u w:val="single"/>
              </w:rPr>
              <w:t>221.60</w:t>
            </w:r>
          </w:p>
        </w:tc>
        <w:tc>
          <w:tcPr>
            <w:tcW w:w="1010" w:type="dxa"/>
            <w:vAlign w:val="center"/>
          </w:tcPr>
          <w:p>
            <w:pPr>
              <w:pStyle w:val="63"/>
              <w:rPr>
                <w:u w:val="single"/>
              </w:rPr>
            </w:pPr>
            <w:r>
              <w:rPr>
                <w:rFonts w:hint="eastAsia"/>
                <w:szCs w:val="21"/>
                <w:u w:val="single"/>
              </w:rPr>
              <w:t>0.5</w:t>
            </w:r>
          </w:p>
        </w:tc>
        <w:tc>
          <w:tcPr>
            <w:tcW w:w="1202" w:type="dxa"/>
            <w:vAlign w:val="center"/>
          </w:tcPr>
          <w:p>
            <w:pPr>
              <w:pStyle w:val="63"/>
              <w:rPr>
                <w:u w:val="single"/>
              </w:rPr>
            </w:pPr>
            <w:r>
              <w:rPr>
                <w:rFonts w:hint="eastAsia"/>
                <w:u w:val="single"/>
              </w:rPr>
              <w:t>1.11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r>
              <w:rPr>
                <w:u w:val="single"/>
              </w:rPr>
              <w:t>合计</w:t>
            </w: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r>
              <w:rPr>
                <w:u w:val="single"/>
              </w:rPr>
              <w:t>400</w:t>
            </w:r>
          </w:p>
        </w:tc>
        <w:tc>
          <w:tcPr>
            <w:tcW w:w="1276" w:type="dxa"/>
            <w:vAlign w:val="center"/>
          </w:tcPr>
          <w:p>
            <w:pPr>
              <w:pStyle w:val="63"/>
              <w:rPr>
                <w:u w:val="single"/>
              </w:rPr>
            </w:pPr>
            <w:r>
              <w:rPr>
                <w:u w:val="single"/>
              </w:rPr>
              <w:t>合计</w:t>
            </w:r>
          </w:p>
        </w:tc>
        <w:tc>
          <w:tcPr>
            <w:tcW w:w="1331" w:type="dxa"/>
            <w:vAlign w:val="center"/>
          </w:tcPr>
          <w:p>
            <w:pPr>
              <w:pStyle w:val="63"/>
              <w:rPr>
                <w:u w:val="single"/>
              </w:rPr>
            </w:pPr>
          </w:p>
        </w:tc>
        <w:tc>
          <w:tcPr>
            <w:tcW w:w="1010" w:type="dxa"/>
            <w:vAlign w:val="center"/>
          </w:tcPr>
          <w:p>
            <w:pPr>
              <w:pStyle w:val="63"/>
              <w:rPr>
                <w:u w:val="single"/>
              </w:rPr>
            </w:pPr>
          </w:p>
        </w:tc>
        <w:tc>
          <w:tcPr>
            <w:tcW w:w="1202" w:type="dxa"/>
            <w:vAlign w:val="center"/>
          </w:tcPr>
          <w:p>
            <w:pPr>
              <w:pStyle w:val="63"/>
              <w:rPr>
                <w:u w:val="single"/>
              </w:rPr>
            </w:pPr>
            <w:r>
              <w:rPr>
                <w:u w:val="single"/>
              </w:rPr>
              <w:t>400</w:t>
            </w:r>
          </w:p>
        </w:tc>
      </w:tr>
    </w:tbl>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钴元素综合回收利用率为96.9%。</w:t>
      </w:r>
    </w:p>
    <w:p>
      <w:pPr>
        <w:pStyle w:val="5"/>
        <w:ind w:firstLine="482"/>
        <w:rPr>
          <w:u w:val="single"/>
        </w:rPr>
      </w:pPr>
      <w:r>
        <w:rPr>
          <w:rFonts w:hint="eastAsia"/>
          <w:u w:val="single"/>
        </w:rPr>
        <w:t xml:space="preserve">3.2.5.3 </w:t>
      </w:r>
      <w:r>
        <w:rPr>
          <w:rFonts w:ascii="Times New Roman" w:hAnsi="Times New Roman" w:cs="Times New Roman"/>
          <w:u w:val="single"/>
        </w:rPr>
        <w:t>锰</w:t>
      </w:r>
      <w:r>
        <w:rPr>
          <w:rFonts w:hint="eastAsia"/>
          <w:u w:val="single"/>
        </w:rPr>
        <w:t>元素物料平衡</w:t>
      </w:r>
    </w:p>
    <w:p>
      <w:pPr>
        <w:pStyle w:val="6"/>
        <w:rPr>
          <w:rFonts w:ascii="Times New Roman" w:hAnsi="Times New Roman" w:cs="Times New Roman"/>
          <w:u w:val="single"/>
        </w:rPr>
      </w:pPr>
      <w:r>
        <w:rPr>
          <w:rFonts w:ascii="Times New Roman" w:hAnsi="Times New Roman" w:cs="Times New Roman"/>
          <w:u w:val="single"/>
        </w:rPr>
        <w:t>表3.2-</w:t>
      </w:r>
      <w:r>
        <w:rPr>
          <w:rFonts w:hint="eastAsia" w:ascii="Times New Roman" w:hAnsi="Times New Roman" w:cs="Times New Roman"/>
          <w:u w:val="single"/>
        </w:rPr>
        <w:t>12</w:t>
      </w:r>
      <w:r>
        <w:rPr>
          <w:rFonts w:ascii="Times New Roman" w:hAnsi="Times New Roman" w:cs="Times New Roman"/>
          <w:u w:val="single"/>
        </w:rPr>
        <w:t xml:space="preserve">  锰元素物料平衡表</w:t>
      </w:r>
    </w:p>
    <w:tbl>
      <w:tblPr>
        <w:tblStyle w:val="35"/>
        <w:tblW w:w="8505"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43"/>
        <w:gridCol w:w="858"/>
        <w:gridCol w:w="1134"/>
        <w:gridCol w:w="851"/>
        <w:gridCol w:w="1276"/>
        <w:gridCol w:w="1331"/>
        <w:gridCol w:w="1010"/>
        <w:gridCol w:w="120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686" w:type="dxa"/>
            <w:gridSpan w:val="4"/>
            <w:vAlign w:val="center"/>
          </w:tcPr>
          <w:p>
            <w:pPr>
              <w:pStyle w:val="63"/>
              <w:rPr>
                <w:u w:val="single"/>
              </w:rPr>
            </w:pPr>
            <w:r>
              <w:rPr>
                <w:u w:val="single"/>
              </w:rPr>
              <w:t>入方</w:t>
            </w:r>
          </w:p>
        </w:tc>
        <w:tc>
          <w:tcPr>
            <w:tcW w:w="4819" w:type="dxa"/>
            <w:gridSpan w:val="4"/>
            <w:vAlign w:val="center"/>
          </w:tcPr>
          <w:p>
            <w:pPr>
              <w:pStyle w:val="63"/>
              <w:rPr>
                <w:u w:val="single"/>
              </w:rPr>
            </w:pPr>
            <w:r>
              <w:rPr>
                <w:u w:val="single"/>
              </w:rPr>
              <w:t>出方</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r>
              <w:rPr>
                <w:u w:val="single"/>
              </w:rPr>
              <w:t>项目</w:t>
            </w:r>
          </w:p>
        </w:tc>
        <w:tc>
          <w:tcPr>
            <w:tcW w:w="858" w:type="dxa"/>
            <w:vAlign w:val="center"/>
          </w:tcPr>
          <w:p>
            <w:pPr>
              <w:pStyle w:val="63"/>
              <w:rPr>
                <w:u w:val="single"/>
              </w:rPr>
            </w:pPr>
            <w:r>
              <w:rPr>
                <w:u w:val="single"/>
              </w:rPr>
              <w:t>实物量t/a</w:t>
            </w:r>
          </w:p>
        </w:tc>
        <w:tc>
          <w:tcPr>
            <w:tcW w:w="1134" w:type="dxa"/>
            <w:vAlign w:val="center"/>
          </w:tcPr>
          <w:p>
            <w:pPr>
              <w:pStyle w:val="63"/>
              <w:rPr>
                <w:u w:val="single"/>
              </w:rPr>
            </w:pPr>
            <w:r>
              <w:rPr>
                <w:u w:val="single"/>
              </w:rPr>
              <w:t>镍含率</w:t>
            </w:r>
          </w:p>
          <w:p>
            <w:pPr>
              <w:pStyle w:val="63"/>
              <w:rPr>
                <w:u w:val="single"/>
              </w:rPr>
            </w:pPr>
            <w:r>
              <w:rPr>
                <w:u w:val="single"/>
              </w:rPr>
              <w:t>（%）</w:t>
            </w:r>
          </w:p>
        </w:tc>
        <w:tc>
          <w:tcPr>
            <w:tcW w:w="851" w:type="dxa"/>
            <w:vAlign w:val="center"/>
          </w:tcPr>
          <w:p>
            <w:pPr>
              <w:pStyle w:val="63"/>
              <w:rPr>
                <w:u w:val="single"/>
              </w:rPr>
            </w:pPr>
            <w:r>
              <w:rPr>
                <w:u w:val="single"/>
              </w:rPr>
              <w:t>锰含量</w:t>
            </w:r>
          </w:p>
          <w:p>
            <w:pPr>
              <w:pStyle w:val="63"/>
              <w:rPr>
                <w:u w:val="single"/>
              </w:rPr>
            </w:pPr>
            <w:r>
              <w:rPr>
                <w:u w:val="single"/>
              </w:rPr>
              <w:t>（t/a）</w:t>
            </w:r>
          </w:p>
        </w:tc>
        <w:tc>
          <w:tcPr>
            <w:tcW w:w="1276" w:type="dxa"/>
            <w:vAlign w:val="center"/>
          </w:tcPr>
          <w:p>
            <w:pPr>
              <w:pStyle w:val="63"/>
              <w:rPr>
                <w:u w:val="single"/>
              </w:rPr>
            </w:pPr>
            <w:r>
              <w:rPr>
                <w:u w:val="single"/>
              </w:rPr>
              <w:t>项目</w:t>
            </w:r>
          </w:p>
        </w:tc>
        <w:tc>
          <w:tcPr>
            <w:tcW w:w="1331" w:type="dxa"/>
            <w:vAlign w:val="center"/>
          </w:tcPr>
          <w:p>
            <w:pPr>
              <w:pStyle w:val="63"/>
              <w:rPr>
                <w:u w:val="single"/>
              </w:rPr>
            </w:pPr>
            <w:r>
              <w:rPr>
                <w:u w:val="single"/>
              </w:rPr>
              <w:t>实物量t/a</w:t>
            </w:r>
          </w:p>
        </w:tc>
        <w:tc>
          <w:tcPr>
            <w:tcW w:w="1010" w:type="dxa"/>
            <w:vAlign w:val="center"/>
          </w:tcPr>
          <w:p>
            <w:pPr>
              <w:pStyle w:val="63"/>
              <w:rPr>
                <w:u w:val="single"/>
              </w:rPr>
            </w:pPr>
            <w:r>
              <w:rPr>
                <w:u w:val="single"/>
              </w:rPr>
              <w:t>锰含率</w:t>
            </w:r>
          </w:p>
          <w:p>
            <w:pPr>
              <w:pStyle w:val="63"/>
              <w:rPr>
                <w:u w:val="single"/>
              </w:rPr>
            </w:pPr>
            <w:r>
              <w:rPr>
                <w:u w:val="single"/>
              </w:rPr>
              <w:t>（%）</w:t>
            </w:r>
          </w:p>
        </w:tc>
        <w:tc>
          <w:tcPr>
            <w:tcW w:w="1202" w:type="dxa"/>
            <w:vAlign w:val="center"/>
          </w:tcPr>
          <w:p>
            <w:pPr>
              <w:pStyle w:val="63"/>
              <w:rPr>
                <w:u w:val="single"/>
              </w:rPr>
            </w:pPr>
            <w:r>
              <w:rPr>
                <w:u w:val="single"/>
              </w:rPr>
              <w:t>锰含量</w:t>
            </w:r>
          </w:p>
          <w:p>
            <w:pPr>
              <w:pStyle w:val="63"/>
              <w:rPr>
                <w:u w:val="single"/>
              </w:rPr>
            </w:pPr>
            <w:r>
              <w:rPr>
                <w:u w:val="single"/>
              </w:rPr>
              <w:t>（t/a）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r>
              <w:rPr>
                <w:u w:val="single"/>
              </w:rPr>
              <w:t>废旧三元锂电池</w:t>
            </w:r>
          </w:p>
        </w:tc>
        <w:tc>
          <w:tcPr>
            <w:tcW w:w="858" w:type="dxa"/>
            <w:vAlign w:val="center"/>
          </w:tcPr>
          <w:p>
            <w:pPr>
              <w:pStyle w:val="63"/>
              <w:rPr>
                <w:u w:val="single"/>
              </w:rPr>
            </w:pPr>
            <w:r>
              <w:rPr>
                <w:u w:val="single"/>
              </w:rPr>
              <w:t>10000</w:t>
            </w:r>
          </w:p>
        </w:tc>
        <w:tc>
          <w:tcPr>
            <w:tcW w:w="1134" w:type="dxa"/>
            <w:vAlign w:val="center"/>
          </w:tcPr>
          <w:p>
            <w:pPr>
              <w:pStyle w:val="63"/>
              <w:rPr>
                <w:u w:val="single"/>
              </w:rPr>
            </w:pPr>
            <w:r>
              <w:rPr>
                <w:u w:val="single"/>
              </w:rPr>
              <w:t>5</w:t>
            </w:r>
          </w:p>
        </w:tc>
        <w:tc>
          <w:tcPr>
            <w:tcW w:w="851" w:type="dxa"/>
            <w:vAlign w:val="center"/>
          </w:tcPr>
          <w:p>
            <w:pPr>
              <w:pStyle w:val="63"/>
              <w:rPr>
                <w:u w:val="single"/>
              </w:rPr>
            </w:pPr>
            <w:r>
              <w:rPr>
                <w:u w:val="single"/>
              </w:rPr>
              <w:t>500</w:t>
            </w:r>
          </w:p>
        </w:tc>
        <w:tc>
          <w:tcPr>
            <w:tcW w:w="1276" w:type="dxa"/>
            <w:vAlign w:val="center"/>
          </w:tcPr>
          <w:p>
            <w:pPr>
              <w:pStyle w:val="63"/>
              <w:rPr>
                <w:u w:val="single"/>
              </w:rPr>
            </w:pPr>
            <w:r>
              <w:rPr>
                <w:u w:val="single"/>
              </w:rPr>
              <w:t>电池级硫酸镍</w:t>
            </w:r>
          </w:p>
        </w:tc>
        <w:tc>
          <w:tcPr>
            <w:tcW w:w="1331" w:type="dxa"/>
            <w:vAlign w:val="center"/>
          </w:tcPr>
          <w:p>
            <w:pPr>
              <w:pStyle w:val="63"/>
              <w:rPr>
                <w:u w:val="single"/>
              </w:rPr>
            </w:pPr>
            <w:r>
              <w:rPr>
                <w:u w:val="single"/>
              </w:rPr>
              <w:t>3106</w:t>
            </w:r>
          </w:p>
        </w:tc>
        <w:tc>
          <w:tcPr>
            <w:tcW w:w="1010" w:type="dxa"/>
            <w:vAlign w:val="center"/>
          </w:tcPr>
          <w:p>
            <w:pPr>
              <w:pStyle w:val="63"/>
              <w:rPr>
                <w:u w:val="single"/>
              </w:rPr>
            </w:pPr>
            <w:r>
              <w:rPr>
                <w:u w:val="single"/>
              </w:rPr>
              <w:t>0.1</w:t>
            </w:r>
          </w:p>
        </w:tc>
        <w:tc>
          <w:tcPr>
            <w:tcW w:w="1202" w:type="dxa"/>
            <w:vAlign w:val="center"/>
          </w:tcPr>
          <w:p>
            <w:pPr>
              <w:pStyle w:val="63"/>
              <w:rPr>
                <w:u w:val="single"/>
              </w:rPr>
            </w:pPr>
            <w:r>
              <w:rPr>
                <w:u w:val="single"/>
              </w:rPr>
              <w:t>3.11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电池级硫酸钴</w:t>
            </w:r>
          </w:p>
        </w:tc>
        <w:tc>
          <w:tcPr>
            <w:tcW w:w="1331" w:type="dxa"/>
            <w:vAlign w:val="center"/>
          </w:tcPr>
          <w:p>
            <w:pPr>
              <w:pStyle w:val="63"/>
              <w:rPr>
                <w:u w:val="single"/>
              </w:rPr>
            </w:pPr>
            <w:r>
              <w:rPr>
                <w:u w:val="single"/>
              </w:rPr>
              <w:t>963</w:t>
            </w:r>
          </w:p>
        </w:tc>
        <w:tc>
          <w:tcPr>
            <w:tcW w:w="1010" w:type="dxa"/>
            <w:vAlign w:val="center"/>
          </w:tcPr>
          <w:p>
            <w:pPr>
              <w:pStyle w:val="63"/>
              <w:rPr>
                <w:u w:val="single"/>
              </w:rPr>
            </w:pPr>
            <w:r>
              <w:rPr>
                <w:u w:val="single"/>
              </w:rPr>
              <w:t>0.1</w:t>
            </w:r>
          </w:p>
        </w:tc>
        <w:tc>
          <w:tcPr>
            <w:tcW w:w="1202" w:type="dxa"/>
            <w:vAlign w:val="center"/>
          </w:tcPr>
          <w:p>
            <w:pPr>
              <w:pStyle w:val="63"/>
              <w:rPr>
                <w:u w:val="single"/>
              </w:rPr>
            </w:pPr>
            <w:r>
              <w:rPr>
                <w:u w:val="single"/>
              </w:rPr>
              <w:t>0.96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电池级硫酸锰</w:t>
            </w:r>
          </w:p>
        </w:tc>
        <w:tc>
          <w:tcPr>
            <w:tcW w:w="1331" w:type="dxa"/>
            <w:vAlign w:val="center"/>
          </w:tcPr>
          <w:p>
            <w:pPr>
              <w:pStyle w:val="63"/>
              <w:rPr>
                <w:u w:val="single"/>
              </w:rPr>
            </w:pPr>
            <w:r>
              <w:rPr>
                <w:u w:val="single"/>
              </w:rPr>
              <w:t>1004</w:t>
            </w:r>
          </w:p>
        </w:tc>
        <w:tc>
          <w:tcPr>
            <w:tcW w:w="1010" w:type="dxa"/>
            <w:vAlign w:val="center"/>
          </w:tcPr>
          <w:p>
            <w:pPr>
              <w:pStyle w:val="63"/>
              <w:rPr>
                <w:u w:val="single"/>
              </w:rPr>
            </w:pPr>
            <w:r>
              <w:rPr>
                <w:rFonts w:hint="eastAsia"/>
                <w:u w:val="single"/>
              </w:rPr>
              <w:t>47</w:t>
            </w:r>
          </w:p>
        </w:tc>
        <w:tc>
          <w:tcPr>
            <w:tcW w:w="1202" w:type="dxa"/>
            <w:vAlign w:val="center"/>
          </w:tcPr>
          <w:p>
            <w:pPr>
              <w:pStyle w:val="63"/>
              <w:rPr>
                <w:u w:val="single"/>
              </w:rPr>
            </w:pPr>
            <w:r>
              <w:rPr>
                <w:u w:val="single"/>
              </w:rPr>
              <w:t>480.48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电池级碳酸锂</w:t>
            </w:r>
          </w:p>
        </w:tc>
        <w:tc>
          <w:tcPr>
            <w:tcW w:w="1331" w:type="dxa"/>
            <w:vAlign w:val="center"/>
          </w:tcPr>
          <w:p>
            <w:pPr>
              <w:pStyle w:val="63"/>
              <w:rPr>
                <w:u w:val="single"/>
              </w:rPr>
            </w:pPr>
            <w:r>
              <w:rPr>
                <w:u w:val="single"/>
              </w:rPr>
              <w:t>1269</w:t>
            </w:r>
          </w:p>
        </w:tc>
        <w:tc>
          <w:tcPr>
            <w:tcW w:w="1010" w:type="dxa"/>
            <w:vAlign w:val="center"/>
          </w:tcPr>
          <w:p>
            <w:pPr>
              <w:pStyle w:val="63"/>
              <w:rPr>
                <w:u w:val="single"/>
              </w:rPr>
            </w:pPr>
            <w:r>
              <w:rPr>
                <w:u w:val="single"/>
              </w:rPr>
              <w:t>0.1</w:t>
            </w:r>
          </w:p>
        </w:tc>
        <w:tc>
          <w:tcPr>
            <w:tcW w:w="1202" w:type="dxa"/>
            <w:vAlign w:val="center"/>
          </w:tcPr>
          <w:p>
            <w:pPr>
              <w:pStyle w:val="63"/>
              <w:rPr>
                <w:u w:val="single"/>
              </w:rPr>
            </w:pPr>
            <w:r>
              <w:rPr>
                <w:u w:val="single"/>
              </w:rPr>
              <w:t>1.27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石墨</w:t>
            </w:r>
          </w:p>
        </w:tc>
        <w:tc>
          <w:tcPr>
            <w:tcW w:w="1331" w:type="dxa"/>
            <w:vAlign w:val="center"/>
          </w:tcPr>
          <w:p>
            <w:pPr>
              <w:pStyle w:val="63"/>
              <w:rPr>
                <w:u w:val="single"/>
              </w:rPr>
            </w:pPr>
            <w:r>
              <w:rPr>
                <w:u w:val="single"/>
              </w:rPr>
              <w:t>2162</w:t>
            </w:r>
          </w:p>
        </w:tc>
        <w:tc>
          <w:tcPr>
            <w:tcW w:w="1010" w:type="dxa"/>
            <w:vAlign w:val="center"/>
          </w:tcPr>
          <w:p>
            <w:pPr>
              <w:pStyle w:val="63"/>
              <w:rPr>
                <w:u w:val="single"/>
              </w:rPr>
            </w:pPr>
            <w:r>
              <w:rPr>
                <w:u w:val="single"/>
              </w:rPr>
              <w:t>0.5</w:t>
            </w:r>
          </w:p>
        </w:tc>
        <w:tc>
          <w:tcPr>
            <w:tcW w:w="1202" w:type="dxa"/>
            <w:vAlign w:val="center"/>
          </w:tcPr>
          <w:p>
            <w:pPr>
              <w:pStyle w:val="63"/>
              <w:rPr>
                <w:u w:val="single"/>
              </w:rPr>
            </w:pPr>
            <w:r>
              <w:rPr>
                <w:u w:val="single"/>
              </w:rPr>
              <w:t>10.81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铁铝渣</w:t>
            </w:r>
          </w:p>
        </w:tc>
        <w:tc>
          <w:tcPr>
            <w:tcW w:w="1331" w:type="dxa"/>
            <w:vAlign w:val="center"/>
          </w:tcPr>
          <w:p>
            <w:pPr>
              <w:pStyle w:val="63"/>
              <w:rPr>
                <w:u w:val="single"/>
              </w:rPr>
            </w:pPr>
            <w:r>
              <w:rPr>
                <w:u w:val="single"/>
              </w:rPr>
              <w:t>260</w:t>
            </w:r>
          </w:p>
        </w:tc>
        <w:tc>
          <w:tcPr>
            <w:tcW w:w="1010" w:type="dxa"/>
            <w:vAlign w:val="center"/>
          </w:tcPr>
          <w:p>
            <w:pPr>
              <w:pStyle w:val="63"/>
              <w:rPr>
                <w:u w:val="single"/>
              </w:rPr>
            </w:pPr>
            <w:r>
              <w:rPr>
                <w:u w:val="single"/>
              </w:rPr>
              <w:t>0.3</w:t>
            </w:r>
          </w:p>
        </w:tc>
        <w:tc>
          <w:tcPr>
            <w:tcW w:w="1202" w:type="dxa"/>
            <w:vAlign w:val="center"/>
          </w:tcPr>
          <w:p>
            <w:pPr>
              <w:pStyle w:val="63"/>
              <w:rPr>
                <w:u w:val="single"/>
              </w:rPr>
            </w:pPr>
            <w:r>
              <w:rPr>
                <w:u w:val="single"/>
              </w:rPr>
              <w:t>0.78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硫酸钠</w:t>
            </w:r>
          </w:p>
        </w:tc>
        <w:tc>
          <w:tcPr>
            <w:tcW w:w="1331" w:type="dxa"/>
            <w:vAlign w:val="center"/>
          </w:tcPr>
          <w:p>
            <w:pPr>
              <w:pStyle w:val="63"/>
              <w:rPr>
                <w:u w:val="single"/>
              </w:rPr>
            </w:pPr>
            <w:r>
              <w:rPr>
                <w:u w:val="single"/>
              </w:rPr>
              <w:t>14784</w:t>
            </w:r>
          </w:p>
        </w:tc>
        <w:tc>
          <w:tcPr>
            <w:tcW w:w="1010" w:type="dxa"/>
            <w:vAlign w:val="center"/>
          </w:tcPr>
          <w:p>
            <w:pPr>
              <w:pStyle w:val="63"/>
              <w:rPr>
                <w:u w:val="single"/>
              </w:rPr>
            </w:pPr>
            <w:r>
              <w:rPr>
                <w:u w:val="single"/>
              </w:rPr>
              <w:t>0.5</w:t>
            </w:r>
          </w:p>
        </w:tc>
        <w:tc>
          <w:tcPr>
            <w:tcW w:w="1202" w:type="dxa"/>
            <w:vAlign w:val="center"/>
          </w:tcPr>
          <w:p>
            <w:pPr>
              <w:pStyle w:val="63"/>
              <w:rPr>
                <w:u w:val="single"/>
              </w:rPr>
            </w:pPr>
            <w:r>
              <w:rPr>
                <w:rFonts w:hint="eastAsia"/>
                <w:u w:val="single"/>
              </w:rPr>
              <w:t>1.48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废</w:t>
            </w:r>
            <w:r>
              <w:rPr>
                <w:rFonts w:hint="eastAsia"/>
                <w:u w:val="single"/>
              </w:rPr>
              <w:t>渣</w:t>
            </w:r>
          </w:p>
        </w:tc>
        <w:tc>
          <w:tcPr>
            <w:tcW w:w="1331" w:type="dxa"/>
            <w:vAlign w:val="center"/>
          </w:tcPr>
          <w:p>
            <w:pPr>
              <w:pStyle w:val="63"/>
              <w:rPr>
                <w:u w:val="single"/>
              </w:rPr>
            </w:pPr>
            <w:r>
              <w:rPr>
                <w:u w:val="single"/>
              </w:rPr>
              <w:t>221.60</w:t>
            </w:r>
          </w:p>
        </w:tc>
        <w:tc>
          <w:tcPr>
            <w:tcW w:w="1010" w:type="dxa"/>
            <w:vAlign w:val="center"/>
          </w:tcPr>
          <w:p>
            <w:pPr>
              <w:pStyle w:val="63"/>
              <w:rPr>
                <w:u w:val="single"/>
              </w:rPr>
            </w:pPr>
            <w:r>
              <w:rPr>
                <w:rFonts w:hint="eastAsia"/>
                <w:u w:val="single"/>
              </w:rPr>
              <w:t>12.42</w:t>
            </w:r>
          </w:p>
        </w:tc>
        <w:tc>
          <w:tcPr>
            <w:tcW w:w="1202" w:type="dxa"/>
            <w:vAlign w:val="center"/>
          </w:tcPr>
          <w:p>
            <w:pPr>
              <w:pStyle w:val="63"/>
              <w:rPr>
                <w:u w:val="single"/>
              </w:rPr>
            </w:pPr>
            <w:r>
              <w:rPr>
                <w:rFonts w:hint="eastAsia"/>
                <w:u w:val="single"/>
              </w:rPr>
              <w:t>1.11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r>
              <w:rPr>
                <w:u w:val="single"/>
              </w:rPr>
              <w:t>合计</w:t>
            </w: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r>
              <w:rPr>
                <w:u w:val="single"/>
              </w:rPr>
              <w:t>500</w:t>
            </w:r>
          </w:p>
        </w:tc>
        <w:tc>
          <w:tcPr>
            <w:tcW w:w="1276" w:type="dxa"/>
            <w:vAlign w:val="center"/>
          </w:tcPr>
          <w:p>
            <w:pPr>
              <w:pStyle w:val="63"/>
              <w:rPr>
                <w:u w:val="single"/>
              </w:rPr>
            </w:pPr>
            <w:r>
              <w:rPr>
                <w:u w:val="single"/>
              </w:rPr>
              <w:t>合计</w:t>
            </w:r>
          </w:p>
        </w:tc>
        <w:tc>
          <w:tcPr>
            <w:tcW w:w="1331" w:type="dxa"/>
            <w:vAlign w:val="center"/>
          </w:tcPr>
          <w:p>
            <w:pPr>
              <w:pStyle w:val="63"/>
              <w:rPr>
                <w:u w:val="single"/>
              </w:rPr>
            </w:pPr>
          </w:p>
        </w:tc>
        <w:tc>
          <w:tcPr>
            <w:tcW w:w="1010" w:type="dxa"/>
            <w:vAlign w:val="center"/>
          </w:tcPr>
          <w:p>
            <w:pPr>
              <w:pStyle w:val="63"/>
              <w:rPr>
                <w:u w:val="single"/>
              </w:rPr>
            </w:pPr>
          </w:p>
        </w:tc>
        <w:tc>
          <w:tcPr>
            <w:tcW w:w="1202" w:type="dxa"/>
            <w:vAlign w:val="center"/>
          </w:tcPr>
          <w:p>
            <w:pPr>
              <w:pStyle w:val="63"/>
              <w:rPr>
                <w:u w:val="single"/>
              </w:rPr>
            </w:pPr>
            <w:r>
              <w:rPr>
                <w:u w:val="single"/>
              </w:rPr>
              <w:t>500</w:t>
            </w:r>
          </w:p>
        </w:tc>
      </w:tr>
    </w:tbl>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锰元素综合回收利用率为96%。</w:t>
      </w:r>
    </w:p>
    <w:p>
      <w:pPr>
        <w:pStyle w:val="5"/>
        <w:ind w:firstLine="482"/>
        <w:rPr>
          <w:u w:val="single"/>
        </w:rPr>
      </w:pPr>
      <w:r>
        <w:rPr>
          <w:rFonts w:hint="eastAsia"/>
          <w:u w:val="single"/>
        </w:rPr>
        <w:t xml:space="preserve">3.2.5.4 </w:t>
      </w:r>
      <w:r>
        <w:rPr>
          <w:rFonts w:ascii="Times New Roman" w:hAnsi="Times New Roman" w:cs="Times New Roman"/>
          <w:u w:val="single"/>
        </w:rPr>
        <w:t>锂</w:t>
      </w:r>
      <w:r>
        <w:rPr>
          <w:rFonts w:hint="eastAsia"/>
          <w:u w:val="single"/>
        </w:rPr>
        <w:t>元素物料平衡</w:t>
      </w:r>
    </w:p>
    <w:p>
      <w:pPr>
        <w:pStyle w:val="6"/>
        <w:rPr>
          <w:rFonts w:ascii="Times New Roman" w:hAnsi="Times New Roman" w:cs="Times New Roman"/>
          <w:u w:val="single"/>
        </w:rPr>
      </w:pPr>
      <w:r>
        <w:rPr>
          <w:rFonts w:ascii="Times New Roman" w:hAnsi="Times New Roman" w:cs="Times New Roman"/>
          <w:u w:val="single"/>
        </w:rPr>
        <w:t>表3.2-</w:t>
      </w:r>
      <w:r>
        <w:rPr>
          <w:rFonts w:hint="eastAsia" w:ascii="Times New Roman" w:hAnsi="Times New Roman" w:cs="Times New Roman"/>
          <w:u w:val="single"/>
        </w:rPr>
        <w:t>13</w:t>
      </w:r>
      <w:r>
        <w:rPr>
          <w:rFonts w:ascii="Times New Roman" w:hAnsi="Times New Roman" w:cs="Times New Roman"/>
          <w:u w:val="single"/>
        </w:rPr>
        <w:t xml:space="preserve"> </w:t>
      </w:r>
      <w:r>
        <w:rPr>
          <w:rFonts w:hint="eastAsia" w:ascii="Times New Roman" w:hAnsi="Times New Roman" w:cs="Times New Roman"/>
          <w:u w:val="single"/>
        </w:rPr>
        <w:t xml:space="preserve"> </w:t>
      </w:r>
      <w:r>
        <w:rPr>
          <w:rFonts w:ascii="Times New Roman" w:hAnsi="Times New Roman" w:cs="Times New Roman"/>
          <w:u w:val="single"/>
        </w:rPr>
        <w:t>锂元素物料平衡表</w:t>
      </w:r>
    </w:p>
    <w:tbl>
      <w:tblPr>
        <w:tblStyle w:val="35"/>
        <w:tblW w:w="8505"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843"/>
        <w:gridCol w:w="858"/>
        <w:gridCol w:w="1134"/>
        <w:gridCol w:w="851"/>
        <w:gridCol w:w="1276"/>
        <w:gridCol w:w="1371"/>
        <w:gridCol w:w="970"/>
        <w:gridCol w:w="120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686" w:type="dxa"/>
            <w:gridSpan w:val="4"/>
            <w:vAlign w:val="center"/>
          </w:tcPr>
          <w:p>
            <w:pPr>
              <w:pStyle w:val="63"/>
              <w:rPr>
                <w:u w:val="single"/>
              </w:rPr>
            </w:pPr>
            <w:r>
              <w:rPr>
                <w:u w:val="single"/>
              </w:rPr>
              <w:t>入方</w:t>
            </w:r>
          </w:p>
        </w:tc>
        <w:tc>
          <w:tcPr>
            <w:tcW w:w="4819" w:type="dxa"/>
            <w:gridSpan w:val="4"/>
            <w:vAlign w:val="center"/>
          </w:tcPr>
          <w:p>
            <w:pPr>
              <w:pStyle w:val="63"/>
              <w:rPr>
                <w:u w:val="single"/>
              </w:rPr>
            </w:pPr>
            <w:r>
              <w:rPr>
                <w:u w:val="single"/>
              </w:rPr>
              <w:t>出方</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r>
              <w:rPr>
                <w:u w:val="single"/>
              </w:rPr>
              <w:t>项目</w:t>
            </w:r>
          </w:p>
        </w:tc>
        <w:tc>
          <w:tcPr>
            <w:tcW w:w="858" w:type="dxa"/>
            <w:vAlign w:val="center"/>
          </w:tcPr>
          <w:p>
            <w:pPr>
              <w:pStyle w:val="63"/>
              <w:rPr>
                <w:u w:val="single"/>
              </w:rPr>
            </w:pPr>
            <w:r>
              <w:rPr>
                <w:u w:val="single"/>
              </w:rPr>
              <w:t>实物量t/a</w:t>
            </w:r>
          </w:p>
        </w:tc>
        <w:tc>
          <w:tcPr>
            <w:tcW w:w="1134" w:type="dxa"/>
            <w:vAlign w:val="center"/>
          </w:tcPr>
          <w:p>
            <w:pPr>
              <w:pStyle w:val="63"/>
              <w:rPr>
                <w:u w:val="single"/>
              </w:rPr>
            </w:pPr>
            <w:r>
              <w:rPr>
                <w:u w:val="single"/>
              </w:rPr>
              <w:t>锂含率</w:t>
            </w:r>
          </w:p>
          <w:p>
            <w:pPr>
              <w:pStyle w:val="63"/>
              <w:rPr>
                <w:u w:val="single"/>
              </w:rPr>
            </w:pPr>
            <w:r>
              <w:rPr>
                <w:u w:val="single"/>
              </w:rPr>
              <w:t>（%）</w:t>
            </w:r>
          </w:p>
        </w:tc>
        <w:tc>
          <w:tcPr>
            <w:tcW w:w="851" w:type="dxa"/>
            <w:vAlign w:val="center"/>
          </w:tcPr>
          <w:p>
            <w:pPr>
              <w:pStyle w:val="63"/>
              <w:rPr>
                <w:u w:val="single"/>
              </w:rPr>
            </w:pPr>
            <w:r>
              <w:rPr>
                <w:u w:val="single"/>
              </w:rPr>
              <w:t>锂含量</w:t>
            </w:r>
          </w:p>
          <w:p>
            <w:pPr>
              <w:pStyle w:val="63"/>
              <w:rPr>
                <w:u w:val="single"/>
              </w:rPr>
            </w:pPr>
            <w:r>
              <w:rPr>
                <w:u w:val="single"/>
              </w:rPr>
              <w:t>（t/a）</w:t>
            </w:r>
          </w:p>
        </w:tc>
        <w:tc>
          <w:tcPr>
            <w:tcW w:w="1276" w:type="dxa"/>
            <w:vAlign w:val="center"/>
          </w:tcPr>
          <w:p>
            <w:pPr>
              <w:pStyle w:val="63"/>
              <w:rPr>
                <w:u w:val="single"/>
              </w:rPr>
            </w:pPr>
            <w:r>
              <w:rPr>
                <w:u w:val="single"/>
              </w:rPr>
              <w:t>项目</w:t>
            </w:r>
          </w:p>
        </w:tc>
        <w:tc>
          <w:tcPr>
            <w:tcW w:w="1371" w:type="dxa"/>
            <w:vAlign w:val="center"/>
          </w:tcPr>
          <w:p>
            <w:pPr>
              <w:pStyle w:val="63"/>
              <w:rPr>
                <w:u w:val="single"/>
              </w:rPr>
            </w:pPr>
            <w:r>
              <w:rPr>
                <w:u w:val="single"/>
              </w:rPr>
              <w:t>实物量t/a</w:t>
            </w:r>
          </w:p>
        </w:tc>
        <w:tc>
          <w:tcPr>
            <w:tcW w:w="970" w:type="dxa"/>
            <w:vAlign w:val="center"/>
          </w:tcPr>
          <w:p>
            <w:pPr>
              <w:pStyle w:val="63"/>
              <w:rPr>
                <w:u w:val="single"/>
              </w:rPr>
            </w:pPr>
            <w:r>
              <w:rPr>
                <w:u w:val="single"/>
              </w:rPr>
              <w:t>锂含率</w:t>
            </w:r>
          </w:p>
          <w:p>
            <w:pPr>
              <w:pStyle w:val="63"/>
              <w:rPr>
                <w:u w:val="single"/>
              </w:rPr>
            </w:pPr>
            <w:r>
              <w:rPr>
                <w:u w:val="single"/>
              </w:rPr>
              <w:t>（%）</w:t>
            </w:r>
          </w:p>
        </w:tc>
        <w:tc>
          <w:tcPr>
            <w:tcW w:w="1202" w:type="dxa"/>
            <w:vAlign w:val="center"/>
          </w:tcPr>
          <w:p>
            <w:pPr>
              <w:pStyle w:val="63"/>
              <w:rPr>
                <w:u w:val="single"/>
              </w:rPr>
            </w:pPr>
            <w:r>
              <w:rPr>
                <w:u w:val="single"/>
              </w:rPr>
              <w:t>锂含量</w:t>
            </w:r>
          </w:p>
          <w:p>
            <w:pPr>
              <w:pStyle w:val="63"/>
              <w:rPr>
                <w:u w:val="single"/>
              </w:rPr>
            </w:pPr>
            <w:r>
              <w:rPr>
                <w:u w:val="single"/>
              </w:rPr>
              <w:t>（t/a）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r>
              <w:rPr>
                <w:u w:val="single"/>
              </w:rPr>
              <w:t>废旧三元锂电池</w:t>
            </w:r>
          </w:p>
        </w:tc>
        <w:tc>
          <w:tcPr>
            <w:tcW w:w="858" w:type="dxa"/>
            <w:vAlign w:val="center"/>
          </w:tcPr>
          <w:p>
            <w:pPr>
              <w:pStyle w:val="63"/>
              <w:rPr>
                <w:u w:val="single"/>
              </w:rPr>
            </w:pPr>
            <w:r>
              <w:rPr>
                <w:u w:val="single"/>
              </w:rPr>
              <w:t>10000</w:t>
            </w:r>
          </w:p>
        </w:tc>
        <w:tc>
          <w:tcPr>
            <w:tcW w:w="1134" w:type="dxa"/>
            <w:vAlign w:val="center"/>
          </w:tcPr>
          <w:p>
            <w:pPr>
              <w:pStyle w:val="63"/>
              <w:rPr>
                <w:u w:val="single"/>
              </w:rPr>
            </w:pPr>
            <w:r>
              <w:rPr>
                <w:u w:val="single"/>
              </w:rPr>
              <w:t>2</w:t>
            </w:r>
          </w:p>
        </w:tc>
        <w:tc>
          <w:tcPr>
            <w:tcW w:w="851" w:type="dxa"/>
            <w:vAlign w:val="center"/>
          </w:tcPr>
          <w:p>
            <w:pPr>
              <w:pStyle w:val="63"/>
              <w:rPr>
                <w:u w:val="single"/>
              </w:rPr>
            </w:pPr>
            <w:r>
              <w:rPr>
                <w:szCs w:val="21"/>
                <w:u w:val="single"/>
              </w:rPr>
              <w:t>200</w:t>
            </w:r>
          </w:p>
        </w:tc>
        <w:tc>
          <w:tcPr>
            <w:tcW w:w="1276" w:type="dxa"/>
            <w:vAlign w:val="center"/>
          </w:tcPr>
          <w:p>
            <w:pPr>
              <w:pStyle w:val="63"/>
              <w:rPr>
                <w:u w:val="single"/>
              </w:rPr>
            </w:pPr>
            <w:r>
              <w:rPr>
                <w:u w:val="single"/>
              </w:rPr>
              <w:t>电池级硫酸镍</w:t>
            </w:r>
          </w:p>
        </w:tc>
        <w:tc>
          <w:tcPr>
            <w:tcW w:w="1371" w:type="dxa"/>
            <w:vAlign w:val="center"/>
          </w:tcPr>
          <w:p>
            <w:pPr>
              <w:pStyle w:val="63"/>
              <w:rPr>
                <w:u w:val="single"/>
              </w:rPr>
            </w:pPr>
            <w:r>
              <w:rPr>
                <w:u w:val="single"/>
              </w:rPr>
              <w:t>3106</w:t>
            </w:r>
          </w:p>
        </w:tc>
        <w:tc>
          <w:tcPr>
            <w:tcW w:w="970" w:type="dxa"/>
            <w:vAlign w:val="center"/>
          </w:tcPr>
          <w:p>
            <w:pPr>
              <w:pStyle w:val="63"/>
              <w:rPr>
                <w:u w:val="single"/>
              </w:rPr>
            </w:pPr>
            <w:r>
              <w:rPr>
                <w:u w:val="single"/>
              </w:rPr>
              <w:t>0.01</w:t>
            </w:r>
          </w:p>
        </w:tc>
        <w:tc>
          <w:tcPr>
            <w:tcW w:w="1202" w:type="dxa"/>
            <w:vAlign w:val="center"/>
          </w:tcPr>
          <w:p>
            <w:pPr>
              <w:pStyle w:val="63"/>
              <w:rPr>
                <w:u w:val="single"/>
              </w:rPr>
            </w:pPr>
            <w:r>
              <w:rPr>
                <w:u w:val="single"/>
              </w:rPr>
              <w:t>0.31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r>
              <w:rPr>
                <w:u w:val="single"/>
              </w:rPr>
              <w:t>外购废磷酸铁锂电池</w:t>
            </w:r>
          </w:p>
        </w:tc>
        <w:tc>
          <w:tcPr>
            <w:tcW w:w="858" w:type="dxa"/>
            <w:vAlign w:val="center"/>
          </w:tcPr>
          <w:p>
            <w:pPr>
              <w:pStyle w:val="63"/>
              <w:rPr>
                <w:u w:val="single"/>
              </w:rPr>
            </w:pPr>
            <w:r>
              <w:rPr>
                <w:sz w:val="22"/>
                <w:u w:val="single"/>
              </w:rPr>
              <w:t>21250</w:t>
            </w:r>
          </w:p>
        </w:tc>
        <w:tc>
          <w:tcPr>
            <w:tcW w:w="1134" w:type="dxa"/>
            <w:vAlign w:val="center"/>
          </w:tcPr>
          <w:p>
            <w:pPr>
              <w:pStyle w:val="63"/>
              <w:rPr>
                <w:u w:val="single"/>
              </w:rPr>
            </w:pPr>
            <w:r>
              <w:rPr>
                <w:u w:val="single"/>
              </w:rPr>
              <w:t>1</w:t>
            </w:r>
          </w:p>
        </w:tc>
        <w:tc>
          <w:tcPr>
            <w:tcW w:w="851" w:type="dxa"/>
            <w:vAlign w:val="center"/>
          </w:tcPr>
          <w:p>
            <w:pPr>
              <w:pStyle w:val="63"/>
              <w:rPr>
                <w:u w:val="single"/>
              </w:rPr>
            </w:pPr>
            <w:r>
              <w:rPr>
                <w:szCs w:val="21"/>
                <w:u w:val="single"/>
              </w:rPr>
              <w:t>212.5</w:t>
            </w:r>
          </w:p>
        </w:tc>
        <w:tc>
          <w:tcPr>
            <w:tcW w:w="1276" w:type="dxa"/>
            <w:vAlign w:val="center"/>
          </w:tcPr>
          <w:p>
            <w:pPr>
              <w:pStyle w:val="63"/>
              <w:rPr>
                <w:u w:val="single"/>
              </w:rPr>
            </w:pPr>
            <w:r>
              <w:rPr>
                <w:u w:val="single"/>
              </w:rPr>
              <w:t>电池级硫酸钴</w:t>
            </w:r>
          </w:p>
        </w:tc>
        <w:tc>
          <w:tcPr>
            <w:tcW w:w="1371" w:type="dxa"/>
            <w:vAlign w:val="center"/>
          </w:tcPr>
          <w:p>
            <w:pPr>
              <w:pStyle w:val="63"/>
              <w:rPr>
                <w:u w:val="single"/>
              </w:rPr>
            </w:pPr>
            <w:r>
              <w:rPr>
                <w:u w:val="single"/>
              </w:rPr>
              <w:t>963</w:t>
            </w:r>
          </w:p>
        </w:tc>
        <w:tc>
          <w:tcPr>
            <w:tcW w:w="970" w:type="dxa"/>
            <w:vAlign w:val="center"/>
          </w:tcPr>
          <w:p>
            <w:pPr>
              <w:pStyle w:val="63"/>
              <w:rPr>
                <w:u w:val="single"/>
              </w:rPr>
            </w:pPr>
            <w:r>
              <w:rPr>
                <w:u w:val="single"/>
              </w:rPr>
              <w:t>0.01</w:t>
            </w:r>
          </w:p>
        </w:tc>
        <w:tc>
          <w:tcPr>
            <w:tcW w:w="1202" w:type="dxa"/>
            <w:vAlign w:val="center"/>
          </w:tcPr>
          <w:p>
            <w:pPr>
              <w:pStyle w:val="63"/>
              <w:rPr>
                <w:u w:val="single"/>
              </w:rPr>
            </w:pPr>
            <w:r>
              <w:rPr>
                <w:u w:val="single"/>
              </w:rPr>
              <w:t>0.11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r>
              <w:rPr>
                <w:u w:val="single"/>
              </w:rPr>
              <w:t>梯次利用得到废电芯</w:t>
            </w:r>
          </w:p>
        </w:tc>
        <w:tc>
          <w:tcPr>
            <w:tcW w:w="858" w:type="dxa"/>
            <w:vAlign w:val="center"/>
          </w:tcPr>
          <w:p>
            <w:pPr>
              <w:pStyle w:val="63"/>
              <w:rPr>
                <w:u w:val="single"/>
              </w:rPr>
            </w:pPr>
            <w:r>
              <w:rPr>
                <w:sz w:val="22"/>
                <w:u w:val="single"/>
              </w:rPr>
              <w:t>8750</w:t>
            </w:r>
          </w:p>
        </w:tc>
        <w:tc>
          <w:tcPr>
            <w:tcW w:w="1134" w:type="dxa"/>
            <w:vAlign w:val="center"/>
          </w:tcPr>
          <w:p>
            <w:pPr>
              <w:pStyle w:val="63"/>
              <w:rPr>
                <w:u w:val="single"/>
              </w:rPr>
            </w:pPr>
            <w:r>
              <w:rPr>
                <w:u w:val="single"/>
              </w:rPr>
              <w:t>1</w:t>
            </w:r>
          </w:p>
        </w:tc>
        <w:tc>
          <w:tcPr>
            <w:tcW w:w="851" w:type="dxa"/>
            <w:vAlign w:val="center"/>
          </w:tcPr>
          <w:p>
            <w:pPr>
              <w:pStyle w:val="63"/>
              <w:rPr>
                <w:u w:val="single"/>
              </w:rPr>
            </w:pPr>
            <w:r>
              <w:rPr>
                <w:szCs w:val="21"/>
                <w:u w:val="single"/>
              </w:rPr>
              <w:t>87.5</w:t>
            </w:r>
          </w:p>
        </w:tc>
        <w:tc>
          <w:tcPr>
            <w:tcW w:w="1276" w:type="dxa"/>
            <w:vAlign w:val="center"/>
          </w:tcPr>
          <w:p>
            <w:pPr>
              <w:pStyle w:val="63"/>
              <w:rPr>
                <w:u w:val="single"/>
              </w:rPr>
            </w:pPr>
            <w:r>
              <w:rPr>
                <w:u w:val="single"/>
              </w:rPr>
              <w:t>电池级硫酸锰</w:t>
            </w:r>
          </w:p>
        </w:tc>
        <w:tc>
          <w:tcPr>
            <w:tcW w:w="1371" w:type="dxa"/>
            <w:vAlign w:val="center"/>
          </w:tcPr>
          <w:p>
            <w:pPr>
              <w:pStyle w:val="63"/>
              <w:rPr>
                <w:u w:val="single"/>
              </w:rPr>
            </w:pPr>
            <w:r>
              <w:rPr>
                <w:u w:val="single"/>
              </w:rPr>
              <w:t>1004</w:t>
            </w:r>
          </w:p>
        </w:tc>
        <w:tc>
          <w:tcPr>
            <w:tcW w:w="970" w:type="dxa"/>
            <w:vAlign w:val="center"/>
          </w:tcPr>
          <w:p>
            <w:pPr>
              <w:pStyle w:val="63"/>
              <w:rPr>
                <w:u w:val="single"/>
              </w:rPr>
            </w:pPr>
            <w:r>
              <w:rPr>
                <w:u w:val="single"/>
              </w:rPr>
              <w:t>0.01</w:t>
            </w:r>
          </w:p>
        </w:tc>
        <w:tc>
          <w:tcPr>
            <w:tcW w:w="1202" w:type="dxa"/>
            <w:vAlign w:val="center"/>
          </w:tcPr>
          <w:p>
            <w:pPr>
              <w:pStyle w:val="63"/>
              <w:rPr>
                <w:u w:val="single"/>
              </w:rPr>
            </w:pPr>
            <w:r>
              <w:rPr>
                <w:u w:val="single"/>
              </w:rPr>
              <w:t>0.10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电池级碳酸锂</w:t>
            </w:r>
          </w:p>
        </w:tc>
        <w:tc>
          <w:tcPr>
            <w:tcW w:w="1371" w:type="dxa"/>
            <w:vAlign w:val="center"/>
          </w:tcPr>
          <w:p>
            <w:pPr>
              <w:pStyle w:val="63"/>
              <w:rPr>
                <w:u w:val="single"/>
              </w:rPr>
            </w:pPr>
            <w:r>
              <w:rPr>
                <w:u w:val="single"/>
              </w:rPr>
              <w:t>1269</w:t>
            </w:r>
          </w:p>
        </w:tc>
        <w:tc>
          <w:tcPr>
            <w:tcW w:w="970" w:type="dxa"/>
            <w:vAlign w:val="center"/>
          </w:tcPr>
          <w:p>
            <w:pPr>
              <w:pStyle w:val="63"/>
              <w:rPr>
                <w:u w:val="single"/>
              </w:rPr>
            </w:pPr>
            <w:r>
              <w:rPr>
                <w:rFonts w:hint="eastAsia"/>
                <w:u w:val="single"/>
              </w:rPr>
              <w:t>33.62</w:t>
            </w:r>
          </w:p>
        </w:tc>
        <w:tc>
          <w:tcPr>
            <w:tcW w:w="1202" w:type="dxa"/>
            <w:vAlign w:val="center"/>
          </w:tcPr>
          <w:p>
            <w:pPr>
              <w:pStyle w:val="63"/>
              <w:rPr>
                <w:u w:val="single"/>
              </w:rPr>
            </w:pPr>
            <w:r>
              <w:rPr>
                <w:u w:val="single"/>
              </w:rPr>
              <w:t>426.66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石墨</w:t>
            </w:r>
          </w:p>
        </w:tc>
        <w:tc>
          <w:tcPr>
            <w:tcW w:w="1371" w:type="dxa"/>
            <w:vAlign w:val="center"/>
          </w:tcPr>
          <w:p>
            <w:pPr>
              <w:pStyle w:val="63"/>
              <w:rPr>
                <w:u w:val="single"/>
              </w:rPr>
            </w:pPr>
            <w:r>
              <w:rPr>
                <w:u w:val="single"/>
              </w:rPr>
              <w:t>2162</w:t>
            </w:r>
          </w:p>
        </w:tc>
        <w:tc>
          <w:tcPr>
            <w:tcW w:w="970" w:type="dxa"/>
            <w:vAlign w:val="center"/>
          </w:tcPr>
          <w:p>
            <w:pPr>
              <w:pStyle w:val="63"/>
              <w:rPr>
                <w:u w:val="single"/>
              </w:rPr>
            </w:pPr>
            <w:r>
              <w:rPr>
                <w:u w:val="single"/>
              </w:rPr>
              <w:t>0.4</w:t>
            </w:r>
          </w:p>
        </w:tc>
        <w:tc>
          <w:tcPr>
            <w:tcW w:w="1202" w:type="dxa"/>
            <w:vAlign w:val="center"/>
          </w:tcPr>
          <w:p>
            <w:pPr>
              <w:pStyle w:val="63"/>
              <w:rPr>
                <w:u w:val="single"/>
              </w:rPr>
            </w:pPr>
            <w:r>
              <w:rPr>
                <w:u w:val="single"/>
              </w:rPr>
              <w:t>8.65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铁铝渣</w:t>
            </w:r>
          </w:p>
        </w:tc>
        <w:tc>
          <w:tcPr>
            <w:tcW w:w="1371" w:type="dxa"/>
            <w:vAlign w:val="center"/>
          </w:tcPr>
          <w:p>
            <w:pPr>
              <w:pStyle w:val="63"/>
              <w:rPr>
                <w:u w:val="single"/>
              </w:rPr>
            </w:pPr>
            <w:r>
              <w:rPr>
                <w:u w:val="single"/>
              </w:rPr>
              <w:t>260</w:t>
            </w:r>
          </w:p>
        </w:tc>
        <w:tc>
          <w:tcPr>
            <w:tcW w:w="970" w:type="dxa"/>
            <w:vAlign w:val="center"/>
          </w:tcPr>
          <w:p>
            <w:pPr>
              <w:pStyle w:val="63"/>
              <w:rPr>
                <w:u w:val="single"/>
              </w:rPr>
            </w:pPr>
            <w:r>
              <w:rPr>
                <w:u w:val="single"/>
              </w:rPr>
              <w:t>0.2</w:t>
            </w:r>
          </w:p>
        </w:tc>
        <w:tc>
          <w:tcPr>
            <w:tcW w:w="1202" w:type="dxa"/>
            <w:vAlign w:val="center"/>
          </w:tcPr>
          <w:p>
            <w:pPr>
              <w:pStyle w:val="63"/>
              <w:rPr>
                <w:u w:val="single"/>
              </w:rPr>
            </w:pPr>
            <w:r>
              <w:rPr>
                <w:u w:val="single"/>
              </w:rPr>
              <w:t>0.52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硫酸钠</w:t>
            </w:r>
          </w:p>
        </w:tc>
        <w:tc>
          <w:tcPr>
            <w:tcW w:w="1371" w:type="dxa"/>
            <w:vAlign w:val="center"/>
          </w:tcPr>
          <w:p>
            <w:pPr>
              <w:pStyle w:val="63"/>
              <w:rPr>
                <w:u w:val="single"/>
              </w:rPr>
            </w:pPr>
            <w:r>
              <w:rPr>
                <w:u w:val="single"/>
              </w:rPr>
              <w:t>14784</w:t>
            </w:r>
          </w:p>
        </w:tc>
        <w:tc>
          <w:tcPr>
            <w:tcW w:w="970" w:type="dxa"/>
            <w:vAlign w:val="center"/>
          </w:tcPr>
          <w:p>
            <w:pPr>
              <w:pStyle w:val="63"/>
              <w:rPr>
                <w:u w:val="single"/>
              </w:rPr>
            </w:pPr>
            <w:r>
              <w:rPr>
                <w:u w:val="single"/>
              </w:rPr>
              <w:t>0.3</w:t>
            </w:r>
          </w:p>
        </w:tc>
        <w:tc>
          <w:tcPr>
            <w:tcW w:w="1202" w:type="dxa"/>
            <w:vAlign w:val="center"/>
          </w:tcPr>
          <w:p>
            <w:pPr>
              <w:pStyle w:val="63"/>
              <w:rPr>
                <w:u w:val="single"/>
              </w:rPr>
            </w:pPr>
            <w:r>
              <w:rPr>
                <w:u w:val="single"/>
              </w:rPr>
              <w:t>62.65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p>
        </w:tc>
        <w:tc>
          <w:tcPr>
            <w:tcW w:w="1276" w:type="dxa"/>
            <w:vAlign w:val="center"/>
          </w:tcPr>
          <w:p>
            <w:pPr>
              <w:pStyle w:val="63"/>
              <w:rPr>
                <w:u w:val="single"/>
              </w:rPr>
            </w:pPr>
            <w:r>
              <w:rPr>
                <w:u w:val="single"/>
              </w:rPr>
              <w:t>废</w:t>
            </w:r>
            <w:r>
              <w:rPr>
                <w:rFonts w:hint="eastAsia"/>
                <w:u w:val="single"/>
              </w:rPr>
              <w:t>渣</w:t>
            </w:r>
          </w:p>
        </w:tc>
        <w:tc>
          <w:tcPr>
            <w:tcW w:w="1371" w:type="dxa"/>
            <w:vAlign w:val="center"/>
          </w:tcPr>
          <w:p>
            <w:pPr>
              <w:pStyle w:val="63"/>
              <w:rPr>
                <w:u w:val="single"/>
              </w:rPr>
            </w:pPr>
            <w:r>
              <w:rPr>
                <w:u w:val="single"/>
              </w:rPr>
              <w:t>221.60</w:t>
            </w:r>
          </w:p>
        </w:tc>
        <w:tc>
          <w:tcPr>
            <w:tcW w:w="970" w:type="dxa"/>
            <w:vAlign w:val="center"/>
          </w:tcPr>
          <w:p>
            <w:pPr>
              <w:pStyle w:val="63"/>
              <w:rPr>
                <w:u w:val="single"/>
              </w:rPr>
            </w:pPr>
            <w:r>
              <w:rPr>
                <w:rFonts w:hint="eastAsia"/>
                <w:u w:val="single"/>
              </w:rPr>
              <w:t>0.5</w:t>
            </w:r>
          </w:p>
        </w:tc>
        <w:tc>
          <w:tcPr>
            <w:tcW w:w="1202" w:type="dxa"/>
            <w:vAlign w:val="center"/>
          </w:tcPr>
          <w:p>
            <w:pPr>
              <w:pStyle w:val="63"/>
              <w:rPr>
                <w:u w:val="single"/>
              </w:rPr>
            </w:pPr>
            <w:r>
              <w:rPr>
                <w:u w:val="single"/>
              </w:rPr>
              <w:t>1.</w:t>
            </w:r>
            <w:r>
              <w:rPr>
                <w:rFonts w:hint="eastAsia"/>
                <w:u w:val="single"/>
              </w:rPr>
              <w:t>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843" w:type="dxa"/>
            <w:vAlign w:val="center"/>
          </w:tcPr>
          <w:p>
            <w:pPr>
              <w:pStyle w:val="63"/>
              <w:rPr>
                <w:u w:val="single"/>
              </w:rPr>
            </w:pPr>
            <w:r>
              <w:rPr>
                <w:u w:val="single"/>
              </w:rPr>
              <w:t>合计</w:t>
            </w:r>
          </w:p>
        </w:tc>
        <w:tc>
          <w:tcPr>
            <w:tcW w:w="858" w:type="dxa"/>
            <w:vAlign w:val="center"/>
          </w:tcPr>
          <w:p>
            <w:pPr>
              <w:pStyle w:val="63"/>
              <w:rPr>
                <w:u w:val="single"/>
              </w:rPr>
            </w:pPr>
          </w:p>
        </w:tc>
        <w:tc>
          <w:tcPr>
            <w:tcW w:w="1134" w:type="dxa"/>
            <w:vAlign w:val="center"/>
          </w:tcPr>
          <w:p>
            <w:pPr>
              <w:pStyle w:val="63"/>
              <w:rPr>
                <w:u w:val="single"/>
              </w:rPr>
            </w:pPr>
          </w:p>
        </w:tc>
        <w:tc>
          <w:tcPr>
            <w:tcW w:w="851" w:type="dxa"/>
            <w:vAlign w:val="center"/>
          </w:tcPr>
          <w:p>
            <w:pPr>
              <w:pStyle w:val="63"/>
              <w:rPr>
                <w:u w:val="single"/>
              </w:rPr>
            </w:pPr>
            <w:r>
              <w:rPr>
                <w:u w:val="single"/>
              </w:rPr>
              <w:t>500</w:t>
            </w:r>
          </w:p>
        </w:tc>
        <w:tc>
          <w:tcPr>
            <w:tcW w:w="1276" w:type="dxa"/>
            <w:vAlign w:val="center"/>
          </w:tcPr>
          <w:p>
            <w:pPr>
              <w:pStyle w:val="63"/>
              <w:rPr>
                <w:u w:val="single"/>
              </w:rPr>
            </w:pPr>
            <w:r>
              <w:rPr>
                <w:u w:val="single"/>
              </w:rPr>
              <w:t>合计</w:t>
            </w:r>
          </w:p>
        </w:tc>
        <w:tc>
          <w:tcPr>
            <w:tcW w:w="1371" w:type="dxa"/>
            <w:vAlign w:val="center"/>
          </w:tcPr>
          <w:p>
            <w:pPr>
              <w:pStyle w:val="63"/>
              <w:rPr>
                <w:u w:val="single"/>
              </w:rPr>
            </w:pPr>
          </w:p>
        </w:tc>
        <w:tc>
          <w:tcPr>
            <w:tcW w:w="970" w:type="dxa"/>
            <w:vAlign w:val="center"/>
          </w:tcPr>
          <w:p>
            <w:pPr>
              <w:pStyle w:val="63"/>
              <w:rPr>
                <w:u w:val="single"/>
              </w:rPr>
            </w:pPr>
          </w:p>
        </w:tc>
        <w:tc>
          <w:tcPr>
            <w:tcW w:w="1202" w:type="dxa"/>
            <w:vAlign w:val="center"/>
          </w:tcPr>
          <w:p>
            <w:pPr>
              <w:pStyle w:val="63"/>
              <w:rPr>
                <w:u w:val="single"/>
              </w:rPr>
            </w:pPr>
            <w:r>
              <w:rPr>
                <w:u w:val="single"/>
              </w:rPr>
              <w:t>500</w:t>
            </w:r>
          </w:p>
        </w:tc>
      </w:tr>
    </w:tbl>
    <w:p>
      <w:pPr>
        <w:spacing w:line="360" w:lineRule="auto"/>
        <w:ind w:firstLine="480" w:firstLineChars="200"/>
        <w:rPr>
          <w:rFonts w:ascii="Times New Roman" w:hAnsi="Times New Roman" w:cs="Times New Roman"/>
          <w:u w:val="single"/>
        </w:rPr>
      </w:pPr>
      <w:bookmarkStart w:id="175" w:name="_Toc144236764"/>
      <w:bookmarkStart w:id="176" w:name="_Toc144276894"/>
      <w:r>
        <w:rPr>
          <w:rFonts w:hint="eastAsia" w:ascii="Times New Roman" w:hAnsi="Times New Roman" w:cs="Times New Roman"/>
          <w:u w:val="single"/>
        </w:rPr>
        <w:t>锂元素综合回收利用率为85.32%。</w:t>
      </w:r>
    </w:p>
    <w:p>
      <w:pPr>
        <w:pStyle w:val="5"/>
        <w:ind w:firstLine="482"/>
        <w:rPr>
          <w:rFonts w:ascii="Times New Roman" w:hAnsi="Times New Roman" w:cs="Times New Roman"/>
          <w:u w:val="single"/>
        </w:rPr>
      </w:pPr>
      <w:r>
        <w:rPr>
          <w:rFonts w:hint="eastAsia"/>
          <w:u w:val="single"/>
        </w:rPr>
        <w:t xml:space="preserve">3.2.5.5 </w:t>
      </w:r>
      <w:r>
        <w:rPr>
          <w:rFonts w:hint="eastAsia" w:ascii="Times New Roman" w:hAnsi="Times New Roman" w:cs="Times New Roman"/>
          <w:u w:val="single"/>
        </w:rPr>
        <w:t>氟</w:t>
      </w:r>
      <w:r>
        <w:rPr>
          <w:rFonts w:hint="eastAsia"/>
          <w:u w:val="single"/>
        </w:rPr>
        <w:t>元素物料平衡</w:t>
      </w:r>
    </w:p>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项目主要含氟原料是电解液中含有的六氟磷酸锂LiPF6，本项目采用“低温挥发+高温热解”的裂解方式使六氟磷酸锂全部蒸发，生成五氟化磷，五氟化磷不稳定，与废气中的水蒸气反应生成磷酸和氟化氢，氟化氢通过碱液喷淋处理后排放。</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根据企业提供资料，电解液含量占锂离子电池总量的4%（1600t/a），LiPF6含量占电解液15%（240t/a），LiPF6分解的产物PF5和水反应产生的HF为150t/a。</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根据企业提供资料，粘结剂占锂离子电池总量的3%（1200t/a），其中偏氟乙烯含量占胶黏剂的为18%（216t/a），偏氟乙烯裂解产生的HF为64t/a。</w:t>
      </w:r>
    </w:p>
    <w:p>
      <w:pPr>
        <w:pStyle w:val="6"/>
        <w:rPr>
          <w:rFonts w:ascii="Times New Roman" w:hAnsi="Times New Roman" w:cs="Times New Roman"/>
          <w:u w:val="single"/>
        </w:rPr>
      </w:pPr>
      <w:r>
        <w:rPr>
          <w:rFonts w:ascii="Times New Roman" w:hAnsi="Times New Roman" w:cs="Times New Roman"/>
          <w:u w:val="single"/>
        </w:rPr>
        <w:t>表3.2-</w:t>
      </w:r>
      <w:r>
        <w:rPr>
          <w:rFonts w:hint="eastAsia" w:ascii="Times New Roman" w:hAnsi="Times New Roman" w:cs="Times New Roman"/>
          <w:u w:val="single"/>
        </w:rPr>
        <w:t>14</w:t>
      </w:r>
      <w:r>
        <w:rPr>
          <w:rFonts w:ascii="Times New Roman" w:hAnsi="Times New Roman" w:cs="Times New Roman"/>
          <w:u w:val="single"/>
        </w:rPr>
        <w:t xml:space="preserve"> </w:t>
      </w:r>
      <w:r>
        <w:rPr>
          <w:rFonts w:hint="eastAsia" w:ascii="Times New Roman" w:hAnsi="Times New Roman" w:cs="Times New Roman"/>
          <w:u w:val="single"/>
        </w:rPr>
        <w:t xml:space="preserve"> 氟</w:t>
      </w:r>
      <w:r>
        <w:rPr>
          <w:rFonts w:ascii="Times New Roman" w:hAnsi="Times New Roman" w:cs="Times New Roman"/>
          <w:u w:val="single"/>
        </w:rPr>
        <w:t>元素物料平衡表</w:t>
      </w:r>
    </w:p>
    <w:tbl>
      <w:tblPr>
        <w:tblStyle w:val="35"/>
        <w:tblW w:w="8505"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1089"/>
        <w:gridCol w:w="992"/>
        <w:gridCol w:w="850"/>
        <w:gridCol w:w="1134"/>
        <w:gridCol w:w="1418"/>
        <w:gridCol w:w="1134"/>
        <w:gridCol w:w="850"/>
        <w:gridCol w:w="1038"/>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065" w:type="dxa"/>
            <w:gridSpan w:val="4"/>
            <w:vAlign w:val="center"/>
          </w:tcPr>
          <w:p>
            <w:pPr>
              <w:pStyle w:val="63"/>
              <w:rPr>
                <w:u w:val="single"/>
              </w:rPr>
            </w:pPr>
            <w:r>
              <w:rPr>
                <w:u w:val="single"/>
              </w:rPr>
              <w:t>入方</w:t>
            </w:r>
          </w:p>
        </w:tc>
        <w:tc>
          <w:tcPr>
            <w:tcW w:w="4440" w:type="dxa"/>
            <w:gridSpan w:val="4"/>
            <w:vAlign w:val="center"/>
          </w:tcPr>
          <w:p>
            <w:pPr>
              <w:pStyle w:val="63"/>
              <w:rPr>
                <w:u w:val="single"/>
              </w:rPr>
            </w:pPr>
            <w:r>
              <w:rPr>
                <w:u w:val="single"/>
              </w:rPr>
              <w:t>出方</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89" w:type="dxa"/>
            <w:vAlign w:val="center"/>
          </w:tcPr>
          <w:p>
            <w:pPr>
              <w:pStyle w:val="63"/>
              <w:rPr>
                <w:u w:val="single"/>
              </w:rPr>
            </w:pPr>
            <w:r>
              <w:rPr>
                <w:u w:val="single"/>
              </w:rPr>
              <w:t>项目</w:t>
            </w:r>
          </w:p>
        </w:tc>
        <w:tc>
          <w:tcPr>
            <w:tcW w:w="992" w:type="dxa"/>
            <w:vAlign w:val="center"/>
          </w:tcPr>
          <w:p>
            <w:pPr>
              <w:pStyle w:val="63"/>
              <w:rPr>
                <w:u w:val="single"/>
              </w:rPr>
            </w:pPr>
            <w:r>
              <w:rPr>
                <w:u w:val="single"/>
              </w:rPr>
              <w:t>实物量t/a</w:t>
            </w:r>
          </w:p>
        </w:tc>
        <w:tc>
          <w:tcPr>
            <w:tcW w:w="850" w:type="dxa"/>
            <w:vAlign w:val="center"/>
          </w:tcPr>
          <w:p>
            <w:pPr>
              <w:pStyle w:val="63"/>
              <w:rPr>
                <w:u w:val="single"/>
              </w:rPr>
            </w:pPr>
            <w:r>
              <w:rPr>
                <w:rFonts w:hint="eastAsia" w:eastAsia="宋体"/>
                <w:color w:val="000000"/>
                <w:szCs w:val="21"/>
                <w:u w:val="single"/>
              </w:rPr>
              <w:t>氟</w:t>
            </w:r>
            <w:r>
              <w:rPr>
                <w:u w:val="single"/>
              </w:rPr>
              <w:t>含率</w:t>
            </w:r>
          </w:p>
          <w:p>
            <w:pPr>
              <w:pStyle w:val="63"/>
              <w:rPr>
                <w:u w:val="single"/>
              </w:rPr>
            </w:pPr>
            <w:r>
              <w:rPr>
                <w:u w:val="single"/>
              </w:rPr>
              <w:t>（%）</w:t>
            </w:r>
          </w:p>
        </w:tc>
        <w:tc>
          <w:tcPr>
            <w:tcW w:w="1134" w:type="dxa"/>
            <w:vAlign w:val="center"/>
          </w:tcPr>
          <w:p>
            <w:pPr>
              <w:pStyle w:val="63"/>
              <w:rPr>
                <w:u w:val="single"/>
              </w:rPr>
            </w:pPr>
            <w:r>
              <w:rPr>
                <w:rFonts w:hint="eastAsia" w:eastAsia="宋体"/>
                <w:color w:val="000000"/>
                <w:szCs w:val="21"/>
                <w:u w:val="single"/>
              </w:rPr>
              <w:t>氟</w:t>
            </w:r>
            <w:r>
              <w:rPr>
                <w:u w:val="single"/>
              </w:rPr>
              <w:t>含量</w:t>
            </w:r>
          </w:p>
          <w:p>
            <w:pPr>
              <w:pStyle w:val="63"/>
              <w:rPr>
                <w:u w:val="single"/>
              </w:rPr>
            </w:pPr>
            <w:r>
              <w:rPr>
                <w:u w:val="single"/>
              </w:rPr>
              <w:t>（t/a）</w:t>
            </w:r>
          </w:p>
        </w:tc>
        <w:tc>
          <w:tcPr>
            <w:tcW w:w="1418" w:type="dxa"/>
            <w:vAlign w:val="center"/>
          </w:tcPr>
          <w:p>
            <w:pPr>
              <w:pStyle w:val="63"/>
              <w:rPr>
                <w:u w:val="single"/>
              </w:rPr>
            </w:pPr>
            <w:r>
              <w:rPr>
                <w:u w:val="single"/>
              </w:rPr>
              <w:t>项目</w:t>
            </w:r>
          </w:p>
        </w:tc>
        <w:tc>
          <w:tcPr>
            <w:tcW w:w="1134" w:type="dxa"/>
            <w:vAlign w:val="center"/>
          </w:tcPr>
          <w:p>
            <w:pPr>
              <w:pStyle w:val="63"/>
              <w:rPr>
                <w:u w:val="single"/>
              </w:rPr>
            </w:pPr>
            <w:r>
              <w:rPr>
                <w:u w:val="single"/>
              </w:rPr>
              <w:t>实物量t/a</w:t>
            </w:r>
          </w:p>
        </w:tc>
        <w:tc>
          <w:tcPr>
            <w:tcW w:w="850" w:type="dxa"/>
            <w:vAlign w:val="center"/>
          </w:tcPr>
          <w:p>
            <w:pPr>
              <w:pStyle w:val="63"/>
              <w:rPr>
                <w:u w:val="single"/>
              </w:rPr>
            </w:pPr>
            <w:r>
              <w:rPr>
                <w:rFonts w:hint="eastAsia" w:eastAsia="宋体"/>
                <w:color w:val="000000"/>
                <w:szCs w:val="21"/>
                <w:u w:val="single"/>
              </w:rPr>
              <w:t>氟</w:t>
            </w:r>
            <w:r>
              <w:rPr>
                <w:u w:val="single"/>
              </w:rPr>
              <w:t>含率</w:t>
            </w:r>
          </w:p>
          <w:p>
            <w:pPr>
              <w:pStyle w:val="63"/>
              <w:rPr>
                <w:u w:val="single"/>
              </w:rPr>
            </w:pPr>
            <w:r>
              <w:rPr>
                <w:u w:val="single"/>
              </w:rPr>
              <w:t>（%）</w:t>
            </w:r>
          </w:p>
        </w:tc>
        <w:tc>
          <w:tcPr>
            <w:tcW w:w="1038" w:type="dxa"/>
            <w:vAlign w:val="center"/>
          </w:tcPr>
          <w:p>
            <w:pPr>
              <w:pStyle w:val="63"/>
              <w:rPr>
                <w:u w:val="single"/>
              </w:rPr>
            </w:pPr>
            <w:r>
              <w:rPr>
                <w:rFonts w:hint="eastAsia" w:eastAsia="宋体"/>
                <w:color w:val="000000"/>
                <w:szCs w:val="21"/>
                <w:u w:val="single"/>
              </w:rPr>
              <w:t>氟</w:t>
            </w:r>
            <w:r>
              <w:rPr>
                <w:u w:val="single"/>
              </w:rPr>
              <w:t>含量</w:t>
            </w:r>
          </w:p>
          <w:p>
            <w:pPr>
              <w:pStyle w:val="63"/>
              <w:rPr>
                <w:u w:val="single"/>
              </w:rPr>
            </w:pPr>
            <w:r>
              <w:rPr>
                <w:u w:val="single"/>
              </w:rPr>
              <w:t>（t/a）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89" w:type="dxa"/>
            <w:vAlign w:val="center"/>
          </w:tcPr>
          <w:p>
            <w:pPr>
              <w:pStyle w:val="63"/>
              <w:rPr>
                <w:u w:val="single"/>
              </w:rPr>
            </w:pPr>
            <w:r>
              <w:rPr>
                <w:u w:val="single"/>
              </w:rPr>
              <w:t>废旧三元锂电池</w:t>
            </w:r>
          </w:p>
        </w:tc>
        <w:tc>
          <w:tcPr>
            <w:tcW w:w="992" w:type="dxa"/>
            <w:vAlign w:val="center"/>
          </w:tcPr>
          <w:p>
            <w:pPr>
              <w:pStyle w:val="63"/>
              <w:rPr>
                <w:u w:val="single"/>
              </w:rPr>
            </w:pPr>
            <w:r>
              <w:rPr>
                <w:u w:val="single"/>
              </w:rPr>
              <w:t>10000</w:t>
            </w:r>
          </w:p>
        </w:tc>
        <w:tc>
          <w:tcPr>
            <w:tcW w:w="850" w:type="dxa"/>
            <w:vMerge w:val="restart"/>
            <w:vAlign w:val="center"/>
          </w:tcPr>
          <w:p>
            <w:pPr>
              <w:pStyle w:val="63"/>
              <w:rPr>
                <w:u w:val="single"/>
              </w:rPr>
            </w:pPr>
            <w:r>
              <w:rPr>
                <w:rFonts w:hint="eastAsia"/>
                <w:u w:val="single"/>
              </w:rPr>
              <w:t>0.005</w:t>
            </w:r>
          </w:p>
        </w:tc>
        <w:tc>
          <w:tcPr>
            <w:tcW w:w="1134" w:type="dxa"/>
            <w:vMerge w:val="restart"/>
            <w:vAlign w:val="center"/>
          </w:tcPr>
          <w:p>
            <w:pPr>
              <w:pStyle w:val="63"/>
              <w:rPr>
                <w:u w:val="single"/>
              </w:rPr>
            </w:pPr>
            <w:r>
              <w:rPr>
                <w:u w:val="single"/>
              </w:rPr>
              <w:t>203.3</w:t>
            </w:r>
          </w:p>
        </w:tc>
        <w:tc>
          <w:tcPr>
            <w:tcW w:w="1418" w:type="dxa"/>
            <w:vAlign w:val="center"/>
          </w:tcPr>
          <w:p>
            <w:pPr>
              <w:pStyle w:val="63"/>
              <w:rPr>
                <w:u w:val="single"/>
              </w:rPr>
            </w:pPr>
            <w:r>
              <w:rPr>
                <w:rFonts w:hint="eastAsia"/>
                <w:u w:val="single"/>
              </w:rPr>
              <w:t>废气排放</w:t>
            </w:r>
          </w:p>
          <w:p>
            <w:pPr>
              <w:pStyle w:val="63"/>
              <w:rPr>
                <w:u w:val="single"/>
              </w:rPr>
            </w:pPr>
            <w:r>
              <w:rPr>
                <w:rFonts w:hint="eastAsia"/>
                <w:u w:val="single"/>
              </w:rPr>
              <w:t>（以氟化物）</w:t>
            </w:r>
          </w:p>
        </w:tc>
        <w:tc>
          <w:tcPr>
            <w:tcW w:w="1134" w:type="dxa"/>
            <w:vAlign w:val="center"/>
          </w:tcPr>
          <w:p>
            <w:pPr>
              <w:pStyle w:val="63"/>
              <w:rPr>
                <w:u w:val="single"/>
              </w:rPr>
            </w:pPr>
            <w:r>
              <w:rPr>
                <w:rFonts w:hint="eastAsia"/>
                <w:u w:val="single"/>
              </w:rPr>
              <w:t>/</w:t>
            </w:r>
          </w:p>
        </w:tc>
        <w:tc>
          <w:tcPr>
            <w:tcW w:w="850" w:type="dxa"/>
            <w:vAlign w:val="center"/>
          </w:tcPr>
          <w:p>
            <w:pPr>
              <w:pStyle w:val="63"/>
              <w:rPr>
                <w:u w:val="single"/>
              </w:rPr>
            </w:pPr>
            <w:r>
              <w:rPr>
                <w:rFonts w:hint="eastAsia"/>
                <w:u w:val="single"/>
              </w:rPr>
              <w:t>/</w:t>
            </w:r>
          </w:p>
        </w:tc>
        <w:tc>
          <w:tcPr>
            <w:tcW w:w="1038" w:type="dxa"/>
            <w:vAlign w:val="center"/>
          </w:tcPr>
          <w:p>
            <w:pPr>
              <w:pStyle w:val="63"/>
              <w:rPr>
                <w:u w:val="single"/>
              </w:rPr>
            </w:pPr>
            <w:r>
              <w:rPr>
                <w:u w:val="single"/>
              </w:rPr>
              <w:t>1.07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89" w:type="dxa"/>
            <w:vAlign w:val="center"/>
          </w:tcPr>
          <w:p>
            <w:pPr>
              <w:pStyle w:val="63"/>
              <w:rPr>
                <w:u w:val="single"/>
              </w:rPr>
            </w:pPr>
            <w:r>
              <w:rPr>
                <w:u w:val="single"/>
              </w:rPr>
              <w:t>外购废磷酸铁锂电池</w:t>
            </w:r>
          </w:p>
        </w:tc>
        <w:tc>
          <w:tcPr>
            <w:tcW w:w="992" w:type="dxa"/>
            <w:vAlign w:val="center"/>
          </w:tcPr>
          <w:p>
            <w:pPr>
              <w:pStyle w:val="63"/>
              <w:rPr>
                <w:u w:val="single"/>
              </w:rPr>
            </w:pPr>
            <w:r>
              <w:rPr>
                <w:sz w:val="22"/>
                <w:u w:val="single"/>
              </w:rPr>
              <w:t>21250</w:t>
            </w:r>
          </w:p>
        </w:tc>
        <w:tc>
          <w:tcPr>
            <w:tcW w:w="850" w:type="dxa"/>
            <w:vMerge w:val="continue"/>
            <w:vAlign w:val="center"/>
          </w:tcPr>
          <w:p>
            <w:pPr>
              <w:pStyle w:val="63"/>
              <w:rPr>
                <w:u w:val="single"/>
              </w:rPr>
            </w:pPr>
          </w:p>
        </w:tc>
        <w:tc>
          <w:tcPr>
            <w:tcW w:w="1134" w:type="dxa"/>
            <w:vMerge w:val="continue"/>
            <w:vAlign w:val="center"/>
          </w:tcPr>
          <w:p>
            <w:pPr>
              <w:pStyle w:val="63"/>
              <w:rPr>
                <w:u w:val="single"/>
              </w:rPr>
            </w:pPr>
          </w:p>
        </w:tc>
        <w:tc>
          <w:tcPr>
            <w:tcW w:w="1418" w:type="dxa"/>
            <w:vAlign w:val="center"/>
          </w:tcPr>
          <w:p>
            <w:pPr>
              <w:pStyle w:val="63"/>
              <w:rPr>
                <w:u w:val="single"/>
              </w:rPr>
            </w:pPr>
            <w:r>
              <w:rPr>
                <w:rFonts w:hint="eastAsia"/>
                <w:u w:val="single"/>
              </w:rPr>
              <w:t>碱液喷淋塔去除（氟化钙）</w:t>
            </w:r>
          </w:p>
        </w:tc>
        <w:tc>
          <w:tcPr>
            <w:tcW w:w="1134" w:type="dxa"/>
            <w:vAlign w:val="center"/>
          </w:tcPr>
          <w:p>
            <w:pPr>
              <w:pStyle w:val="63"/>
              <w:rPr>
                <w:u w:val="single"/>
              </w:rPr>
            </w:pPr>
            <w:r>
              <w:rPr>
                <w:u w:val="single"/>
              </w:rPr>
              <w:t>607.56</w:t>
            </w:r>
          </w:p>
        </w:tc>
        <w:tc>
          <w:tcPr>
            <w:tcW w:w="850" w:type="dxa"/>
            <w:vAlign w:val="center"/>
          </w:tcPr>
          <w:p>
            <w:pPr>
              <w:pStyle w:val="63"/>
              <w:rPr>
                <w:u w:val="single"/>
              </w:rPr>
            </w:pPr>
            <w:r>
              <w:rPr>
                <w:rFonts w:hint="eastAsia"/>
                <w:u w:val="single"/>
              </w:rPr>
              <w:t>33.29</w:t>
            </w:r>
          </w:p>
        </w:tc>
        <w:tc>
          <w:tcPr>
            <w:tcW w:w="1038" w:type="dxa"/>
            <w:vAlign w:val="center"/>
          </w:tcPr>
          <w:p>
            <w:pPr>
              <w:pStyle w:val="63"/>
              <w:rPr>
                <w:u w:val="single"/>
              </w:rPr>
            </w:pPr>
            <w:r>
              <w:rPr>
                <w:u w:val="single"/>
              </w:rPr>
              <w:t>202.23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89" w:type="dxa"/>
            <w:vAlign w:val="center"/>
          </w:tcPr>
          <w:p>
            <w:pPr>
              <w:pStyle w:val="63"/>
              <w:rPr>
                <w:u w:val="single"/>
              </w:rPr>
            </w:pPr>
            <w:r>
              <w:rPr>
                <w:u w:val="single"/>
              </w:rPr>
              <w:t>梯次利用得到废电芯</w:t>
            </w:r>
          </w:p>
        </w:tc>
        <w:tc>
          <w:tcPr>
            <w:tcW w:w="992" w:type="dxa"/>
            <w:vAlign w:val="center"/>
          </w:tcPr>
          <w:p>
            <w:pPr>
              <w:pStyle w:val="63"/>
              <w:rPr>
                <w:u w:val="single"/>
              </w:rPr>
            </w:pPr>
            <w:r>
              <w:rPr>
                <w:sz w:val="22"/>
                <w:u w:val="single"/>
              </w:rPr>
              <w:t>8750</w:t>
            </w:r>
          </w:p>
        </w:tc>
        <w:tc>
          <w:tcPr>
            <w:tcW w:w="850" w:type="dxa"/>
            <w:vMerge w:val="continue"/>
            <w:vAlign w:val="center"/>
          </w:tcPr>
          <w:p>
            <w:pPr>
              <w:pStyle w:val="63"/>
              <w:rPr>
                <w:u w:val="single"/>
              </w:rPr>
            </w:pPr>
          </w:p>
        </w:tc>
        <w:tc>
          <w:tcPr>
            <w:tcW w:w="1134" w:type="dxa"/>
            <w:vMerge w:val="continue"/>
            <w:vAlign w:val="center"/>
          </w:tcPr>
          <w:p>
            <w:pPr>
              <w:pStyle w:val="63"/>
              <w:rPr>
                <w:u w:val="single"/>
              </w:rPr>
            </w:pPr>
          </w:p>
        </w:tc>
        <w:tc>
          <w:tcPr>
            <w:tcW w:w="1418" w:type="dxa"/>
            <w:vAlign w:val="center"/>
          </w:tcPr>
          <w:p>
            <w:pPr>
              <w:pStyle w:val="63"/>
              <w:rPr>
                <w:u w:val="single"/>
              </w:rPr>
            </w:pPr>
          </w:p>
        </w:tc>
        <w:tc>
          <w:tcPr>
            <w:tcW w:w="1134" w:type="dxa"/>
            <w:vAlign w:val="center"/>
          </w:tcPr>
          <w:p>
            <w:pPr>
              <w:pStyle w:val="63"/>
              <w:rPr>
                <w:u w:val="single"/>
              </w:rPr>
            </w:pPr>
          </w:p>
        </w:tc>
        <w:tc>
          <w:tcPr>
            <w:tcW w:w="850" w:type="dxa"/>
            <w:vAlign w:val="center"/>
          </w:tcPr>
          <w:p>
            <w:pPr>
              <w:pStyle w:val="63"/>
              <w:rPr>
                <w:u w:val="single"/>
              </w:rPr>
            </w:pPr>
          </w:p>
        </w:tc>
        <w:tc>
          <w:tcPr>
            <w:tcW w:w="1038" w:type="dxa"/>
            <w:vAlign w:val="center"/>
          </w:tcPr>
          <w:p>
            <w:pPr>
              <w:pStyle w:val="63"/>
              <w:rPr>
                <w:u w:val="singl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089" w:type="dxa"/>
            <w:vAlign w:val="center"/>
          </w:tcPr>
          <w:p>
            <w:pPr>
              <w:pStyle w:val="63"/>
              <w:rPr>
                <w:u w:val="single"/>
              </w:rPr>
            </w:pPr>
            <w:r>
              <w:rPr>
                <w:u w:val="single"/>
              </w:rPr>
              <w:t>合计</w:t>
            </w:r>
          </w:p>
        </w:tc>
        <w:tc>
          <w:tcPr>
            <w:tcW w:w="992" w:type="dxa"/>
            <w:vAlign w:val="center"/>
          </w:tcPr>
          <w:p>
            <w:pPr>
              <w:pStyle w:val="63"/>
              <w:rPr>
                <w:u w:val="single"/>
              </w:rPr>
            </w:pPr>
          </w:p>
        </w:tc>
        <w:tc>
          <w:tcPr>
            <w:tcW w:w="850" w:type="dxa"/>
            <w:vAlign w:val="center"/>
          </w:tcPr>
          <w:p>
            <w:pPr>
              <w:pStyle w:val="63"/>
              <w:rPr>
                <w:u w:val="single"/>
              </w:rPr>
            </w:pPr>
          </w:p>
        </w:tc>
        <w:tc>
          <w:tcPr>
            <w:tcW w:w="1134" w:type="dxa"/>
            <w:vAlign w:val="center"/>
          </w:tcPr>
          <w:p>
            <w:pPr>
              <w:pStyle w:val="63"/>
              <w:rPr>
                <w:u w:val="single"/>
              </w:rPr>
            </w:pPr>
            <w:r>
              <w:rPr>
                <w:u w:val="single"/>
              </w:rPr>
              <w:t>203.3</w:t>
            </w:r>
          </w:p>
        </w:tc>
        <w:tc>
          <w:tcPr>
            <w:tcW w:w="1418" w:type="dxa"/>
            <w:vAlign w:val="center"/>
          </w:tcPr>
          <w:p>
            <w:pPr>
              <w:pStyle w:val="63"/>
              <w:rPr>
                <w:u w:val="single"/>
              </w:rPr>
            </w:pPr>
            <w:r>
              <w:rPr>
                <w:u w:val="single"/>
              </w:rPr>
              <w:t>合计</w:t>
            </w:r>
          </w:p>
        </w:tc>
        <w:tc>
          <w:tcPr>
            <w:tcW w:w="1134" w:type="dxa"/>
            <w:vAlign w:val="center"/>
          </w:tcPr>
          <w:p>
            <w:pPr>
              <w:pStyle w:val="63"/>
              <w:rPr>
                <w:u w:val="single"/>
              </w:rPr>
            </w:pPr>
          </w:p>
        </w:tc>
        <w:tc>
          <w:tcPr>
            <w:tcW w:w="850" w:type="dxa"/>
            <w:vAlign w:val="center"/>
          </w:tcPr>
          <w:p>
            <w:pPr>
              <w:pStyle w:val="63"/>
              <w:rPr>
                <w:u w:val="single"/>
              </w:rPr>
            </w:pPr>
          </w:p>
        </w:tc>
        <w:tc>
          <w:tcPr>
            <w:tcW w:w="1038" w:type="dxa"/>
            <w:vAlign w:val="center"/>
          </w:tcPr>
          <w:p>
            <w:pPr>
              <w:pStyle w:val="63"/>
              <w:rPr>
                <w:u w:val="single"/>
              </w:rPr>
            </w:pPr>
            <w:r>
              <w:rPr>
                <w:u w:val="single"/>
              </w:rPr>
              <w:t>203.3</w:t>
            </w:r>
          </w:p>
        </w:tc>
      </w:tr>
    </w:tbl>
    <w:p>
      <w:pPr>
        <w:pStyle w:val="4"/>
        <w:rPr>
          <w:rFonts w:ascii="Times New Roman" w:hAnsi="Times New Roman" w:cs="Times New Roman"/>
        </w:rPr>
      </w:pPr>
      <w:bookmarkStart w:id="177" w:name="_Toc147848014"/>
      <w:r>
        <w:rPr>
          <w:rFonts w:ascii="Times New Roman" w:hAnsi="Times New Roman" w:cs="Times New Roman"/>
        </w:rPr>
        <w:t>3.2.6 运营期水平衡</w:t>
      </w:r>
      <w:bookmarkEnd w:id="175"/>
      <w:bookmarkEnd w:id="176"/>
      <w:bookmarkEnd w:id="177"/>
    </w:p>
    <w:p>
      <w:pPr>
        <w:spacing w:line="360" w:lineRule="auto"/>
        <w:ind w:firstLine="480" w:firstLineChars="200"/>
        <w:rPr>
          <w:rFonts w:ascii="Times New Roman" w:hAnsi="Times New Roman" w:cs="Times New Roman"/>
        </w:rPr>
      </w:pPr>
      <w:r>
        <w:rPr>
          <w:rFonts w:ascii="Times New Roman" w:hAnsi="Times New Roman" w:cs="Times New Roman"/>
        </w:rPr>
        <w:t>本次项目建成后，全厂项目用水主要为纯水制备用水、锅炉用水、预处理车间用水、浸出车间用水、萃取车间用水、结晶车间用水、地面冲洗用水以及生活污水。</w:t>
      </w:r>
    </w:p>
    <w:p>
      <w:pPr>
        <w:spacing w:line="360" w:lineRule="auto"/>
        <w:ind w:firstLine="482" w:firstLineChars="200"/>
        <w:rPr>
          <w:rFonts w:ascii="Times New Roman" w:hAnsi="Times New Roman" w:cs="Times New Roman"/>
          <w:b/>
        </w:rPr>
      </w:pPr>
      <w:r>
        <w:rPr>
          <w:rFonts w:ascii="Times New Roman" w:hAnsi="Times New Roman" w:cs="Times New Roman"/>
          <w:b/>
        </w:rPr>
        <w:t>（1）锅炉用水</w:t>
      </w:r>
    </w:p>
    <w:p>
      <w:pPr>
        <w:spacing w:line="360" w:lineRule="auto"/>
        <w:ind w:firstLine="480" w:firstLineChars="200"/>
        <w:rPr>
          <w:rFonts w:ascii="Times New Roman" w:hAnsi="Times New Roman" w:cs="Times New Roman"/>
          <w:kern w:val="0"/>
          <w:shd w:val="clear" w:color="auto" w:fill="FFFFFF"/>
        </w:rPr>
      </w:pPr>
      <w:r>
        <w:rPr>
          <w:rFonts w:ascii="Times New Roman" w:hAnsi="Times New Roman" w:cs="Times New Roman"/>
        </w:rPr>
        <w:t>本项目锅炉生产蒸汽用于浸出车间的热浸出、多效蒸发、蒸发釜和MVR。</w:t>
      </w:r>
      <w:r>
        <w:rPr>
          <w:rFonts w:ascii="Times New Roman" w:hAnsi="Times New Roman" w:cs="Times New Roman"/>
          <w:kern w:val="0"/>
          <w:shd w:val="clear" w:color="auto" w:fill="FFFFFF"/>
        </w:rPr>
        <w:t>锅炉所需用水由锅炉水处理装置提供，项目配套了1套钠离子软化水装置。本项目蒸汽锅炉用水量约为15t/h，年运行时长为7200小时，用水量约为108000</w:t>
      </w:r>
      <w:r>
        <w:rPr>
          <w:rFonts w:ascii="Times New Roman" w:hAnsi="Times New Roman" w:cs="Times New Roman"/>
        </w:rPr>
        <w:t xml:space="preserve"> 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kern w:val="0"/>
          <w:shd w:val="clear" w:color="auto" w:fill="FFFFFF"/>
        </w:rPr>
        <w:t>，锅炉用水采用软水制备系统进行，软水制备产生软水取90%，则软水制备用水量为120000</w:t>
      </w:r>
      <w:r>
        <w:rPr>
          <w:rFonts w:ascii="Times New Roman" w:hAnsi="Times New Roman" w:cs="Times New Roman"/>
        </w:rPr>
        <w:t xml:space="preserve"> 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kern w:val="0"/>
          <w:shd w:val="clear" w:color="auto" w:fill="FFFFFF"/>
        </w:rPr>
        <w:t>。85%的蒸汽产生冷凝水为91800</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bCs/>
        </w:rPr>
        <w:t>，</w:t>
      </w:r>
      <w:r>
        <w:rPr>
          <w:rFonts w:ascii="Times New Roman" w:hAnsi="Times New Roman" w:cs="Times New Roman"/>
          <w:kern w:val="0"/>
          <w:shd w:val="clear" w:color="auto" w:fill="FFFFFF"/>
        </w:rPr>
        <w:t>冷凝水80%可回用于纯水制备，故需消耗新鲜水量73440</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kern w:val="0"/>
          <w:shd w:val="clear" w:color="auto" w:fill="FFFFFF"/>
        </w:rPr>
        <w:t>。</w:t>
      </w:r>
    </w:p>
    <w:p>
      <w:pPr>
        <w:spacing w:line="360" w:lineRule="auto"/>
        <w:ind w:firstLine="482" w:firstLineChars="200"/>
        <w:rPr>
          <w:rFonts w:ascii="Times New Roman" w:hAnsi="Times New Roman" w:cs="Times New Roman"/>
          <w:b/>
        </w:rPr>
      </w:pPr>
      <w:r>
        <w:rPr>
          <w:rFonts w:ascii="Times New Roman" w:hAnsi="Times New Roman" w:cs="Times New Roman"/>
          <w:b/>
        </w:rPr>
        <w:t>（2）预处理车间用水</w:t>
      </w:r>
    </w:p>
    <w:p>
      <w:pPr>
        <w:spacing w:line="360" w:lineRule="auto"/>
        <w:ind w:firstLine="480" w:firstLineChars="200"/>
        <w:rPr>
          <w:rFonts w:ascii="Times New Roman" w:hAnsi="Times New Roman" w:cs="Times New Roman"/>
        </w:rPr>
      </w:pPr>
      <w:r>
        <w:rPr>
          <w:rFonts w:ascii="Times New Roman" w:hAnsi="Times New Roman" w:cs="Times New Roman"/>
        </w:rPr>
        <w:t>1）三级水喷淋用水</w:t>
      </w:r>
    </w:p>
    <w:p>
      <w:pPr>
        <w:spacing w:line="360" w:lineRule="auto"/>
        <w:ind w:firstLine="480" w:firstLineChars="200"/>
        <w:rPr>
          <w:rFonts w:ascii="Times New Roman" w:hAnsi="Times New Roman" w:cs="Times New Roman"/>
        </w:rPr>
      </w:pPr>
      <w:r>
        <w:rPr>
          <w:rFonts w:ascii="Times New Roman" w:hAnsi="Times New Roman" w:cs="Times New Roman"/>
        </w:rPr>
        <w:t>本项目热解废气经焚烧炉处理后进入三级水洗和一级碱液喷淋，用于去除废气中的HF。三级水洗用水量为150m</w:t>
      </w:r>
      <w:r>
        <w:rPr>
          <w:rFonts w:ascii="Times New Roman" w:hAnsi="Times New Roman" w:cs="Times New Roman"/>
          <w:vertAlign w:val="superscript"/>
        </w:rPr>
        <w:t>3</w:t>
      </w:r>
      <w:r>
        <w:rPr>
          <w:rFonts w:ascii="Times New Roman" w:hAnsi="Times New Roman" w:cs="Times New Roman"/>
        </w:rPr>
        <w:t>/d（45000m</w:t>
      </w:r>
      <w:r>
        <w:rPr>
          <w:rFonts w:ascii="Times New Roman" w:hAnsi="Times New Roman" w:cs="Times New Roman"/>
          <w:vertAlign w:val="superscript"/>
        </w:rPr>
        <w:t>3</w:t>
      </w:r>
      <w:r>
        <w:rPr>
          <w:rFonts w:ascii="Times New Roman" w:hAnsi="Times New Roman" w:cs="Times New Roman"/>
        </w:rPr>
        <w:t>/a），损耗水量15m</w:t>
      </w:r>
      <w:r>
        <w:rPr>
          <w:rFonts w:ascii="Times New Roman" w:hAnsi="Times New Roman" w:cs="Times New Roman"/>
          <w:vertAlign w:val="superscript"/>
        </w:rPr>
        <w:t>3</w:t>
      </w:r>
      <w:r>
        <w:rPr>
          <w:rFonts w:ascii="Times New Roman" w:hAnsi="Times New Roman" w:cs="Times New Roman"/>
        </w:rPr>
        <w:t>/d（4500m</w:t>
      </w:r>
      <w:r>
        <w:rPr>
          <w:rFonts w:ascii="Times New Roman" w:hAnsi="Times New Roman" w:cs="Times New Roman"/>
          <w:vertAlign w:val="superscript"/>
        </w:rPr>
        <w:t>3</w:t>
      </w:r>
      <w:r>
        <w:rPr>
          <w:rFonts w:ascii="Times New Roman" w:hAnsi="Times New Roman" w:cs="Times New Roman"/>
        </w:rPr>
        <w:t>/a），补充新水量</w:t>
      </w:r>
      <w:r>
        <w:rPr>
          <w:rFonts w:hint="eastAsia" w:ascii="Times New Roman" w:hAnsi="Times New Roman" w:cs="Times New Roman"/>
        </w:rPr>
        <w:t>27.1</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/d（</w:t>
      </w:r>
      <w:r>
        <w:rPr>
          <w:rFonts w:hint="eastAsia" w:ascii="Times New Roman" w:hAnsi="Times New Roman" w:cs="Times New Roman"/>
        </w:rPr>
        <w:t>8130</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/a），废水产生量135m</w:t>
      </w:r>
      <w:r>
        <w:rPr>
          <w:rFonts w:ascii="Times New Roman" w:hAnsi="Times New Roman" w:cs="Times New Roman"/>
          <w:vertAlign w:val="superscript"/>
        </w:rPr>
        <w:t>3</w:t>
      </w:r>
      <w:r>
        <w:rPr>
          <w:rFonts w:ascii="Times New Roman" w:hAnsi="Times New Roman" w:cs="Times New Roman"/>
        </w:rPr>
        <w:t>/d（40500m</w:t>
      </w:r>
      <w:r>
        <w:rPr>
          <w:rFonts w:ascii="Times New Roman" w:hAnsi="Times New Roman" w:cs="Times New Roman"/>
          <w:vertAlign w:val="superscript"/>
        </w:rPr>
        <w:t>3</w:t>
      </w:r>
      <w:r>
        <w:rPr>
          <w:rFonts w:ascii="Times New Roman" w:hAnsi="Times New Roman" w:cs="Times New Roman"/>
        </w:rPr>
        <w:t>/a），三级水洗和碱式喷淋塔产生的废水一起通过脱氟沉降处理后</w:t>
      </w:r>
      <w:r>
        <w:rPr>
          <w:rFonts w:hint="eastAsia" w:ascii="Times New Roman" w:hAnsi="Times New Roman" w:cs="Times New Roman"/>
        </w:rPr>
        <w:t>回用，脱氟中废水损耗按10%计（13.5</w:t>
      </w:r>
      <w:r>
        <w:rPr>
          <w:rFonts w:ascii="Times New Roman" w:hAnsi="Times New Roman" w:cs="Times New Roman"/>
        </w:rPr>
        <w:t xml:space="preserve"> m</w:t>
      </w:r>
      <w:r>
        <w:rPr>
          <w:rFonts w:ascii="Times New Roman" w:hAnsi="Times New Roman" w:cs="Times New Roman"/>
          <w:vertAlign w:val="superscript"/>
        </w:rPr>
        <w:t>3</w:t>
      </w:r>
      <w:r>
        <w:rPr>
          <w:rFonts w:ascii="Times New Roman" w:hAnsi="Times New Roman" w:cs="Times New Roman"/>
        </w:rPr>
        <w:t>/d</w:t>
      </w:r>
      <w:r>
        <w:rPr>
          <w:rFonts w:hint="eastAsia" w:ascii="Times New Roman" w:hAnsi="Times New Roman" w:cs="Times New Roman"/>
        </w:rPr>
        <w:t>，4050</w:t>
      </w:r>
      <w:r>
        <w:rPr>
          <w:rFonts w:ascii="Times New Roman" w:hAnsi="Times New Roman" w:cs="Times New Roman"/>
        </w:rPr>
        <w:t xml:space="preserve"> m</w:t>
      </w:r>
      <w:r>
        <w:rPr>
          <w:rFonts w:ascii="Times New Roman" w:hAnsi="Times New Roman" w:cs="Times New Roman"/>
          <w:vertAlign w:val="superscript"/>
        </w:rPr>
        <w:t>3</w:t>
      </w:r>
      <w:r>
        <w:rPr>
          <w:rFonts w:ascii="Times New Roman" w:hAnsi="Times New Roman" w:cs="Times New Roman"/>
        </w:rPr>
        <w:t>/a）</w:t>
      </w:r>
      <w:r>
        <w:rPr>
          <w:rFonts w:hint="eastAsia" w:ascii="Times New Roman" w:hAnsi="Times New Roman" w:cs="Times New Roman"/>
        </w:rPr>
        <w:t>。</w:t>
      </w:r>
    </w:p>
    <w:p>
      <w:pPr>
        <w:spacing w:line="360" w:lineRule="auto"/>
        <w:ind w:firstLine="480" w:firstLineChars="200"/>
        <w:rPr>
          <w:rFonts w:ascii="Times New Roman" w:hAnsi="Times New Roman" w:cs="Times New Roman"/>
        </w:rPr>
      </w:pPr>
      <w:r>
        <w:rPr>
          <w:rFonts w:ascii="Times New Roman" w:hAnsi="Times New Roman" w:cs="Times New Roman"/>
        </w:rPr>
        <w:t>2）碱液喷淋塔用水</w:t>
      </w:r>
    </w:p>
    <w:p>
      <w:pPr>
        <w:spacing w:line="360" w:lineRule="auto"/>
        <w:ind w:firstLine="480" w:firstLineChars="200"/>
        <w:rPr>
          <w:rFonts w:ascii="Times New Roman" w:hAnsi="Times New Roman" w:cs="Times New Roman"/>
        </w:rPr>
      </w:pPr>
      <w:r>
        <w:rPr>
          <w:rFonts w:ascii="Times New Roman" w:hAnsi="Times New Roman" w:cs="Times New Roman"/>
        </w:rPr>
        <w:t>本项目预处理工段产生的裂解烟气先通过三级水洗洗涤，再经过碱式喷淋塔进行处理，碱式喷淋塔用水量50m</w:t>
      </w:r>
      <w:r>
        <w:rPr>
          <w:rFonts w:ascii="Times New Roman" w:hAnsi="Times New Roman" w:cs="Times New Roman"/>
          <w:vertAlign w:val="superscript"/>
        </w:rPr>
        <w:t>3</w:t>
      </w:r>
      <w:r>
        <w:rPr>
          <w:rFonts w:ascii="Times New Roman" w:hAnsi="Times New Roman" w:cs="Times New Roman"/>
        </w:rPr>
        <w:t>/d（15000m</w:t>
      </w:r>
      <w:r>
        <w:rPr>
          <w:rFonts w:ascii="Times New Roman" w:hAnsi="Times New Roman" w:cs="Times New Roman"/>
          <w:vertAlign w:val="superscript"/>
        </w:rPr>
        <w:t>3</w:t>
      </w:r>
      <w:r>
        <w:rPr>
          <w:rFonts w:ascii="Times New Roman" w:hAnsi="Times New Roman" w:cs="Times New Roman"/>
        </w:rPr>
        <w:t>/a），其中损耗水量10m</w:t>
      </w:r>
      <w:r>
        <w:rPr>
          <w:rFonts w:ascii="Times New Roman" w:hAnsi="Times New Roman" w:cs="Times New Roman"/>
          <w:vertAlign w:val="superscript"/>
        </w:rPr>
        <w:t>3</w:t>
      </w:r>
      <w:r>
        <w:rPr>
          <w:rFonts w:ascii="Times New Roman" w:hAnsi="Times New Roman" w:cs="Times New Roman"/>
        </w:rPr>
        <w:t>/d（3000m</w:t>
      </w:r>
      <w:r>
        <w:rPr>
          <w:rFonts w:ascii="Times New Roman" w:hAnsi="Times New Roman" w:cs="Times New Roman"/>
          <w:vertAlign w:val="superscript"/>
        </w:rPr>
        <w:t>3</w:t>
      </w:r>
      <w:r>
        <w:rPr>
          <w:rFonts w:ascii="Times New Roman" w:hAnsi="Times New Roman" w:cs="Times New Roman"/>
        </w:rPr>
        <w:t>/a），补充新鲜水量1</w:t>
      </w:r>
      <w:r>
        <w:rPr>
          <w:rFonts w:hint="eastAsia" w:ascii="Times New Roman" w:hAnsi="Times New Roman" w:cs="Times New Roman"/>
        </w:rPr>
        <w:t>4</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/d（</w:t>
      </w:r>
      <w:r>
        <w:rPr>
          <w:rFonts w:hint="eastAsia" w:ascii="Times New Roman" w:hAnsi="Times New Roman" w:cs="Times New Roman"/>
        </w:rPr>
        <w:t>4200</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/a），废水产生量40m</w:t>
      </w:r>
      <w:r>
        <w:rPr>
          <w:rFonts w:ascii="Times New Roman" w:hAnsi="Times New Roman" w:cs="Times New Roman"/>
          <w:vertAlign w:val="superscript"/>
        </w:rPr>
        <w:t>3</w:t>
      </w:r>
      <w:r>
        <w:rPr>
          <w:rFonts w:ascii="Times New Roman" w:hAnsi="Times New Roman" w:cs="Times New Roman"/>
        </w:rPr>
        <w:t>/d（12000m</w:t>
      </w:r>
      <w:r>
        <w:rPr>
          <w:rFonts w:ascii="Times New Roman" w:hAnsi="Times New Roman" w:cs="Times New Roman"/>
          <w:vertAlign w:val="superscript"/>
        </w:rPr>
        <w:t>3</w:t>
      </w:r>
      <w:r>
        <w:rPr>
          <w:rFonts w:ascii="Times New Roman" w:hAnsi="Times New Roman" w:cs="Times New Roman"/>
        </w:rPr>
        <w:t>/a）。碱式喷淋产生的废水含氟量比较高，碱式喷淋塔产生的废水一起通过脱氟沉降处理后，全部回用</w:t>
      </w:r>
      <w:r>
        <w:rPr>
          <w:rFonts w:hint="eastAsia" w:ascii="Times New Roman" w:hAnsi="Times New Roman" w:cs="Times New Roman"/>
        </w:rPr>
        <w:t>，脱氟中废水损耗按10%计（4</w:t>
      </w:r>
      <w:r>
        <w:rPr>
          <w:rFonts w:ascii="Times New Roman" w:hAnsi="Times New Roman" w:cs="Times New Roman"/>
        </w:rPr>
        <w:t xml:space="preserve"> m</w:t>
      </w:r>
      <w:r>
        <w:rPr>
          <w:rFonts w:ascii="Times New Roman" w:hAnsi="Times New Roman" w:cs="Times New Roman"/>
          <w:vertAlign w:val="superscript"/>
        </w:rPr>
        <w:t>3</w:t>
      </w:r>
      <w:r>
        <w:rPr>
          <w:rFonts w:ascii="Times New Roman" w:hAnsi="Times New Roman" w:cs="Times New Roman"/>
        </w:rPr>
        <w:t>/d</w:t>
      </w:r>
      <w:r>
        <w:rPr>
          <w:rFonts w:hint="eastAsia" w:ascii="Times New Roman" w:hAnsi="Times New Roman" w:cs="Times New Roman"/>
        </w:rPr>
        <w:t>，1200</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/a）</w:t>
      </w:r>
      <w:r>
        <w:rPr>
          <w:rFonts w:hint="eastAsia" w:ascii="Times New Roman" w:hAnsi="Times New Roman" w:cs="Times New Roman"/>
        </w:rPr>
        <w:t>。</w:t>
      </w:r>
    </w:p>
    <w:p>
      <w:pPr>
        <w:spacing w:line="360" w:lineRule="auto"/>
        <w:ind w:firstLine="480" w:firstLineChars="200"/>
        <w:rPr>
          <w:rFonts w:ascii="Times New Roman" w:hAnsi="Times New Roman" w:cs="Times New Roman"/>
        </w:rPr>
      </w:pPr>
      <w:r>
        <w:rPr>
          <w:rFonts w:hint="eastAsia" w:ascii="Times New Roman" w:hAnsi="Times New Roman" w:cs="Times New Roman"/>
        </w:rPr>
        <w:t>含氟废水经泵提升进入脱氟沉降反应段，与投加的石灰乳进行中和反应，生成氟化钙沉淀，在反应器中同时投加絮凝剂，使其发生凝聚反应生成较大颗粒，然后进入配水槽，经配水槽进入斜板澄清段，在斜板的加速作用下进行沉淀自动排出。斜板沉淀池的出水回用，斜板沉淀池的底泥由泵送至板框压滤机进行脱水，产生的干渣送至暂存库。板框压滤机的废水全部回用，不外排。</w:t>
      </w:r>
    </w:p>
    <w:p>
      <w:pPr>
        <w:spacing w:line="360" w:lineRule="auto"/>
        <w:ind w:firstLine="480" w:firstLineChars="200"/>
        <w:rPr>
          <w:rFonts w:ascii="Times New Roman" w:hAnsi="Times New Roman" w:cs="Times New Roman"/>
        </w:rPr>
      </w:pPr>
      <w:r>
        <w:rPr>
          <w:rFonts w:ascii="Times New Roman" w:hAnsi="Times New Roman" w:cs="Times New Roman"/>
        </w:rPr>
        <w:t>3）裂解烟气急冷用水</w:t>
      </w:r>
    </w:p>
    <w:p>
      <w:pPr>
        <w:spacing w:line="360" w:lineRule="auto"/>
        <w:ind w:firstLine="480" w:firstLineChars="200"/>
        <w:rPr>
          <w:rFonts w:ascii="Times New Roman" w:hAnsi="Times New Roman" w:cs="Times New Roman"/>
        </w:rPr>
      </w:pPr>
      <w:r>
        <w:rPr>
          <w:rFonts w:ascii="Times New Roman" w:hAnsi="Times New Roman" w:cs="Times New Roman"/>
        </w:rPr>
        <w:t>本项目裂解系统烟气处理骤冷却用水消耗新水量1.0m</w:t>
      </w:r>
      <w:r>
        <w:rPr>
          <w:rFonts w:ascii="Times New Roman" w:hAnsi="Times New Roman" w:cs="Times New Roman"/>
          <w:vertAlign w:val="superscript"/>
        </w:rPr>
        <w:t>3</w:t>
      </w:r>
      <w:r>
        <w:rPr>
          <w:rFonts w:ascii="Times New Roman" w:hAnsi="Times New Roman" w:cs="Times New Roman"/>
        </w:rPr>
        <w:t>/d（300m</w:t>
      </w:r>
      <w:r>
        <w:rPr>
          <w:rFonts w:ascii="Times New Roman" w:hAnsi="Times New Roman" w:cs="Times New Roman"/>
          <w:vertAlign w:val="superscript"/>
        </w:rPr>
        <w:t>3</w:t>
      </w:r>
      <w:r>
        <w:rPr>
          <w:rFonts w:ascii="Times New Roman" w:hAnsi="Times New Roman" w:cs="Times New Roman"/>
        </w:rPr>
        <w:t>/a），损耗水量0.4m</w:t>
      </w:r>
      <w:r>
        <w:rPr>
          <w:rFonts w:ascii="Times New Roman" w:hAnsi="Times New Roman" w:cs="Times New Roman"/>
          <w:vertAlign w:val="superscript"/>
        </w:rPr>
        <w:t>3</w:t>
      </w:r>
      <w:r>
        <w:rPr>
          <w:rFonts w:ascii="Times New Roman" w:hAnsi="Times New Roman" w:cs="Times New Roman"/>
        </w:rPr>
        <w:t>/d（120m</w:t>
      </w:r>
      <w:r>
        <w:rPr>
          <w:rFonts w:ascii="Times New Roman" w:hAnsi="Times New Roman" w:cs="Times New Roman"/>
          <w:vertAlign w:val="superscript"/>
        </w:rPr>
        <w:t>3</w:t>
      </w:r>
      <w:r>
        <w:rPr>
          <w:rFonts w:ascii="Times New Roman" w:hAnsi="Times New Roman" w:cs="Times New Roman"/>
        </w:rPr>
        <w:t>/a），其余0.6m</w:t>
      </w:r>
      <w:r>
        <w:rPr>
          <w:rFonts w:ascii="Times New Roman" w:hAnsi="Times New Roman" w:cs="Times New Roman"/>
          <w:vertAlign w:val="superscript"/>
        </w:rPr>
        <w:t>3</w:t>
      </w:r>
      <w:r>
        <w:rPr>
          <w:rFonts w:ascii="Times New Roman" w:hAnsi="Times New Roman" w:cs="Times New Roman"/>
        </w:rPr>
        <w:t>/d（180m</w:t>
      </w:r>
      <w:r>
        <w:rPr>
          <w:rFonts w:ascii="Times New Roman" w:hAnsi="Times New Roman" w:cs="Times New Roman"/>
          <w:vertAlign w:val="superscript"/>
        </w:rPr>
        <w:t>3</w:t>
      </w:r>
      <w:r>
        <w:rPr>
          <w:rFonts w:ascii="Times New Roman" w:hAnsi="Times New Roman" w:cs="Times New Roman"/>
        </w:rPr>
        <w:t>/a）进入三级水洗。</w:t>
      </w:r>
    </w:p>
    <w:p>
      <w:pPr>
        <w:spacing w:line="360" w:lineRule="auto"/>
        <w:ind w:firstLine="482" w:firstLineChars="200"/>
        <w:rPr>
          <w:rFonts w:ascii="Times New Roman" w:hAnsi="Times New Roman" w:cs="Times New Roman"/>
          <w:b/>
        </w:rPr>
      </w:pPr>
      <w:r>
        <w:rPr>
          <w:rFonts w:ascii="Times New Roman" w:hAnsi="Times New Roman" w:cs="Times New Roman"/>
          <w:b/>
        </w:rPr>
        <w:t>（3）浸出车间</w:t>
      </w:r>
    </w:p>
    <w:p>
      <w:pPr>
        <w:spacing w:line="360" w:lineRule="auto"/>
        <w:ind w:firstLine="480" w:firstLineChars="200"/>
        <w:rPr>
          <w:rFonts w:ascii="Times New Roman" w:hAnsi="Times New Roman" w:cs="Times New Roman"/>
        </w:rPr>
      </w:pPr>
      <w:r>
        <w:rPr>
          <w:rFonts w:ascii="Times New Roman" w:hAnsi="Times New Roman" w:cs="Times New Roman"/>
        </w:rPr>
        <w:t>本项目浸出车间用水主要包括三元锂电池黑粉和磷酸铁锂电池黑粉浆化用水、铁铝渣和铜渣洗涤用水以及酸雾洗涤塔用水。</w:t>
      </w:r>
    </w:p>
    <w:p>
      <w:pPr>
        <w:spacing w:line="360" w:lineRule="auto"/>
        <w:ind w:firstLine="480" w:firstLineChars="200"/>
        <w:rPr>
          <w:rFonts w:ascii="Times New Roman" w:hAnsi="Times New Roman" w:cs="Times New Roman"/>
        </w:rPr>
      </w:pPr>
      <w:r>
        <w:rPr>
          <w:rFonts w:ascii="Times New Roman" w:hAnsi="Times New Roman" w:cs="Times New Roman"/>
        </w:rPr>
        <w:t>1）浆化用水</w:t>
      </w:r>
    </w:p>
    <w:p>
      <w:pPr>
        <w:spacing w:line="360" w:lineRule="auto"/>
        <w:ind w:firstLine="480" w:firstLineChars="200"/>
        <w:rPr>
          <w:rFonts w:ascii="Times New Roman" w:hAnsi="Times New Roman" w:cs="Times New Roman"/>
        </w:rPr>
      </w:pPr>
      <w:r>
        <w:rPr>
          <w:rFonts w:ascii="Times New Roman" w:hAnsi="Times New Roman" w:cs="Times New Roman"/>
        </w:rPr>
        <w:t>根据建设单位体用提供的资料，本项目浸出车间浆化用水量约200m</w:t>
      </w:r>
      <w:r>
        <w:rPr>
          <w:rFonts w:ascii="Times New Roman" w:hAnsi="Times New Roman" w:cs="Times New Roman"/>
          <w:vertAlign w:val="superscript"/>
        </w:rPr>
        <w:t>3</w:t>
      </w:r>
      <w:r>
        <w:rPr>
          <w:rFonts w:ascii="Times New Roman" w:hAnsi="Times New Roman" w:cs="Times New Roman"/>
        </w:rPr>
        <w:t>/d（60000m</w:t>
      </w:r>
      <w:r>
        <w:rPr>
          <w:rFonts w:ascii="Times New Roman" w:hAnsi="Times New Roman" w:cs="Times New Roman"/>
          <w:vertAlign w:val="superscript"/>
        </w:rPr>
        <w:t>3</w:t>
      </w:r>
      <w:r>
        <w:rPr>
          <w:rFonts w:ascii="Times New Roman" w:hAnsi="Times New Roman" w:cs="Times New Roman"/>
        </w:rPr>
        <w:t>/a）。其中铁铝渣和铜渣洗涤进入水量24m</w:t>
      </w:r>
      <w:r>
        <w:rPr>
          <w:rFonts w:ascii="Times New Roman" w:hAnsi="Times New Roman" w:cs="Times New Roman"/>
          <w:vertAlign w:val="superscript"/>
        </w:rPr>
        <w:t>3</w:t>
      </w:r>
      <w:r>
        <w:rPr>
          <w:rFonts w:ascii="Times New Roman" w:hAnsi="Times New Roman" w:cs="Times New Roman"/>
        </w:rPr>
        <w:t>/d（7200m</w:t>
      </w:r>
      <w:r>
        <w:rPr>
          <w:rFonts w:ascii="Times New Roman" w:hAnsi="Times New Roman" w:cs="Times New Roman"/>
          <w:vertAlign w:val="superscript"/>
        </w:rPr>
        <w:t>3</w:t>
      </w:r>
      <w:r>
        <w:rPr>
          <w:rFonts w:ascii="Times New Roman" w:hAnsi="Times New Roman" w:cs="Times New Roman"/>
        </w:rPr>
        <w:t>/a），新鲜用水量176m</w:t>
      </w:r>
      <w:r>
        <w:rPr>
          <w:rFonts w:ascii="Times New Roman" w:hAnsi="Times New Roman" w:cs="Times New Roman"/>
          <w:vertAlign w:val="superscript"/>
        </w:rPr>
        <w:t>3</w:t>
      </w:r>
      <w:r>
        <w:rPr>
          <w:rFonts w:ascii="Times New Roman" w:hAnsi="Times New Roman" w:cs="Times New Roman"/>
        </w:rPr>
        <w:t>/d（52800m</w:t>
      </w:r>
      <w:r>
        <w:rPr>
          <w:rFonts w:ascii="Times New Roman" w:hAnsi="Times New Roman" w:cs="Times New Roman"/>
          <w:vertAlign w:val="superscript"/>
        </w:rPr>
        <w:t>3</w:t>
      </w:r>
      <w:r>
        <w:rPr>
          <w:rFonts w:ascii="Times New Roman" w:hAnsi="Times New Roman" w:cs="Times New Roman"/>
        </w:rPr>
        <w:t>/a）。该过程中损耗水量8m</w:t>
      </w:r>
      <w:r>
        <w:rPr>
          <w:rFonts w:ascii="Times New Roman" w:hAnsi="Times New Roman" w:cs="Times New Roman"/>
          <w:vertAlign w:val="superscript"/>
        </w:rPr>
        <w:t>3</w:t>
      </w:r>
      <w:r>
        <w:rPr>
          <w:rFonts w:ascii="Times New Roman" w:hAnsi="Times New Roman" w:cs="Times New Roman"/>
        </w:rPr>
        <w:t>/d（2400m</w:t>
      </w:r>
      <w:r>
        <w:rPr>
          <w:rFonts w:ascii="Times New Roman" w:hAnsi="Times New Roman" w:cs="Times New Roman"/>
          <w:vertAlign w:val="superscript"/>
        </w:rPr>
        <w:t>3</w:t>
      </w:r>
      <w:r>
        <w:rPr>
          <w:rFonts w:ascii="Times New Roman" w:hAnsi="Times New Roman" w:cs="Times New Roman"/>
        </w:rPr>
        <w:t>/a），其余192m</w:t>
      </w:r>
      <w:r>
        <w:rPr>
          <w:rFonts w:ascii="Times New Roman" w:hAnsi="Times New Roman" w:cs="Times New Roman"/>
          <w:vertAlign w:val="superscript"/>
        </w:rPr>
        <w:t>3</w:t>
      </w:r>
      <w:r>
        <w:rPr>
          <w:rFonts w:ascii="Times New Roman" w:hAnsi="Times New Roman" w:cs="Times New Roman"/>
        </w:rPr>
        <w:t>/d（57600m</w:t>
      </w:r>
      <w:r>
        <w:rPr>
          <w:rFonts w:ascii="Times New Roman" w:hAnsi="Times New Roman" w:cs="Times New Roman"/>
          <w:vertAlign w:val="superscript"/>
        </w:rPr>
        <w:t>3</w:t>
      </w:r>
      <w:r>
        <w:rPr>
          <w:rFonts w:ascii="Times New Roman" w:hAnsi="Times New Roman" w:cs="Times New Roman"/>
        </w:rPr>
        <w:t>/a）进入后续的萃取蒸发结晶工序。</w:t>
      </w:r>
    </w:p>
    <w:p>
      <w:pPr>
        <w:spacing w:line="360" w:lineRule="auto"/>
        <w:ind w:firstLine="480" w:firstLineChars="200"/>
        <w:rPr>
          <w:rFonts w:ascii="Times New Roman" w:hAnsi="Times New Roman" w:cs="Times New Roman"/>
        </w:rPr>
      </w:pPr>
      <w:r>
        <w:rPr>
          <w:rFonts w:ascii="Times New Roman" w:hAnsi="Times New Roman" w:cs="Times New Roman"/>
        </w:rPr>
        <w:t>2）铁铝渣、铜渣洗涤和碳渣洗涤用水</w:t>
      </w:r>
    </w:p>
    <w:p>
      <w:pPr>
        <w:spacing w:line="360" w:lineRule="auto"/>
        <w:ind w:firstLine="480" w:firstLineChars="200"/>
        <w:rPr>
          <w:rFonts w:ascii="Times New Roman" w:hAnsi="Times New Roman" w:cs="Times New Roman"/>
        </w:rPr>
      </w:pPr>
      <w:r>
        <w:rPr>
          <w:rFonts w:ascii="Times New Roman" w:hAnsi="Times New Roman" w:cs="Times New Roman"/>
        </w:rPr>
        <w:t>项目浸出车间除铁铝和铜过程中需对铁铝、铜渣和碳渣进行洗涤。根据建设单位提供的资料，洗涤用水量为30m</w:t>
      </w:r>
      <w:r>
        <w:rPr>
          <w:rFonts w:ascii="Times New Roman" w:hAnsi="Times New Roman" w:cs="Times New Roman"/>
          <w:vertAlign w:val="superscript"/>
        </w:rPr>
        <w:t>3</w:t>
      </w:r>
      <w:r>
        <w:rPr>
          <w:rFonts w:ascii="Times New Roman" w:hAnsi="Times New Roman" w:cs="Times New Roman"/>
        </w:rPr>
        <w:t>/d（9000m</w:t>
      </w:r>
      <w:r>
        <w:rPr>
          <w:rFonts w:ascii="Times New Roman" w:hAnsi="Times New Roman" w:cs="Times New Roman"/>
          <w:vertAlign w:val="superscript"/>
        </w:rPr>
        <w:t>3</w:t>
      </w:r>
      <w:r>
        <w:rPr>
          <w:rFonts w:ascii="Times New Roman" w:hAnsi="Times New Roman" w:cs="Times New Roman"/>
        </w:rPr>
        <w:t>/a），其中损失量约6m</w:t>
      </w:r>
      <w:r>
        <w:rPr>
          <w:rFonts w:ascii="Times New Roman" w:hAnsi="Times New Roman" w:cs="Times New Roman"/>
          <w:vertAlign w:val="superscript"/>
        </w:rPr>
        <w:t>3</w:t>
      </w:r>
      <w:r>
        <w:rPr>
          <w:rFonts w:ascii="Times New Roman" w:hAnsi="Times New Roman" w:cs="Times New Roman"/>
        </w:rPr>
        <w:t>/d（1800m</w:t>
      </w:r>
      <w:r>
        <w:rPr>
          <w:rFonts w:ascii="Times New Roman" w:hAnsi="Times New Roman" w:cs="Times New Roman"/>
          <w:vertAlign w:val="superscript"/>
        </w:rPr>
        <w:t>3</w:t>
      </w:r>
      <w:r>
        <w:rPr>
          <w:rFonts w:ascii="Times New Roman" w:hAnsi="Times New Roman" w:cs="Times New Roman"/>
        </w:rPr>
        <w:t>/a），废水产生量约24m</w:t>
      </w:r>
      <w:r>
        <w:rPr>
          <w:rFonts w:ascii="Times New Roman" w:hAnsi="Times New Roman" w:cs="Times New Roman"/>
          <w:vertAlign w:val="superscript"/>
        </w:rPr>
        <w:t>3</w:t>
      </w:r>
      <w:r>
        <w:rPr>
          <w:rFonts w:ascii="Times New Roman" w:hAnsi="Times New Roman" w:cs="Times New Roman"/>
        </w:rPr>
        <w:t>/d（7200m</w:t>
      </w:r>
      <w:r>
        <w:rPr>
          <w:rFonts w:ascii="Times New Roman" w:hAnsi="Times New Roman" w:cs="Times New Roman"/>
          <w:vertAlign w:val="superscript"/>
        </w:rPr>
        <w:t>3</w:t>
      </w:r>
      <w:r>
        <w:rPr>
          <w:rFonts w:ascii="Times New Roman" w:hAnsi="Times New Roman" w:cs="Times New Roman"/>
        </w:rPr>
        <w:t>/a），该部分废水返回浆化槽。</w:t>
      </w:r>
    </w:p>
    <w:p>
      <w:pPr>
        <w:spacing w:line="360" w:lineRule="auto"/>
        <w:ind w:firstLine="480" w:firstLineChars="200"/>
        <w:rPr>
          <w:rFonts w:ascii="Times New Roman" w:hAnsi="Times New Roman" w:cs="Times New Roman"/>
        </w:rPr>
      </w:pPr>
      <w:r>
        <w:rPr>
          <w:rFonts w:ascii="Times New Roman" w:hAnsi="Times New Roman" w:cs="Times New Roman"/>
        </w:rPr>
        <w:t>3）酸雾洗涤塔用水</w:t>
      </w:r>
    </w:p>
    <w:p>
      <w:pPr>
        <w:spacing w:line="360" w:lineRule="auto"/>
        <w:ind w:firstLine="480" w:firstLineChars="200"/>
        <w:rPr>
          <w:rFonts w:ascii="Times New Roman" w:hAnsi="Times New Roman" w:cs="Times New Roman"/>
        </w:rPr>
      </w:pPr>
      <w:r>
        <w:rPr>
          <w:rFonts w:ascii="Times New Roman" w:hAnsi="Times New Roman" w:cs="Times New Roman"/>
        </w:rPr>
        <w:t>项目浸出车间浸出槽挥发的酸雾采用碱液喷淋塔进行处理。项目浸出车间设置1套碱液喷淋塔。根据建设单位提供的资料，本项目碱液喷淋塔消耗新鲜水量约40m</w:t>
      </w:r>
      <w:r>
        <w:rPr>
          <w:rFonts w:ascii="Times New Roman" w:hAnsi="Times New Roman" w:cs="Times New Roman"/>
          <w:vertAlign w:val="superscript"/>
        </w:rPr>
        <w:t>3</w:t>
      </w:r>
      <w:r>
        <w:rPr>
          <w:rFonts w:ascii="Times New Roman" w:hAnsi="Times New Roman" w:cs="Times New Roman"/>
        </w:rPr>
        <w:t>/d（12000m</w:t>
      </w:r>
      <w:r>
        <w:rPr>
          <w:rFonts w:ascii="Times New Roman" w:hAnsi="Times New Roman" w:cs="Times New Roman"/>
          <w:vertAlign w:val="superscript"/>
        </w:rPr>
        <w:t>3</w:t>
      </w:r>
      <w:r>
        <w:rPr>
          <w:rFonts w:ascii="Times New Roman" w:hAnsi="Times New Roman" w:cs="Times New Roman"/>
        </w:rPr>
        <w:t>/a，全部为废水处理站回用水），其中损耗量约8m</w:t>
      </w:r>
      <w:r>
        <w:rPr>
          <w:rFonts w:ascii="Times New Roman" w:hAnsi="Times New Roman" w:cs="Times New Roman"/>
          <w:vertAlign w:val="superscript"/>
        </w:rPr>
        <w:t>3</w:t>
      </w:r>
      <w:r>
        <w:rPr>
          <w:rFonts w:ascii="Times New Roman" w:hAnsi="Times New Roman" w:cs="Times New Roman"/>
        </w:rPr>
        <w:t>/d（2400m</w:t>
      </w:r>
      <w:r>
        <w:rPr>
          <w:rFonts w:ascii="Times New Roman" w:hAnsi="Times New Roman" w:cs="Times New Roman"/>
          <w:vertAlign w:val="superscript"/>
        </w:rPr>
        <w:t>3</w:t>
      </w:r>
      <w:r>
        <w:rPr>
          <w:rFonts w:ascii="Times New Roman" w:hAnsi="Times New Roman" w:cs="Times New Roman"/>
        </w:rPr>
        <w:t>/a），产生的硫酸钠浓盐水为32m</w:t>
      </w:r>
      <w:r>
        <w:rPr>
          <w:rFonts w:ascii="Times New Roman" w:hAnsi="Times New Roman" w:cs="Times New Roman"/>
          <w:vertAlign w:val="superscript"/>
        </w:rPr>
        <w:t>3</w:t>
      </w:r>
      <w:r>
        <w:rPr>
          <w:rFonts w:ascii="Times New Roman" w:hAnsi="Times New Roman" w:cs="Times New Roman"/>
        </w:rPr>
        <w:t>/d（9600m</w:t>
      </w:r>
      <w:r>
        <w:rPr>
          <w:rFonts w:ascii="Times New Roman" w:hAnsi="Times New Roman" w:cs="Times New Roman"/>
          <w:vertAlign w:val="superscript"/>
        </w:rPr>
        <w:t>3</w:t>
      </w:r>
      <w:r>
        <w:rPr>
          <w:rFonts w:ascii="Times New Roman" w:hAnsi="Times New Roman" w:cs="Times New Roman"/>
        </w:rPr>
        <w:t>/a）。该部分废水排入公司工业废水处理站处理后全部回用。</w:t>
      </w:r>
    </w:p>
    <w:p>
      <w:pPr>
        <w:spacing w:line="360" w:lineRule="auto"/>
        <w:ind w:firstLine="482" w:firstLineChars="200"/>
        <w:rPr>
          <w:rFonts w:ascii="Times New Roman" w:hAnsi="Times New Roman" w:cs="Times New Roman"/>
          <w:b/>
        </w:rPr>
      </w:pPr>
      <w:r>
        <w:rPr>
          <w:rFonts w:ascii="Times New Roman" w:hAnsi="Times New Roman" w:cs="Times New Roman"/>
          <w:b/>
        </w:rPr>
        <w:t>（4）萃取车间</w:t>
      </w:r>
    </w:p>
    <w:p>
      <w:pPr>
        <w:spacing w:line="360" w:lineRule="auto"/>
        <w:ind w:firstLine="480" w:firstLineChars="200"/>
        <w:rPr>
          <w:rFonts w:ascii="Times New Roman" w:hAnsi="Times New Roman" w:cs="Times New Roman"/>
        </w:rPr>
      </w:pPr>
      <w:r>
        <w:rPr>
          <w:rFonts w:ascii="Times New Roman" w:hAnsi="Times New Roman" w:cs="Times New Roman"/>
        </w:rPr>
        <w:t>本项目萃取车间用水主要包括用硫酸溶液反萃要用水和酸雾洗涤塔用水。</w:t>
      </w:r>
    </w:p>
    <w:p>
      <w:pPr>
        <w:spacing w:line="360" w:lineRule="auto"/>
        <w:ind w:firstLine="480" w:firstLineChars="200"/>
        <w:rPr>
          <w:rFonts w:ascii="Times New Roman" w:hAnsi="Times New Roman" w:cs="Times New Roman"/>
        </w:rPr>
      </w:pPr>
      <w:r>
        <w:rPr>
          <w:rFonts w:ascii="Times New Roman" w:hAnsi="Times New Roman" w:cs="Times New Roman"/>
        </w:rPr>
        <w:t>1）反萃用水</w:t>
      </w:r>
    </w:p>
    <w:p>
      <w:pPr>
        <w:spacing w:line="360" w:lineRule="auto"/>
        <w:ind w:firstLine="480" w:firstLineChars="200"/>
        <w:rPr>
          <w:rFonts w:ascii="Times New Roman" w:hAnsi="Times New Roman" w:cs="Times New Roman"/>
        </w:rPr>
      </w:pPr>
      <w:r>
        <w:rPr>
          <w:rFonts w:ascii="Times New Roman" w:hAnsi="Times New Roman" w:cs="Times New Roman"/>
        </w:rPr>
        <w:t>根据建设单位提供的资料，本项目萃取车间反萃用水量约40m</w:t>
      </w:r>
      <w:r>
        <w:rPr>
          <w:rFonts w:ascii="Times New Roman" w:hAnsi="Times New Roman" w:cs="Times New Roman"/>
          <w:b/>
          <w:vertAlign w:val="superscript"/>
        </w:rPr>
        <w:t>3</w:t>
      </w:r>
      <w:r>
        <w:rPr>
          <w:rFonts w:ascii="Times New Roman" w:hAnsi="Times New Roman" w:cs="Times New Roman"/>
        </w:rPr>
        <w:t>/d（12000m</w:t>
      </w:r>
      <w:r>
        <w:rPr>
          <w:rFonts w:ascii="Times New Roman" w:hAnsi="Times New Roman" w:cs="Times New Roman"/>
          <w:vertAlign w:val="superscript"/>
        </w:rPr>
        <w:t>3</w:t>
      </w:r>
      <w:r>
        <w:rPr>
          <w:rFonts w:ascii="Times New Roman" w:hAnsi="Times New Roman" w:cs="Times New Roman"/>
        </w:rPr>
        <w:t>/a）。其中8m</w:t>
      </w:r>
      <w:r>
        <w:rPr>
          <w:rFonts w:ascii="Times New Roman" w:hAnsi="Times New Roman" w:cs="Times New Roman"/>
          <w:vertAlign w:val="superscript"/>
        </w:rPr>
        <w:t>3</w:t>
      </w:r>
      <w:r>
        <w:rPr>
          <w:rFonts w:ascii="Times New Roman" w:hAnsi="Times New Roman" w:cs="Times New Roman"/>
        </w:rPr>
        <w:t>/d损耗（2400m</w:t>
      </w:r>
      <w:r>
        <w:rPr>
          <w:rFonts w:ascii="Times New Roman" w:hAnsi="Times New Roman" w:cs="Times New Roman"/>
          <w:vertAlign w:val="superscript"/>
        </w:rPr>
        <w:t>3</w:t>
      </w:r>
      <w:r>
        <w:rPr>
          <w:rFonts w:ascii="Times New Roman" w:hAnsi="Times New Roman" w:cs="Times New Roman"/>
        </w:rPr>
        <w:t>/a），其余32m</w:t>
      </w:r>
      <w:r>
        <w:rPr>
          <w:rFonts w:ascii="Times New Roman" w:hAnsi="Times New Roman" w:cs="Times New Roman"/>
          <w:vertAlign w:val="superscript"/>
        </w:rPr>
        <w:t>3</w:t>
      </w:r>
      <w:r>
        <w:rPr>
          <w:rFonts w:ascii="Times New Roman" w:hAnsi="Times New Roman" w:cs="Times New Roman"/>
        </w:rPr>
        <w:t>/d（9600m</w:t>
      </w:r>
      <w:r>
        <w:rPr>
          <w:rFonts w:ascii="Times New Roman" w:hAnsi="Times New Roman" w:cs="Times New Roman"/>
          <w:vertAlign w:val="superscript"/>
        </w:rPr>
        <w:t>3</w:t>
      </w:r>
      <w:r>
        <w:rPr>
          <w:rFonts w:ascii="Times New Roman" w:hAnsi="Times New Roman" w:cs="Times New Roman"/>
        </w:rPr>
        <w:t>/a）的水全部进入后续蒸发结晶工序。</w:t>
      </w:r>
    </w:p>
    <w:p>
      <w:pPr>
        <w:spacing w:line="360" w:lineRule="auto"/>
        <w:ind w:firstLine="480" w:firstLineChars="200"/>
        <w:rPr>
          <w:rFonts w:ascii="Times New Roman" w:hAnsi="Times New Roman" w:cs="Times New Roman"/>
        </w:rPr>
      </w:pPr>
      <w:r>
        <w:rPr>
          <w:rFonts w:ascii="Times New Roman" w:hAnsi="Times New Roman" w:cs="Times New Roman"/>
        </w:rPr>
        <w:t>2）酸雾洗涤塔用水</w:t>
      </w:r>
    </w:p>
    <w:p>
      <w:pPr>
        <w:spacing w:line="360" w:lineRule="auto"/>
        <w:ind w:firstLine="480" w:firstLineChars="200"/>
        <w:rPr>
          <w:rFonts w:ascii="Times New Roman" w:hAnsi="Times New Roman" w:cs="Times New Roman"/>
        </w:rPr>
      </w:pPr>
      <w:r>
        <w:rPr>
          <w:rFonts w:ascii="Times New Roman" w:hAnsi="Times New Roman" w:cs="Times New Roman"/>
        </w:rPr>
        <w:t>项目萃取车间浸出槽挥发的酸雾采用碱液喷淋塔进行处理。项目浸出车间设置1套碱液喷淋塔。根据建设单位提供的资料，本项目碱液喷淋塔消耗新鲜水量约20m</w:t>
      </w:r>
      <w:r>
        <w:rPr>
          <w:rFonts w:ascii="Times New Roman" w:hAnsi="Times New Roman" w:cs="Times New Roman"/>
          <w:vertAlign w:val="superscript"/>
        </w:rPr>
        <w:t>3</w:t>
      </w:r>
      <w:r>
        <w:rPr>
          <w:rFonts w:ascii="Times New Roman" w:hAnsi="Times New Roman" w:cs="Times New Roman"/>
        </w:rPr>
        <w:t>/d（6000m</w:t>
      </w:r>
      <w:r>
        <w:rPr>
          <w:rFonts w:ascii="Times New Roman" w:hAnsi="Times New Roman" w:cs="Times New Roman"/>
          <w:vertAlign w:val="superscript"/>
        </w:rPr>
        <w:t>3</w:t>
      </w:r>
      <w:r>
        <w:rPr>
          <w:rFonts w:ascii="Times New Roman" w:hAnsi="Times New Roman" w:cs="Times New Roman"/>
        </w:rPr>
        <w:t>/a，全部为废水处理站回用水），其中损耗量约4m</w:t>
      </w:r>
      <w:r>
        <w:rPr>
          <w:rFonts w:ascii="Times New Roman" w:hAnsi="Times New Roman" w:cs="Times New Roman"/>
          <w:vertAlign w:val="superscript"/>
        </w:rPr>
        <w:t>3</w:t>
      </w:r>
      <w:r>
        <w:rPr>
          <w:rFonts w:ascii="Times New Roman" w:hAnsi="Times New Roman" w:cs="Times New Roman"/>
        </w:rPr>
        <w:t>/d（1200m</w:t>
      </w:r>
      <w:r>
        <w:rPr>
          <w:rFonts w:ascii="Times New Roman" w:hAnsi="Times New Roman" w:cs="Times New Roman"/>
          <w:vertAlign w:val="superscript"/>
        </w:rPr>
        <w:t>3</w:t>
      </w:r>
      <w:r>
        <w:rPr>
          <w:rFonts w:ascii="Times New Roman" w:hAnsi="Times New Roman" w:cs="Times New Roman"/>
        </w:rPr>
        <w:t>/a），产生的硫酸钠浓盐水为16m</w:t>
      </w:r>
      <w:r>
        <w:rPr>
          <w:rFonts w:ascii="Times New Roman" w:hAnsi="Times New Roman" w:cs="Times New Roman"/>
          <w:vertAlign w:val="superscript"/>
        </w:rPr>
        <w:t>3</w:t>
      </w:r>
      <w:r>
        <w:rPr>
          <w:rFonts w:ascii="Times New Roman" w:hAnsi="Times New Roman" w:cs="Times New Roman"/>
        </w:rPr>
        <w:t>/d（4800m</w:t>
      </w:r>
      <w:r>
        <w:rPr>
          <w:rFonts w:ascii="Times New Roman" w:hAnsi="Times New Roman" w:cs="Times New Roman"/>
          <w:vertAlign w:val="superscript"/>
        </w:rPr>
        <w:t>3</w:t>
      </w:r>
      <w:r>
        <w:rPr>
          <w:rFonts w:ascii="Times New Roman" w:hAnsi="Times New Roman" w:cs="Times New Roman"/>
        </w:rPr>
        <w:t>/a）。该部分废水排入公司工业废水处理站处理后全部回用。</w:t>
      </w:r>
    </w:p>
    <w:p>
      <w:pPr>
        <w:spacing w:line="360" w:lineRule="auto"/>
        <w:ind w:firstLine="482" w:firstLineChars="200"/>
        <w:rPr>
          <w:rFonts w:ascii="Times New Roman" w:hAnsi="Times New Roman" w:cs="Times New Roman"/>
          <w:b/>
        </w:rPr>
      </w:pPr>
      <w:r>
        <w:rPr>
          <w:rFonts w:ascii="Times New Roman" w:hAnsi="Times New Roman" w:cs="Times New Roman"/>
          <w:b/>
        </w:rPr>
        <w:t>（5）有机废气燃烧产生水</w:t>
      </w:r>
    </w:p>
    <w:p>
      <w:pPr>
        <w:spacing w:line="360" w:lineRule="auto"/>
        <w:ind w:firstLine="480" w:firstLineChars="200"/>
        <w:rPr>
          <w:rFonts w:ascii="Times New Roman" w:hAnsi="Times New Roman" w:cs="Times New Roman"/>
        </w:rPr>
      </w:pPr>
      <w:r>
        <w:rPr>
          <w:rFonts w:ascii="Times New Roman" w:hAnsi="Times New Roman" w:cs="Times New Roman"/>
        </w:rPr>
        <w:t>碳氢化合物通过裂解炉裂解后在二次燃烧室燃烧，产生的水约240m</w:t>
      </w:r>
      <w:r>
        <w:rPr>
          <w:rFonts w:ascii="Times New Roman" w:hAnsi="Times New Roman" w:cs="Times New Roman"/>
          <w:vertAlign w:val="superscript"/>
        </w:rPr>
        <w:t>3</w:t>
      </w:r>
      <w:r>
        <w:rPr>
          <w:rFonts w:ascii="Times New Roman" w:hAnsi="Times New Roman" w:cs="Times New Roman"/>
        </w:rPr>
        <w:t>/a（0.8m</w:t>
      </w:r>
      <w:r>
        <w:rPr>
          <w:rFonts w:ascii="Times New Roman" w:hAnsi="Times New Roman" w:cs="Times New Roman"/>
          <w:vertAlign w:val="superscript"/>
        </w:rPr>
        <w:t>3</w:t>
      </w:r>
      <w:r>
        <w:rPr>
          <w:rFonts w:ascii="Times New Roman" w:hAnsi="Times New Roman" w:cs="Times New Roman"/>
        </w:rPr>
        <w:t>/d），随高温烟气通过布袋除尘器最终进入三级水洗工序。</w:t>
      </w:r>
    </w:p>
    <w:p>
      <w:pPr>
        <w:spacing w:line="360" w:lineRule="auto"/>
        <w:ind w:firstLine="482" w:firstLineChars="200"/>
        <w:rPr>
          <w:rFonts w:ascii="Times New Roman" w:hAnsi="Times New Roman" w:cs="Times New Roman"/>
          <w:b/>
        </w:rPr>
      </w:pPr>
      <w:r>
        <w:rPr>
          <w:rFonts w:ascii="Times New Roman" w:hAnsi="Times New Roman" w:cs="Times New Roman"/>
          <w:b/>
        </w:rPr>
        <w:t>（6）蒸发结晶离心分离废水</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本项目蒸发结晶采用锅炉蒸汽间接加热，蒸汽冷凝水回用于锅炉。根据前述分析可知，进入蒸发结晶工序水量为224m</w:t>
      </w:r>
      <w:r>
        <w:rPr>
          <w:rFonts w:ascii="Times New Roman" w:hAnsi="Times New Roman" w:cs="Times New Roman"/>
          <w:u w:val="single"/>
          <w:vertAlign w:val="superscript"/>
        </w:rPr>
        <w:t>3</w:t>
      </w:r>
      <w:r>
        <w:rPr>
          <w:rFonts w:ascii="Times New Roman" w:hAnsi="Times New Roman" w:cs="Times New Roman"/>
          <w:u w:val="single"/>
        </w:rPr>
        <w:t>/d</w:t>
      </w:r>
      <w:r>
        <w:rPr>
          <w:rFonts w:hint="eastAsia" w:ascii="Times New Roman" w:hAnsi="Times New Roman" w:cs="Times New Roman"/>
          <w:u w:val="single"/>
        </w:rPr>
        <w:t>，</w:t>
      </w:r>
      <w:r>
        <w:rPr>
          <w:rFonts w:ascii="Times New Roman" w:hAnsi="Times New Roman" w:cs="Times New Roman"/>
          <w:u w:val="single"/>
        </w:rPr>
        <w:t>（67200m</w:t>
      </w:r>
      <w:r>
        <w:rPr>
          <w:rFonts w:ascii="Times New Roman" w:hAnsi="Times New Roman" w:cs="Times New Roman"/>
          <w:u w:val="single"/>
          <w:vertAlign w:val="superscript"/>
        </w:rPr>
        <w:t>3</w:t>
      </w:r>
      <w:r>
        <w:rPr>
          <w:rFonts w:ascii="Times New Roman" w:hAnsi="Times New Roman" w:cs="Times New Roman"/>
          <w:u w:val="single"/>
        </w:rPr>
        <w:t>/a），其</w:t>
      </w:r>
      <w:r>
        <w:rPr>
          <w:rFonts w:hint="eastAsia" w:ascii="Times New Roman" w:hAnsi="Times New Roman" w:cs="Times New Roman"/>
          <w:u w:val="single"/>
        </w:rPr>
        <w:t>冷凝水产量</w:t>
      </w:r>
      <w:r>
        <w:rPr>
          <w:rFonts w:ascii="Times New Roman" w:hAnsi="Times New Roman" w:cs="Times New Roman"/>
          <w:u w:val="single"/>
        </w:rPr>
        <w:t>约200m</w:t>
      </w:r>
      <w:r>
        <w:rPr>
          <w:rFonts w:ascii="Times New Roman" w:hAnsi="Times New Roman" w:cs="Times New Roman"/>
          <w:u w:val="single"/>
          <w:vertAlign w:val="superscript"/>
        </w:rPr>
        <w:t>3</w:t>
      </w:r>
      <w:r>
        <w:rPr>
          <w:rFonts w:ascii="Times New Roman" w:hAnsi="Times New Roman" w:cs="Times New Roman"/>
          <w:u w:val="single"/>
        </w:rPr>
        <w:t>/d（60000m</w:t>
      </w:r>
      <w:r>
        <w:rPr>
          <w:rFonts w:ascii="Times New Roman" w:hAnsi="Times New Roman" w:cs="Times New Roman"/>
          <w:u w:val="single"/>
          <w:vertAlign w:val="superscript"/>
        </w:rPr>
        <w:t>3</w:t>
      </w:r>
      <w:r>
        <w:rPr>
          <w:rFonts w:ascii="Times New Roman" w:hAnsi="Times New Roman" w:cs="Times New Roman"/>
          <w:u w:val="single"/>
        </w:rPr>
        <w:t>/a），进入产品的量为10m</w:t>
      </w:r>
      <w:r>
        <w:rPr>
          <w:rFonts w:ascii="Times New Roman" w:hAnsi="Times New Roman" w:cs="Times New Roman"/>
          <w:u w:val="single"/>
          <w:vertAlign w:val="superscript"/>
        </w:rPr>
        <w:t>3</w:t>
      </w:r>
      <w:r>
        <w:rPr>
          <w:rFonts w:ascii="Times New Roman" w:hAnsi="Times New Roman" w:cs="Times New Roman"/>
          <w:u w:val="single"/>
        </w:rPr>
        <w:t>/d（3000m</w:t>
      </w:r>
      <w:r>
        <w:rPr>
          <w:rFonts w:ascii="Times New Roman" w:hAnsi="Times New Roman" w:cs="Times New Roman"/>
          <w:u w:val="single"/>
          <w:vertAlign w:val="superscript"/>
        </w:rPr>
        <w:t>3</w:t>
      </w:r>
      <w:r>
        <w:rPr>
          <w:rFonts w:ascii="Times New Roman" w:hAnsi="Times New Roman" w:cs="Times New Roman"/>
          <w:u w:val="single"/>
        </w:rPr>
        <w:t>/a），废水产生量约14m</w:t>
      </w:r>
      <w:r>
        <w:rPr>
          <w:rFonts w:ascii="Times New Roman" w:hAnsi="Times New Roman" w:cs="Times New Roman"/>
          <w:u w:val="single"/>
          <w:vertAlign w:val="superscript"/>
        </w:rPr>
        <w:t>3</w:t>
      </w:r>
      <w:r>
        <w:rPr>
          <w:rFonts w:ascii="Times New Roman" w:hAnsi="Times New Roman" w:cs="Times New Roman"/>
          <w:u w:val="single"/>
        </w:rPr>
        <w:t>/d（4200m</w:t>
      </w:r>
      <w:r>
        <w:rPr>
          <w:rFonts w:ascii="Times New Roman" w:hAnsi="Times New Roman" w:cs="Times New Roman"/>
          <w:u w:val="single"/>
          <w:vertAlign w:val="superscript"/>
        </w:rPr>
        <w:t>3</w:t>
      </w:r>
      <w:r>
        <w:rPr>
          <w:rFonts w:ascii="Times New Roman" w:hAnsi="Times New Roman" w:cs="Times New Roman"/>
          <w:u w:val="single"/>
        </w:rPr>
        <w:t>/a）</w:t>
      </w:r>
      <w:r>
        <w:rPr>
          <w:rFonts w:hint="eastAsia" w:ascii="Times New Roman" w:hAnsi="Times New Roman" w:cs="Times New Roman"/>
          <w:u w:val="single"/>
        </w:rPr>
        <w:t>，</w:t>
      </w:r>
      <w:r>
        <w:rPr>
          <w:rFonts w:ascii="Times New Roman" w:hAnsi="Times New Roman" w:cs="Times New Roman"/>
          <w:u w:val="single"/>
        </w:rPr>
        <w:t>该部分废水进入厂区废水处理站处理后全部回用，不外排。</w:t>
      </w:r>
    </w:p>
    <w:p>
      <w:pPr>
        <w:spacing w:line="360" w:lineRule="auto"/>
        <w:ind w:firstLine="482" w:firstLineChars="200"/>
        <w:rPr>
          <w:rFonts w:ascii="Times New Roman" w:hAnsi="Times New Roman" w:cs="Times New Roman"/>
          <w:b/>
        </w:rPr>
      </w:pPr>
      <w:r>
        <w:rPr>
          <w:rFonts w:ascii="Times New Roman" w:hAnsi="Times New Roman" w:cs="Times New Roman"/>
          <w:b/>
        </w:rPr>
        <w:t>（7）车间地面冲洗用水</w:t>
      </w:r>
    </w:p>
    <w:p>
      <w:pPr>
        <w:spacing w:line="360" w:lineRule="auto"/>
        <w:ind w:firstLine="480" w:firstLineChars="200"/>
        <w:rPr>
          <w:rFonts w:ascii="Times New Roman" w:hAnsi="Times New Roman" w:cs="Times New Roman"/>
        </w:rPr>
      </w:pPr>
      <w:r>
        <w:rPr>
          <w:rFonts w:ascii="Times New Roman" w:hAnsi="Times New Roman" w:cs="Times New Roman"/>
        </w:rPr>
        <w:t>项目定期需要进行地坪清洗，年地面冲洗次数按200天计，冲洗水用量为10m</w:t>
      </w:r>
      <w:r>
        <w:rPr>
          <w:rFonts w:ascii="Times New Roman" w:hAnsi="Times New Roman" w:cs="Times New Roman"/>
          <w:vertAlign w:val="superscript"/>
        </w:rPr>
        <w:t>3</w:t>
      </w:r>
      <w:r>
        <w:rPr>
          <w:rFonts w:ascii="Times New Roman" w:hAnsi="Times New Roman" w:cs="Times New Roman"/>
        </w:rPr>
        <w:t>/d（2000m</w:t>
      </w:r>
      <w:r>
        <w:rPr>
          <w:rFonts w:ascii="Times New Roman" w:hAnsi="Times New Roman" w:cs="Times New Roman"/>
          <w:vertAlign w:val="superscript"/>
        </w:rPr>
        <w:t>3</w:t>
      </w:r>
      <w:r>
        <w:rPr>
          <w:rFonts w:ascii="Times New Roman" w:hAnsi="Times New Roman" w:cs="Times New Roman"/>
        </w:rPr>
        <w:t>/a），排污系数以0.8计，则冲洗水产生量为8m</w:t>
      </w:r>
      <w:r>
        <w:rPr>
          <w:rFonts w:ascii="Times New Roman" w:hAnsi="Times New Roman" w:cs="Times New Roman"/>
          <w:vertAlign w:val="superscript"/>
        </w:rPr>
        <w:t>3</w:t>
      </w:r>
      <w:r>
        <w:rPr>
          <w:rFonts w:ascii="Times New Roman" w:hAnsi="Times New Roman" w:cs="Times New Roman"/>
        </w:rPr>
        <w:t>/d（1600m</w:t>
      </w:r>
      <w:r>
        <w:rPr>
          <w:rFonts w:ascii="Times New Roman" w:hAnsi="Times New Roman" w:cs="Times New Roman"/>
          <w:vertAlign w:val="superscript"/>
        </w:rPr>
        <w:t>3</w:t>
      </w:r>
      <w:r>
        <w:rPr>
          <w:rFonts w:ascii="Times New Roman" w:hAnsi="Times New Roman" w:cs="Times New Roman"/>
        </w:rPr>
        <w:t>/a），地面冲洗水经收集后进入废水处理站处理后全部回用，不外排。</w:t>
      </w:r>
    </w:p>
    <w:p>
      <w:pPr>
        <w:spacing w:line="360" w:lineRule="auto"/>
        <w:ind w:firstLine="482" w:firstLineChars="200"/>
        <w:rPr>
          <w:rFonts w:ascii="Times New Roman" w:hAnsi="Times New Roman" w:cs="Times New Roman"/>
          <w:b/>
        </w:rPr>
      </w:pPr>
      <w:r>
        <w:rPr>
          <w:rFonts w:ascii="Times New Roman" w:hAnsi="Times New Roman" w:cs="Times New Roman"/>
          <w:b/>
        </w:rPr>
        <w:t>（</w:t>
      </w:r>
      <w:r>
        <w:rPr>
          <w:rFonts w:hint="eastAsia" w:ascii="Times New Roman" w:hAnsi="Times New Roman" w:cs="Times New Roman"/>
          <w:b/>
        </w:rPr>
        <w:t>8</w:t>
      </w:r>
      <w:r>
        <w:rPr>
          <w:rFonts w:ascii="Times New Roman" w:hAnsi="Times New Roman" w:cs="Times New Roman"/>
          <w:b/>
        </w:rPr>
        <w:t>）生活污水</w:t>
      </w:r>
    </w:p>
    <w:p>
      <w:pPr>
        <w:spacing w:line="360" w:lineRule="auto"/>
        <w:ind w:firstLine="480" w:firstLineChars="200"/>
        <w:rPr>
          <w:rFonts w:ascii="Times New Roman" w:hAnsi="Times New Roman" w:cs="Times New Roman"/>
        </w:rPr>
      </w:pPr>
      <w:r>
        <w:rPr>
          <w:rFonts w:ascii="Times New Roman" w:hAnsi="Times New Roman" w:cs="Times New Roman"/>
        </w:rPr>
        <w:t>本项目劳动定员188人</w:t>
      </w:r>
      <w:r>
        <w:rPr>
          <w:rFonts w:hint="eastAsia" w:ascii="Times New Roman" w:hAnsi="Times New Roman" w:cs="Times New Roman"/>
        </w:rPr>
        <w:t>（综合利用车间178人，梯次利用厂区10人）</w:t>
      </w:r>
      <w:r>
        <w:rPr>
          <w:rFonts w:ascii="Times New Roman" w:hAnsi="Times New Roman" w:cs="Times New Roman"/>
        </w:rPr>
        <w:t>，均在厂区内食宿。根据《湖南省用水定额》（DB43/T388-2020），项目运营期生活用水量为150L/人d，生活用水量28.2m</w:t>
      </w:r>
      <w:r>
        <w:rPr>
          <w:rFonts w:ascii="Times New Roman" w:hAnsi="Times New Roman" w:cs="Times New Roman"/>
          <w:vertAlign w:val="superscript"/>
        </w:rPr>
        <w:t>3</w:t>
      </w:r>
      <w:r>
        <w:rPr>
          <w:rFonts w:ascii="Times New Roman" w:hAnsi="Times New Roman" w:cs="Times New Roman"/>
        </w:rPr>
        <w:t>/d（8460m</w:t>
      </w:r>
      <w:r>
        <w:rPr>
          <w:rFonts w:ascii="Times New Roman" w:hAnsi="Times New Roman" w:cs="Times New Roman"/>
          <w:vertAlign w:val="superscript"/>
        </w:rPr>
        <w:t>3</w:t>
      </w:r>
      <w:r>
        <w:rPr>
          <w:rFonts w:ascii="Times New Roman" w:hAnsi="Times New Roman" w:cs="Times New Roman"/>
        </w:rPr>
        <w:t>/a）。生活污水产生量按用水量的80%计，则项目运营期生活污水产生量为22.56m</w:t>
      </w:r>
      <w:r>
        <w:rPr>
          <w:rFonts w:ascii="Times New Roman" w:hAnsi="Times New Roman" w:cs="Times New Roman"/>
          <w:vertAlign w:val="superscript"/>
        </w:rPr>
        <w:t>3</w:t>
      </w:r>
      <w:r>
        <w:rPr>
          <w:rFonts w:ascii="Times New Roman" w:hAnsi="Times New Roman" w:cs="Times New Roman"/>
        </w:rPr>
        <w:t>/d（6768m</w:t>
      </w:r>
      <w:r>
        <w:rPr>
          <w:rFonts w:ascii="Times New Roman" w:hAnsi="Times New Roman" w:cs="Times New Roman"/>
          <w:vertAlign w:val="superscript"/>
        </w:rPr>
        <w:t>3</w:t>
      </w:r>
      <w:r>
        <w:rPr>
          <w:rFonts w:ascii="Times New Roman" w:hAnsi="Times New Roman" w:cs="Times New Roman"/>
        </w:rPr>
        <w:t>/a）。项目生活污水经化粪池处理后经园区污水管网排入园区污水处理厂。</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w:t>
      </w:r>
      <w:r>
        <w:rPr>
          <w:rFonts w:hint="eastAsia" w:ascii="Times New Roman" w:hAnsi="Times New Roman" w:cs="Times New Roman"/>
          <w:b/>
          <w:u w:val="single"/>
        </w:rPr>
        <w:t>9</w:t>
      </w:r>
      <w:r>
        <w:rPr>
          <w:rFonts w:ascii="Times New Roman" w:hAnsi="Times New Roman" w:cs="Times New Roman"/>
          <w:b/>
          <w:u w:val="single"/>
        </w:rPr>
        <w:t>）</w:t>
      </w:r>
      <w:r>
        <w:rPr>
          <w:rFonts w:hint="eastAsia" w:ascii="Times New Roman" w:hAnsi="Times New Roman" w:cs="Times New Roman"/>
          <w:b/>
          <w:u w:val="single"/>
        </w:rPr>
        <w:t>回用水分析</w:t>
      </w:r>
    </w:p>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本项目可会用水主要为：经污水处理站处理后的可回用水，水量为23560</w:t>
      </w:r>
      <w:r>
        <w:rPr>
          <w:rFonts w:ascii="Times New Roman" w:hAnsi="Times New Roman" w:cs="Times New Roman"/>
          <w:u w:val="single"/>
        </w:rPr>
        <w:t>m</w:t>
      </w:r>
      <w:r>
        <w:rPr>
          <w:rFonts w:ascii="Times New Roman" w:hAnsi="Times New Roman" w:cs="Times New Roman"/>
          <w:u w:val="single"/>
          <w:vertAlign w:val="superscript"/>
        </w:rPr>
        <w:t>3</w:t>
      </w:r>
      <w:r>
        <w:rPr>
          <w:rFonts w:ascii="Times New Roman" w:hAnsi="Times New Roman" w:cs="Times New Roman"/>
          <w:u w:val="single"/>
        </w:rPr>
        <w:t>/a</w:t>
      </w:r>
      <w:r>
        <w:rPr>
          <w:rFonts w:hint="eastAsia" w:ascii="Times New Roman" w:hAnsi="Times New Roman" w:cs="Times New Roman"/>
          <w:u w:val="single"/>
        </w:rPr>
        <w:t>，MVR产生的冷凝水，水量为</w:t>
      </w:r>
      <w:r>
        <w:rPr>
          <w:rFonts w:ascii="Times New Roman" w:hAnsi="Times New Roman" w:cs="Times New Roman"/>
          <w:u w:val="single"/>
        </w:rPr>
        <w:t>60000m</w:t>
      </w:r>
      <w:r>
        <w:rPr>
          <w:rFonts w:ascii="Times New Roman" w:hAnsi="Times New Roman" w:cs="Times New Roman"/>
          <w:u w:val="single"/>
          <w:vertAlign w:val="superscript"/>
        </w:rPr>
        <w:t>3</w:t>
      </w:r>
      <w:r>
        <w:rPr>
          <w:rFonts w:ascii="Times New Roman" w:hAnsi="Times New Roman" w:cs="Times New Roman"/>
          <w:u w:val="single"/>
        </w:rPr>
        <w:t>/a，</w:t>
      </w:r>
      <w:r>
        <w:rPr>
          <w:rFonts w:hint="eastAsia" w:ascii="Times New Roman" w:hAnsi="Times New Roman" w:cs="Times New Roman"/>
          <w:u w:val="single"/>
        </w:rPr>
        <w:t>其余均采用新鲜用水。</w:t>
      </w:r>
    </w:p>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根据项目工艺要求及用水分析，新鲜用水主要用于软水制备、浆化用水、生活用水，总用水量为</w:t>
      </w:r>
      <w:r>
        <w:rPr>
          <w:rFonts w:ascii="Times New Roman" w:hAnsi="Times New Roman" w:cs="Times New Roman"/>
          <w:u w:val="single"/>
        </w:rPr>
        <w:t>134700m</w:t>
      </w:r>
      <w:r>
        <w:rPr>
          <w:rFonts w:ascii="Times New Roman" w:hAnsi="Times New Roman" w:cs="Times New Roman"/>
          <w:u w:val="single"/>
          <w:vertAlign w:val="superscript"/>
        </w:rPr>
        <w:t>3</w:t>
      </w:r>
      <w:r>
        <w:rPr>
          <w:rFonts w:ascii="Times New Roman" w:hAnsi="Times New Roman" w:cs="Times New Roman"/>
          <w:u w:val="single"/>
        </w:rPr>
        <w:t>/a</w:t>
      </w:r>
      <w:r>
        <w:rPr>
          <w:rFonts w:hint="eastAsia" w:ascii="Times New Roman" w:hAnsi="Times New Roman" w:cs="Times New Roman"/>
          <w:u w:val="single"/>
        </w:rPr>
        <w:t>，废水处理站处理后的可回用水，用于急冷、碱液喷淋、酸雾塔洗涤、酸雾塔洗涤，总用水量为</w:t>
      </w:r>
      <w:r>
        <w:rPr>
          <w:rFonts w:ascii="Times New Roman" w:hAnsi="Times New Roman" w:cs="Times New Roman"/>
          <w:u w:val="single"/>
        </w:rPr>
        <w:t>22500 m</w:t>
      </w:r>
      <w:r>
        <w:rPr>
          <w:rFonts w:ascii="Times New Roman" w:hAnsi="Times New Roman" w:cs="Times New Roman"/>
          <w:u w:val="single"/>
          <w:vertAlign w:val="superscript"/>
        </w:rPr>
        <w:t>3</w:t>
      </w:r>
      <w:r>
        <w:rPr>
          <w:rFonts w:ascii="Times New Roman" w:hAnsi="Times New Roman" w:cs="Times New Roman"/>
          <w:u w:val="single"/>
        </w:rPr>
        <w:t>/a</w:t>
      </w:r>
      <w:r>
        <w:rPr>
          <w:rFonts w:hint="eastAsia" w:ascii="Times New Roman" w:hAnsi="Times New Roman" w:cs="Times New Roman"/>
          <w:u w:val="single"/>
        </w:rPr>
        <w:t>，剩余可回用水可用于铁铝渣洗涤等工序，冷凝水可回用于三级水系、铁铝渣洗涤、反萃用水、地面冲洗，可用水量为</w:t>
      </w:r>
      <w:r>
        <w:rPr>
          <w:rFonts w:ascii="Times New Roman" w:hAnsi="Times New Roman" w:cs="Times New Roman"/>
          <w:u w:val="single"/>
        </w:rPr>
        <w:t>30070 m</w:t>
      </w:r>
      <w:r>
        <w:rPr>
          <w:rFonts w:ascii="Times New Roman" w:hAnsi="Times New Roman" w:cs="Times New Roman"/>
          <w:u w:val="single"/>
          <w:vertAlign w:val="superscript"/>
        </w:rPr>
        <w:t>3</w:t>
      </w:r>
      <w:r>
        <w:rPr>
          <w:rFonts w:ascii="Times New Roman" w:hAnsi="Times New Roman" w:cs="Times New Roman"/>
          <w:u w:val="single"/>
        </w:rPr>
        <w:t>/a</w:t>
      </w:r>
      <w:r>
        <w:rPr>
          <w:rFonts w:hint="eastAsia" w:ascii="Times New Roman" w:hAnsi="Times New Roman" w:cs="Times New Roman"/>
          <w:u w:val="single"/>
        </w:rPr>
        <w:t>，剩余</w:t>
      </w:r>
      <w:r>
        <w:rPr>
          <w:rFonts w:ascii="Times New Roman" w:hAnsi="Times New Roman" w:cs="Times New Roman"/>
          <w:u w:val="single"/>
        </w:rPr>
        <w:t>29930 m</w:t>
      </w:r>
      <w:r>
        <w:rPr>
          <w:rFonts w:ascii="Times New Roman" w:hAnsi="Times New Roman" w:cs="Times New Roman"/>
          <w:u w:val="single"/>
          <w:vertAlign w:val="superscript"/>
        </w:rPr>
        <w:t>3</w:t>
      </w:r>
      <w:r>
        <w:rPr>
          <w:rFonts w:ascii="Times New Roman" w:hAnsi="Times New Roman" w:cs="Times New Roman"/>
          <w:u w:val="single"/>
        </w:rPr>
        <w:t>/a</w:t>
      </w:r>
      <w:r>
        <w:rPr>
          <w:rFonts w:hint="eastAsia" w:ascii="Times New Roman" w:hAnsi="Times New Roman" w:cs="Times New Roman"/>
          <w:u w:val="single"/>
        </w:rPr>
        <w:t>（99.76</w:t>
      </w:r>
      <w:r>
        <w:rPr>
          <w:rFonts w:ascii="Times New Roman" w:hAnsi="Times New Roman" w:cs="Times New Roman"/>
          <w:u w:val="single"/>
        </w:rPr>
        <w:t xml:space="preserve"> m</w:t>
      </w:r>
      <w:r>
        <w:rPr>
          <w:rFonts w:ascii="Times New Roman" w:hAnsi="Times New Roman" w:cs="Times New Roman"/>
          <w:u w:val="single"/>
          <w:vertAlign w:val="superscript"/>
        </w:rPr>
        <w:t>3</w:t>
      </w:r>
      <w:r>
        <w:rPr>
          <w:rFonts w:ascii="Times New Roman" w:hAnsi="Times New Roman" w:cs="Times New Roman"/>
          <w:u w:val="single"/>
        </w:rPr>
        <w:t>/</w:t>
      </w:r>
      <w:r>
        <w:rPr>
          <w:rFonts w:hint="eastAsia" w:ascii="Times New Roman" w:hAnsi="Times New Roman" w:cs="Times New Roman"/>
          <w:u w:val="single"/>
        </w:rPr>
        <w:t>d）冷凝水需外排。</w:t>
      </w:r>
    </w:p>
    <w:p>
      <w:pPr>
        <w:spacing w:line="360" w:lineRule="auto"/>
        <w:ind w:firstLine="480" w:firstLineChars="200"/>
        <w:rPr>
          <w:rFonts w:ascii="Times New Roman" w:hAnsi="Times New Roman" w:cs="Times New Roman"/>
        </w:rPr>
      </w:pPr>
      <w:r>
        <w:rPr>
          <w:rFonts w:ascii="Times New Roman" w:hAnsi="Times New Roman" w:cs="Times New Roman"/>
        </w:rPr>
        <w:t>项目水平衡图见下图。</w:t>
      </w:r>
    </w:p>
    <w:p>
      <w:pPr>
        <w:spacing w:line="360" w:lineRule="auto"/>
        <w:jc w:val="center"/>
        <w:rPr>
          <w:rFonts w:ascii="Times New Roman" w:hAnsi="Times New Roman" w:cs="Times New Roman"/>
        </w:rPr>
      </w:pPr>
      <w:r>
        <w:object>
          <v:shape id="_x0000_i1032" o:spt="75" type="#_x0000_t75" style="height:640.95pt;width:414.8pt;" o:ole="t" filled="f" o:preferrelative="t" stroked="f" coordsize="21600,21600">
            <v:path/>
            <v:fill on="f" focussize="0,0"/>
            <v:stroke on="f" joinstyle="miter"/>
            <v:imagedata r:id="rId43" o:title=""/>
            <o:lock v:ext="edit" aspectratio="t"/>
            <w10:wrap type="none"/>
            <w10:anchorlock/>
          </v:shape>
          <o:OLEObject Type="Embed" ProgID="Visio.Drawing.11" ShapeID="_x0000_i1032" DrawAspect="Content" ObjectID="_1468075732" r:id="rId42">
            <o:LockedField>false</o:LockedField>
          </o:OLEObject>
        </w:object>
      </w:r>
    </w:p>
    <w:p>
      <w:pPr>
        <w:pStyle w:val="6"/>
        <w:rPr>
          <w:rFonts w:ascii="Times New Roman" w:hAnsi="Times New Roman" w:cs="Times New Roman"/>
        </w:rPr>
      </w:pPr>
      <w:r>
        <w:rPr>
          <w:rFonts w:ascii="Times New Roman" w:hAnsi="Times New Roman" w:cs="Times New Roman"/>
        </w:rPr>
        <w:t>图3.2-</w:t>
      </w:r>
      <w:r>
        <w:rPr>
          <w:rFonts w:hint="eastAsia" w:ascii="Times New Roman" w:hAnsi="Times New Roman" w:cs="Times New Roman"/>
        </w:rPr>
        <w:t>9</w:t>
      </w:r>
      <w:r>
        <w:rPr>
          <w:rFonts w:ascii="Times New Roman" w:hAnsi="Times New Roman" w:cs="Times New Roman"/>
        </w:rPr>
        <w:t xml:space="preserve">  本项目建成后全厂水平衡图单位：m</w:t>
      </w:r>
      <w:r>
        <w:rPr>
          <w:rFonts w:ascii="Times New Roman" w:hAnsi="Times New Roman" w:cs="Times New Roman"/>
          <w:vertAlign w:val="superscript"/>
        </w:rPr>
        <w:t>3</w:t>
      </w:r>
      <w:r>
        <w:rPr>
          <w:rFonts w:ascii="Times New Roman" w:hAnsi="Times New Roman" w:cs="Times New Roman"/>
        </w:rPr>
        <w:t>/a</w:t>
      </w:r>
    </w:p>
    <w:p>
      <w:pPr>
        <w:pStyle w:val="4"/>
        <w:rPr>
          <w:rFonts w:ascii="Times New Roman" w:hAnsi="Times New Roman" w:cs="Times New Roman"/>
        </w:rPr>
      </w:pPr>
      <w:bookmarkStart w:id="178" w:name="_Toc144276895"/>
      <w:bookmarkStart w:id="179" w:name="_Toc144236765"/>
      <w:bookmarkStart w:id="180" w:name="_Toc147848015"/>
      <w:r>
        <w:rPr>
          <w:rFonts w:ascii="Times New Roman" w:hAnsi="Times New Roman" w:cs="Times New Roman"/>
        </w:rPr>
        <w:t>3.2.5 运营期污染源强核算</w:t>
      </w:r>
      <w:bookmarkEnd w:id="178"/>
      <w:bookmarkEnd w:id="179"/>
      <w:bookmarkEnd w:id="180"/>
    </w:p>
    <w:p>
      <w:pPr>
        <w:pStyle w:val="5"/>
        <w:ind w:firstLine="482"/>
      </w:pPr>
      <w:bookmarkStart w:id="181" w:name="_Toc144276897"/>
      <w:bookmarkStart w:id="182" w:name="_Toc144236767"/>
      <w:r>
        <w:rPr>
          <w:rFonts w:ascii="Times New Roman" w:hAnsi="Times New Roman" w:cs="Times New Roman"/>
        </w:rPr>
        <w:t>3.2.5</w:t>
      </w:r>
      <w:r>
        <w:rPr>
          <w:rFonts w:hint="eastAsia" w:ascii="Times New Roman" w:hAnsi="Times New Roman" w:cs="Times New Roman"/>
        </w:rPr>
        <w:t>.1</w:t>
      </w:r>
      <w:r>
        <w:t xml:space="preserve"> 梯次利用</w:t>
      </w:r>
      <w:r>
        <w:rPr>
          <w:rFonts w:hint="eastAsia"/>
        </w:rPr>
        <w:t>厂区</w:t>
      </w:r>
      <w:r>
        <w:t>产排污分析</w:t>
      </w:r>
      <w:bookmarkEnd w:id="181"/>
      <w:bookmarkEnd w:id="182"/>
    </w:p>
    <w:p>
      <w:pPr>
        <w:spacing w:line="360" w:lineRule="auto"/>
        <w:ind w:firstLine="480"/>
        <w:rPr>
          <w:rFonts w:ascii="Times New Roman" w:hAnsi="Times New Roman" w:cs="Times New Roman"/>
          <w:b/>
          <w:kern w:val="0"/>
        </w:rPr>
      </w:pPr>
      <w:r>
        <w:rPr>
          <w:rFonts w:hint="eastAsia" w:ascii="Times New Roman" w:hAnsi="Times New Roman" w:cs="Times New Roman"/>
          <w:b/>
          <w:kern w:val="0"/>
        </w:rPr>
        <w:t>（1）</w:t>
      </w:r>
      <w:r>
        <w:rPr>
          <w:rFonts w:ascii="Times New Roman" w:hAnsi="Times New Roman" w:cs="Times New Roman"/>
          <w:b/>
          <w:kern w:val="0"/>
        </w:rPr>
        <w:t xml:space="preserve">废气 </w:t>
      </w:r>
    </w:p>
    <w:p>
      <w:pPr>
        <w:spacing w:line="360" w:lineRule="auto"/>
        <w:ind w:firstLine="480"/>
        <w:rPr>
          <w:rFonts w:ascii="Times New Roman" w:hAnsi="Times New Roman" w:cs="Times New Roman"/>
          <w:kern w:val="0"/>
        </w:rPr>
      </w:pPr>
      <w:r>
        <w:rPr>
          <w:rFonts w:ascii="Times New Roman" w:hAnsi="Times New Roman" w:cs="Times New Roman"/>
          <w:kern w:val="0"/>
        </w:rPr>
        <w:t>本项目废旧动力电池梯次利用过程中产生的废气污染物主要为颗粒物，来自激光焊接过程产生的少量焊烟。</w:t>
      </w:r>
    </w:p>
    <w:p>
      <w:pPr>
        <w:spacing w:line="360" w:lineRule="auto"/>
        <w:ind w:firstLine="480"/>
        <w:rPr>
          <w:rFonts w:ascii="Times New Roman" w:hAnsi="Times New Roman" w:cs="Times New Roman"/>
          <w:kern w:val="0"/>
        </w:rPr>
      </w:pPr>
      <w:r>
        <w:rPr>
          <w:rFonts w:ascii="Times New Roman" w:hAnsi="Times New Roman" w:cs="Times New Roman"/>
          <w:kern w:val="0"/>
        </w:rPr>
        <w:t>小模组并组过程中模组之间的拟采用焊接进行连接，焊接拟采用激光焊接工艺，激光焊接工作原理是通过高能激光加热瞬间使两焊接件接触处产生融化，从而起到焊接的作用，焊接过程不使用任何助焊剂，焊接废气经激光焊接机自带烟雾净化设备进行处理后车间内排放，激光焊接过程会产生很少量的废气，本环评不做定量分析。</w:t>
      </w:r>
    </w:p>
    <w:p>
      <w:pPr>
        <w:spacing w:line="360" w:lineRule="auto"/>
        <w:ind w:firstLine="480"/>
        <w:rPr>
          <w:rFonts w:ascii="Times New Roman" w:hAnsi="Times New Roman" w:cs="Times New Roman"/>
          <w:kern w:val="0"/>
        </w:rPr>
      </w:pPr>
      <w:r>
        <w:rPr>
          <w:rFonts w:ascii="Times New Roman" w:hAnsi="Times New Roman" w:cs="Times New Roman"/>
          <w:kern w:val="0"/>
        </w:rPr>
        <w:t>项目梯次利用规模为25000t/a，焊接量少，产生的烟尘量较少。</w:t>
      </w:r>
    </w:p>
    <w:p>
      <w:pPr>
        <w:spacing w:line="360" w:lineRule="auto"/>
        <w:ind w:firstLine="480"/>
        <w:rPr>
          <w:rFonts w:ascii="Times New Roman" w:hAnsi="Times New Roman" w:cs="Times New Roman"/>
          <w:b/>
          <w:kern w:val="0"/>
        </w:rPr>
      </w:pPr>
      <w:r>
        <w:rPr>
          <w:rFonts w:hint="eastAsia" w:ascii="Times New Roman" w:hAnsi="Times New Roman" w:cs="Times New Roman"/>
          <w:b/>
          <w:kern w:val="0"/>
        </w:rPr>
        <w:t>（2）</w:t>
      </w:r>
      <w:r>
        <w:rPr>
          <w:rFonts w:ascii="Times New Roman" w:hAnsi="Times New Roman" w:cs="Times New Roman"/>
          <w:b/>
          <w:kern w:val="0"/>
        </w:rPr>
        <w:t>废水</w:t>
      </w:r>
    </w:p>
    <w:p>
      <w:pPr>
        <w:spacing w:line="360" w:lineRule="auto"/>
        <w:ind w:firstLine="480"/>
        <w:rPr>
          <w:rFonts w:ascii="Times New Roman" w:hAnsi="Times New Roman" w:cs="Times New Roman"/>
          <w:kern w:val="0"/>
        </w:rPr>
      </w:pPr>
      <w:r>
        <w:rPr>
          <w:rFonts w:ascii="Times New Roman" w:hAnsi="Times New Roman" w:cs="Times New Roman"/>
          <w:kern w:val="0"/>
        </w:rPr>
        <w:t>本项目进行25000t/a的梯次利用，其生产过程中无生产废水产生。产生的废水主要为生活污水。</w:t>
      </w:r>
    </w:p>
    <w:p>
      <w:pPr>
        <w:spacing w:line="360" w:lineRule="auto"/>
        <w:ind w:firstLine="480"/>
        <w:rPr>
          <w:rFonts w:ascii="Times New Roman" w:hAnsi="Times New Roman" w:cs="Times New Roman"/>
        </w:rPr>
      </w:pPr>
      <w:r>
        <w:rPr>
          <w:rFonts w:ascii="Times New Roman" w:hAnsi="Times New Roman" w:cs="Times New Roman"/>
          <w:kern w:val="0"/>
        </w:rPr>
        <w:t>项目梯次利用车间劳动定员为10人，</w:t>
      </w:r>
      <w:r>
        <w:rPr>
          <w:rFonts w:ascii="Times New Roman" w:hAnsi="Times New Roman" w:cs="Times New Roman"/>
        </w:rPr>
        <w:t>厂区生活污水产生量为360m</w:t>
      </w:r>
      <w:r>
        <w:rPr>
          <w:rFonts w:ascii="Times New Roman" w:hAnsi="Times New Roman" w:cs="Times New Roman"/>
          <w:vertAlign w:val="superscript"/>
        </w:rPr>
        <w:t>3</w:t>
      </w:r>
      <w:r>
        <w:rPr>
          <w:rFonts w:ascii="Times New Roman" w:hAnsi="Times New Roman" w:cs="Times New Roman"/>
        </w:rPr>
        <w:t>/a，依托化粪池处理后排入园区管网，进入园区污水处理厂进行处理。</w:t>
      </w:r>
    </w:p>
    <w:p>
      <w:pPr>
        <w:spacing w:line="360" w:lineRule="auto"/>
        <w:ind w:firstLine="480"/>
        <w:rPr>
          <w:rFonts w:ascii="Times New Roman" w:hAnsi="Times New Roman" w:cs="Times New Roman"/>
        </w:rPr>
      </w:pPr>
      <w:r>
        <w:rPr>
          <w:rFonts w:ascii="Times New Roman" w:hAnsi="Times New Roman" w:cs="Times New Roman"/>
          <w:kern w:val="0"/>
        </w:rPr>
        <w:t>梯次利用车间</w:t>
      </w:r>
      <w:r>
        <w:rPr>
          <w:rFonts w:ascii="Times New Roman" w:hAnsi="Times New Roman" w:cs="Times New Roman"/>
        </w:rPr>
        <w:t>生活污水量纳入项目生活污水总量进行分析。</w:t>
      </w:r>
    </w:p>
    <w:p>
      <w:pPr>
        <w:spacing w:line="360" w:lineRule="auto"/>
        <w:ind w:firstLine="480"/>
        <w:rPr>
          <w:rFonts w:ascii="Times New Roman" w:hAnsi="Times New Roman" w:cs="Times New Roman"/>
          <w:b/>
          <w:kern w:val="0"/>
        </w:rPr>
      </w:pPr>
      <w:r>
        <w:rPr>
          <w:rFonts w:hint="eastAsia" w:ascii="Times New Roman" w:hAnsi="Times New Roman" w:cs="Times New Roman"/>
          <w:b/>
          <w:kern w:val="0"/>
        </w:rPr>
        <w:t>（3）</w:t>
      </w:r>
      <w:r>
        <w:rPr>
          <w:rFonts w:ascii="Times New Roman" w:hAnsi="Times New Roman" w:cs="Times New Roman"/>
          <w:b/>
          <w:kern w:val="0"/>
        </w:rPr>
        <w:t>噪声</w:t>
      </w:r>
    </w:p>
    <w:p>
      <w:pPr>
        <w:spacing w:line="360" w:lineRule="auto"/>
        <w:ind w:firstLine="480"/>
        <w:rPr>
          <w:rFonts w:ascii="Times New Roman" w:hAnsi="Times New Roman" w:cs="Times New Roman"/>
          <w:kern w:val="0"/>
        </w:rPr>
      </w:pPr>
      <w:r>
        <w:rPr>
          <w:rFonts w:ascii="Times New Roman" w:hAnsi="Times New Roman" w:cs="Times New Roman"/>
          <w:kern w:val="0"/>
        </w:rPr>
        <w:t>梯次利用车间产生噪声的主要设备是设备噪声等，噪声声级为70~85dB（A），主要噪声设备见下表。对高噪声设备，除采取设置减震基础、安装消声装置等降噪措施外，还利用建筑隔声来减轻设备噪声对外部环境的影响。</w:t>
      </w:r>
    </w:p>
    <w:p>
      <w:pPr>
        <w:pStyle w:val="6"/>
        <w:rPr>
          <w:rFonts w:ascii="Times New Roman" w:hAnsi="Times New Roman" w:cs="Times New Roman"/>
        </w:rPr>
      </w:pPr>
      <w:r>
        <w:rPr>
          <w:rFonts w:ascii="Times New Roman" w:hAnsi="Times New Roman" w:cs="Times New Roman"/>
        </w:rPr>
        <w:t>表3.2</w:t>
      </w:r>
      <w:r>
        <w:rPr>
          <w:rFonts w:hint="eastAsia" w:ascii="Times New Roman" w:hAnsi="Times New Roman" w:cs="Times New Roman"/>
        </w:rPr>
        <w:t>-15</w:t>
      </w:r>
      <w:r>
        <w:rPr>
          <w:rFonts w:ascii="Times New Roman" w:hAnsi="Times New Roman" w:cs="Times New Roman"/>
        </w:rPr>
        <w:t xml:space="preserve">  主要新增噪声源统计结果表</w:t>
      </w:r>
    </w:p>
    <w:tbl>
      <w:tblPr>
        <w:tblStyle w:val="35"/>
        <w:tblW w:w="8505" w:type="dxa"/>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0" w:type="dxa"/>
          <w:bottom w:w="0" w:type="dxa"/>
          <w:right w:w="0" w:type="dxa"/>
        </w:tblCellMar>
      </w:tblPr>
      <w:tblGrid>
        <w:gridCol w:w="541"/>
        <w:gridCol w:w="1680"/>
        <w:gridCol w:w="909"/>
        <w:gridCol w:w="1099"/>
        <w:gridCol w:w="2186"/>
        <w:gridCol w:w="1100"/>
        <w:gridCol w:w="990"/>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41" w:type="dxa"/>
            <w:vAlign w:val="center"/>
          </w:tcPr>
          <w:p>
            <w:pPr>
              <w:pStyle w:val="63"/>
            </w:pPr>
            <w:r>
              <w:t>序 号</w:t>
            </w:r>
          </w:p>
        </w:tc>
        <w:tc>
          <w:tcPr>
            <w:tcW w:w="1680" w:type="dxa"/>
            <w:vAlign w:val="center"/>
          </w:tcPr>
          <w:p>
            <w:pPr>
              <w:pStyle w:val="63"/>
            </w:pPr>
            <w:r>
              <w:t>噪声源</w:t>
            </w:r>
          </w:p>
        </w:tc>
        <w:tc>
          <w:tcPr>
            <w:tcW w:w="909" w:type="dxa"/>
            <w:vAlign w:val="center"/>
          </w:tcPr>
          <w:p>
            <w:pPr>
              <w:pStyle w:val="63"/>
            </w:pPr>
            <w:r>
              <w:t>数量(台)</w:t>
            </w:r>
          </w:p>
        </w:tc>
        <w:tc>
          <w:tcPr>
            <w:tcW w:w="1099" w:type="dxa"/>
            <w:vAlign w:val="center"/>
          </w:tcPr>
          <w:p>
            <w:pPr>
              <w:pStyle w:val="63"/>
            </w:pPr>
            <w:r>
              <w:t>噪声强度</w:t>
            </w:r>
          </w:p>
        </w:tc>
        <w:tc>
          <w:tcPr>
            <w:tcW w:w="2186" w:type="dxa"/>
            <w:vAlign w:val="center"/>
          </w:tcPr>
          <w:p>
            <w:pPr>
              <w:pStyle w:val="63"/>
            </w:pPr>
            <w:r>
              <w:t>防治措施</w:t>
            </w:r>
          </w:p>
        </w:tc>
        <w:tc>
          <w:tcPr>
            <w:tcW w:w="1100" w:type="dxa"/>
            <w:vAlign w:val="center"/>
          </w:tcPr>
          <w:p>
            <w:pPr>
              <w:pStyle w:val="63"/>
            </w:pPr>
            <w:r>
              <w:t>降噪量</w:t>
            </w:r>
          </w:p>
        </w:tc>
        <w:tc>
          <w:tcPr>
            <w:tcW w:w="990" w:type="dxa"/>
            <w:vAlign w:val="center"/>
          </w:tcPr>
          <w:p>
            <w:pPr>
              <w:pStyle w:val="63"/>
            </w:pPr>
            <w:r>
              <w:t>排放噪声</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41" w:type="dxa"/>
            <w:vAlign w:val="center"/>
          </w:tcPr>
          <w:p>
            <w:pPr>
              <w:pStyle w:val="63"/>
            </w:pPr>
            <w:r>
              <w:t>1</w:t>
            </w:r>
          </w:p>
        </w:tc>
        <w:tc>
          <w:tcPr>
            <w:tcW w:w="1680" w:type="dxa"/>
            <w:vAlign w:val="center"/>
          </w:tcPr>
          <w:p>
            <w:pPr>
              <w:pStyle w:val="63"/>
            </w:pPr>
            <w:r>
              <w:t>输送线</w:t>
            </w:r>
          </w:p>
        </w:tc>
        <w:tc>
          <w:tcPr>
            <w:tcW w:w="909" w:type="dxa"/>
            <w:vAlign w:val="center"/>
          </w:tcPr>
          <w:p>
            <w:pPr>
              <w:pStyle w:val="63"/>
            </w:pPr>
            <w:r>
              <w:t>1</w:t>
            </w:r>
          </w:p>
        </w:tc>
        <w:tc>
          <w:tcPr>
            <w:tcW w:w="1099" w:type="dxa"/>
            <w:vAlign w:val="center"/>
          </w:tcPr>
          <w:p>
            <w:pPr>
              <w:pStyle w:val="63"/>
            </w:pPr>
            <w:r>
              <w:t>75~85</w:t>
            </w:r>
          </w:p>
        </w:tc>
        <w:tc>
          <w:tcPr>
            <w:tcW w:w="2186" w:type="dxa"/>
            <w:vAlign w:val="center"/>
          </w:tcPr>
          <w:p>
            <w:pPr>
              <w:pStyle w:val="63"/>
            </w:pPr>
            <w:r>
              <w:t>基础减振、厂房隔声</w:t>
            </w:r>
          </w:p>
        </w:tc>
        <w:tc>
          <w:tcPr>
            <w:tcW w:w="1100" w:type="dxa"/>
            <w:vAlign w:val="center"/>
          </w:tcPr>
          <w:p>
            <w:pPr>
              <w:pStyle w:val="63"/>
            </w:pPr>
            <w:r>
              <w:t>15</w:t>
            </w:r>
          </w:p>
        </w:tc>
        <w:tc>
          <w:tcPr>
            <w:tcW w:w="990" w:type="dxa"/>
            <w:vAlign w:val="center"/>
          </w:tcPr>
          <w:p>
            <w:pPr>
              <w:pStyle w:val="63"/>
            </w:pPr>
            <w: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41" w:type="dxa"/>
            <w:vAlign w:val="center"/>
          </w:tcPr>
          <w:p>
            <w:pPr>
              <w:pStyle w:val="63"/>
            </w:pPr>
            <w:r>
              <w:t>3</w:t>
            </w:r>
          </w:p>
        </w:tc>
        <w:tc>
          <w:tcPr>
            <w:tcW w:w="1680" w:type="dxa"/>
            <w:vAlign w:val="center"/>
          </w:tcPr>
          <w:p>
            <w:pPr>
              <w:pStyle w:val="63"/>
            </w:pPr>
            <w:r>
              <w:t>测试柜</w:t>
            </w:r>
          </w:p>
        </w:tc>
        <w:tc>
          <w:tcPr>
            <w:tcW w:w="909" w:type="dxa"/>
            <w:vAlign w:val="center"/>
          </w:tcPr>
          <w:p>
            <w:pPr>
              <w:pStyle w:val="63"/>
            </w:pPr>
            <w:r>
              <w:t>1</w:t>
            </w:r>
          </w:p>
        </w:tc>
        <w:tc>
          <w:tcPr>
            <w:tcW w:w="1099" w:type="dxa"/>
            <w:vAlign w:val="center"/>
          </w:tcPr>
          <w:p>
            <w:pPr>
              <w:pStyle w:val="63"/>
            </w:pPr>
            <w:r>
              <w:t>70~80</w:t>
            </w:r>
          </w:p>
        </w:tc>
        <w:tc>
          <w:tcPr>
            <w:tcW w:w="2186" w:type="dxa"/>
            <w:vAlign w:val="center"/>
          </w:tcPr>
          <w:p>
            <w:pPr>
              <w:pStyle w:val="63"/>
            </w:pPr>
            <w:r>
              <w:t>基础减振、厂房隔声</w:t>
            </w:r>
          </w:p>
        </w:tc>
        <w:tc>
          <w:tcPr>
            <w:tcW w:w="1100" w:type="dxa"/>
            <w:vAlign w:val="center"/>
          </w:tcPr>
          <w:p>
            <w:pPr>
              <w:pStyle w:val="63"/>
            </w:pPr>
            <w:r>
              <w:t>15</w:t>
            </w:r>
          </w:p>
        </w:tc>
        <w:tc>
          <w:tcPr>
            <w:tcW w:w="990" w:type="dxa"/>
            <w:vAlign w:val="center"/>
          </w:tcPr>
          <w:p>
            <w:pPr>
              <w:pStyle w:val="63"/>
            </w:pPr>
            <w:r>
              <w:t>55~65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41" w:type="dxa"/>
            <w:vAlign w:val="center"/>
          </w:tcPr>
          <w:p>
            <w:pPr>
              <w:pStyle w:val="63"/>
            </w:pPr>
            <w:r>
              <w:t>4</w:t>
            </w:r>
          </w:p>
        </w:tc>
        <w:tc>
          <w:tcPr>
            <w:tcW w:w="1680" w:type="dxa"/>
            <w:vAlign w:val="center"/>
          </w:tcPr>
          <w:p>
            <w:pPr>
              <w:pStyle w:val="63"/>
            </w:pPr>
            <w:r>
              <w:t>行吊</w:t>
            </w:r>
          </w:p>
        </w:tc>
        <w:tc>
          <w:tcPr>
            <w:tcW w:w="909" w:type="dxa"/>
            <w:vAlign w:val="center"/>
          </w:tcPr>
          <w:p>
            <w:pPr>
              <w:pStyle w:val="63"/>
            </w:pPr>
            <w:r>
              <w:t>1</w:t>
            </w:r>
          </w:p>
        </w:tc>
        <w:tc>
          <w:tcPr>
            <w:tcW w:w="1099" w:type="dxa"/>
            <w:vAlign w:val="center"/>
          </w:tcPr>
          <w:p>
            <w:pPr>
              <w:pStyle w:val="63"/>
            </w:pPr>
            <w:r>
              <w:t>75~85</w:t>
            </w:r>
          </w:p>
        </w:tc>
        <w:tc>
          <w:tcPr>
            <w:tcW w:w="2186" w:type="dxa"/>
            <w:vAlign w:val="center"/>
          </w:tcPr>
          <w:p>
            <w:pPr>
              <w:pStyle w:val="63"/>
            </w:pPr>
            <w:r>
              <w:t>基础减振、厂房隔声</w:t>
            </w:r>
          </w:p>
        </w:tc>
        <w:tc>
          <w:tcPr>
            <w:tcW w:w="1100" w:type="dxa"/>
            <w:vAlign w:val="center"/>
          </w:tcPr>
          <w:p>
            <w:pPr>
              <w:pStyle w:val="63"/>
            </w:pPr>
            <w:r>
              <w:t>15</w:t>
            </w:r>
          </w:p>
        </w:tc>
        <w:tc>
          <w:tcPr>
            <w:tcW w:w="990" w:type="dxa"/>
            <w:vAlign w:val="center"/>
          </w:tcPr>
          <w:p>
            <w:pPr>
              <w:pStyle w:val="63"/>
            </w:pPr>
            <w:r>
              <w:t>55~65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41" w:type="dxa"/>
            <w:vAlign w:val="center"/>
          </w:tcPr>
          <w:p>
            <w:pPr>
              <w:pStyle w:val="63"/>
            </w:pPr>
            <w:r>
              <w:t>5</w:t>
            </w:r>
          </w:p>
        </w:tc>
        <w:tc>
          <w:tcPr>
            <w:tcW w:w="1680" w:type="dxa"/>
            <w:vAlign w:val="center"/>
          </w:tcPr>
          <w:p>
            <w:pPr>
              <w:pStyle w:val="63"/>
            </w:pPr>
            <w:r>
              <w:t>模组拆卸</w:t>
            </w:r>
          </w:p>
        </w:tc>
        <w:tc>
          <w:tcPr>
            <w:tcW w:w="909" w:type="dxa"/>
            <w:vAlign w:val="center"/>
          </w:tcPr>
          <w:p>
            <w:pPr>
              <w:pStyle w:val="63"/>
            </w:pPr>
            <w:r>
              <w:t>1</w:t>
            </w:r>
          </w:p>
        </w:tc>
        <w:tc>
          <w:tcPr>
            <w:tcW w:w="1099" w:type="dxa"/>
            <w:vAlign w:val="center"/>
          </w:tcPr>
          <w:p>
            <w:pPr>
              <w:pStyle w:val="63"/>
            </w:pPr>
            <w:r>
              <w:t>75~85</w:t>
            </w:r>
          </w:p>
        </w:tc>
        <w:tc>
          <w:tcPr>
            <w:tcW w:w="2186" w:type="dxa"/>
            <w:vAlign w:val="center"/>
          </w:tcPr>
          <w:p>
            <w:pPr>
              <w:pStyle w:val="63"/>
            </w:pPr>
            <w:r>
              <w:t>基础减振、厂房隔声</w:t>
            </w:r>
          </w:p>
        </w:tc>
        <w:tc>
          <w:tcPr>
            <w:tcW w:w="1100" w:type="dxa"/>
            <w:vAlign w:val="center"/>
          </w:tcPr>
          <w:p>
            <w:pPr>
              <w:pStyle w:val="63"/>
            </w:pPr>
            <w:r>
              <w:t>15</w:t>
            </w:r>
          </w:p>
        </w:tc>
        <w:tc>
          <w:tcPr>
            <w:tcW w:w="990" w:type="dxa"/>
            <w:vAlign w:val="center"/>
          </w:tcPr>
          <w:p>
            <w:pPr>
              <w:pStyle w:val="63"/>
            </w:pPr>
            <w:r>
              <w:t>55~65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PrEx>
        <w:trPr>
          <w:trHeight w:val="340" w:hRule="atLeast"/>
          <w:jc w:val="center"/>
        </w:trPr>
        <w:tc>
          <w:tcPr>
            <w:tcW w:w="541" w:type="dxa"/>
            <w:vAlign w:val="center"/>
          </w:tcPr>
          <w:p>
            <w:pPr>
              <w:pStyle w:val="63"/>
            </w:pPr>
            <w:r>
              <w:t>6</w:t>
            </w:r>
          </w:p>
        </w:tc>
        <w:tc>
          <w:tcPr>
            <w:tcW w:w="1680" w:type="dxa"/>
            <w:vAlign w:val="center"/>
          </w:tcPr>
          <w:p>
            <w:pPr>
              <w:pStyle w:val="63"/>
            </w:pPr>
            <w:r>
              <w:t>叉车</w:t>
            </w:r>
          </w:p>
        </w:tc>
        <w:tc>
          <w:tcPr>
            <w:tcW w:w="909" w:type="dxa"/>
            <w:vAlign w:val="center"/>
          </w:tcPr>
          <w:p>
            <w:pPr>
              <w:pStyle w:val="63"/>
            </w:pPr>
            <w:r>
              <w:t>1</w:t>
            </w:r>
          </w:p>
        </w:tc>
        <w:tc>
          <w:tcPr>
            <w:tcW w:w="1099" w:type="dxa"/>
            <w:vAlign w:val="center"/>
          </w:tcPr>
          <w:p>
            <w:pPr>
              <w:pStyle w:val="63"/>
            </w:pPr>
            <w:r>
              <w:t>75~85</w:t>
            </w:r>
          </w:p>
        </w:tc>
        <w:tc>
          <w:tcPr>
            <w:tcW w:w="2186" w:type="dxa"/>
            <w:vAlign w:val="center"/>
          </w:tcPr>
          <w:p>
            <w:pPr>
              <w:pStyle w:val="63"/>
            </w:pPr>
            <w:r>
              <w:t>基础减振、厂房隔声</w:t>
            </w:r>
          </w:p>
        </w:tc>
        <w:tc>
          <w:tcPr>
            <w:tcW w:w="1100" w:type="dxa"/>
            <w:vAlign w:val="center"/>
          </w:tcPr>
          <w:p>
            <w:pPr>
              <w:pStyle w:val="63"/>
            </w:pPr>
            <w:r>
              <w:t>15</w:t>
            </w:r>
          </w:p>
        </w:tc>
        <w:tc>
          <w:tcPr>
            <w:tcW w:w="990" w:type="dxa"/>
            <w:vAlign w:val="center"/>
          </w:tcPr>
          <w:p>
            <w:pPr>
              <w:pStyle w:val="63"/>
            </w:pPr>
            <w:r>
              <w:t>55~65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41" w:type="dxa"/>
            <w:vAlign w:val="center"/>
          </w:tcPr>
          <w:p>
            <w:pPr>
              <w:pStyle w:val="63"/>
            </w:pPr>
            <w:r>
              <w:t>7</w:t>
            </w:r>
          </w:p>
        </w:tc>
        <w:tc>
          <w:tcPr>
            <w:tcW w:w="1680" w:type="dxa"/>
            <w:vAlign w:val="center"/>
          </w:tcPr>
          <w:p>
            <w:pPr>
              <w:pStyle w:val="63"/>
            </w:pPr>
            <w:r>
              <w:rPr>
                <w:kern w:val="0"/>
              </w:rPr>
              <w:t>智能折臂吊</w:t>
            </w:r>
          </w:p>
        </w:tc>
        <w:tc>
          <w:tcPr>
            <w:tcW w:w="909" w:type="dxa"/>
            <w:vAlign w:val="center"/>
          </w:tcPr>
          <w:p>
            <w:pPr>
              <w:pStyle w:val="63"/>
            </w:pPr>
            <w:r>
              <w:t>1</w:t>
            </w:r>
          </w:p>
        </w:tc>
        <w:tc>
          <w:tcPr>
            <w:tcW w:w="1099" w:type="dxa"/>
            <w:vAlign w:val="center"/>
          </w:tcPr>
          <w:p>
            <w:pPr>
              <w:pStyle w:val="63"/>
            </w:pPr>
            <w:r>
              <w:t>75~85</w:t>
            </w:r>
          </w:p>
        </w:tc>
        <w:tc>
          <w:tcPr>
            <w:tcW w:w="2186" w:type="dxa"/>
            <w:vAlign w:val="center"/>
          </w:tcPr>
          <w:p>
            <w:pPr>
              <w:pStyle w:val="63"/>
            </w:pPr>
            <w:r>
              <w:t>基础减振、厂房隔声</w:t>
            </w:r>
          </w:p>
        </w:tc>
        <w:tc>
          <w:tcPr>
            <w:tcW w:w="1100" w:type="dxa"/>
            <w:vAlign w:val="center"/>
          </w:tcPr>
          <w:p>
            <w:pPr>
              <w:pStyle w:val="63"/>
            </w:pPr>
            <w:r>
              <w:t>15</w:t>
            </w:r>
          </w:p>
        </w:tc>
        <w:tc>
          <w:tcPr>
            <w:tcW w:w="990" w:type="dxa"/>
            <w:vAlign w:val="center"/>
          </w:tcPr>
          <w:p>
            <w:pPr>
              <w:pStyle w:val="63"/>
            </w:pPr>
            <w:r>
              <w:t>55~65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41" w:type="dxa"/>
            <w:vAlign w:val="center"/>
          </w:tcPr>
          <w:p>
            <w:pPr>
              <w:pStyle w:val="63"/>
            </w:pPr>
            <w:r>
              <w:t>8</w:t>
            </w:r>
          </w:p>
        </w:tc>
        <w:tc>
          <w:tcPr>
            <w:tcW w:w="1680" w:type="dxa"/>
            <w:vAlign w:val="center"/>
          </w:tcPr>
          <w:p>
            <w:pPr>
              <w:pStyle w:val="63"/>
              <w:rPr>
                <w:kern w:val="0"/>
              </w:rPr>
            </w:pPr>
            <w:r>
              <w:rPr>
                <w:kern w:val="0"/>
              </w:rPr>
              <w:t>线体自动回流升降机</w:t>
            </w:r>
          </w:p>
        </w:tc>
        <w:tc>
          <w:tcPr>
            <w:tcW w:w="909" w:type="dxa"/>
            <w:vAlign w:val="center"/>
          </w:tcPr>
          <w:p>
            <w:pPr>
              <w:pStyle w:val="63"/>
            </w:pPr>
            <w:r>
              <w:t>1</w:t>
            </w:r>
          </w:p>
        </w:tc>
        <w:tc>
          <w:tcPr>
            <w:tcW w:w="1099" w:type="dxa"/>
            <w:vAlign w:val="center"/>
          </w:tcPr>
          <w:p>
            <w:pPr>
              <w:pStyle w:val="63"/>
            </w:pPr>
            <w:r>
              <w:t>75~85</w:t>
            </w:r>
          </w:p>
        </w:tc>
        <w:tc>
          <w:tcPr>
            <w:tcW w:w="2186" w:type="dxa"/>
            <w:vAlign w:val="center"/>
          </w:tcPr>
          <w:p>
            <w:pPr>
              <w:pStyle w:val="63"/>
            </w:pPr>
            <w:r>
              <w:t>基础减振、厂房隔声</w:t>
            </w:r>
          </w:p>
        </w:tc>
        <w:tc>
          <w:tcPr>
            <w:tcW w:w="1100" w:type="dxa"/>
            <w:vAlign w:val="center"/>
          </w:tcPr>
          <w:p>
            <w:pPr>
              <w:pStyle w:val="63"/>
            </w:pPr>
            <w:r>
              <w:t>15</w:t>
            </w:r>
          </w:p>
        </w:tc>
        <w:tc>
          <w:tcPr>
            <w:tcW w:w="990" w:type="dxa"/>
            <w:vAlign w:val="center"/>
          </w:tcPr>
          <w:p>
            <w:pPr>
              <w:pStyle w:val="63"/>
            </w:pPr>
            <w:r>
              <w:t>55~65</w:t>
            </w:r>
          </w:p>
        </w:tc>
      </w:tr>
    </w:tbl>
    <w:p>
      <w:pPr>
        <w:spacing w:line="360" w:lineRule="auto"/>
        <w:ind w:firstLine="480"/>
        <w:rPr>
          <w:rFonts w:ascii="Times New Roman" w:hAnsi="Times New Roman" w:cs="Times New Roman"/>
          <w:b/>
          <w:kern w:val="0"/>
        </w:rPr>
      </w:pPr>
    </w:p>
    <w:p>
      <w:pPr>
        <w:spacing w:line="360" w:lineRule="auto"/>
        <w:ind w:firstLine="480"/>
        <w:rPr>
          <w:rFonts w:ascii="Times New Roman" w:hAnsi="Times New Roman" w:cs="Times New Roman"/>
          <w:b/>
          <w:kern w:val="0"/>
        </w:rPr>
      </w:pPr>
      <w:r>
        <w:rPr>
          <w:rFonts w:hint="eastAsia" w:ascii="Times New Roman" w:hAnsi="Times New Roman" w:cs="Times New Roman"/>
          <w:b/>
          <w:kern w:val="0"/>
        </w:rPr>
        <w:t>（4）</w:t>
      </w:r>
      <w:r>
        <w:rPr>
          <w:rFonts w:ascii="Times New Roman" w:hAnsi="Times New Roman" w:cs="Times New Roman"/>
          <w:b/>
          <w:kern w:val="0"/>
        </w:rPr>
        <w:t>固体废物</w:t>
      </w:r>
    </w:p>
    <w:p>
      <w:pPr>
        <w:spacing w:line="360" w:lineRule="auto"/>
        <w:ind w:firstLine="480"/>
        <w:rPr>
          <w:rFonts w:ascii="Times New Roman" w:hAnsi="Times New Roman" w:cs="Times New Roman"/>
          <w:kern w:val="0"/>
        </w:rPr>
      </w:pPr>
      <w:r>
        <w:rPr>
          <w:rFonts w:ascii="Times New Roman" w:hAnsi="Times New Roman" w:cs="Times New Roman"/>
          <w:kern w:val="0"/>
        </w:rPr>
        <w:t>1）梯次利用电池固废产生情况</w:t>
      </w:r>
    </w:p>
    <w:p>
      <w:pPr>
        <w:spacing w:line="360" w:lineRule="auto"/>
        <w:ind w:firstLine="480"/>
        <w:rPr>
          <w:rFonts w:ascii="Times New Roman" w:hAnsi="Times New Roman" w:cs="Times New Roman"/>
          <w:kern w:val="0"/>
        </w:rPr>
      </w:pPr>
      <w:r>
        <w:rPr>
          <w:rFonts w:ascii="Times New Roman" w:hAnsi="Times New Roman" w:cs="Times New Roman"/>
          <w:kern w:val="0"/>
        </w:rPr>
        <w:t>本项目营运期租用梯次利用车间产生的固废有废铁外壳、废线材、塑料件、导流排和废BMS模组，产生及处理情况见下表。</w:t>
      </w:r>
    </w:p>
    <w:p>
      <w:pPr>
        <w:pStyle w:val="6"/>
        <w:rPr>
          <w:rFonts w:ascii="Times New Roman" w:hAnsi="Times New Roman" w:cs="Times New Roman"/>
        </w:rPr>
      </w:pPr>
      <w:r>
        <w:rPr>
          <w:rFonts w:ascii="Times New Roman" w:hAnsi="Times New Roman" w:cs="Times New Roman"/>
        </w:rPr>
        <w:t>表3.2-</w:t>
      </w:r>
      <w:r>
        <w:rPr>
          <w:rFonts w:hint="eastAsia" w:ascii="Times New Roman" w:hAnsi="Times New Roman" w:cs="Times New Roman"/>
        </w:rPr>
        <w:t>16</w:t>
      </w:r>
      <w:r>
        <w:rPr>
          <w:rFonts w:ascii="Times New Roman" w:hAnsi="Times New Roman" w:cs="Times New Roman"/>
        </w:rPr>
        <w:t xml:space="preserve">  梯次利用车间固废产生情况一览表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1418"/>
        <w:gridCol w:w="1134"/>
        <w:gridCol w:w="1274"/>
        <w:gridCol w:w="710"/>
        <w:gridCol w:w="1416"/>
        <w:gridCol w:w="19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shd w:val="clear" w:color="auto" w:fill="auto"/>
            <w:vAlign w:val="center"/>
          </w:tcPr>
          <w:p>
            <w:pPr>
              <w:pStyle w:val="63"/>
            </w:pPr>
            <w:r>
              <w:t>序号</w:t>
            </w:r>
          </w:p>
        </w:tc>
        <w:tc>
          <w:tcPr>
            <w:tcW w:w="831" w:type="pct"/>
            <w:shd w:val="clear" w:color="auto" w:fill="auto"/>
            <w:vAlign w:val="center"/>
          </w:tcPr>
          <w:p>
            <w:pPr>
              <w:pStyle w:val="63"/>
            </w:pPr>
            <w:r>
              <w:t>种类</w:t>
            </w:r>
          </w:p>
        </w:tc>
        <w:tc>
          <w:tcPr>
            <w:tcW w:w="665" w:type="pct"/>
            <w:shd w:val="clear" w:color="auto" w:fill="auto"/>
            <w:vAlign w:val="center"/>
          </w:tcPr>
          <w:p>
            <w:pPr>
              <w:pStyle w:val="63"/>
            </w:pPr>
            <w:r>
              <w:t>产生工序</w:t>
            </w:r>
          </w:p>
        </w:tc>
        <w:tc>
          <w:tcPr>
            <w:tcW w:w="747" w:type="pct"/>
            <w:shd w:val="clear" w:color="auto" w:fill="auto"/>
            <w:vAlign w:val="center"/>
          </w:tcPr>
          <w:p>
            <w:pPr>
              <w:pStyle w:val="63"/>
            </w:pPr>
            <w:r>
              <w:t>主要成分</w:t>
            </w:r>
          </w:p>
        </w:tc>
        <w:tc>
          <w:tcPr>
            <w:tcW w:w="416" w:type="pct"/>
            <w:shd w:val="clear" w:color="auto" w:fill="auto"/>
            <w:vAlign w:val="center"/>
          </w:tcPr>
          <w:p>
            <w:pPr>
              <w:pStyle w:val="63"/>
            </w:pPr>
            <w:r>
              <w:t>形态</w:t>
            </w:r>
          </w:p>
        </w:tc>
        <w:tc>
          <w:tcPr>
            <w:tcW w:w="830" w:type="pct"/>
            <w:shd w:val="clear" w:color="auto" w:fill="auto"/>
            <w:vAlign w:val="center"/>
          </w:tcPr>
          <w:p>
            <w:pPr>
              <w:pStyle w:val="63"/>
            </w:pPr>
            <w:r>
              <w:t>产生量（t/a）</w:t>
            </w:r>
          </w:p>
        </w:tc>
        <w:tc>
          <w:tcPr>
            <w:tcW w:w="1115" w:type="pct"/>
            <w:shd w:val="clear" w:color="auto" w:fill="auto"/>
            <w:vAlign w:val="center"/>
          </w:tcPr>
          <w:p>
            <w:pPr>
              <w:pStyle w:val="63"/>
            </w:pPr>
            <w:r>
              <w:t>是否属固废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shd w:val="clear" w:color="auto" w:fill="auto"/>
            <w:vAlign w:val="center"/>
          </w:tcPr>
          <w:p>
            <w:pPr>
              <w:pStyle w:val="63"/>
            </w:pPr>
            <w:r>
              <w:t>1</w:t>
            </w:r>
          </w:p>
        </w:tc>
        <w:tc>
          <w:tcPr>
            <w:tcW w:w="831" w:type="pct"/>
            <w:shd w:val="clear" w:color="auto" w:fill="auto"/>
            <w:vAlign w:val="center"/>
          </w:tcPr>
          <w:p>
            <w:pPr>
              <w:pStyle w:val="63"/>
            </w:pPr>
            <w:r>
              <w:t>废电池</w:t>
            </w:r>
          </w:p>
        </w:tc>
        <w:tc>
          <w:tcPr>
            <w:tcW w:w="665" w:type="pct"/>
            <w:vMerge w:val="restart"/>
            <w:shd w:val="clear" w:color="auto" w:fill="auto"/>
            <w:vAlign w:val="center"/>
          </w:tcPr>
          <w:p>
            <w:pPr>
              <w:pStyle w:val="63"/>
            </w:pPr>
            <w:r>
              <w:t>梯次利用</w:t>
            </w:r>
          </w:p>
        </w:tc>
        <w:tc>
          <w:tcPr>
            <w:tcW w:w="747" w:type="pct"/>
            <w:shd w:val="clear" w:color="auto" w:fill="auto"/>
            <w:vAlign w:val="center"/>
          </w:tcPr>
          <w:p>
            <w:pPr>
              <w:pStyle w:val="63"/>
              <w:rPr>
                <w:bCs/>
              </w:rPr>
            </w:pPr>
            <w:r>
              <w:rPr>
                <w:bCs/>
              </w:rPr>
              <w:t>电池</w:t>
            </w:r>
          </w:p>
        </w:tc>
        <w:tc>
          <w:tcPr>
            <w:tcW w:w="416" w:type="pct"/>
            <w:shd w:val="clear" w:color="auto" w:fill="auto"/>
            <w:vAlign w:val="center"/>
          </w:tcPr>
          <w:p>
            <w:pPr>
              <w:pStyle w:val="63"/>
            </w:pPr>
            <w:r>
              <w:t>固</w:t>
            </w:r>
          </w:p>
        </w:tc>
        <w:tc>
          <w:tcPr>
            <w:tcW w:w="830" w:type="pct"/>
            <w:shd w:val="clear" w:color="auto" w:fill="auto"/>
            <w:vAlign w:val="center"/>
          </w:tcPr>
          <w:p>
            <w:pPr>
              <w:pStyle w:val="63"/>
            </w:pPr>
            <w:r>
              <w:t>8750</w:t>
            </w:r>
          </w:p>
        </w:tc>
        <w:tc>
          <w:tcPr>
            <w:tcW w:w="1115" w:type="pct"/>
            <w:shd w:val="clear" w:color="auto" w:fill="auto"/>
            <w:vAlign w:val="center"/>
          </w:tcPr>
          <w:p>
            <w:pPr>
              <w:pStyle w:val="63"/>
            </w:pPr>
            <w:r>
              <w:t>送预处理车间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shd w:val="clear" w:color="auto" w:fill="auto"/>
            <w:vAlign w:val="center"/>
          </w:tcPr>
          <w:p>
            <w:pPr>
              <w:pStyle w:val="63"/>
            </w:pPr>
            <w:r>
              <w:t>2</w:t>
            </w:r>
          </w:p>
        </w:tc>
        <w:tc>
          <w:tcPr>
            <w:tcW w:w="831" w:type="pct"/>
            <w:shd w:val="clear" w:color="auto" w:fill="auto"/>
            <w:vAlign w:val="center"/>
          </w:tcPr>
          <w:p>
            <w:pPr>
              <w:pStyle w:val="63"/>
            </w:pPr>
            <w:r>
              <w:t>电池包铁外壳</w:t>
            </w:r>
          </w:p>
        </w:tc>
        <w:tc>
          <w:tcPr>
            <w:tcW w:w="665" w:type="pct"/>
            <w:vMerge w:val="continue"/>
            <w:shd w:val="clear" w:color="auto" w:fill="auto"/>
            <w:vAlign w:val="center"/>
          </w:tcPr>
          <w:p>
            <w:pPr>
              <w:pStyle w:val="63"/>
            </w:pPr>
          </w:p>
        </w:tc>
        <w:tc>
          <w:tcPr>
            <w:tcW w:w="747" w:type="pct"/>
            <w:shd w:val="clear" w:color="auto" w:fill="auto"/>
            <w:vAlign w:val="center"/>
          </w:tcPr>
          <w:p>
            <w:pPr>
              <w:pStyle w:val="63"/>
              <w:rPr>
                <w:bCs/>
              </w:rPr>
            </w:pPr>
            <w:r>
              <w:rPr>
                <w:bCs/>
              </w:rPr>
              <w:t>铁</w:t>
            </w:r>
          </w:p>
        </w:tc>
        <w:tc>
          <w:tcPr>
            <w:tcW w:w="416" w:type="pct"/>
            <w:shd w:val="clear" w:color="auto" w:fill="auto"/>
            <w:vAlign w:val="center"/>
          </w:tcPr>
          <w:p>
            <w:pPr>
              <w:pStyle w:val="63"/>
            </w:pPr>
            <w:r>
              <w:t>固</w:t>
            </w:r>
          </w:p>
        </w:tc>
        <w:tc>
          <w:tcPr>
            <w:tcW w:w="830" w:type="pct"/>
            <w:shd w:val="clear" w:color="auto" w:fill="auto"/>
            <w:vAlign w:val="center"/>
          </w:tcPr>
          <w:p>
            <w:pPr>
              <w:pStyle w:val="63"/>
            </w:pPr>
            <w:r>
              <w:rPr>
                <w:szCs w:val="21"/>
              </w:rPr>
              <w:t>1625</w:t>
            </w:r>
          </w:p>
        </w:tc>
        <w:tc>
          <w:tcPr>
            <w:tcW w:w="1115" w:type="pct"/>
            <w:shd w:val="clear" w:color="auto" w:fill="auto"/>
            <w:vAlign w:val="center"/>
          </w:tcPr>
          <w:p>
            <w:pPr>
              <w:pStyle w:val="63"/>
            </w:pPr>
            <w:r>
              <w:t>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shd w:val="clear" w:color="auto" w:fill="auto"/>
            <w:vAlign w:val="center"/>
          </w:tcPr>
          <w:p>
            <w:pPr>
              <w:pStyle w:val="63"/>
            </w:pPr>
            <w:r>
              <w:t>3</w:t>
            </w:r>
          </w:p>
        </w:tc>
        <w:tc>
          <w:tcPr>
            <w:tcW w:w="831" w:type="pct"/>
            <w:shd w:val="clear" w:color="auto" w:fill="auto"/>
            <w:vAlign w:val="center"/>
          </w:tcPr>
          <w:p>
            <w:pPr>
              <w:pStyle w:val="63"/>
            </w:pPr>
            <w:r>
              <w:t>导流排（铜）</w:t>
            </w:r>
          </w:p>
        </w:tc>
        <w:tc>
          <w:tcPr>
            <w:tcW w:w="665" w:type="pct"/>
            <w:vMerge w:val="continue"/>
            <w:shd w:val="clear" w:color="auto" w:fill="auto"/>
            <w:vAlign w:val="center"/>
          </w:tcPr>
          <w:p>
            <w:pPr>
              <w:pStyle w:val="63"/>
            </w:pPr>
          </w:p>
        </w:tc>
        <w:tc>
          <w:tcPr>
            <w:tcW w:w="747" w:type="pct"/>
            <w:shd w:val="clear" w:color="auto" w:fill="auto"/>
            <w:vAlign w:val="center"/>
          </w:tcPr>
          <w:p>
            <w:pPr>
              <w:pStyle w:val="63"/>
              <w:rPr>
                <w:bCs/>
              </w:rPr>
            </w:pPr>
            <w:r>
              <w:rPr>
                <w:bCs/>
              </w:rPr>
              <w:t>铜</w:t>
            </w:r>
          </w:p>
        </w:tc>
        <w:tc>
          <w:tcPr>
            <w:tcW w:w="416" w:type="pct"/>
            <w:shd w:val="clear" w:color="auto" w:fill="auto"/>
            <w:vAlign w:val="center"/>
          </w:tcPr>
          <w:p>
            <w:pPr>
              <w:pStyle w:val="63"/>
            </w:pPr>
            <w:r>
              <w:t>固</w:t>
            </w:r>
          </w:p>
        </w:tc>
        <w:tc>
          <w:tcPr>
            <w:tcW w:w="830" w:type="pct"/>
            <w:shd w:val="clear" w:color="auto" w:fill="auto"/>
            <w:vAlign w:val="center"/>
          </w:tcPr>
          <w:p>
            <w:pPr>
              <w:pStyle w:val="63"/>
            </w:pPr>
            <w:r>
              <w:rPr>
                <w:szCs w:val="21"/>
              </w:rPr>
              <w:t>187.5</w:t>
            </w:r>
          </w:p>
        </w:tc>
        <w:tc>
          <w:tcPr>
            <w:tcW w:w="1115" w:type="pct"/>
            <w:shd w:val="clear" w:color="auto" w:fill="auto"/>
            <w:vAlign w:val="center"/>
          </w:tcPr>
          <w:p>
            <w:pPr>
              <w:pStyle w:val="63"/>
            </w:pPr>
            <w:r>
              <w:t>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shd w:val="clear" w:color="auto" w:fill="auto"/>
            <w:vAlign w:val="center"/>
          </w:tcPr>
          <w:p>
            <w:pPr>
              <w:pStyle w:val="63"/>
            </w:pPr>
            <w:r>
              <w:t>4</w:t>
            </w:r>
          </w:p>
        </w:tc>
        <w:tc>
          <w:tcPr>
            <w:tcW w:w="831" w:type="pct"/>
            <w:shd w:val="clear" w:color="auto" w:fill="auto"/>
            <w:vAlign w:val="center"/>
          </w:tcPr>
          <w:p>
            <w:pPr>
              <w:pStyle w:val="63"/>
            </w:pPr>
            <w:r>
              <w:t>导流排（铝）</w:t>
            </w:r>
          </w:p>
        </w:tc>
        <w:tc>
          <w:tcPr>
            <w:tcW w:w="665" w:type="pct"/>
            <w:vMerge w:val="continue"/>
            <w:shd w:val="clear" w:color="auto" w:fill="auto"/>
            <w:vAlign w:val="center"/>
          </w:tcPr>
          <w:p>
            <w:pPr>
              <w:pStyle w:val="63"/>
            </w:pPr>
          </w:p>
        </w:tc>
        <w:tc>
          <w:tcPr>
            <w:tcW w:w="747" w:type="pct"/>
            <w:shd w:val="clear" w:color="auto" w:fill="auto"/>
            <w:vAlign w:val="center"/>
          </w:tcPr>
          <w:p>
            <w:pPr>
              <w:pStyle w:val="63"/>
              <w:rPr>
                <w:bCs/>
              </w:rPr>
            </w:pPr>
            <w:r>
              <w:t>铝</w:t>
            </w:r>
          </w:p>
        </w:tc>
        <w:tc>
          <w:tcPr>
            <w:tcW w:w="416" w:type="pct"/>
            <w:shd w:val="clear" w:color="auto" w:fill="auto"/>
            <w:vAlign w:val="center"/>
          </w:tcPr>
          <w:p>
            <w:pPr>
              <w:pStyle w:val="63"/>
            </w:pPr>
            <w:r>
              <w:t>固</w:t>
            </w:r>
          </w:p>
        </w:tc>
        <w:tc>
          <w:tcPr>
            <w:tcW w:w="830" w:type="pct"/>
            <w:shd w:val="clear" w:color="auto" w:fill="auto"/>
            <w:vAlign w:val="center"/>
          </w:tcPr>
          <w:p>
            <w:pPr>
              <w:pStyle w:val="63"/>
            </w:pPr>
            <w:r>
              <w:rPr>
                <w:szCs w:val="21"/>
              </w:rPr>
              <w:t>856.25</w:t>
            </w:r>
          </w:p>
        </w:tc>
        <w:tc>
          <w:tcPr>
            <w:tcW w:w="1115" w:type="pct"/>
            <w:shd w:val="clear" w:color="auto" w:fill="auto"/>
            <w:vAlign w:val="center"/>
          </w:tcPr>
          <w:p>
            <w:pPr>
              <w:pStyle w:val="63"/>
            </w:pPr>
            <w:r>
              <w:t>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shd w:val="clear" w:color="auto" w:fill="auto"/>
            <w:vAlign w:val="center"/>
          </w:tcPr>
          <w:p>
            <w:pPr>
              <w:pStyle w:val="63"/>
            </w:pPr>
            <w:r>
              <w:t>5</w:t>
            </w:r>
          </w:p>
        </w:tc>
        <w:tc>
          <w:tcPr>
            <w:tcW w:w="831" w:type="pct"/>
            <w:shd w:val="clear" w:color="auto" w:fill="auto"/>
            <w:vAlign w:val="center"/>
          </w:tcPr>
          <w:p>
            <w:pPr>
              <w:pStyle w:val="63"/>
            </w:pPr>
            <w:r>
              <w:t>线材</w:t>
            </w:r>
          </w:p>
        </w:tc>
        <w:tc>
          <w:tcPr>
            <w:tcW w:w="665" w:type="pct"/>
            <w:vMerge w:val="continue"/>
            <w:shd w:val="clear" w:color="auto" w:fill="auto"/>
            <w:vAlign w:val="center"/>
          </w:tcPr>
          <w:p>
            <w:pPr>
              <w:pStyle w:val="63"/>
            </w:pPr>
          </w:p>
        </w:tc>
        <w:tc>
          <w:tcPr>
            <w:tcW w:w="747" w:type="pct"/>
            <w:shd w:val="clear" w:color="auto" w:fill="auto"/>
            <w:vAlign w:val="center"/>
          </w:tcPr>
          <w:p>
            <w:pPr>
              <w:pStyle w:val="63"/>
              <w:rPr>
                <w:bCs/>
              </w:rPr>
            </w:pPr>
            <w:r>
              <w:rPr>
                <w:bCs/>
              </w:rPr>
              <w:t>铜</w:t>
            </w:r>
          </w:p>
        </w:tc>
        <w:tc>
          <w:tcPr>
            <w:tcW w:w="416" w:type="pct"/>
            <w:shd w:val="clear" w:color="auto" w:fill="auto"/>
            <w:vAlign w:val="center"/>
          </w:tcPr>
          <w:p>
            <w:pPr>
              <w:pStyle w:val="63"/>
            </w:pPr>
            <w:r>
              <w:t>固</w:t>
            </w:r>
          </w:p>
        </w:tc>
        <w:tc>
          <w:tcPr>
            <w:tcW w:w="830" w:type="pct"/>
            <w:shd w:val="clear" w:color="auto" w:fill="auto"/>
            <w:vAlign w:val="center"/>
          </w:tcPr>
          <w:p>
            <w:pPr>
              <w:pStyle w:val="63"/>
            </w:pPr>
            <w:r>
              <w:rPr>
                <w:szCs w:val="21"/>
              </w:rPr>
              <w:t>300</w:t>
            </w:r>
          </w:p>
        </w:tc>
        <w:tc>
          <w:tcPr>
            <w:tcW w:w="1115" w:type="pct"/>
            <w:shd w:val="clear" w:color="auto" w:fill="auto"/>
            <w:vAlign w:val="center"/>
          </w:tcPr>
          <w:p>
            <w:pPr>
              <w:pStyle w:val="63"/>
            </w:pPr>
            <w:r>
              <w:t>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shd w:val="clear" w:color="auto" w:fill="auto"/>
            <w:vAlign w:val="center"/>
          </w:tcPr>
          <w:p>
            <w:pPr>
              <w:pStyle w:val="63"/>
            </w:pPr>
            <w:r>
              <w:t>6</w:t>
            </w:r>
          </w:p>
        </w:tc>
        <w:tc>
          <w:tcPr>
            <w:tcW w:w="831" w:type="pct"/>
            <w:shd w:val="clear" w:color="auto" w:fill="auto"/>
            <w:vAlign w:val="center"/>
          </w:tcPr>
          <w:p>
            <w:pPr>
              <w:pStyle w:val="63"/>
            </w:pPr>
            <w:r>
              <w:t>电池包塑料件</w:t>
            </w:r>
          </w:p>
        </w:tc>
        <w:tc>
          <w:tcPr>
            <w:tcW w:w="665" w:type="pct"/>
            <w:vMerge w:val="continue"/>
            <w:shd w:val="clear" w:color="auto" w:fill="auto"/>
            <w:vAlign w:val="center"/>
          </w:tcPr>
          <w:p>
            <w:pPr>
              <w:pStyle w:val="63"/>
            </w:pPr>
          </w:p>
        </w:tc>
        <w:tc>
          <w:tcPr>
            <w:tcW w:w="747" w:type="pct"/>
            <w:shd w:val="clear" w:color="auto" w:fill="auto"/>
            <w:vAlign w:val="center"/>
          </w:tcPr>
          <w:p>
            <w:pPr>
              <w:pStyle w:val="63"/>
              <w:rPr>
                <w:bCs/>
              </w:rPr>
            </w:pPr>
            <w:r>
              <w:rPr>
                <w:bCs/>
              </w:rPr>
              <w:t>塑料</w:t>
            </w:r>
          </w:p>
        </w:tc>
        <w:tc>
          <w:tcPr>
            <w:tcW w:w="416" w:type="pct"/>
            <w:shd w:val="clear" w:color="auto" w:fill="auto"/>
            <w:vAlign w:val="center"/>
          </w:tcPr>
          <w:p>
            <w:pPr>
              <w:pStyle w:val="63"/>
            </w:pPr>
            <w:r>
              <w:t>固</w:t>
            </w:r>
          </w:p>
        </w:tc>
        <w:tc>
          <w:tcPr>
            <w:tcW w:w="830" w:type="pct"/>
            <w:shd w:val="clear" w:color="auto" w:fill="auto"/>
            <w:vAlign w:val="center"/>
          </w:tcPr>
          <w:p>
            <w:pPr>
              <w:pStyle w:val="63"/>
            </w:pPr>
            <w:r>
              <w:rPr>
                <w:szCs w:val="21"/>
              </w:rPr>
              <w:t>750</w:t>
            </w:r>
          </w:p>
        </w:tc>
        <w:tc>
          <w:tcPr>
            <w:tcW w:w="1115" w:type="pct"/>
            <w:shd w:val="clear" w:color="auto" w:fill="auto"/>
            <w:vAlign w:val="center"/>
          </w:tcPr>
          <w:p>
            <w:pPr>
              <w:pStyle w:val="63"/>
            </w:pPr>
            <w:r>
              <w:t>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shd w:val="clear" w:color="auto" w:fill="auto"/>
            <w:vAlign w:val="center"/>
          </w:tcPr>
          <w:p>
            <w:pPr>
              <w:pStyle w:val="63"/>
            </w:pPr>
            <w:r>
              <w:t>7</w:t>
            </w:r>
          </w:p>
        </w:tc>
        <w:tc>
          <w:tcPr>
            <w:tcW w:w="831" w:type="pct"/>
            <w:shd w:val="clear" w:color="auto" w:fill="auto"/>
            <w:vAlign w:val="center"/>
          </w:tcPr>
          <w:p>
            <w:pPr>
              <w:pStyle w:val="63"/>
            </w:pPr>
            <w:r>
              <w:t>废BMS模块</w:t>
            </w:r>
          </w:p>
        </w:tc>
        <w:tc>
          <w:tcPr>
            <w:tcW w:w="665" w:type="pct"/>
            <w:vMerge w:val="continue"/>
            <w:shd w:val="clear" w:color="auto" w:fill="auto"/>
            <w:vAlign w:val="center"/>
          </w:tcPr>
          <w:p>
            <w:pPr>
              <w:pStyle w:val="63"/>
            </w:pPr>
          </w:p>
        </w:tc>
        <w:tc>
          <w:tcPr>
            <w:tcW w:w="747" w:type="pct"/>
            <w:shd w:val="clear" w:color="auto" w:fill="auto"/>
            <w:vAlign w:val="center"/>
          </w:tcPr>
          <w:p>
            <w:pPr>
              <w:pStyle w:val="63"/>
              <w:rPr>
                <w:bCs/>
              </w:rPr>
            </w:pPr>
            <w:r>
              <w:rPr>
                <w:bCs/>
              </w:rPr>
              <w:t>电路板</w:t>
            </w:r>
          </w:p>
        </w:tc>
        <w:tc>
          <w:tcPr>
            <w:tcW w:w="416" w:type="pct"/>
            <w:shd w:val="clear" w:color="auto" w:fill="auto"/>
            <w:vAlign w:val="center"/>
          </w:tcPr>
          <w:p>
            <w:pPr>
              <w:pStyle w:val="63"/>
            </w:pPr>
            <w:r>
              <w:t>固</w:t>
            </w:r>
          </w:p>
        </w:tc>
        <w:tc>
          <w:tcPr>
            <w:tcW w:w="830" w:type="pct"/>
            <w:shd w:val="clear" w:color="auto" w:fill="auto"/>
            <w:vAlign w:val="center"/>
          </w:tcPr>
          <w:p>
            <w:pPr>
              <w:widowControl/>
              <w:jc w:val="center"/>
              <w:rPr>
                <w:rFonts w:ascii="Times New Roman" w:hAnsi="Times New Roman" w:cs="Times New Roman"/>
                <w:sz w:val="21"/>
                <w:szCs w:val="21"/>
              </w:rPr>
            </w:pPr>
            <w:r>
              <w:rPr>
                <w:rFonts w:ascii="Times New Roman" w:hAnsi="Times New Roman" w:cs="Times New Roman"/>
                <w:sz w:val="21"/>
                <w:szCs w:val="21"/>
              </w:rPr>
              <w:t>31.25</w:t>
            </w:r>
          </w:p>
        </w:tc>
        <w:tc>
          <w:tcPr>
            <w:tcW w:w="1115" w:type="pct"/>
            <w:shd w:val="clear" w:color="auto" w:fill="auto"/>
            <w:vAlign w:val="center"/>
          </w:tcPr>
          <w:p>
            <w:pPr>
              <w:pStyle w:val="63"/>
            </w:pPr>
            <w:r>
              <w:t>交有资质的单位处理</w:t>
            </w:r>
          </w:p>
        </w:tc>
      </w:tr>
    </w:tbl>
    <w:p>
      <w:pPr>
        <w:spacing w:line="360" w:lineRule="auto"/>
        <w:ind w:firstLine="480"/>
        <w:rPr>
          <w:rFonts w:ascii="Times New Roman" w:hAnsi="Times New Roman" w:cs="Times New Roman"/>
          <w:kern w:val="0"/>
        </w:rPr>
      </w:pPr>
      <w:r>
        <w:rPr>
          <w:rFonts w:ascii="Times New Roman" w:hAnsi="Times New Roman" w:cs="Times New Roman"/>
          <w:kern w:val="0"/>
        </w:rPr>
        <w:t>2）生活垃圾</w:t>
      </w:r>
    </w:p>
    <w:p>
      <w:pPr>
        <w:spacing w:line="360" w:lineRule="auto"/>
        <w:ind w:firstLine="480"/>
        <w:rPr>
          <w:rFonts w:ascii="Times New Roman" w:hAnsi="Times New Roman" w:cs="Times New Roman"/>
          <w:kern w:val="0"/>
        </w:rPr>
      </w:pPr>
      <w:r>
        <w:rPr>
          <w:rFonts w:ascii="Times New Roman" w:hAnsi="Times New Roman" w:cs="Times New Roman"/>
          <w:kern w:val="0"/>
        </w:rPr>
        <w:t>本项目厂房劳动定员10人，每人每天生活垃圾产生量以0.5 kg计。因此，厂区生活垃圾产量约1.5t。厂区生活垃圾交由环卫部门及时清运处理。</w:t>
      </w:r>
    </w:p>
    <w:p>
      <w:pPr>
        <w:spacing w:line="360" w:lineRule="auto"/>
        <w:ind w:firstLine="480"/>
        <w:rPr>
          <w:rFonts w:ascii="Times New Roman" w:hAnsi="Times New Roman" w:cs="Times New Roman"/>
        </w:rPr>
      </w:pPr>
      <w:r>
        <w:rPr>
          <w:rFonts w:ascii="Times New Roman" w:hAnsi="Times New Roman" w:cs="Times New Roman"/>
          <w:kern w:val="0"/>
        </w:rPr>
        <w:t>梯次利用车间生活垃圾</w:t>
      </w:r>
      <w:r>
        <w:rPr>
          <w:rFonts w:ascii="Times New Roman" w:hAnsi="Times New Roman" w:cs="Times New Roman"/>
        </w:rPr>
        <w:t>量纳入项目</w:t>
      </w:r>
      <w:r>
        <w:rPr>
          <w:rFonts w:ascii="Times New Roman" w:hAnsi="Times New Roman" w:cs="Times New Roman"/>
          <w:kern w:val="0"/>
        </w:rPr>
        <w:t>生活垃圾</w:t>
      </w:r>
      <w:r>
        <w:rPr>
          <w:rFonts w:ascii="Times New Roman" w:hAnsi="Times New Roman" w:cs="Times New Roman"/>
        </w:rPr>
        <w:t>总量进行分析。</w:t>
      </w:r>
    </w:p>
    <w:p>
      <w:pPr>
        <w:spacing w:line="360" w:lineRule="auto"/>
        <w:ind w:firstLine="480"/>
        <w:rPr>
          <w:rFonts w:ascii="Times New Roman" w:hAnsi="Times New Roman" w:cs="Times New Roman"/>
        </w:rPr>
      </w:pPr>
    </w:p>
    <w:p>
      <w:pPr>
        <w:spacing w:line="360" w:lineRule="auto"/>
        <w:ind w:firstLine="480" w:firstLineChars="200"/>
        <w:rPr>
          <w:rFonts w:ascii="Times New Roman" w:hAnsi="Times New Roman" w:cs="Times New Roman"/>
        </w:rPr>
        <w:sectPr>
          <w:pgSz w:w="11907" w:h="16840"/>
          <w:pgMar w:top="1440" w:right="1797" w:bottom="1440" w:left="1797" w:header="964" w:footer="851" w:gutter="0"/>
          <w:cols w:space="720" w:num="1"/>
          <w:docGrid w:linePitch="326" w:charSpace="200"/>
        </w:sectPr>
      </w:pPr>
    </w:p>
    <w:p>
      <w:pPr>
        <w:pStyle w:val="5"/>
        <w:ind w:firstLine="482"/>
        <w:rPr>
          <w:rFonts w:ascii="Times New Roman" w:hAnsi="Times New Roman" w:cs="Times New Roman" w:eastAsiaTheme="minorEastAsia"/>
        </w:rPr>
      </w:pPr>
      <w:r>
        <w:rPr>
          <w:rFonts w:ascii="Times New Roman" w:hAnsi="Times New Roman" w:cs="Times New Roman" w:eastAsiaTheme="minorEastAsia"/>
        </w:rPr>
        <w:t>3.2.5.</w:t>
      </w:r>
      <w:r>
        <w:rPr>
          <w:rFonts w:hint="eastAsia" w:ascii="Times New Roman" w:hAnsi="Times New Roman" w:cs="Times New Roman" w:eastAsiaTheme="minorEastAsia"/>
        </w:rPr>
        <w:t>2</w:t>
      </w:r>
      <w:r>
        <w:rPr>
          <w:rFonts w:ascii="Times New Roman" w:hAnsi="Times New Roman" w:cs="Times New Roman" w:eastAsiaTheme="minorEastAsia"/>
        </w:rPr>
        <w:t xml:space="preserve"> </w:t>
      </w:r>
      <w:r>
        <w:rPr>
          <w:rFonts w:hint="eastAsia" w:ascii="Times New Roman" w:hAnsi="Times New Roman" w:cs="Times New Roman" w:eastAsiaTheme="minorEastAsia"/>
        </w:rPr>
        <w:t>综合利用厂区</w:t>
      </w:r>
      <w:r>
        <w:rPr>
          <w:rFonts w:ascii="Times New Roman" w:hAnsi="Times New Roman" w:cs="Times New Roman" w:eastAsiaTheme="minorEastAsia"/>
        </w:rPr>
        <w:t>废气</w:t>
      </w:r>
    </w:p>
    <w:p>
      <w:pPr>
        <w:spacing w:line="360" w:lineRule="auto"/>
        <w:ind w:firstLine="482" w:firstLineChars="200"/>
        <w:rPr>
          <w:rFonts w:ascii="Times New Roman" w:hAnsi="Times New Roman" w:cs="Times New Roman"/>
          <w:b/>
        </w:rPr>
      </w:pPr>
      <w:r>
        <w:rPr>
          <w:rFonts w:ascii="Times New Roman" w:hAnsi="Times New Roman" w:cs="Times New Roman"/>
          <w:b/>
        </w:rPr>
        <w:t>（</w:t>
      </w:r>
      <w:r>
        <w:rPr>
          <w:rFonts w:hint="eastAsia" w:ascii="Times New Roman" w:hAnsi="Times New Roman" w:cs="Times New Roman"/>
          <w:b/>
        </w:rPr>
        <w:t>1</w:t>
      </w:r>
      <w:r>
        <w:rPr>
          <w:rFonts w:ascii="Times New Roman" w:hAnsi="Times New Roman" w:cs="Times New Roman"/>
          <w:b/>
        </w:rPr>
        <w:t>）预处理废气</w:t>
      </w:r>
    </w:p>
    <w:p>
      <w:pPr>
        <w:spacing w:line="360" w:lineRule="auto"/>
        <w:ind w:firstLine="480" w:firstLineChars="200"/>
        <w:rPr>
          <w:rFonts w:ascii="Times New Roman" w:hAnsi="Times New Roman" w:cs="Times New Roman"/>
        </w:rPr>
      </w:pPr>
      <w:r>
        <w:rPr>
          <w:rFonts w:ascii="Times New Roman" w:hAnsi="Times New Roman" w:cs="Times New Roman"/>
        </w:rPr>
        <w:t>本项目预处理废气包括破碎废气、裂解废气</w:t>
      </w:r>
      <w:r>
        <w:rPr>
          <w:rFonts w:hint="eastAsia" w:ascii="Times New Roman" w:hAnsi="Times New Roman" w:cs="Times New Roman"/>
        </w:rPr>
        <w:t>（低温挥发及高温裂解）</w:t>
      </w:r>
      <w:r>
        <w:rPr>
          <w:rFonts w:ascii="Times New Roman" w:hAnsi="Times New Roman" w:cs="Times New Roman"/>
        </w:rPr>
        <w:t>。</w:t>
      </w:r>
    </w:p>
    <w:p>
      <w:pPr>
        <w:spacing w:line="360" w:lineRule="auto"/>
        <w:ind w:firstLine="482" w:firstLineChars="200"/>
        <w:rPr>
          <w:rFonts w:ascii="Times New Roman" w:hAnsi="Times New Roman" w:cs="Times New Roman"/>
          <w:b/>
        </w:rPr>
      </w:pPr>
      <w:r>
        <w:rPr>
          <w:rFonts w:ascii="Times New Roman" w:hAnsi="Times New Roman" w:cs="Times New Roman"/>
          <w:b/>
        </w:rPr>
        <w:t>1）破碎废气</w:t>
      </w:r>
    </w:p>
    <w:p>
      <w:pPr>
        <w:spacing w:line="360" w:lineRule="auto"/>
        <w:ind w:firstLine="480" w:firstLineChars="200"/>
        <w:rPr>
          <w:rFonts w:ascii="Times New Roman" w:hAnsi="Times New Roman" w:cs="Times New Roman"/>
        </w:rPr>
      </w:pPr>
      <w:r>
        <w:rPr>
          <w:rFonts w:ascii="Times New Roman" w:hAnsi="Times New Roman" w:cs="Times New Roman"/>
        </w:rPr>
        <w:t>1、破碎粉尘</w:t>
      </w:r>
    </w:p>
    <w:p>
      <w:pPr>
        <w:spacing w:line="360" w:lineRule="auto"/>
        <w:ind w:firstLine="480" w:firstLineChars="200"/>
        <w:rPr>
          <w:rFonts w:ascii="Times New Roman" w:hAnsi="Times New Roman" w:cs="Times New Roman"/>
        </w:rPr>
      </w:pPr>
      <w:r>
        <w:rPr>
          <w:rFonts w:ascii="Times New Roman" w:hAnsi="Times New Roman" w:cs="Times New Roman"/>
        </w:rPr>
        <w:t>废旧锂离子电池预处理工段，经拆解、性能检测分离出废旧锂离子电池（40000t/a）在破碎过程中会产生粉尘，因本项目的破碎与传统锂电池粉碎不同，本项目破碎后将铜铝破碎为3-5cm的金属片，且电池中含电池液，对破碎过程中的粉尘产生有一定的抑制作用，因此破碎工段产生的粉尘量极少。破碎工段产生的粉尘占比约0.001%，则破碎粉尘产生量为0.4t/a（0.05kg/h）。</w:t>
      </w:r>
    </w:p>
    <w:p>
      <w:pPr>
        <w:spacing w:line="360" w:lineRule="auto"/>
        <w:ind w:firstLine="480" w:firstLineChars="200"/>
        <w:rPr>
          <w:rFonts w:ascii="Times New Roman" w:hAnsi="Times New Roman" w:cs="Times New Roman"/>
        </w:rPr>
      </w:pPr>
      <w:r>
        <w:rPr>
          <w:rFonts w:ascii="Times New Roman" w:hAnsi="Times New Roman" w:cs="Times New Roman"/>
        </w:rPr>
        <w:t>2、破碎挥发性有机物</w:t>
      </w:r>
    </w:p>
    <w:p>
      <w:pPr>
        <w:spacing w:line="360" w:lineRule="auto"/>
        <w:ind w:firstLine="480" w:firstLineChars="200"/>
        <w:rPr>
          <w:rFonts w:ascii="Times New Roman" w:hAnsi="Times New Roman" w:cs="Times New Roman"/>
        </w:rPr>
      </w:pPr>
      <w:r>
        <w:rPr>
          <w:rFonts w:ascii="Times New Roman" w:hAnsi="Times New Roman" w:cs="Times New Roman"/>
        </w:rPr>
        <w:t>在破碎过程中，有部分电解液挥发，根据企业提供资料，电解液含量占锂离子电池总量的4%，电解液总量为1600t/a，溶剂（挥发性有机物）含量占电解液85%，则溶剂（挥发性有机物）产生量为1360t/a，破碎过程中约有10%挥发，则破碎过程中产生的挥发性有机物废气为136t/a。</w:t>
      </w:r>
    </w:p>
    <w:p>
      <w:pPr>
        <w:spacing w:line="360" w:lineRule="auto"/>
        <w:ind w:firstLine="482" w:firstLineChars="200"/>
        <w:rPr>
          <w:rFonts w:ascii="Times New Roman" w:hAnsi="Times New Roman" w:cs="Times New Roman"/>
          <w:b/>
        </w:rPr>
      </w:pPr>
      <w:r>
        <w:rPr>
          <w:rFonts w:ascii="Times New Roman" w:hAnsi="Times New Roman" w:cs="Times New Roman"/>
          <w:b/>
        </w:rPr>
        <w:t>2）裂解废气</w:t>
      </w:r>
    </w:p>
    <w:p>
      <w:pPr>
        <w:spacing w:line="360" w:lineRule="auto"/>
        <w:ind w:firstLine="480" w:firstLineChars="200"/>
        <w:rPr>
          <w:rFonts w:ascii="Times New Roman" w:hAnsi="Times New Roman" w:cs="Times New Roman"/>
        </w:rPr>
      </w:pPr>
      <w:r>
        <w:rPr>
          <w:rFonts w:ascii="Times New Roman" w:hAnsi="Times New Roman" w:cs="Times New Roman"/>
        </w:rPr>
        <w:t>1、HF、VOCs</w:t>
      </w:r>
    </w:p>
    <w:p>
      <w:pPr>
        <w:spacing w:line="360" w:lineRule="auto"/>
        <w:ind w:firstLine="480" w:firstLineChars="200"/>
        <w:rPr>
          <w:rFonts w:ascii="Times New Roman" w:hAnsi="Times New Roman" w:cs="Times New Roman"/>
        </w:rPr>
      </w:pPr>
      <w:r>
        <w:rPr>
          <w:rFonts w:ascii="Times New Roman" w:hAnsi="Times New Roman" w:cs="Times New Roman"/>
        </w:rPr>
        <w:t>废旧锂离子电池经破碎后，裂解过程中粘结剂和电解液发生裂解反应。粘结剂主要成分是含碳氢氧的有机物和偏氟乙烯。</w:t>
      </w:r>
    </w:p>
    <w:p>
      <w:pPr>
        <w:spacing w:line="360" w:lineRule="auto"/>
        <w:ind w:firstLine="480" w:firstLineChars="200"/>
        <w:rPr>
          <w:rFonts w:ascii="Times New Roman" w:hAnsi="Times New Roman" w:cs="Times New Roman"/>
        </w:rPr>
      </w:pPr>
      <w:r>
        <w:rPr>
          <w:rFonts w:ascii="Times New Roman" w:hAnsi="Times New Roman" w:cs="Times New Roman"/>
        </w:rPr>
        <w:t>电解液主要成分为含碳氢氧的有机物，如碳酸乙烯酯 EC（分子式 C</w:t>
      </w:r>
      <w:r>
        <w:rPr>
          <w:rFonts w:ascii="Times New Roman" w:hAnsi="Times New Roman" w:cs="Times New Roman"/>
          <w:vertAlign w:val="subscript"/>
        </w:rPr>
        <w:t>3</w:t>
      </w:r>
      <w:r>
        <w:rPr>
          <w:rFonts w:ascii="Times New Roman" w:hAnsi="Times New Roman" w:cs="Times New Roman"/>
        </w:rPr>
        <w:t>H</w:t>
      </w:r>
      <w:r>
        <w:rPr>
          <w:rFonts w:ascii="Times New Roman" w:hAnsi="Times New Roman" w:cs="Times New Roman"/>
          <w:vertAlign w:val="subscript"/>
        </w:rPr>
        <w:t>4</w:t>
      </w:r>
      <w:r>
        <w:rPr>
          <w:rFonts w:ascii="Times New Roman" w:hAnsi="Times New Roman" w:cs="Times New Roman"/>
        </w:rPr>
        <w:t>O</w:t>
      </w:r>
      <w:r>
        <w:rPr>
          <w:rFonts w:ascii="Times New Roman" w:hAnsi="Times New Roman" w:cs="Times New Roman"/>
          <w:vertAlign w:val="subscript"/>
        </w:rPr>
        <w:t>3</w:t>
      </w:r>
      <w:r>
        <w:rPr>
          <w:rFonts w:ascii="Times New Roman" w:hAnsi="Times New Roman" w:cs="Times New Roman"/>
        </w:rPr>
        <w:t>）、碳酸二乙酯DEC（分子式C</w:t>
      </w:r>
      <w:r>
        <w:rPr>
          <w:rFonts w:ascii="Times New Roman" w:hAnsi="Times New Roman" w:cs="Times New Roman"/>
          <w:vertAlign w:val="subscript"/>
        </w:rPr>
        <w:t>4</w:t>
      </w:r>
      <w:r>
        <w:rPr>
          <w:rFonts w:ascii="Times New Roman" w:hAnsi="Times New Roman" w:cs="Times New Roman"/>
        </w:rPr>
        <w:t>H</w:t>
      </w:r>
      <w:r>
        <w:rPr>
          <w:rFonts w:ascii="Times New Roman" w:hAnsi="Times New Roman" w:cs="Times New Roman"/>
          <w:vertAlign w:val="subscript"/>
        </w:rPr>
        <w:t>6</w:t>
      </w:r>
      <w:r>
        <w:rPr>
          <w:rFonts w:ascii="Times New Roman" w:hAnsi="Times New Roman" w:cs="Times New Roman"/>
        </w:rPr>
        <w:t>O</w:t>
      </w:r>
      <w:r>
        <w:rPr>
          <w:rFonts w:ascii="Times New Roman" w:hAnsi="Times New Roman" w:cs="Times New Roman"/>
          <w:vertAlign w:val="subscript"/>
        </w:rPr>
        <w:t>3</w:t>
      </w:r>
      <w:r>
        <w:rPr>
          <w:rFonts w:ascii="Times New Roman" w:hAnsi="Times New Roman" w:cs="Times New Roman"/>
        </w:rPr>
        <w:t>）等，和LiPF</w:t>
      </w:r>
      <w:r>
        <w:rPr>
          <w:rFonts w:ascii="Times New Roman" w:hAnsi="Times New Roman" w:cs="Times New Roman"/>
          <w:vertAlign w:val="subscript"/>
        </w:rPr>
        <w:t>6</w:t>
      </w:r>
      <w:r>
        <w:rPr>
          <w:rFonts w:ascii="Times New Roman" w:hAnsi="Times New Roman" w:cs="Times New Roman"/>
        </w:rPr>
        <w:t>。电解液里面的有机物，在裂解装置中全部转化为气态进入废气燃烧炉，电解液在裂解炉中主要裂解的是LiPF6。</w:t>
      </w:r>
    </w:p>
    <w:p>
      <w:pPr>
        <w:spacing w:line="360" w:lineRule="auto"/>
        <w:ind w:firstLine="480" w:firstLineChars="200"/>
        <w:rPr>
          <w:rFonts w:ascii="Times New Roman" w:hAnsi="Times New Roman" w:cs="Times New Roman"/>
        </w:rPr>
      </w:pPr>
      <w:r>
        <w:rPr>
          <w:rFonts w:ascii="Times New Roman" w:hAnsi="Times New Roman" w:cs="Times New Roman"/>
        </w:rPr>
        <w:t>根据企业提供资料，电解液含量占锂离子电池总量的4%（1600t/a），有机物含量占电解液85%，则挥发性有机物含量为1360t/a，约90%的电解液在裂解炉中挥发，则电解液产生的有机物为1224t/a。LiPF6含量占电解液15%（240t/a），LiPF6 分解的产物PF5和水反应产生的HF为150t/a。</w:t>
      </w:r>
    </w:p>
    <w:p>
      <w:pPr>
        <w:spacing w:line="360" w:lineRule="auto"/>
        <w:ind w:firstLine="480" w:firstLineChars="200"/>
        <w:rPr>
          <w:rFonts w:ascii="Times New Roman" w:hAnsi="Times New Roman" w:cs="Times New Roman"/>
        </w:rPr>
      </w:pPr>
      <w:r>
        <w:rPr>
          <w:rFonts w:ascii="Times New Roman" w:hAnsi="Times New Roman" w:cs="Times New Roman"/>
        </w:rPr>
        <w:t>根据企业提供资料，粘结剂占锂离子电池总量的3%（1200t/a），其中偏氟乙烯含量占胶黏剂的为18%（216t/a），有机物含量为82%（984t/a），偏氟乙烯裂解产生的HF为64t/a。</w:t>
      </w:r>
    </w:p>
    <w:p>
      <w:pPr>
        <w:spacing w:line="360" w:lineRule="auto"/>
        <w:ind w:firstLine="480" w:firstLineChars="200"/>
        <w:rPr>
          <w:rFonts w:ascii="Times New Roman" w:hAnsi="Times New Roman" w:cs="Times New Roman"/>
        </w:rPr>
      </w:pPr>
      <w:r>
        <w:rPr>
          <w:rFonts w:ascii="Times New Roman" w:hAnsi="Times New Roman" w:cs="Times New Roman"/>
        </w:rPr>
        <w:t>此外，废旧锂离子电池中隔膜纸含量约1200t/a，因隔膜纸成分为碳氢化合物，燃烧后生产CO</w:t>
      </w:r>
      <w:r>
        <w:rPr>
          <w:rFonts w:ascii="Times New Roman" w:hAnsi="Times New Roman" w:cs="Times New Roman"/>
          <w:vertAlign w:val="subscript"/>
        </w:rPr>
        <w:t>2</w:t>
      </w:r>
      <w:r>
        <w:rPr>
          <w:rFonts w:ascii="Times New Roman" w:hAnsi="Times New Roman" w:cs="Times New Roman"/>
        </w:rPr>
        <w:t>和H</w:t>
      </w:r>
      <w:r>
        <w:rPr>
          <w:rFonts w:ascii="Times New Roman" w:hAnsi="Times New Roman" w:cs="Times New Roman"/>
          <w:vertAlign w:val="subscript"/>
        </w:rPr>
        <w:t>2</w:t>
      </w:r>
      <w:r>
        <w:rPr>
          <w:rFonts w:ascii="Times New Roman" w:hAnsi="Times New Roman" w:cs="Times New Roman"/>
        </w:rPr>
        <w:t>O。</w:t>
      </w:r>
    </w:p>
    <w:p>
      <w:pPr>
        <w:spacing w:line="360" w:lineRule="auto"/>
        <w:ind w:firstLine="480" w:firstLineChars="200"/>
        <w:rPr>
          <w:rFonts w:ascii="Times New Roman" w:hAnsi="Times New Roman" w:cs="Times New Roman"/>
        </w:rPr>
      </w:pPr>
      <w:r>
        <w:rPr>
          <w:rFonts w:ascii="Times New Roman" w:hAnsi="Times New Roman" w:cs="Times New Roman"/>
        </w:rPr>
        <w:t>b.颗粒物、镍、钴、锰</w:t>
      </w:r>
    </w:p>
    <w:p>
      <w:pPr>
        <w:spacing w:line="360" w:lineRule="auto"/>
        <w:ind w:firstLine="480" w:firstLineChars="200"/>
        <w:rPr>
          <w:rFonts w:ascii="Times New Roman" w:hAnsi="Times New Roman" w:cs="Times New Roman"/>
        </w:rPr>
      </w:pPr>
      <w:r>
        <w:rPr>
          <w:rFonts w:ascii="Times New Roman" w:hAnsi="Times New Roman" w:cs="Times New Roman"/>
        </w:rPr>
        <w:t>参考《排污许可证申请与核发技术规范 废弃资源加工工业》（HJ1034-2019），废电池加工热解阶段颗粒物产污系数为0.022kg/t原料，镍产污系数为0.81g/t原料。项目原辅材料废旧锂电池极片中，镍、钴、锰元素占比约5:2:3，钴产污系数取0.32g/t原料，锰的产污系数取0.49g/t原料。</w:t>
      </w:r>
    </w:p>
    <w:p>
      <w:pPr>
        <w:spacing w:line="360" w:lineRule="auto"/>
        <w:ind w:firstLine="480" w:firstLineChars="200"/>
        <w:rPr>
          <w:rFonts w:ascii="Times New Roman" w:hAnsi="Times New Roman" w:cs="Times New Roman"/>
        </w:rPr>
      </w:pPr>
      <w:r>
        <w:rPr>
          <w:rFonts w:ascii="Times New Roman" w:hAnsi="Times New Roman" w:cs="Times New Roman"/>
        </w:rPr>
        <w:t>本项目三元锂电池的原料使用量为1万吨/年，磷酸铁锂电池使用量为3万吨/年。因此，本项目电池单体热解过程中颗粒物产生量约0.88t/a，镍及其化合物产生量为32.4kg/a，钴及其化合物产生量为12.8kg/a，锰及其化合物产生量为19.6kg/a。</w:t>
      </w:r>
    </w:p>
    <w:p>
      <w:pPr>
        <w:spacing w:line="360" w:lineRule="auto"/>
        <w:ind w:firstLine="480" w:firstLineChars="200"/>
        <w:rPr>
          <w:rFonts w:ascii="Times New Roman" w:hAnsi="Times New Roman" w:cs="Times New Roman"/>
        </w:rPr>
      </w:pPr>
      <w:r>
        <w:rPr>
          <w:rFonts w:ascii="Times New Roman" w:hAnsi="Times New Roman" w:cs="Times New Roman"/>
        </w:rPr>
        <w:t>项目裂解过程中产生的废气经“废气燃烧炉+急冷+布袋除尘+三级水喷淋+碱液喷淋”处理后经30m排气筒排放。</w:t>
      </w:r>
    </w:p>
    <w:p>
      <w:pPr>
        <w:pStyle w:val="6"/>
        <w:rPr>
          <w:rFonts w:ascii="Times New Roman" w:hAnsi="Times New Roman" w:cs="Times New Roman"/>
        </w:rPr>
      </w:pPr>
      <w:r>
        <w:rPr>
          <w:rFonts w:ascii="Times New Roman" w:hAnsi="Times New Roman" w:cs="Times New Roman"/>
        </w:rPr>
        <w:t>表3.2-</w:t>
      </w:r>
      <w:r>
        <w:rPr>
          <w:rFonts w:hint="eastAsia" w:ascii="Times New Roman" w:hAnsi="Times New Roman" w:cs="Times New Roman"/>
        </w:rPr>
        <w:t>17</w:t>
      </w:r>
      <w:r>
        <w:rPr>
          <w:rFonts w:ascii="Times New Roman" w:hAnsi="Times New Roman" w:cs="Times New Roman"/>
        </w:rPr>
        <w:t xml:space="preserve">  项目破碎、热解废气产生情况一览表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33"/>
        <w:gridCol w:w="1551"/>
        <w:gridCol w:w="1551"/>
        <w:gridCol w:w="2185"/>
        <w:gridCol w:w="20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3" w:type="pct"/>
            <w:vMerge w:val="restart"/>
            <w:shd w:val="clear" w:color="auto" w:fill="auto"/>
            <w:vAlign w:val="center"/>
          </w:tcPr>
          <w:p>
            <w:pPr>
              <w:pStyle w:val="63"/>
            </w:pPr>
            <w:r>
              <w:t>产生环节</w:t>
            </w:r>
          </w:p>
        </w:tc>
        <w:tc>
          <w:tcPr>
            <w:tcW w:w="909" w:type="pct"/>
            <w:vMerge w:val="restart"/>
            <w:vAlign w:val="center"/>
          </w:tcPr>
          <w:p>
            <w:pPr>
              <w:pStyle w:val="63"/>
            </w:pPr>
            <w:r>
              <w:t>排放形式</w:t>
            </w:r>
          </w:p>
        </w:tc>
        <w:tc>
          <w:tcPr>
            <w:tcW w:w="909" w:type="pct"/>
            <w:vMerge w:val="restart"/>
            <w:shd w:val="clear" w:color="auto" w:fill="auto"/>
            <w:vAlign w:val="center"/>
          </w:tcPr>
          <w:p>
            <w:pPr>
              <w:pStyle w:val="63"/>
            </w:pPr>
            <w:r>
              <w:t>污染物</w:t>
            </w:r>
          </w:p>
        </w:tc>
        <w:tc>
          <w:tcPr>
            <w:tcW w:w="2459" w:type="pct"/>
            <w:gridSpan w:val="2"/>
            <w:shd w:val="clear" w:color="auto" w:fill="auto"/>
            <w:vAlign w:val="center"/>
          </w:tcPr>
          <w:p>
            <w:pPr>
              <w:pStyle w:val="63"/>
            </w:pPr>
            <w:r>
              <w:t>产生情况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3" w:type="pct"/>
            <w:vMerge w:val="continue"/>
            <w:shd w:val="clear" w:color="auto" w:fill="auto"/>
            <w:vAlign w:val="center"/>
          </w:tcPr>
          <w:p>
            <w:pPr>
              <w:pStyle w:val="63"/>
            </w:pPr>
          </w:p>
        </w:tc>
        <w:tc>
          <w:tcPr>
            <w:tcW w:w="909" w:type="pct"/>
            <w:vMerge w:val="continue"/>
            <w:vAlign w:val="center"/>
          </w:tcPr>
          <w:p>
            <w:pPr>
              <w:pStyle w:val="63"/>
            </w:pPr>
          </w:p>
        </w:tc>
        <w:tc>
          <w:tcPr>
            <w:tcW w:w="909" w:type="pct"/>
            <w:vMerge w:val="continue"/>
            <w:shd w:val="clear" w:color="auto" w:fill="auto"/>
            <w:vAlign w:val="center"/>
          </w:tcPr>
          <w:p>
            <w:pPr>
              <w:pStyle w:val="63"/>
            </w:pPr>
          </w:p>
        </w:tc>
        <w:tc>
          <w:tcPr>
            <w:tcW w:w="1281" w:type="pct"/>
            <w:shd w:val="clear" w:color="auto" w:fill="auto"/>
            <w:vAlign w:val="center"/>
          </w:tcPr>
          <w:p>
            <w:pPr>
              <w:pStyle w:val="63"/>
            </w:pPr>
            <w:r>
              <w:t>速率kg/h</w:t>
            </w:r>
          </w:p>
        </w:tc>
        <w:tc>
          <w:tcPr>
            <w:tcW w:w="1178" w:type="pct"/>
            <w:shd w:val="clear" w:color="auto" w:fill="auto"/>
            <w:vAlign w:val="center"/>
          </w:tcPr>
          <w:p>
            <w:pPr>
              <w:pStyle w:val="63"/>
            </w:pPr>
            <w:r>
              <w:t>产生量t/a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3" w:type="pct"/>
            <w:vMerge w:val="restart"/>
            <w:shd w:val="clear" w:color="auto" w:fill="auto"/>
            <w:vAlign w:val="center"/>
          </w:tcPr>
          <w:p>
            <w:pPr>
              <w:pStyle w:val="63"/>
            </w:pPr>
            <w:r>
              <w:t>破碎</w:t>
            </w:r>
          </w:p>
        </w:tc>
        <w:tc>
          <w:tcPr>
            <w:tcW w:w="909" w:type="pct"/>
            <w:vMerge w:val="restart"/>
            <w:vAlign w:val="center"/>
          </w:tcPr>
          <w:p>
            <w:pPr>
              <w:pStyle w:val="63"/>
            </w:pPr>
            <w:r>
              <w:t>有组织</w:t>
            </w:r>
          </w:p>
        </w:tc>
        <w:tc>
          <w:tcPr>
            <w:tcW w:w="909" w:type="pct"/>
            <w:shd w:val="clear" w:color="auto" w:fill="auto"/>
            <w:vAlign w:val="center"/>
          </w:tcPr>
          <w:p>
            <w:pPr>
              <w:pStyle w:val="63"/>
            </w:pPr>
            <w:r>
              <w:t>颗粒物</w:t>
            </w:r>
          </w:p>
        </w:tc>
        <w:tc>
          <w:tcPr>
            <w:tcW w:w="1281" w:type="pct"/>
            <w:shd w:val="clear" w:color="auto" w:fill="auto"/>
            <w:vAlign w:val="center"/>
          </w:tcPr>
          <w:p>
            <w:pPr>
              <w:pStyle w:val="63"/>
            </w:pPr>
            <w:r>
              <w:t>0.05</w:t>
            </w:r>
          </w:p>
        </w:tc>
        <w:tc>
          <w:tcPr>
            <w:tcW w:w="1178" w:type="pct"/>
            <w:shd w:val="clear" w:color="auto" w:fill="auto"/>
            <w:vAlign w:val="center"/>
          </w:tcPr>
          <w:p>
            <w:pPr>
              <w:pStyle w:val="63"/>
            </w:pPr>
            <w:r>
              <w:t>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3" w:type="pct"/>
            <w:vMerge w:val="continue"/>
            <w:shd w:val="clear" w:color="auto" w:fill="auto"/>
            <w:vAlign w:val="center"/>
          </w:tcPr>
          <w:p>
            <w:pPr>
              <w:pStyle w:val="63"/>
            </w:pPr>
          </w:p>
        </w:tc>
        <w:tc>
          <w:tcPr>
            <w:tcW w:w="909" w:type="pct"/>
            <w:vMerge w:val="continue"/>
            <w:vAlign w:val="center"/>
          </w:tcPr>
          <w:p>
            <w:pPr>
              <w:pStyle w:val="63"/>
            </w:pPr>
          </w:p>
        </w:tc>
        <w:tc>
          <w:tcPr>
            <w:tcW w:w="909" w:type="pct"/>
            <w:shd w:val="clear" w:color="auto" w:fill="auto"/>
            <w:vAlign w:val="center"/>
          </w:tcPr>
          <w:p>
            <w:pPr>
              <w:pStyle w:val="63"/>
            </w:pPr>
            <w:r>
              <w:t>非甲烷总烃</w:t>
            </w:r>
          </w:p>
        </w:tc>
        <w:tc>
          <w:tcPr>
            <w:tcW w:w="1281" w:type="pct"/>
            <w:shd w:val="clear" w:color="auto" w:fill="auto"/>
            <w:vAlign w:val="center"/>
          </w:tcPr>
          <w:p>
            <w:pPr>
              <w:pStyle w:val="63"/>
            </w:pPr>
            <w:r>
              <w:t>17.17</w:t>
            </w:r>
          </w:p>
        </w:tc>
        <w:tc>
          <w:tcPr>
            <w:tcW w:w="1178" w:type="pct"/>
            <w:shd w:val="clear" w:color="auto" w:fill="auto"/>
            <w:vAlign w:val="center"/>
          </w:tcPr>
          <w:p>
            <w:pPr>
              <w:pStyle w:val="63"/>
            </w:pPr>
            <w:r>
              <w:t>136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3" w:type="pct"/>
            <w:vMerge w:val="restart"/>
            <w:shd w:val="clear" w:color="auto" w:fill="auto"/>
            <w:vAlign w:val="center"/>
          </w:tcPr>
          <w:p>
            <w:pPr>
              <w:pStyle w:val="63"/>
            </w:pPr>
            <w:r>
              <w:t>热解</w:t>
            </w:r>
          </w:p>
        </w:tc>
        <w:tc>
          <w:tcPr>
            <w:tcW w:w="909" w:type="pct"/>
            <w:vMerge w:val="restart"/>
            <w:vAlign w:val="center"/>
          </w:tcPr>
          <w:p>
            <w:pPr>
              <w:pStyle w:val="63"/>
            </w:pPr>
            <w:r>
              <w:t>有组织</w:t>
            </w:r>
          </w:p>
        </w:tc>
        <w:tc>
          <w:tcPr>
            <w:tcW w:w="909" w:type="pct"/>
            <w:shd w:val="clear" w:color="auto" w:fill="auto"/>
            <w:vAlign w:val="center"/>
          </w:tcPr>
          <w:p>
            <w:pPr>
              <w:pStyle w:val="63"/>
            </w:pPr>
            <w:r>
              <w:t>颗粒物</w:t>
            </w:r>
          </w:p>
        </w:tc>
        <w:tc>
          <w:tcPr>
            <w:tcW w:w="1281" w:type="pct"/>
            <w:shd w:val="clear" w:color="auto" w:fill="auto"/>
            <w:vAlign w:val="center"/>
          </w:tcPr>
          <w:p>
            <w:pPr>
              <w:pStyle w:val="63"/>
            </w:pPr>
            <w:r>
              <w:t>0.11</w:t>
            </w:r>
          </w:p>
        </w:tc>
        <w:tc>
          <w:tcPr>
            <w:tcW w:w="1178" w:type="pct"/>
            <w:shd w:val="clear" w:color="auto" w:fill="auto"/>
            <w:vAlign w:val="center"/>
          </w:tcPr>
          <w:p>
            <w:pPr>
              <w:pStyle w:val="63"/>
            </w:pPr>
            <w:r>
              <w:t>0.88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3" w:type="pct"/>
            <w:vMerge w:val="continue"/>
            <w:shd w:val="clear" w:color="auto" w:fill="auto"/>
            <w:vAlign w:val="center"/>
          </w:tcPr>
          <w:p>
            <w:pPr>
              <w:pStyle w:val="63"/>
            </w:pPr>
          </w:p>
        </w:tc>
        <w:tc>
          <w:tcPr>
            <w:tcW w:w="909" w:type="pct"/>
            <w:vMerge w:val="continue"/>
            <w:vAlign w:val="center"/>
          </w:tcPr>
          <w:p>
            <w:pPr>
              <w:pStyle w:val="63"/>
            </w:pPr>
          </w:p>
        </w:tc>
        <w:tc>
          <w:tcPr>
            <w:tcW w:w="909" w:type="pct"/>
            <w:shd w:val="clear" w:color="auto" w:fill="auto"/>
            <w:vAlign w:val="center"/>
          </w:tcPr>
          <w:p>
            <w:pPr>
              <w:pStyle w:val="63"/>
            </w:pPr>
            <w:r>
              <w:t>挥发性有机物</w:t>
            </w:r>
          </w:p>
        </w:tc>
        <w:tc>
          <w:tcPr>
            <w:tcW w:w="1281" w:type="pct"/>
            <w:shd w:val="clear" w:color="auto" w:fill="auto"/>
            <w:vAlign w:val="center"/>
          </w:tcPr>
          <w:p>
            <w:pPr>
              <w:pStyle w:val="63"/>
            </w:pPr>
            <w:r>
              <w:t>278.79</w:t>
            </w:r>
          </w:p>
        </w:tc>
        <w:tc>
          <w:tcPr>
            <w:tcW w:w="1178" w:type="pct"/>
            <w:shd w:val="clear" w:color="auto" w:fill="auto"/>
            <w:vAlign w:val="center"/>
          </w:tcPr>
          <w:p>
            <w:pPr>
              <w:pStyle w:val="63"/>
            </w:pPr>
            <w:r>
              <w:t>2208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3" w:type="pct"/>
            <w:vMerge w:val="continue"/>
            <w:shd w:val="clear" w:color="auto" w:fill="auto"/>
            <w:vAlign w:val="center"/>
          </w:tcPr>
          <w:p>
            <w:pPr>
              <w:pStyle w:val="63"/>
            </w:pPr>
          </w:p>
        </w:tc>
        <w:tc>
          <w:tcPr>
            <w:tcW w:w="909" w:type="pct"/>
            <w:vMerge w:val="continue"/>
            <w:vAlign w:val="center"/>
          </w:tcPr>
          <w:p>
            <w:pPr>
              <w:pStyle w:val="63"/>
            </w:pPr>
          </w:p>
        </w:tc>
        <w:tc>
          <w:tcPr>
            <w:tcW w:w="909" w:type="pct"/>
            <w:shd w:val="clear" w:color="auto" w:fill="auto"/>
            <w:vAlign w:val="center"/>
          </w:tcPr>
          <w:p>
            <w:pPr>
              <w:pStyle w:val="63"/>
            </w:pPr>
            <w:r>
              <w:t>氟化物</w:t>
            </w:r>
          </w:p>
        </w:tc>
        <w:tc>
          <w:tcPr>
            <w:tcW w:w="1281" w:type="pct"/>
            <w:shd w:val="clear" w:color="auto" w:fill="auto"/>
            <w:vAlign w:val="center"/>
          </w:tcPr>
          <w:p>
            <w:pPr>
              <w:pStyle w:val="63"/>
            </w:pPr>
            <w:r>
              <w:t>29.72</w:t>
            </w:r>
          </w:p>
        </w:tc>
        <w:tc>
          <w:tcPr>
            <w:tcW w:w="1178" w:type="pct"/>
            <w:shd w:val="clear" w:color="auto" w:fill="auto"/>
            <w:vAlign w:val="center"/>
          </w:tcPr>
          <w:p>
            <w:pPr>
              <w:pStyle w:val="63"/>
            </w:pPr>
            <w:r>
              <w:t>214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3" w:type="pct"/>
            <w:vMerge w:val="continue"/>
            <w:shd w:val="clear" w:color="auto" w:fill="auto"/>
            <w:vAlign w:val="center"/>
          </w:tcPr>
          <w:p>
            <w:pPr>
              <w:pStyle w:val="63"/>
            </w:pPr>
          </w:p>
        </w:tc>
        <w:tc>
          <w:tcPr>
            <w:tcW w:w="909" w:type="pct"/>
            <w:vMerge w:val="continue"/>
            <w:vAlign w:val="center"/>
          </w:tcPr>
          <w:p>
            <w:pPr>
              <w:pStyle w:val="63"/>
            </w:pPr>
          </w:p>
        </w:tc>
        <w:tc>
          <w:tcPr>
            <w:tcW w:w="909" w:type="pct"/>
            <w:shd w:val="clear" w:color="auto" w:fill="auto"/>
            <w:vAlign w:val="center"/>
          </w:tcPr>
          <w:p>
            <w:pPr>
              <w:pStyle w:val="63"/>
            </w:pPr>
            <w:r>
              <w:t>镍及其化合物</w:t>
            </w:r>
          </w:p>
        </w:tc>
        <w:tc>
          <w:tcPr>
            <w:tcW w:w="1281" w:type="pct"/>
            <w:shd w:val="clear" w:color="auto" w:fill="auto"/>
            <w:vAlign w:val="center"/>
          </w:tcPr>
          <w:p>
            <w:pPr>
              <w:pStyle w:val="63"/>
            </w:pPr>
            <w:r>
              <w:t>0.0040</w:t>
            </w:r>
          </w:p>
        </w:tc>
        <w:tc>
          <w:tcPr>
            <w:tcW w:w="1178" w:type="pct"/>
            <w:shd w:val="clear" w:color="auto" w:fill="auto"/>
            <w:vAlign w:val="center"/>
          </w:tcPr>
          <w:p>
            <w:pPr>
              <w:pStyle w:val="63"/>
            </w:pPr>
            <w:r>
              <w:t>32.4 kg/a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3" w:type="pct"/>
            <w:vMerge w:val="continue"/>
            <w:shd w:val="clear" w:color="auto" w:fill="auto"/>
            <w:vAlign w:val="center"/>
          </w:tcPr>
          <w:p>
            <w:pPr>
              <w:pStyle w:val="63"/>
            </w:pPr>
          </w:p>
        </w:tc>
        <w:tc>
          <w:tcPr>
            <w:tcW w:w="909" w:type="pct"/>
            <w:vMerge w:val="continue"/>
            <w:vAlign w:val="center"/>
          </w:tcPr>
          <w:p>
            <w:pPr>
              <w:pStyle w:val="63"/>
            </w:pPr>
          </w:p>
        </w:tc>
        <w:tc>
          <w:tcPr>
            <w:tcW w:w="909" w:type="pct"/>
            <w:shd w:val="clear" w:color="auto" w:fill="auto"/>
            <w:vAlign w:val="center"/>
          </w:tcPr>
          <w:p>
            <w:pPr>
              <w:pStyle w:val="63"/>
            </w:pPr>
            <w:r>
              <w:t>钴及其化合物</w:t>
            </w:r>
          </w:p>
        </w:tc>
        <w:tc>
          <w:tcPr>
            <w:tcW w:w="1281" w:type="pct"/>
            <w:shd w:val="clear" w:color="auto" w:fill="auto"/>
            <w:vAlign w:val="center"/>
          </w:tcPr>
          <w:p>
            <w:pPr>
              <w:pStyle w:val="63"/>
            </w:pPr>
            <w:r>
              <w:t>0.0016</w:t>
            </w:r>
          </w:p>
        </w:tc>
        <w:tc>
          <w:tcPr>
            <w:tcW w:w="1178" w:type="pct"/>
            <w:shd w:val="clear" w:color="auto" w:fill="auto"/>
            <w:vAlign w:val="center"/>
          </w:tcPr>
          <w:p>
            <w:pPr>
              <w:pStyle w:val="63"/>
            </w:pPr>
            <w:r>
              <w:t>12.8kg/a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3" w:type="pct"/>
            <w:vMerge w:val="continue"/>
            <w:shd w:val="clear" w:color="auto" w:fill="auto"/>
            <w:vAlign w:val="center"/>
          </w:tcPr>
          <w:p>
            <w:pPr>
              <w:pStyle w:val="63"/>
            </w:pPr>
          </w:p>
        </w:tc>
        <w:tc>
          <w:tcPr>
            <w:tcW w:w="909" w:type="pct"/>
            <w:vMerge w:val="continue"/>
            <w:vAlign w:val="center"/>
          </w:tcPr>
          <w:p>
            <w:pPr>
              <w:pStyle w:val="63"/>
            </w:pPr>
          </w:p>
        </w:tc>
        <w:tc>
          <w:tcPr>
            <w:tcW w:w="909" w:type="pct"/>
            <w:shd w:val="clear" w:color="auto" w:fill="auto"/>
            <w:vAlign w:val="center"/>
          </w:tcPr>
          <w:p>
            <w:pPr>
              <w:pStyle w:val="63"/>
            </w:pPr>
            <w:r>
              <w:t>锰及其化合物</w:t>
            </w:r>
          </w:p>
        </w:tc>
        <w:tc>
          <w:tcPr>
            <w:tcW w:w="1281" w:type="pct"/>
            <w:shd w:val="clear" w:color="auto" w:fill="auto"/>
            <w:vAlign w:val="center"/>
          </w:tcPr>
          <w:p>
            <w:pPr>
              <w:pStyle w:val="63"/>
            </w:pPr>
            <w:r>
              <w:t>0.0025</w:t>
            </w:r>
          </w:p>
        </w:tc>
        <w:tc>
          <w:tcPr>
            <w:tcW w:w="1178" w:type="pct"/>
            <w:shd w:val="clear" w:color="auto" w:fill="auto"/>
            <w:vAlign w:val="center"/>
          </w:tcPr>
          <w:p>
            <w:pPr>
              <w:pStyle w:val="63"/>
            </w:pPr>
            <w:r>
              <w:t>19.6kg/a</w:t>
            </w:r>
          </w:p>
        </w:tc>
      </w:tr>
    </w:tbl>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3 \* GB3 </w:instrText>
      </w:r>
      <w:r>
        <w:rPr>
          <w:rFonts w:ascii="Times New Roman" w:hAnsi="Times New Roman" w:cs="Times New Roman"/>
        </w:rPr>
        <w:fldChar w:fldCharType="separate"/>
      </w:r>
      <w:r>
        <w:rPr>
          <w:rFonts w:hint="eastAsia" w:ascii="宋体" w:hAnsi="宋体" w:eastAsia="宋体" w:cs="宋体"/>
        </w:rPr>
        <w:t>③</w:t>
      </w:r>
      <w:r>
        <w:rPr>
          <w:rFonts w:ascii="Times New Roman" w:hAnsi="Times New Roman" w:cs="Times New Roman"/>
        </w:rPr>
        <w:fldChar w:fldCharType="end"/>
      </w:r>
      <w:r>
        <w:rPr>
          <w:rFonts w:ascii="Times New Roman" w:hAnsi="Times New Roman" w:cs="Times New Roman"/>
        </w:rPr>
        <w:t>焚烧废气</w:t>
      </w:r>
    </w:p>
    <w:p>
      <w:pPr>
        <w:spacing w:line="360" w:lineRule="auto"/>
        <w:ind w:firstLine="480" w:firstLineChars="200"/>
        <w:rPr>
          <w:rFonts w:ascii="Times New Roman" w:hAnsi="Times New Roman" w:cs="Times New Roman"/>
        </w:rPr>
      </w:pPr>
      <w:r>
        <w:rPr>
          <w:rFonts w:ascii="Times New Roman" w:hAnsi="Times New Roman" w:cs="Times New Roman"/>
        </w:rPr>
        <w:t>本项目预处理过程中产生的热解废气和破碎废气经“废气燃烧+急冷+布袋除尘+三级水喷淋+碱液喷淋”处理后经30m高排气筒排放。废气燃烧炉采用天然气辅助燃烧。</w:t>
      </w:r>
    </w:p>
    <w:p>
      <w:pPr>
        <w:spacing w:line="360" w:lineRule="auto"/>
        <w:ind w:firstLine="480" w:firstLineChars="200"/>
        <w:rPr>
          <w:rFonts w:ascii="Times New Roman" w:hAnsi="Times New Roman" w:cs="Times New Roman"/>
        </w:rPr>
      </w:pPr>
      <w:r>
        <w:rPr>
          <w:rFonts w:ascii="Times New Roman" w:hAnsi="Times New Roman" w:cs="Times New Roman"/>
        </w:rPr>
        <w:t>从高温热解工序送来的热解废气G2，直接送入废气燃烧炉进行燃烧处理， 去除其中所含的有机物等；从预处理工序来的破碎废气G1直接作为废气燃烧炉的助燃空气使用，即直接燃烧除去其中的电解液挥发气。燃烧炉采用两级燃烧室，废气G1和G2首先在一级燃烧室燃烧，一级燃烧室停留时间约0.5s，燃烧温度在400～600</w:t>
      </w:r>
      <w:r>
        <w:rPr>
          <w:rFonts w:hint="eastAsia" w:ascii="宋体" w:hAnsi="宋体" w:eastAsia="宋体" w:cs="宋体"/>
        </w:rPr>
        <w:t>℃</w:t>
      </w:r>
      <w:r>
        <w:rPr>
          <w:rFonts w:ascii="Times New Roman" w:hAnsi="Times New Roman" w:cs="Times New Roman"/>
        </w:rPr>
        <w:t>左右，将混合气中95%以上的有机物除去，再进入二级燃烧室；二级燃烧室停留时间≥2s，燃烧温度在850</w:t>
      </w:r>
      <w:r>
        <w:rPr>
          <w:rFonts w:hint="eastAsia" w:ascii="宋体" w:hAnsi="宋体" w:eastAsia="宋体" w:cs="宋体"/>
        </w:rPr>
        <w:t>℃</w:t>
      </w:r>
      <w:r>
        <w:rPr>
          <w:rFonts w:ascii="Times New Roman" w:hAnsi="Times New Roman" w:cs="Times New Roman"/>
        </w:rPr>
        <w:t>左右，二级燃烧室主要燃烧残余的有机物，去除有机物效率95%以上，两级燃烧室有机物去除效率取99.5%。两级燃烧室均采用天然气作为辅助燃料气，在废气燃烧发生化学反应如下：</w:t>
      </w:r>
    </w:p>
    <w:p>
      <w:pPr>
        <w:spacing w:line="360" w:lineRule="auto"/>
        <w:ind w:firstLine="480" w:firstLineChars="200"/>
        <w:rPr>
          <w:rFonts w:ascii="Times New Roman" w:hAnsi="Times New Roman" w:cs="Times New Roman"/>
        </w:rPr>
      </w:pPr>
      <w:r>
        <w:rPr>
          <w:rFonts w:ascii="Times New Roman" w:hAnsi="Times New Roman" w:cs="Times New Roman"/>
        </w:rPr>
        <w:drawing>
          <wp:inline distT="0" distB="0" distL="0" distR="0">
            <wp:extent cx="3444240" cy="670560"/>
            <wp:effectExtent l="0" t="0" r="381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3444240" cy="670560"/>
                    </a:xfrm>
                    <a:prstGeom prst="rect">
                      <a:avLst/>
                    </a:prstGeom>
                    <a:noFill/>
                    <a:ln>
                      <a:noFill/>
                    </a:ln>
                  </pic:spPr>
                </pic:pic>
              </a:graphicData>
            </a:graphic>
          </wp:inline>
        </w:drawing>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a.天然气燃烧废气</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本项目每台废气焚烧炉二次燃烧室天然气使用量约20m</w:t>
      </w:r>
      <w:r>
        <w:rPr>
          <w:rFonts w:ascii="Times New Roman" w:hAnsi="Times New Roman" w:cs="Times New Roman"/>
          <w:u w:val="single"/>
          <w:vertAlign w:val="superscript"/>
        </w:rPr>
        <w:t>3</w:t>
      </w:r>
      <w:r>
        <w:rPr>
          <w:rFonts w:ascii="Times New Roman" w:hAnsi="Times New Roman" w:cs="Times New Roman"/>
          <w:u w:val="single"/>
        </w:rPr>
        <w:t>/h，项目设置2台焚烧炉，天然气使用量为31.68万m</w:t>
      </w:r>
      <w:r>
        <w:rPr>
          <w:rFonts w:ascii="Times New Roman" w:hAnsi="Times New Roman" w:cs="Times New Roman"/>
          <w:u w:val="single"/>
          <w:vertAlign w:val="superscript"/>
        </w:rPr>
        <w:t>3</w:t>
      </w:r>
      <w:r>
        <w:rPr>
          <w:rFonts w:ascii="Times New Roman" w:hAnsi="Times New Roman" w:cs="Times New Roman"/>
          <w:u w:val="single"/>
        </w:rPr>
        <w:t>/a。</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焚烧炉燃烧产生的颗粒物、SO</w:t>
      </w:r>
      <w:r>
        <w:rPr>
          <w:rFonts w:ascii="Times New Roman" w:hAnsi="Times New Roman" w:cs="Times New Roman"/>
          <w:u w:val="single"/>
          <w:vertAlign w:val="subscript"/>
        </w:rPr>
        <w:t>2</w:t>
      </w:r>
      <w:r>
        <w:rPr>
          <w:rFonts w:ascii="Times New Roman" w:hAnsi="Times New Roman" w:cs="Times New Roman"/>
          <w:u w:val="single"/>
        </w:rPr>
        <w:t>和NOx产污系数参照《排污许可证申请与核发技术规范  锅炉》（HJ953-2018）“表F.3燃气工业锅炉的废气产排污系数”、工业烟气量的产污系数参照排放源统计调查产排污核算方法和系数手册》（2021年版）“锅炉产排污量核算手册”中燃气工业锅炉的产污系数。锅炉烟气各污染物产污系数见下表。</w:t>
      </w:r>
    </w:p>
    <w:p>
      <w:pPr>
        <w:pStyle w:val="6"/>
        <w:rPr>
          <w:rFonts w:ascii="Times New Roman" w:hAnsi="Times New Roman" w:cs="Times New Roman"/>
          <w:u w:val="single"/>
        </w:rPr>
      </w:pPr>
      <w:r>
        <w:rPr>
          <w:rFonts w:ascii="Times New Roman" w:hAnsi="Times New Roman" w:cs="Times New Roman"/>
          <w:u w:val="single"/>
        </w:rPr>
        <w:t>表3.2-</w:t>
      </w:r>
      <w:r>
        <w:rPr>
          <w:rFonts w:hint="eastAsia" w:ascii="Times New Roman" w:hAnsi="Times New Roman" w:cs="Times New Roman"/>
          <w:u w:val="single"/>
        </w:rPr>
        <w:t>18</w:t>
      </w:r>
      <w:r>
        <w:rPr>
          <w:rFonts w:ascii="Times New Roman" w:hAnsi="Times New Roman" w:cs="Times New Roman"/>
          <w:u w:val="single"/>
        </w:rPr>
        <w:t xml:space="preserve">  天然气燃烧废气污染物产生量见下表</w:t>
      </w:r>
    </w:p>
    <w:tbl>
      <w:tblPr>
        <w:tblStyle w:val="3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92"/>
        <w:gridCol w:w="1735"/>
        <w:gridCol w:w="1359"/>
        <w:gridCol w:w="2268"/>
        <w:gridCol w:w="14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92" w:type="dxa"/>
            <w:vAlign w:val="center"/>
          </w:tcPr>
          <w:p>
            <w:pPr>
              <w:pStyle w:val="63"/>
              <w:rPr>
                <w:u w:val="single"/>
              </w:rPr>
            </w:pPr>
            <w:r>
              <w:rPr>
                <w:u w:val="single"/>
              </w:rPr>
              <w:t>污染物指标</w:t>
            </w:r>
          </w:p>
        </w:tc>
        <w:tc>
          <w:tcPr>
            <w:tcW w:w="1735" w:type="dxa"/>
            <w:vAlign w:val="center"/>
          </w:tcPr>
          <w:p>
            <w:pPr>
              <w:pStyle w:val="63"/>
              <w:rPr>
                <w:u w:val="single"/>
              </w:rPr>
            </w:pPr>
            <w:r>
              <w:rPr>
                <w:u w:val="single"/>
              </w:rPr>
              <w:t>单位</w:t>
            </w:r>
          </w:p>
        </w:tc>
        <w:tc>
          <w:tcPr>
            <w:tcW w:w="1359" w:type="dxa"/>
            <w:vAlign w:val="center"/>
          </w:tcPr>
          <w:p>
            <w:pPr>
              <w:pStyle w:val="63"/>
              <w:rPr>
                <w:u w:val="single"/>
              </w:rPr>
            </w:pPr>
            <w:r>
              <w:rPr>
                <w:u w:val="single"/>
              </w:rPr>
              <w:t>天然气使用量</w:t>
            </w:r>
          </w:p>
        </w:tc>
        <w:tc>
          <w:tcPr>
            <w:tcW w:w="2268" w:type="dxa"/>
            <w:vAlign w:val="center"/>
          </w:tcPr>
          <w:p>
            <w:pPr>
              <w:pStyle w:val="63"/>
              <w:rPr>
                <w:u w:val="single"/>
              </w:rPr>
            </w:pPr>
            <w:r>
              <w:rPr>
                <w:u w:val="single"/>
              </w:rPr>
              <w:t>产污系数</w:t>
            </w:r>
          </w:p>
        </w:tc>
        <w:tc>
          <w:tcPr>
            <w:tcW w:w="1475" w:type="dxa"/>
            <w:vAlign w:val="center"/>
          </w:tcPr>
          <w:p>
            <w:pPr>
              <w:pStyle w:val="63"/>
              <w:rPr>
                <w:u w:val="single"/>
              </w:rPr>
            </w:pPr>
            <w:r>
              <w:rPr>
                <w:u w:val="single"/>
              </w:rPr>
              <w:t>产生量（t/a）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92" w:type="dxa"/>
            <w:vAlign w:val="center"/>
          </w:tcPr>
          <w:p>
            <w:pPr>
              <w:pStyle w:val="63"/>
              <w:rPr>
                <w:u w:val="single"/>
              </w:rPr>
            </w:pPr>
            <w:r>
              <w:rPr>
                <w:u w:val="single"/>
              </w:rPr>
              <w:t>二氧化硫</w:t>
            </w:r>
          </w:p>
        </w:tc>
        <w:tc>
          <w:tcPr>
            <w:tcW w:w="1735" w:type="dxa"/>
            <w:vAlign w:val="center"/>
          </w:tcPr>
          <w:p>
            <w:pPr>
              <w:pStyle w:val="63"/>
              <w:rPr>
                <w:u w:val="single"/>
              </w:rPr>
            </w:pPr>
            <w:r>
              <w:rPr>
                <w:u w:val="single"/>
              </w:rPr>
              <w:t>kg/万m</w:t>
            </w:r>
            <w:r>
              <w:rPr>
                <w:u w:val="single"/>
                <w:vertAlign w:val="superscript"/>
              </w:rPr>
              <w:t>3</w:t>
            </w:r>
            <w:r>
              <w:rPr>
                <w:u w:val="single"/>
              </w:rPr>
              <w:t>-原料</w:t>
            </w:r>
          </w:p>
        </w:tc>
        <w:tc>
          <w:tcPr>
            <w:tcW w:w="1359" w:type="dxa"/>
            <w:vMerge w:val="restart"/>
            <w:vAlign w:val="center"/>
          </w:tcPr>
          <w:p>
            <w:pPr>
              <w:pStyle w:val="63"/>
              <w:rPr>
                <w:u w:val="single"/>
              </w:rPr>
            </w:pPr>
            <w:r>
              <w:rPr>
                <w:u w:val="single"/>
              </w:rPr>
              <w:t>31.68万m</w:t>
            </w:r>
            <w:r>
              <w:rPr>
                <w:u w:val="single"/>
                <w:vertAlign w:val="superscript"/>
              </w:rPr>
              <w:t>3</w:t>
            </w:r>
            <w:r>
              <w:rPr>
                <w:u w:val="single"/>
              </w:rPr>
              <w:t>/a</w:t>
            </w:r>
          </w:p>
        </w:tc>
        <w:tc>
          <w:tcPr>
            <w:tcW w:w="2268" w:type="dxa"/>
            <w:vAlign w:val="center"/>
          </w:tcPr>
          <w:p>
            <w:pPr>
              <w:pStyle w:val="63"/>
              <w:rPr>
                <w:u w:val="single"/>
              </w:rPr>
            </w:pPr>
            <w:r>
              <w:rPr>
                <w:u w:val="single"/>
              </w:rPr>
              <w:t>0.02S</w:t>
            </w:r>
          </w:p>
        </w:tc>
        <w:tc>
          <w:tcPr>
            <w:tcW w:w="1475" w:type="dxa"/>
            <w:vAlign w:val="center"/>
          </w:tcPr>
          <w:p>
            <w:pPr>
              <w:pStyle w:val="63"/>
              <w:rPr>
                <w:u w:val="single"/>
              </w:rPr>
            </w:pPr>
            <w:r>
              <w:rPr>
                <w:u w:val="single"/>
              </w:rPr>
              <w:t>0.013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92" w:type="dxa"/>
            <w:vAlign w:val="center"/>
          </w:tcPr>
          <w:p>
            <w:pPr>
              <w:pStyle w:val="63"/>
              <w:rPr>
                <w:u w:val="single"/>
              </w:rPr>
            </w:pPr>
            <w:r>
              <w:rPr>
                <w:u w:val="single"/>
              </w:rPr>
              <w:t>氮氧化物</w:t>
            </w:r>
          </w:p>
        </w:tc>
        <w:tc>
          <w:tcPr>
            <w:tcW w:w="1735" w:type="dxa"/>
            <w:vAlign w:val="center"/>
          </w:tcPr>
          <w:p>
            <w:pPr>
              <w:pStyle w:val="63"/>
              <w:rPr>
                <w:u w:val="single"/>
              </w:rPr>
            </w:pPr>
            <w:r>
              <w:rPr>
                <w:u w:val="single"/>
              </w:rPr>
              <w:t>kg/万m</w:t>
            </w:r>
            <w:r>
              <w:rPr>
                <w:u w:val="single"/>
                <w:vertAlign w:val="superscript"/>
              </w:rPr>
              <w:t>3</w:t>
            </w:r>
            <w:r>
              <w:rPr>
                <w:u w:val="single"/>
              </w:rPr>
              <w:t>-原料</w:t>
            </w:r>
          </w:p>
        </w:tc>
        <w:tc>
          <w:tcPr>
            <w:tcW w:w="1359" w:type="dxa"/>
            <w:vMerge w:val="continue"/>
            <w:vAlign w:val="center"/>
          </w:tcPr>
          <w:p>
            <w:pPr>
              <w:pStyle w:val="63"/>
              <w:rPr>
                <w:u w:val="single"/>
              </w:rPr>
            </w:pPr>
          </w:p>
        </w:tc>
        <w:tc>
          <w:tcPr>
            <w:tcW w:w="2268" w:type="dxa"/>
            <w:vAlign w:val="center"/>
          </w:tcPr>
          <w:p>
            <w:pPr>
              <w:pStyle w:val="63"/>
              <w:rPr>
                <w:u w:val="single"/>
              </w:rPr>
            </w:pPr>
            <w:r>
              <w:rPr>
                <w:u w:val="single"/>
              </w:rPr>
              <w:t>18.71（无低氮燃烧）</w:t>
            </w:r>
          </w:p>
        </w:tc>
        <w:tc>
          <w:tcPr>
            <w:tcW w:w="1475" w:type="dxa"/>
            <w:vAlign w:val="center"/>
          </w:tcPr>
          <w:p>
            <w:pPr>
              <w:pStyle w:val="63"/>
              <w:rPr>
                <w:u w:val="single"/>
              </w:rPr>
            </w:pPr>
            <w:r>
              <w:rPr>
                <w:u w:val="single"/>
              </w:rPr>
              <w:t>0.593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92" w:type="dxa"/>
            <w:vAlign w:val="center"/>
          </w:tcPr>
          <w:p>
            <w:pPr>
              <w:pStyle w:val="63"/>
              <w:rPr>
                <w:u w:val="single"/>
              </w:rPr>
            </w:pPr>
            <w:r>
              <w:rPr>
                <w:u w:val="single"/>
              </w:rPr>
              <w:t>颗粒物</w:t>
            </w:r>
          </w:p>
        </w:tc>
        <w:tc>
          <w:tcPr>
            <w:tcW w:w="1735" w:type="dxa"/>
            <w:vAlign w:val="center"/>
          </w:tcPr>
          <w:p>
            <w:pPr>
              <w:pStyle w:val="63"/>
              <w:rPr>
                <w:u w:val="single"/>
              </w:rPr>
            </w:pPr>
            <w:r>
              <w:rPr>
                <w:u w:val="single"/>
              </w:rPr>
              <w:t>kg/万m</w:t>
            </w:r>
            <w:r>
              <w:rPr>
                <w:u w:val="single"/>
                <w:vertAlign w:val="superscript"/>
              </w:rPr>
              <w:t>3</w:t>
            </w:r>
            <w:r>
              <w:rPr>
                <w:u w:val="single"/>
              </w:rPr>
              <w:t>-原料</w:t>
            </w:r>
          </w:p>
        </w:tc>
        <w:tc>
          <w:tcPr>
            <w:tcW w:w="1359" w:type="dxa"/>
            <w:vMerge w:val="continue"/>
            <w:vAlign w:val="center"/>
          </w:tcPr>
          <w:p>
            <w:pPr>
              <w:pStyle w:val="63"/>
              <w:rPr>
                <w:u w:val="single"/>
              </w:rPr>
            </w:pPr>
          </w:p>
        </w:tc>
        <w:tc>
          <w:tcPr>
            <w:tcW w:w="2268" w:type="dxa"/>
            <w:vAlign w:val="center"/>
          </w:tcPr>
          <w:p>
            <w:pPr>
              <w:pStyle w:val="63"/>
              <w:rPr>
                <w:u w:val="single"/>
              </w:rPr>
            </w:pPr>
            <w:r>
              <w:rPr>
                <w:u w:val="single"/>
              </w:rPr>
              <w:t>2.86</w:t>
            </w:r>
          </w:p>
        </w:tc>
        <w:tc>
          <w:tcPr>
            <w:tcW w:w="1475" w:type="dxa"/>
            <w:vAlign w:val="center"/>
          </w:tcPr>
          <w:p>
            <w:pPr>
              <w:pStyle w:val="63"/>
              <w:rPr>
                <w:u w:val="single"/>
              </w:rPr>
            </w:pPr>
            <w:r>
              <w:rPr>
                <w:u w:val="single"/>
              </w:rPr>
              <w:t>0.091</w:t>
            </w:r>
          </w:p>
        </w:tc>
      </w:tr>
    </w:tbl>
    <w:p>
      <w:pPr>
        <w:spacing w:line="360" w:lineRule="auto"/>
        <w:ind w:firstLine="420" w:firstLineChars="200"/>
        <w:rPr>
          <w:rFonts w:ascii="Times New Roman" w:hAnsi="Times New Roman" w:cs="Times New Roman"/>
          <w:sz w:val="21"/>
          <w:szCs w:val="21"/>
        </w:rPr>
      </w:pPr>
      <w:r>
        <w:rPr>
          <w:rFonts w:ascii="Times New Roman" w:hAnsi="Times New Roman" w:cs="Times New Roman"/>
          <w:sz w:val="21"/>
          <w:szCs w:val="21"/>
        </w:rPr>
        <w:t>注：二氧化硫的产排污系数是以含硫量（S）的形式表示的，其中含硫量（S）是指燃气收到基硫分含量，单位为mg/m</w:t>
      </w:r>
      <w:r>
        <w:rPr>
          <w:rFonts w:ascii="Times New Roman" w:hAnsi="Times New Roman" w:cs="Times New Roman"/>
          <w:sz w:val="21"/>
          <w:szCs w:val="21"/>
          <w:vertAlign w:val="superscript"/>
        </w:rPr>
        <w:t>3</w:t>
      </w:r>
      <w:r>
        <w:rPr>
          <w:rFonts w:ascii="Times New Roman" w:hAnsi="Times New Roman" w:cs="Times New Roman"/>
          <w:sz w:val="21"/>
          <w:szCs w:val="21"/>
        </w:rPr>
        <w:t>，例如燃料中含硫量（S）为200mg/m</w:t>
      </w:r>
      <w:r>
        <w:rPr>
          <w:rFonts w:ascii="Times New Roman" w:hAnsi="Times New Roman" w:cs="Times New Roman"/>
          <w:sz w:val="21"/>
          <w:szCs w:val="21"/>
          <w:vertAlign w:val="superscript"/>
        </w:rPr>
        <w:t>3</w:t>
      </w:r>
      <w:r>
        <w:rPr>
          <w:rFonts w:ascii="Times New Roman" w:hAnsi="Times New Roman" w:cs="Times New Roman"/>
          <w:sz w:val="21"/>
          <w:szCs w:val="21"/>
        </w:rPr>
        <w:t>，则S=200。根据《国家天然气标准》（GB17820-2018）中的规定一类天然气技术指标中的含硫量为20mg/m</w:t>
      </w:r>
      <w:r>
        <w:rPr>
          <w:rFonts w:ascii="Times New Roman" w:hAnsi="Times New Roman" w:cs="Times New Roman"/>
          <w:sz w:val="21"/>
          <w:szCs w:val="21"/>
          <w:vertAlign w:val="superscript"/>
        </w:rPr>
        <w:t>3</w:t>
      </w:r>
      <w:r>
        <w:rPr>
          <w:rFonts w:ascii="Times New Roman" w:hAnsi="Times New Roman" w:cs="Times New Roman"/>
          <w:sz w:val="21"/>
          <w:szCs w:val="21"/>
        </w:rPr>
        <w:t>，则本项目取值S=20。</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b.NOx</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由于本项目焚烧炉原料中N含量极少，因此挥发进入废气焚烧装置中的N元素含量也极少。本项目带电破碎和热解炉中均通入氮气进行保护，通入的氮气部分进入焚烧炉。由于氮气分子态氮的势能很高，其在空气中燃烧生成NOx的温度在1</w:t>
      </w:r>
      <w:r>
        <w:rPr>
          <w:rFonts w:hint="eastAsia" w:ascii="Times New Roman" w:hAnsi="Times New Roman" w:cs="Times New Roman"/>
          <w:u w:val="single"/>
        </w:rPr>
        <w:t>1</w:t>
      </w:r>
      <w:r>
        <w:rPr>
          <w:rFonts w:ascii="Times New Roman" w:hAnsi="Times New Roman" w:cs="Times New Roman"/>
          <w:u w:val="single"/>
        </w:rPr>
        <w:t>00</w:t>
      </w:r>
      <w:r>
        <w:rPr>
          <w:rFonts w:hint="eastAsia" w:ascii="宋体" w:hAnsi="宋体" w:eastAsia="宋体" w:cs="宋体"/>
          <w:u w:val="single"/>
        </w:rPr>
        <w:t>℃</w:t>
      </w:r>
      <w:r>
        <w:rPr>
          <w:rFonts w:ascii="Times New Roman" w:hAnsi="Times New Roman" w:cs="Times New Roman"/>
          <w:u w:val="single"/>
        </w:rPr>
        <w:t>以上。本项目废气焚烧装置运行温度约</w:t>
      </w:r>
      <w:r>
        <w:rPr>
          <w:rFonts w:hint="eastAsia" w:ascii="Times New Roman" w:hAnsi="Times New Roman" w:cs="Times New Roman"/>
          <w:u w:val="single"/>
        </w:rPr>
        <w:t>850</w:t>
      </w:r>
      <w:r>
        <w:rPr>
          <w:rFonts w:hint="eastAsia" w:ascii="宋体" w:hAnsi="宋体" w:eastAsia="宋体" w:cs="宋体"/>
          <w:u w:val="single"/>
        </w:rPr>
        <w:t>℃</w:t>
      </w:r>
      <w:r>
        <w:rPr>
          <w:rFonts w:ascii="Times New Roman" w:hAnsi="Times New Roman" w:cs="Times New Roman"/>
          <w:u w:val="single"/>
        </w:rPr>
        <w:t>，其远低于热力型NOx的生成温度，因此，本项目热解废气焚烧中NOx的产生仅考虑助燃天然气燃烧产生的NOx，不考虑热力型NOx的产生。</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c.二噁英</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本项目处理的废废旧动力锂电池中含有隔膜纸。虽然预处理工序可以将绝大部分隔膜纸分选出来，但是仍会残余微量的隔膜纸进入热解炉。</w:t>
      </w:r>
    </w:p>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基于不同分类标准，隔膜材料有不同的划分。按照基体材料划分，目前，大规模商品化的鲤离子电池隔膜生产材料以聚烯烃为主，主要包括聚丙烯（PP）、聚乙烯（PE）、聚丙烯（PP）和聚乙烯（PE）复合材料三种，不含有卤素，不会产生二噁英</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此外，</w:t>
      </w:r>
      <w:r>
        <w:rPr>
          <w:rFonts w:ascii="Times New Roman" w:hAnsi="Times New Roman" w:cs="Times New Roman"/>
          <w:u w:val="single"/>
        </w:rPr>
        <w:t>本项目为了预防二噁英的产生，将废气净化装置中的二燃室燃烧温度控制在</w:t>
      </w:r>
      <w:r>
        <w:rPr>
          <w:rFonts w:hint="eastAsia" w:ascii="Times New Roman" w:hAnsi="Times New Roman" w:cs="Times New Roman"/>
          <w:u w:val="single"/>
        </w:rPr>
        <w:t>850</w:t>
      </w:r>
      <w:r>
        <w:rPr>
          <w:rFonts w:hint="eastAsia" w:ascii="宋体" w:hAnsi="宋体" w:eastAsia="宋体" w:cs="宋体"/>
          <w:u w:val="single"/>
        </w:rPr>
        <w:t>℃</w:t>
      </w:r>
      <w:r>
        <w:rPr>
          <w:rFonts w:ascii="Times New Roman" w:hAnsi="Times New Roman" w:cs="Times New Roman"/>
          <w:u w:val="single"/>
        </w:rPr>
        <w:t>左右，停留时间≥2s，可将二噁英的前驱物充分氧化分解；同时本项目的废气净化装置还设置了急冷设备，经燃烧处理后的废气通过急冷塔瞬时将温度降到150</w:t>
      </w:r>
      <w:r>
        <w:rPr>
          <w:rFonts w:hint="eastAsia" w:ascii="宋体" w:hAnsi="宋体" w:eastAsia="宋体" w:cs="宋体"/>
          <w:u w:val="single"/>
        </w:rPr>
        <w:t>℃</w:t>
      </w:r>
      <w:r>
        <w:rPr>
          <w:rFonts w:ascii="Times New Roman" w:hAnsi="Times New Roman" w:cs="Times New Roman"/>
          <w:u w:val="single"/>
        </w:rPr>
        <w:t>以下，停留时间≤1s，可有效控制二噁英的重新生成。</w:t>
      </w:r>
    </w:p>
    <w:p>
      <w:pPr>
        <w:spacing w:line="360" w:lineRule="auto"/>
        <w:ind w:firstLine="480" w:firstLineChars="200"/>
        <w:rPr>
          <w:rFonts w:ascii="Times New Roman" w:hAnsi="Times New Roman" w:cs="Times New Roman"/>
        </w:rPr>
      </w:pPr>
      <w:r>
        <w:rPr>
          <w:rFonts w:ascii="Times New Roman" w:hAnsi="Times New Roman" w:cs="Times New Roman"/>
        </w:rPr>
        <w:t>d.综合判断</w:t>
      </w:r>
    </w:p>
    <w:p>
      <w:pPr>
        <w:spacing w:line="360" w:lineRule="auto"/>
        <w:ind w:firstLine="480" w:firstLineChars="200"/>
        <w:rPr>
          <w:rFonts w:ascii="Times New Roman" w:hAnsi="Times New Roman" w:cs="Times New Roman"/>
        </w:rPr>
      </w:pPr>
      <w:r>
        <w:rPr>
          <w:rFonts w:ascii="Times New Roman" w:hAnsi="Times New Roman" w:cs="Times New Roman"/>
        </w:rPr>
        <w:t>其中废气焚烧炉非甲烷总烃去除效率按99.5%计；布袋除尘、三级水洗和碱液喷淋塔综合除尘效率按99%计；氟化物三级水洗过程中每次水洗除氟效率按80%计，碱液喷淋塔除氟效率按90%计，综合除氟效率按99%计；碱液喷淋SO</w:t>
      </w:r>
      <w:r>
        <w:rPr>
          <w:rFonts w:ascii="Times New Roman" w:hAnsi="Times New Roman" w:cs="Times New Roman"/>
          <w:vertAlign w:val="subscript"/>
        </w:rPr>
        <w:t>2</w:t>
      </w:r>
      <w:r>
        <w:rPr>
          <w:rFonts w:ascii="Times New Roman" w:hAnsi="Times New Roman" w:cs="Times New Roman"/>
        </w:rPr>
        <w:t>出去效率按80%计。</w:t>
      </w:r>
    </w:p>
    <w:p>
      <w:pPr>
        <w:spacing w:line="360" w:lineRule="auto"/>
        <w:ind w:firstLine="480" w:firstLineChars="200"/>
        <w:rPr>
          <w:rFonts w:ascii="Times New Roman" w:hAnsi="Times New Roman" w:cs="Times New Roman"/>
        </w:rPr>
      </w:pPr>
      <w:r>
        <w:rPr>
          <w:rFonts w:ascii="Times New Roman" w:hAnsi="Times New Roman" w:cs="Times New Roman"/>
        </w:rPr>
        <w:t>本项目2台热解炉配置2套废气处理装置，2股废气经处理后，进入混气室混合后经30m高排气筒排放。两股废气混合后总的烟气量为45000m</w:t>
      </w:r>
      <w:r>
        <w:rPr>
          <w:rFonts w:ascii="Times New Roman" w:hAnsi="Times New Roman" w:cs="Times New Roman"/>
          <w:vertAlign w:val="superscript"/>
        </w:rPr>
        <w:t>3</w:t>
      </w:r>
      <w:r>
        <w:rPr>
          <w:rFonts w:ascii="Times New Roman" w:hAnsi="Times New Roman" w:cs="Times New Roman"/>
        </w:rPr>
        <w:t>/h。本项目热解废气产生与排放情况见下表。</w:t>
      </w:r>
    </w:p>
    <w:p>
      <w:pPr>
        <w:spacing w:line="360" w:lineRule="auto"/>
        <w:ind w:firstLine="480" w:firstLineChars="200"/>
        <w:rPr>
          <w:rFonts w:ascii="Times New Roman" w:hAnsi="Times New Roman" w:cs="Times New Roman"/>
        </w:rPr>
        <w:sectPr>
          <w:pgSz w:w="11907" w:h="16840"/>
          <w:pgMar w:top="1440" w:right="1797" w:bottom="1440" w:left="1797" w:header="964" w:footer="851" w:gutter="0"/>
          <w:cols w:space="720" w:num="1"/>
          <w:docGrid w:linePitch="297" w:charSpace="200"/>
        </w:sectPr>
      </w:pPr>
    </w:p>
    <w:p>
      <w:pPr>
        <w:pStyle w:val="6"/>
        <w:rPr>
          <w:rFonts w:ascii="Times New Roman" w:hAnsi="Times New Roman" w:cs="Times New Roman"/>
        </w:rPr>
      </w:pPr>
      <w:r>
        <w:rPr>
          <w:rFonts w:ascii="Times New Roman" w:hAnsi="Times New Roman" w:cs="Times New Roman"/>
        </w:rPr>
        <w:t>表3.2-</w:t>
      </w:r>
      <w:r>
        <w:rPr>
          <w:rFonts w:hint="eastAsia" w:ascii="Times New Roman" w:hAnsi="Times New Roman" w:cs="Times New Roman"/>
        </w:rPr>
        <w:t xml:space="preserve">19 </w:t>
      </w:r>
      <w:r>
        <w:rPr>
          <w:rFonts w:ascii="Times New Roman" w:hAnsi="Times New Roman" w:cs="Times New Roman"/>
        </w:rPr>
        <w:t xml:space="preserve"> 热解焚烧废气排放情况一览表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18"/>
        <w:gridCol w:w="607"/>
        <w:gridCol w:w="1140"/>
        <w:gridCol w:w="1259"/>
        <w:gridCol w:w="1180"/>
        <w:gridCol w:w="879"/>
        <w:gridCol w:w="876"/>
        <w:gridCol w:w="882"/>
        <w:gridCol w:w="1197"/>
        <w:gridCol w:w="1174"/>
        <w:gridCol w:w="1052"/>
        <w:gridCol w:w="1291"/>
        <w:gridCol w:w="1101"/>
        <w:gridCol w:w="9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8" w:type="pct"/>
            <w:vMerge w:val="restart"/>
            <w:vAlign w:val="center"/>
          </w:tcPr>
          <w:p>
            <w:pPr>
              <w:pStyle w:val="63"/>
              <w:rPr>
                <w:szCs w:val="21"/>
              </w:rPr>
            </w:pPr>
            <w:r>
              <w:rPr>
                <w:szCs w:val="21"/>
              </w:rPr>
              <w:t>排放形式</w:t>
            </w:r>
          </w:p>
        </w:tc>
        <w:tc>
          <w:tcPr>
            <w:tcW w:w="214" w:type="pct"/>
            <w:vMerge w:val="restart"/>
            <w:vAlign w:val="center"/>
          </w:tcPr>
          <w:p>
            <w:pPr>
              <w:pStyle w:val="63"/>
              <w:rPr>
                <w:szCs w:val="21"/>
              </w:rPr>
            </w:pPr>
            <w:r>
              <w:rPr>
                <w:szCs w:val="21"/>
              </w:rPr>
              <w:t>产生环节</w:t>
            </w:r>
          </w:p>
        </w:tc>
        <w:tc>
          <w:tcPr>
            <w:tcW w:w="402" w:type="pct"/>
            <w:vMerge w:val="restart"/>
            <w:vAlign w:val="center"/>
          </w:tcPr>
          <w:p>
            <w:pPr>
              <w:pStyle w:val="63"/>
              <w:rPr>
                <w:szCs w:val="21"/>
              </w:rPr>
            </w:pPr>
            <w:r>
              <w:rPr>
                <w:szCs w:val="21"/>
              </w:rPr>
              <w:t>污染物</w:t>
            </w:r>
          </w:p>
        </w:tc>
        <w:tc>
          <w:tcPr>
            <w:tcW w:w="860" w:type="pct"/>
            <w:gridSpan w:val="2"/>
            <w:vAlign w:val="center"/>
          </w:tcPr>
          <w:p>
            <w:pPr>
              <w:pStyle w:val="63"/>
              <w:rPr>
                <w:szCs w:val="21"/>
              </w:rPr>
            </w:pPr>
            <w:r>
              <w:rPr>
                <w:szCs w:val="21"/>
              </w:rPr>
              <w:t>产生情况</w:t>
            </w:r>
          </w:p>
        </w:tc>
        <w:tc>
          <w:tcPr>
            <w:tcW w:w="310" w:type="pct"/>
            <w:vMerge w:val="restart"/>
            <w:vAlign w:val="center"/>
          </w:tcPr>
          <w:p>
            <w:pPr>
              <w:pStyle w:val="63"/>
              <w:rPr>
                <w:szCs w:val="21"/>
              </w:rPr>
            </w:pPr>
            <w:r>
              <w:rPr>
                <w:szCs w:val="21"/>
              </w:rPr>
              <w:t>烟气量</w:t>
            </w:r>
          </w:p>
          <w:p>
            <w:pPr>
              <w:pStyle w:val="63"/>
              <w:rPr>
                <w:szCs w:val="21"/>
              </w:rPr>
            </w:pPr>
            <w:r>
              <w:rPr>
                <w:szCs w:val="21"/>
              </w:rPr>
              <w:t>m</w:t>
            </w:r>
            <w:r>
              <w:rPr>
                <w:szCs w:val="21"/>
                <w:vertAlign w:val="superscript"/>
              </w:rPr>
              <w:t>3</w:t>
            </w:r>
            <w:r>
              <w:rPr>
                <w:szCs w:val="21"/>
              </w:rPr>
              <w:t>/h</w:t>
            </w:r>
          </w:p>
        </w:tc>
        <w:tc>
          <w:tcPr>
            <w:tcW w:w="309" w:type="pct"/>
            <w:vMerge w:val="restart"/>
            <w:vAlign w:val="center"/>
          </w:tcPr>
          <w:p>
            <w:pPr>
              <w:pStyle w:val="63"/>
              <w:rPr>
                <w:szCs w:val="21"/>
              </w:rPr>
            </w:pPr>
            <w:r>
              <w:rPr>
                <w:szCs w:val="21"/>
              </w:rPr>
              <w:t>治理措施</w:t>
            </w:r>
          </w:p>
        </w:tc>
        <w:tc>
          <w:tcPr>
            <w:tcW w:w="311" w:type="pct"/>
            <w:vMerge w:val="restart"/>
            <w:vAlign w:val="center"/>
          </w:tcPr>
          <w:p>
            <w:pPr>
              <w:pStyle w:val="63"/>
              <w:rPr>
                <w:szCs w:val="21"/>
              </w:rPr>
            </w:pPr>
            <w:r>
              <w:rPr>
                <w:szCs w:val="21"/>
              </w:rPr>
              <w:t>去除效率</w:t>
            </w:r>
          </w:p>
        </w:tc>
        <w:tc>
          <w:tcPr>
            <w:tcW w:w="1207" w:type="pct"/>
            <w:gridSpan w:val="3"/>
            <w:vAlign w:val="center"/>
          </w:tcPr>
          <w:p>
            <w:pPr>
              <w:pStyle w:val="63"/>
              <w:rPr>
                <w:szCs w:val="21"/>
              </w:rPr>
            </w:pPr>
            <w:r>
              <w:rPr>
                <w:szCs w:val="21"/>
              </w:rPr>
              <w:t>排放</w:t>
            </w:r>
          </w:p>
        </w:tc>
        <w:tc>
          <w:tcPr>
            <w:tcW w:w="843" w:type="pct"/>
            <w:gridSpan w:val="2"/>
            <w:vAlign w:val="center"/>
          </w:tcPr>
          <w:p>
            <w:pPr>
              <w:pStyle w:val="63"/>
              <w:rPr>
                <w:szCs w:val="21"/>
              </w:rPr>
            </w:pPr>
            <w:r>
              <w:rPr>
                <w:szCs w:val="21"/>
              </w:rPr>
              <w:t>《大气污染物综合排放标准》</w:t>
            </w:r>
          </w:p>
        </w:tc>
        <w:tc>
          <w:tcPr>
            <w:tcW w:w="324" w:type="pct"/>
            <w:vMerge w:val="restart"/>
            <w:vAlign w:val="center"/>
          </w:tcPr>
          <w:p>
            <w:pPr>
              <w:pStyle w:val="63"/>
              <w:rPr>
                <w:szCs w:val="21"/>
              </w:rPr>
            </w:pPr>
            <w:r>
              <w:rPr>
                <w:szCs w:val="21"/>
              </w:rPr>
              <w:t>是否</w:t>
            </w:r>
          </w:p>
          <w:p>
            <w:pPr>
              <w:pStyle w:val="63"/>
              <w:rPr>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8" w:type="pct"/>
            <w:vMerge w:val="continue"/>
            <w:vAlign w:val="center"/>
          </w:tcPr>
          <w:p>
            <w:pPr>
              <w:pStyle w:val="63"/>
              <w:rPr>
                <w:szCs w:val="21"/>
              </w:rPr>
            </w:pPr>
          </w:p>
        </w:tc>
        <w:tc>
          <w:tcPr>
            <w:tcW w:w="214" w:type="pct"/>
            <w:vMerge w:val="continue"/>
            <w:vAlign w:val="center"/>
          </w:tcPr>
          <w:p>
            <w:pPr>
              <w:pStyle w:val="63"/>
              <w:rPr>
                <w:szCs w:val="21"/>
              </w:rPr>
            </w:pPr>
          </w:p>
        </w:tc>
        <w:tc>
          <w:tcPr>
            <w:tcW w:w="402" w:type="pct"/>
            <w:vMerge w:val="continue"/>
            <w:vAlign w:val="center"/>
          </w:tcPr>
          <w:p>
            <w:pPr>
              <w:pStyle w:val="63"/>
              <w:rPr>
                <w:szCs w:val="21"/>
              </w:rPr>
            </w:pPr>
          </w:p>
        </w:tc>
        <w:tc>
          <w:tcPr>
            <w:tcW w:w="444" w:type="pct"/>
            <w:vAlign w:val="center"/>
          </w:tcPr>
          <w:p>
            <w:pPr>
              <w:pStyle w:val="63"/>
              <w:rPr>
                <w:szCs w:val="21"/>
              </w:rPr>
            </w:pPr>
            <w:r>
              <w:rPr>
                <w:szCs w:val="21"/>
              </w:rPr>
              <w:t>产生速率</w:t>
            </w:r>
          </w:p>
          <w:p>
            <w:pPr>
              <w:pStyle w:val="63"/>
              <w:rPr>
                <w:szCs w:val="21"/>
              </w:rPr>
            </w:pPr>
            <w:r>
              <w:rPr>
                <w:szCs w:val="21"/>
              </w:rPr>
              <w:t>（kg/h）</w:t>
            </w:r>
          </w:p>
        </w:tc>
        <w:tc>
          <w:tcPr>
            <w:tcW w:w="416" w:type="pct"/>
            <w:vAlign w:val="center"/>
          </w:tcPr>
          <w:p>
            <w:pPr>
              <w:pStyle w:val="63"/>
              <w:rPr>
                <w:szCs w:val="21"/>
              </w:rPr>
            </w:pPr>
            <w:r>
              <w:rPr>
                <w:szCs w:val="21"/>
              </w:rPr>
              <w:t>产生量</w:t>
            </w:r>
          </w:p>
          <w:p>
            <w:pPr>
              <w:pStyle w:val="63"/>
              <w:rPr>
                <w:szCs w:val="21"/>
              </w:rPr>
            </w:pPr>
            <w:r>
              <w:rPr>
                <w:szCs w:val="21"/>
              </w:rPr>
              <w:t>（t/a）</w:t>
            </w:r>
          </w:p>
        </w:tc>
        <w:tc>
          <w:tcPr>
            <w:tcW w:w="310" w:type="pct"/>
            <w:vMerge w:val="continue"/>
            <w:vAlign w:val="center"/>
          </w:tcPr>
          <w:p>
            <w:pPr>
              <w:pStyle w:val="63"/>
              <w:rPr>
                <w:szCs w:val="21"/>
              </w:rPr>
            </w:pPr>
          </w:p>
        </w:tc>
        <w:tc>
          <w:tcPr>
            <w:tcW w:w="309" w:type="pct"/>
            <w:vMerge w:val="continue"/>
            <w:vAlign w:val="center"/>
          </w:tcPr>
          <w:p>
            <w:pPr>
              <w:pStyle w:val="63"/>
              <w:rPr>
                <w:szCs w:val="21"/>
              </w:rPr>
            </w:pPr>
          </w:p>
        </w:tc>
        <w:tc>
          <w:tcPr>
            <w:tcW w:w="311" w:type="pct"/>
            <w:vMerge w:val="continue"/>
            <w:vAlign w:val="center"/>
          </w:tcPr>
          <w:p>
            <w:pPr>
              <w:pStyle w:val="63"/>
              <w:rPr>
                <w:szCs w:val="21"/>
              </w:rPr>
            </w:pPr>
          </w:p>
        </w:tc>
        <w:tc>
          <w:tcPr>
            <w:tcW w:w="422" w:type="pct"/>
            <w:vAlign w:val="center"/>
          </w:tcPr>
          <w:p>
            <w:pPr>
              <w:pStyle w:val="63"/>
              <w:rPr>
                <w:szCs w:val="21"/>
              </w:rPr>
            </w:pPr>
            <w:r>
              <w:rPr>
                <w:szCs w:val="21"/>
              </w:rPr>
              <w:t>排放浓度</w:t>
            </w:r>
          </w:p>
          <w:p>
            <w:pPr>
              <w:pStyle w:val="63"/>
              <w:rPr>
                <w:szCs w:val="21"/>
              </w:rPr>
            </w:pPr>
            <w:r>
              <w:rPr>
                <w:szCs w:val="21"/>
              </w:rPr>
              <w:t>（mg/m</w:t>
            </w:r>
            <w:r>
              <w:rPr>
                <w:szCs w:val="21"/>
                <w:vertAlign w:val="superscript"/>
              </w:rPr>
              <w:t>3</w:t>
            </w:r>
            <w:r>
              <w:rPr>
                <w:szCs w:val="21"/>
              </w:rPr>
              <w:t>）</w:t>
            </w:r>
          </w:p>
        </w:tc>
        <w:tc>
          <w:tcPr>
            <w:tcW w:w="414" w:type="pct"/>
            <w:vAlign w:val="center"/>
          </w:tcPr>
          <w:p>
            <w:pPr>
              <w:pStyle w:val="63"/>
              <w:rPr>
                <w:szCs w:val="21"/>
              </w:rPr>
            </w:pPr>
            <w:r>
              <w:rPr>
                <w:szCs w:val="21"/>
              </w:rPr>
              <w:t>排放速率</w:t>
            </w:r>
          </w:p>
          <w:p>
            <w:pPr>
              <w:pStyle w:val="63"/>
              <w:rPr>
                <w:szCs w:val="21"/>
              </w:rPr>
            </w:pPr>
            <w:r>
              <w:rPr>
                <w:szCs w:val="21"/>
              </w:rPr>
              <w:t>（kg/h）</w:t>
            </w:r>
          </w:p>
        </w:tc>
        <w:tc>
          <w:tcPr>
            <w:tcW w:w="371" w:type="pct"/>
            <w:vAlign w:val="center"/>
          </w:tcPr>
          <w:p>
            <w:pPr>
              <w:pStyle w:val="63"/>
              <w:rPr>
                <w:szCs w:val="21"/>
              </w:rPr>
            </w:pPr>
            <w:r>
              <w:rPr>
                <w:szCs w:val="21"/>
              </w:rPr>
              <w:t>排放量</w:t>
            </w:r>
          </w:p>
          <w:p>
            <w:pPr>
              <w:pStyle w:val="63"/>
              <w:rPr>
                <w:szCs w:val="21"/>
              </w:rPr>
            </w:pPr>
            <w:r>
              <w:rPr>
                <w:szCs w:val="21"/>
              </w:rPr>
              <w:t>（t/a）</w:t>
            </w:r>
          </w:p>
        </w:tc>
        <w:tc>
          <w:tcPr>
            <w:tcW w:w="455" w:type="pct"/>
            <w:vAlign w:val="center"/>
          </w:tcPr>
          <w:p>
            <w:pPr>
              <w:pStyle w:val="63"/>
              <w:rPr>
                <w:szCs w:val="21"/>
              </w:rPr>
            </w:pPr>
            <w:r>
              <w:rPr>
                <w:szCs w:val="21"/>
              </w:rPr>
              <w:t>浓度</w:t>
            </w:r>
          </w:p>
          <w:p>
            <w:pPr>
              <w:pStyle w:val="63"/>
              <w:rPr>
                <w:szCs w:val="21"/>
              </w:rPr>
            </w:pPr>
            <w:r>
              <w:rPr>
                <w:szCs w:val="21"/>
              </w:rPr>
              <w:t>（mg/m</w:t>
            </w:r>
            <w:r>
              <w:rPr>
                <w:szCs w:val="21"/>
                <w:vertAlign w:val="superscript"/>
              </w:rPr>
              <w:t>3</w:t>
            </w:r>
            <w:r>
              <w:rPr>
                <w:szCs w:val="21"/>
              </w:rPr>
              <w:t>）</w:t>
            </w:r>
          </w:p>
        </w:tc>
        <w:tc>
          <w:tcPr>
            <w:tcW w:w="388" w:type="pct"/>
            <w:vAlign w:val="center"/>
          </w:tcPr>
          <w:p>
            <w:pPr>
              <w:pStyle w:val="63"/>
              <w:rPr>
                <w:szCs w:val="21"/>
              </w:rPr>
            </w:pPr>
            <w:r>
              <w:rPr>
                <w:szCs w:val="21"/>
              </w:rPr>
              <w:t>速率</w:t>
            </w:r>
          </w:p>
          <w:p>
            <w:pPr>
              <w:pStyle w:val="63"/>
              <w:rPr>
                <w:szCs w:val="21"/>
              </w:rPr>
            </w:pPr>
            <w:r>
              <w:rPr>
                <w:szCs w:val="21"/>
              </w:rPr>
              <w:t>（kg/h）</w:t>
            </w:r>
          </w:p>
        </w:tc>
        <w:tc>
          <w:tcPr>
            <w:tcW w:w="324" w:type="pct"/>
            <w:vMerge w:val="continue"/>
            <w:vAlign w:val="center"/>
          </w:tcPr>
          <w:p>
            <w:pPr>
              <w:pStyle w:val="63"/>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8" w:type="pct"/>
            <w:vMerge w:val="restart"/>
            <w:vAlign w:val="center"/>
          </w:tcPr>
          <w:p>
            <w:pPr>
              <w:pStyle w:val="63"/>
              <w:rPr>
                <w:szCs w:val="21"/>
              </w:rPr>
            </w:pPr>
            <w:r>
              <w:rPr>
                <w:szCs w:val="21"/>
              </w:rPr>
              <w:t>P1</w:t>
            </w:r>
          </w:p>
        </w:tc>
        <w:tc>
          <w:tcPr>
            <w:tcW w:w="214" w:type="pct"/>
            <w:vMerge w:val="restart"/>
            <w:vAlign w:val="center"/>
          </w:tcPr>
          <w:p>
            <w:pPr>
              <w:pStyle w:val="63"/>
              <w:rPr>
                <w:szCs w:val="21"/>
              </w:rPr>
            </w:pPr>
            <w:r>
              <w:rPr>
                <w:szCs w:val="21"/>
              </w:rPr>
              <w:t>热解废气</w:t>
            </w:r>
          </w:p>
        </w:tc>
        <w:tc>
          <w:tcPr>
            <w:tcW w:w="402" w:type="pct"/>
            <w:vAlign w:val="center"/>
          </w:tcPr>
          <w:p>
            <w:pPr>
              <w:pStyle w:val="63"/>
              <w:rPr>
                <w:szCs w:val="21"/>
              </w:rPr>
            </w:pPr>
            <w:r>
              <w:rPr>
                <w:szCs w:val="21"/>
              </w:rPr>
              <w:t>颗粒物</w:t>
            </w:r>
          </w:p>
        </w:tc>
        <w:tc>
          <w:tcPr>
            <w:tcW w:w="444" w:type="pct"/>
            <w:vAlign w:val="center"/>
          </w:tcPr>
          <w:p>
            <w:pPr>
              <w:widowControl/>
              <w:jc w:val="center"/>
              <w:rPr>
                <w:rFonts w:ascii="Times New Roman" w:hAnsi="Times New Roman" w:cs="Times New Roman"/>
                <w:sz w:val="21"/>
                <w:szCs w:val="21"/>
              </w:rPr>
            </w:pPr>
            <w:r>
              <w:rPr>
                <w:rFonts w:ascii="Times New Roman" w:hAnsi="Times New Roman" w:cs="Times New Roman"/>
                <w:sz w:val="21"/>
                <w:szCs w:val="21"/>
              </w:rPr>
              <w:t>0.173</w:t>
            </w:r>
          </w:p>
        </w:tc>
        <w:tc>
          <w:tcPr>
            <w:tcW w:w="416" w:type="pct"/>
            <w:vAlign w:val="center"/>
          </w:tcPr>
          <w:p>
            <w:pPr>
              <w:jc w:val="center"/>
              <w:rPr>
                <w:rFonts w:ascii="Times New Roman" w:hAnsi="Times New Roman" w:cs="Times New Roman"/>
                <w:sz w:val="21"/>
                <w:szCs w:val="21"/>
              </w:rPr>
            </w:pPr>
            <w:r>
              <w:rPr>
                <w:rFonts w:ascii="Times New Roman" w:hAnsi="Times New Roman" w:cs="Times New Roman"/>
                <w:sz w:val="21"/>
                <w:szCs w:val="21"/>
              </w:rPr>
              <w:t>1.371</w:t>
            </w:r>
          </w:p>
        </w:tc>
        <w:tc>
          <w:tcPr>
            <w:tcW w:w="310" w:type="pct"/>
            <w:vMerge w:val="restart"/>
            <w:vAlign w:val="center"/>
          </w:tcPr>
          <w:p>
            <w:pPr>
              <w:pStyle w:val="63"/>
              <w:rPr>
                <w:szCs w:val="21"/>
              </w:rPr>
            </w:pPr>
            <w:r>
              <w:rPr>
                <w:szCs w:val="21"/>
              </w:rPr>
              <w:t>45000</w:t>
            </w:r>
          </w:p>
        </w:tc>
        <w:tc>
          <w:tcPr>
            <w:tcW w:w="309" w:type="pct"/>
            <w:vMerge w:val="restart"/>
            <w:vAlign w:val="center"/>
          </w:tcPr>
          <w:p>
            <w:pPr>
              <w:pStyle w:val="63"/>
              <w:rPr>
                <w:szCs w:val="21"/>
              </w:rPr>
            </w:pPr>
            <w:r>
              <w:rPr>
                <w:szCs w:val="21"/>
              </w:rPr>
              <w:t>废气焚烧+急冷+布袋除尘+三级水洗+碱液喷淋+30m排气筒</w:t>
            </w:r>
          </w:p>
        </w:tc>
        <w:tc>
          <w:tcPr>
            <w:tcW w:w="311" w:type="pct"/>
            <w:vAlign w:val="center"/>
          </w:tcPr>
          <w:p>
            <w:pPr>
              <w:pStyle w:val="63"/>
              <w:rPr>
                <w:szCs w:val="21"/>
              </w:rPr>
            </w:pPr>
            <w:r>
              <w:rPr>
                <w:szCs w:val="21"/>
              </w:rPr>
              <w:t>99%</w:t>
            </w:r>
          </w:p>
        </w:tc>
        <w:tc>
          <w:tcPr>
            <w:tcW w:w="422" w:type="pct"/>
            <w:vAlign w:val="center"/>
          </w:tcPr>
          <w:p>
            <w:pPr>
              <w:pStyle w:val="63"/>
              <w:rPr>
                <w:szCs w:val="21"/>
              </w:rPr>
            </w:pPr>
            <w:r>
              <w:rPr>
                <w:szCs w:val="21"/>
              </w:rPr>
              <w:t>0.03844</w:t>
            </w:r>
          </w:p>
        </w:tc>
        <w:tc>
          <w:tcPr>
            <w:tcW w:w="414" w:type="pct"/>
            <w:vAlign w:val="center"/>
          </w:tcPr>
          <w:p>
            <w:pPr>
              <w:widowControl/>
              <w:jc w:val="center"/>
              <w:rPr>
                <w:rFonts w:ascii="Times New Roman" w:hAnsi="Times New Roman" w:cs="Times New Roman"/>
                <w:sz w:val="22"/>
              </w:rPr>
            </w:pPr>
            <w:r>
              <w:rPr>
                <w:rFonts w:ascii="Times New Roman" w:hAnsi="Times New Roman" w:cs="Times New Roman"/>
                <w:sz w:val="22"/>
              </w:rPr>
              <w:t>0.00173</w:t>
            </w:r>
          </w:p>
        </w:tc>
        <w:tc>
          <w:tcPr>
            <w:tcW w:w="371" w:type="pct"/>
            <w:vAlign w:val="center"/>
          </w:tcPr>
          <w:p>
            <w:pPr>
              <w:jc w:val="center"/>
              <w:rPr>
                <w:rFonts w:ascii="Times New Roman" w:hAnsi="Times New Roman" w:cs="Times New Roman"/>
                <w:sz w:val="22"/>
              </w:rPr>
            </w:pPr>
            <w:r>
              <w:rPr>
                <w:rFonts w:ascii="Times New Roman" w:hAnsi="Times New Roman" w:cs="Times New Roman"/>
                <w:sz w:val="22"/>
              </w:rPr>
              <w:t>0.01371</w:t>
            </w:r>
          </w:p>
        </w:tc>
        <w:tc>
          <w:tcPr>
            <w:tcW w:w="455" w:type="pct"/>
            <w:vAlign w:val="center"/>
          </w:tcPr>
          <w:p>
            <w:pPr>
              <w:pStyle w:val="63"/>
              <w:rPr>
                <w:szCs w:val="21"/>
              </w:rPr>
            </w:pPr>
            <w:r>
              <w:rPr>
                <w:szCs w:val="21"/>
              </w:rPr>
              <w:t>120</w:t>
            </w:r>
          </w:p>
        </w:tc>
        <w:tc>
          <w:tcPr>
            <w:tcW w:w="388" w:type="pct"/>
            <w:vAlign w:val="center"/>
          </w:tcPr>
          <w:p>
            <w:pPr>
              <w:pStyle w:val="63"/>
              <w:rPr>
                <w:szCs w:val="21"/>
              </w:rPr>
            </w:pPr>
            <w:r>
              <w:rPr>
                <w:szCs w:val="21"/>
              </w:rPr>
              <w:t>23</w:t>
            </w:r>
          </w:p>
        </w:tc>
        <w:tc>
          <w:tcPr>
            <w:tcW w:w="324" w:type="pct"/>
            <w:vAlign w:val="center"/>
          </w:tcPr>
          <w:p>
            <w:pPr>
              <w:pStyle w:val="63"/>
              <w:rPr>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8" w:type="pct"/>
            <w:vMerge w:val="continue"/>
            <w:vAlign w:val="center"/>
          </w:tcPr>
          <w:p>
            <w:pPr>
              <w:pStyle w:val="63"/>
              <w:rPr>
                <w:szCs w:val="21"/>
              </w:rPr>
            </w:pPr>
          </w:p>
        </w:tc>
        <w:tc>
          <w:tcPr>
            <w:tcW w:w="214" w:type="pct"/>
            <w:vMerge w:val="continue"/>
            <w:vAlign w:val="center"/>
          </w:tcPr>
          <w:p>
            <w:pPr>
              <w:pStyle w:val="63"/>
              <w:rPr>
                <w:szCs w:val="21"/>
              </w:rPr>
            </w:pPr>
          </w:p>
        </w:tc>
        <w:tc>
          <w:tcPr>
            <w:tcW w:w="402" w:type="pct"/>
            <w:vAlign w:val="center"/>
          </w:tcPr>
          <w:p>
            <w:pPr>
              <w:pStyle w:val="63"/>
              <w:rPr>
                <w:szCs w:val="21"/>
              </w:rPr>
            </w:pPr>
            <w:r>
              <w:rPr>
                <w:szCs w:val="21"/>
              </w:rPr>
              <w:t>非甲烷总烃</w:t>
            </w:r>
          </w:p>
        </w:tc>
        <w:tc>
          <w:tcPr>
            <w:tcW w:w="444" w:type="pct"/>
            <w:vAlign w:val="center"/>
          </w:tcPr>
          <w:p>
            <w:pPr>
              <w:jc w:val="center"/>
              <w:rPr>
                <w:rFonts w:ascii="Times New Roman" w:hAnsi="Times New Roman" w:cs="Times New Roman"/>
                <w:sz w:val="21"/>
                <w:szCs w:val="21"/>
              </w:rPr>
            </w:pPr>
            <w:r>
              <w:rPr>
                <w:rFonts w:ascii="Times New Roman" w:hAnsi="Times New Roman" w:cs="Times New Roman"/>
                <w:sz w:val="21"/>
                <w:szCs w:val="21"/>
              </w:rPr>
              <w:t>295.96</w:t>
            </w:r>
          </w:p>
        </w:tc>
        <w:tc>
          <w:tcPr>
            <w:tcW w:w="416" w:type="pct"/>
            <w:vAlign w:val="center"/>
          </w:tcPr>
          <w:p>
            <w:pPr>
              <w:jc w:val="center"/>
              <w:rPr>
                <w:rFonts w:ascii="Times New Roman" w:hAnsi="Times New Roman" w:cs="Times New Roman"/>
                <w:sz w:val="21"/>
                <w:szCs w:val="21"/>
              </w:rPr>
            </w:pPr>
            <w:r>
              <w:rPr>
                <w:rFonts w:ascii="Times New Roman" w:hAnsi="Times New Roman" w:cs="Times New Roman"/>
                <w:sz w:val="21"/>
                <w:szCs w:val="21"/>
              </w:rPr>
              <w:t>2344</w:t>
            </w:r>
          </w:p>
        </w:tc>
        <w:tc>
          <w:tcPr>
            <w:tcW w:w="310" w:type="pct"/>
            <w:vMerge w:val="continue"/>
            <w:vAlign w:val="center"/>
          </w:tcPr>
          <w:p>
            <w:pPr>
              <w:pStyle w:val="63"/>
              <w:rPr>
                <w:szCs w:val="21"/>
              </w:rPr>
            </w:pPr>
          </w:p>
        </w:tc>
        <w:tc>
          <w:tcPr>
            <w:tcW w:w="309" w:type="pct"/>
            <w:vMerge w:val="continue"/>
            <w:vAlign w:val="center"/>
          </w:tcPr>
          <w:p>
            <w:pPr>
              <w:pStyle w:val="63"/>
              <w:rPr>
                <w:szCs w:val="21"/>
              </w:rPr>
            </w:pPr>
          </w:p>
        </w:tc>
        <w:tc>
          <w:tcPr>
            <w:tcW w:w="311" w:type="pct"/>
            <w:vAlign w:val="center"/>
          </w:tcPr>
          <w:p>
            <w:pPr>
              <w:pStyle w:val="63"/>
              <w:rPr>
                <w:szCs w:val="21"/>
              </w:rPr>
            </w:pPr>
            <w:r>
              <w:rPr>
                <w:szCs w:val="21"/>
              </w:rPr>
              <w:t>99.5%</w:t>
            </w:r>
          </w:p>
        </w:tc>
        <w:tc>
          <w:tcPr>
            <w:tcW w:w="422" w:type="pct"/>
            <w:vAlign w:val="center"/>
          </w:tcPr>
          <w:p>
            <w:pPr>
              <w:pStyle w:val="63"/>
              <w:rPr>
                <w:szCs w:val="21"/>
              </w:rPr>
            </w:pPr>
            <w:r>
              <w:rPr>
                <w:szCs w:val="21"/>
              </w:rPr>
              <w:t>32.8844</w:t>
            </w:r>
          </w:p>
        </w:tc>
        <w:tc>
          <w:tcPr>
            <w:tcW w:w="414" w:type="pct"/>
            <w:vAlign w:val="center"/>
          </w:tcPr>
          <w:p>
            <w:pPr>
              <w:pStyle w:val="63"/>
              <w:rPr>
                <w:szCs w:val="21"/>
              </w:rPr>
            </w:pPr>
            <w:r>
              <w:rPr>
                <w:szCs w:val="21"/>
              </w:rPr>
              <w:t>1.4798</w:t>
            </w:r>
          </w:p>
        </w:tc>
        <w:tc>
          <w:tcPr>
            <w:tcW w:w="371" w:type="pct"/>
            <w:vAlign w:val="center"/>
          </w:tcPr>
          <w:p>
            <w:pPr>
              <w:pStyle w:val="63"/>
              <w:rPr>
                <w:szCs w:val="21"/>
              </w:rPr>
            </w:pPr>
            <w:r>
              <w:rPr>
                <w:szCs w:val="21"/>
              </w:rPr>
              <w:t>11.72</w:t>
            </w:r>
          </w:p>
        </w:tc>
        <w:tc>
          <w:tcPr>
            <w:tcW w:w="455" w:type="pct"/>
            <w:vAlign w:val="center"/>
          </w:tcPr>
          <w:p>
            <w:pPr>
              <w:pStyle w:val="63"/>
              <w:rPr>
                <w:szCs w:val="21"/>
              </w:rPr>
            </w:pPr>
            <w:r>
              <w:rPr>
                <w:szCs w:val="21"/>
              </w:rPr>
              <w:t>120</w:t>
            </w:r>
          </w:p>
        </w:tc>
        <w:tc>
          <w:tcPr>
            <w:tcW w:w="388" w:type="pct"/>
            <w:vAlign w:val="center"/>
          </w:tcPr>
          <w:p>
            <w:pPr>
              <w:pStyle w:val="63"/>
              <w:rPr>
                <w:szCs w:val="21"/>
              </w:rPr>
            </w:pPr>
            <w:r>
              <w:rPr>
                <w:szCs w:val="21"/>
              </w:rPr>
              <w:t>53</w:t>
            </w:r>
          </w:p>
        </w:tc>
        <w:tc>
          <w:tcPr>
            <w:tcW w:w="324" w:type="pct"/>
            <w:vAlign w:val="center"/>
          </w:tcPr>
          <w:p>
            <w:pPr>
              <w:pStyle w:val="63"/>
              <w:rPr>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8" w:type="pct"/>
            <w:vMerge w:val="continue"/>
            <w:vAlign w:val="center"/>
          </w:tcPr>
          <w:p>
            <w:pPr>
              <w:pStyle w:val="63"/>
              <w:rPr>
                <w:szCs w:val="21"/>
              </w:rPr>
            </w:pPr>
          </w:p>
        </w:tc>
        <w:tc>
          <w:tcPr>
            <w:tcW w:w="214" w:type="pct"/>
            <w:vMerge w:val="continue"/>
            <w:vAlign w:val="center"/>
          </w:tcPr>
          <w:p>
            <w:pPr>
              <w:pStyle w:val="63"/>
              <w:rPr>
                <w:szCs w:val="21"/>
              </w:rPr>
            </w:pPr>
          </w:p>
        </w:tc>
        <w:tc>
          <w:tcPr>
            <w:tcW w:w="402" w:type="pct"/>
            <w:vAlign w:val="center"/>
          </w:tcPr>
          <w:p>
            <w:pPr>
              <w:pStyle w:val="63"/>
              <w:rPr>
                <w:szCs w:val="21"/>
              </w:rPr>
            </w:pPr>
            <w:r>
              <w:rPr>
                <w:szCs w:val="21"/>
              </w:rPr>
              <w:t>氟化物</w:t>
            </w:r>
          </w:p>
        </w:tc>
        <w:tc>
          <w:tcPr>
            <w:tcW w:w="444" w:type="pct"/>
            <w:vAlign w:val="center"/>
          </w:tcPr>
          <w:p>
            <w:pPr>
              <w:jc w:val="center"/>
              <w:rPr>
                <w:rFonts w:ascii="Times New Roman" w:hAnsi="Times New Roman" w:cs="Times New Roman"/>
                <w:sz w:val="21"/>
                <w:szCs w:val="21"/>
              </w:rPr>
            </w:pPr>
            <w:r>
              <w:rPr>
                <w:rFonts w:ascii="Times New Roman" w:hAnsi="Times New Roman" w:cs="Times New Roman"/>
                <w:sz w:val="21"/>
                <w:szCs w:val="21"/>
              </w:rPr>
              <w:t>29.72</w:t>
            </w:r>
          </w:p>
        </w:tc>
        <w:tc>
          <w:tcPr>
            <w:tcW w:w="416" w:type="pct"/>
            <w:vAlign w:val="center"/>
          </w:tcPr>
          <w:p>
            <w:pPr>
              <w:jc w:val="center"/>
              <w:rPr>
                <w:rFonts w:ascii="Times New Roman" w:hAnsi="Times New Roman" w:cs="Times New Roman"/>
                <w:sz w:val="21"/>
                <w:szCs w:val="21"/>
              </w:rPr>
            </w:pPr>
            <w:r>
              <w:rPr>
                <w:rFonts w:ascii="Times New Roman" w:hAnsi="Times New Roman" w:cs="Times New Roman"/>
                <w:sz w:val="21"/>
                <w:szCs w:val="21"/>
              </w:rPr>
              <w:t>214</w:t>
            </w:r>
          </w:p>
        </w:tc>
        <w:tc>
          <w:tcPr>
            <w:tcW w:w="310" w:type="pct"/>
            <w:vMerge w:val="continue"/>
            <w:vAlign w:val="center"/>
          </w:tcPr>
          <w:p>
            <w:pPr>
              <w:pStyle w:val="63"/>
              <w:rPr>
                <w:szCs w:val="21"/>
              </w:rPr>
            </w:pPr>
          </w:p>
        </w:tc>
        <w:tc>
          <w:tcPr>
            <w:tcW w:w="309" w:type="pct"/>
            <w:vMerge w:val="continue"/>
            <w:vAlign w:val="center"/>
          </w:tcPr>
          <w:p>
            <w:pPr>
              <w:pStyle w:val="63"/>
              <w:rPr>
                <w:szCs w:val="21"/>
              </w:rPr>
            </w:pPr>
          </w:p>
        </w:tc>
        <w:tc>
          <w:tcPr>
            <w:tcW w:w="311" w:type="pct"/>
            <w:vAlign w:val="center"/>
          </w:tcPr>
          <w:p>
            <w:pPr>
              <w:pStyle w:val="63"/>
              <w:rPr>
                <w:szCs w:val="21"/>
              </w:rPr>
            </w:pPr>
            <w:r>
              <w:rPr>
                <w:szCs w:val="21"/>
              </w:rPr>
              <w:t>99.5%</w:t>
            </w:r>
          </w:p>
        </w:tc>
        <w:tc>
          <w:tcPr>
            <w:tcW w:w="422" w:type="pct"/>
            <w:vAlign w:val="center"/>
          </w:tcPr>
          <w:p>
            <w:pPr>
              <w:pStyle w:val="63"/>
              <w:rPr>
                <w:szCs w:val="21"/>
              </w:rPr>
            </w:pPr>
            <w:r>
              <w:rPr>
                <w:szCs w:val="21"/>
              </w:rPr>
              <w:t>3.30222</w:t>
            </w:r>
          </w:p>
        </w:tc>
        <w:tc>
          <w:tcPr>
            <w:tcW w:w="414" w:type="pct"/>
            <w:vAlign w:val="center"/>
          </w:tcPr>
          <w:p>
            <w:pPr>
              <w:pStyle w:val="63"/>
              <w:rPr>
                <w:szCs w:val="21"/>
              </w:rPr>
            </w:pPr>
            <w:r>
              <w:rPr>
                <w:szCs w:val="21"/>
              </w:rPr>
              <w:t>0.1486</w:t>
            </w:r>
          </w:p>
        </w:tc>
        <w:tc>
          <w:tcPr>
            <w:tcW w:w="371" w:type="pct"/>
            <w:vAlign w:val="center"/>
          </w:tcPr>
          <w:p>
            <w:pPr>
              <w:pStyle w:val="63"/>
              <w:rPr>
                <w:szCs w:val="21"/>
              </w:rPr>
            </w:pPr>
            <w:r>
              <w:rPr>
                <w:szCs w:val="21"/>
              </w:rPr>
              <w:t>1.07</w:t>
            </w:r>
          </w:p>
        </w:tc>
        <w:tc>
          <w:tcPr>
            <w:tcW w:w="455" w:type="pct"/>
            <w:vAlign w:val="center"/>
          </w:tcPr>
          <w:p>
            <w:pPr>
              <w:pStyle w:val="63"/>
              <w:rPr>
                <w:szCs w:val="21"/>
              </w:rPr>
            </w:pPr>
            <w:r>
              <w:rPr>
                <w:szCs w:val="21"/>
              </w:rPr>
              <w:t>9.0</w:t>
            </w:r>
          </w:p>
        </w:tc>
        <w:tc>
          <w:tcPr>
            <w:tcW w:w="388" w:type="pct"/>
            <w:vAlign w:val="center"/>
          </w:tcPr>
          <w:p>
            <w:pPr>
              <w:pStyle w:val="63"/>
              <w:rPr>
                <w:szCs w:val="21"/>
              </w:rPr>
            </w:pPr>
            <w:r>
              <w:rPr>
                <w:szCs w:val="21"/>
              </w:rPr>
              <w:t>0.59</w:t>
            </w:r>
          </w:p>
        </w:tc>
        <w:tc>
          <w:tcPr>
            <w:tcW w:w="324" w:type="pct"/>
            <w:vAlign w:val="center"/>
          </w:tcPr>
          <w:p>
            <w:pPr>
              <w:pStyle w:val="63"/>
              <w:rPr>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8" w:type="pct"/>
            <w:vMerge w:val="continue"/>
            <w:vAlign w:val="center"/>
          </w:tcPr>
          <w:p>
            <w:pPr>
              <w:pStyle w:val="63"/>
              <w:rPr>
                <w:szCs w:val="21"/>
              </w:rPr>
            </w:pPr>
          </w:p>
        </w:tc>
        <w:tc>
          <w:tcPr>
            <w:tcW w:w="214" w:type="pct"/>
            <w:vMerge w:val="continue"/>
            <w:vAlign w:val="center"/>
          </w:tcPr>
          <w:p>
            <w:pPr>
              <w:pStyle w:val="63"/>
              <w:rPr>
                <w:szCs w:val="21"/>
              </w:rPr>
            </w:pPr>
          </w:p>
        </w:tc>
        <w:tc>
          <w:tcPr>
            <w:tcW w:w="402" w:type="pct"/>
            <w:vAlign w:val="center"/>
          </w:tcPr>
          <w:p>
            <w:pPr>
              <w:pStyle w:val="63"/>
              <w:rPr>
                <w:szCs w:val="21"/>
              </w:rPr>
            </w:pPr>
            <w:r>
              <w:rPr>
                <w:szCs w:val="21"/>
              </w:rPr>
              <w:t>镍及其化合物</w:t>
            </w:r>
          </w:p>
        </w:tc>
        <w:tc>
          <w:tcPr>
            <w:tcW w:w="444"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0.004</w:t>
            </w:r>
          </w:p>
        </w:tc>
        <w:tc>
          <w:tcPr>
            <w:tcW w:w="416" w:type="pct"/>
            <w:vAlign w:val="center"/>
          </w:tcPr>
          <w:p>
            <w:pPr>
              <w:jc w:val="center"/>
              <w:rPr>
                <w:rFonts w:ascii="Times New Roman" w:hAnsi="Times New Roman" w:cs="Times New Roman"/>
                <w:sz w:val="21"/>
                <w:szCs w:val="21"/>
              </w:rPr>
            </w:pPr>
            <w:r>
              <w:rPr>
                <w:rFonts w:ascii="Times New Roman" w:hAnsi="Times New Roman" w:cs="Times New Roman"/>
                <w:sz w:val="21"/>
                <w:szCs w:val="21"/>
              </w:rPr>
              <w:t>32.4 kg/a</w:t>
            </w:r>
          </w:p>
        </w:tc>
        <w:tc>
          <w:tcPr>
            <w:tcW w:w="310" w:type="pct"/>
            <w:vMerge w:val="continue"/>
            <w:vAlign w:val="center"/>
          </w:tcPr>
          <w:p>
            <w:pPr>
              <w:pStyle w:val="63"/>
              <w:rPr>
                <w:szCs w:val="21"/>
              </w:rPr>
            </w:pPr>
          </w:p>
        </w:tc>
        <w:tc>
          <w:tcPr>
            <w:tcW w:w="309" w:type="pct"/>
            <w:vMerge w:val="continue"/>
            <w:vAlign w:val="center"/>
          </w:tcPr>
          <w:p>
            <w:pPr>
              <w:pStyle w:val="63"/>
              <w:rPr>
                <w:szCs w:val="21"/>
              </w:rPr>
            </w:pPr>
          </w:p>
        </w:tc>
        <w:tc>
          <w:tcPr>
            <w:tcW w:w="311" w:type="pct"/>
            <w:vAlign w:val="center"/>
          </w:tcPr>
          <w:p>
            <w:pPr>
              <w:pStyle w:val="63"/>
              <w:rPr>
                <w:szCs w:val="21"/>
              </w:rPr>
            </w:pPr>
            <w:r>
              <w:rPr>
                <w:szCs w:val="21"/>
              </w:rPr>
              <w:t>99%</w:t>
            </w:r>
          </w:p>
        </w:tc>
        <w:tc>
          <w:tcPr>
            <w:tcW w:w="422" w:type="pct"/>
            <w:vAlign w:val="center"/>
          </w:tcPr>
          <w:p>
            <w:pPr>
              <w:pStyle w:val="63"/>
              <w:rPr>
                <w:szCs w:val="21"/>
              </w:rPr>
            </w:pPr>
            <w:r>
              <w:rPr>
                <w:szCs w:val="21"/>
              </w:rPr>
              <w:t>0.00089</w:t>
            </w:r>
          </w:p>
        </w:tc>
        <w:tc>
          <w:tcPr>
            <w:tcW w:w="414" w:type="pct"/>
            <w:vAlign w:val="center"/>
          </w:tcPr>
          <w:p>
            <w:pPr>
              <w:pStyle w:val="63"/>
              <w:rPr>
                <w:szCs w:val="21"/>
              </w:rPr>
            </w:pPr>
            <w:r>
              <w:rPr>
                <w:szCs w:val="21"/>
              </w:rPr>
              <w:t>0.00004</w:t>
            </w:r>
          </w:p>
        </w:tc>
        <w:tc>
          <w:tcPr>
            <w:tcW w:w="371" w:type="pct"/>
            <w:vAlign w:val="center"/>
          </w:tcPr>
          <w:p>
            <w:pPr>
              <w:pStyle w:val="63"/>
              <w:rPr>
                <w:szCs w:val="21"/>
              </w:rPr>
            </w:pPr>
            <w:r>
              <w:rPr>
                <w:szCs w:val="21"/>
              </w:rPr>
              <w:t>0.324kg/a</w:t>
            </w:r>
          </w:p>
        </w:tc>
        <w:tc>
          <w:tcPr>
            <w:tcW w:w="455" w:type="pct"/>
            <w:vAlign w:val="center"/>
          </w:tcPr>
          <w:p>
            <w:pPr>
              <w:pStyle w:val="63"/>
              <w:rPr>
                <w:szCs w:val="21"/>
              </w:rPr>
            </w:pPr>
            <w:r>
              <w:rPr>
                <w:szCs w:val="21"/>
              </w:rPr>
              <w:t>4.32</w:t>
            </w:r>
          </w:p>
        </w:tc>
        <w:tc>
          <w:tcPr>
            <w:tcW w:w="388" w:type="pct"/>
            <w:vAlign w:val="center"/>
          </w:tcPr>
          <w:p>
            <w:pPr>
              <w:pStyle w:val="63"/>
              <w:rPr>
                <w:szCs w:val="21"/>
              </w:rPr>
            </w:pPr>
            <w:r>
              <w:rPr>
                <w:szCs w:val="21"/>
              </w:rPr>
              <w:t>0.88</w:t>
            </w:r>
          </w:p>
        </w:tc>
        <w:tc>
          <w:tcPr>
            <w:tcW w:w="324" w:type="pct"/>
            <w:vAlign w:val="center"/>
          </w:tcPr>
          <w:p>
            <w:pPr>
              <w:pStyle w:val="63"/>
              <w:rPr>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8" w:type="pct"/>
            <w:vMerge w:val="continue"/>
            <w:vAlign w:val="center"/>
          </w:tcPr>
          <w:p>
            <w:pPr>
              <w:pStyle w:val="63"/>
              <w:rPr>
                <w:szCs w:val="21"/>
              </w:rPr>
            </w:pPr>
          </w:p>
        </w:tc>
        <w:tc>
          <w:tcPr>
            <w:tcW w:w="214" w:type="pct"/>
            <w:vMerge w:val="continue"/>
            <w:vAlign w:val="center"/>
          </w:tcPr>
          <w:p>
            <w:pPr>
              <w:pStyle w:val="63"/>
              <w:rPr>
                <w:szCs w:val="21"/>
              </w:rPr>
            </w:pPr>
          </w:p>
        </w:tc>
        <w:tc>
          <w:tcPr>
            <w:tcW w:w="402" w:type="pct"/>
            <w:vAlign w:val="center"/>
          </w:tcPr>
          <w:p>
            <w:pPr>
              <w:pStyle w:val="63"/>
              <w:rPr>
                <w:szCs w:val="21"/>
              </w:rPr>
            </w:pPr>
            <w:r>
              <w:rPr>
                <w:szCs w:val="21"/>
              </w:rPr>
              <w:t>钴及其化合物</w:t>
            </w:r>
          </w:p>
        </w:tc>
        <w:tc>
          <w:tcPr>
            <w:tcW w:w="444"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0.0016</w:t>
            </w:r>
          </w:p>
        </w:tc>
        <w:tc>
          <w:tcPr>
            <w:tcW w:w="416" w:type="pct"/>
            <w:vAlign w:val="center"/>
          </w:tcPr>
          <w:p>
            <w:pPr>
              <w:jc w:val="center"/>
              <w:rPr>
                <w:rFonts w:ascii="Times New Roman" w:hAnsi="Times New Roman" w:cs="Times New Roman"/>
                <w:sz w:val="21"/>
                <w:szCs w:val="21"/>
              </w:rPr>
            </w:pPr>
            <w:r>
              <w:rPr>
                <w:rFonts w:ascii="Times New Roman" w:hAnsi="Times New Roman" w:cs="Times New Roman"/>
                <w:sz w:val="21"/>
                <w:szCs w:val="21"/>
              </w:rPr>
              <w:t>12.8kg/a</w:t>
            </w:r>
          </w:p>
        </w:tc>
        <w:tc>
          <w:tcPr>
            <w:tcW w:w="310" w:type="pct"/>
            <w:vMerge w:val="continue"/>
            <w:vAlign w:val="center"/>
          </w:tcPr>
          <w:p>
            <w:pPr>
              <w:pStyle w:val="63"/>
              <w:rPr>
                <w:szCs w:val="21"/>
              </w:rPr>
            </w:pPr>
          </w:p>
        </w:tc>
        <w:tc>
          <w:tcPr>
            <w:tcW w:w="309" w:type="pct"/>
            <w:vMerge w:val="continue"/>
            <w:vAlign w:val="center"/>
          </w:tcPr>
          <w:p>
            <w:pPr>
              <w:pStyle w:val="63"/>
              <w:rPr>
                <w:szCs w:val="21"/>
              </w:rPr>
            </w:pPr>
          </w:p>
        </w:tc>
        <w:tc>
          <w:tcPr>
            <w:tcW w:w="311" w:type="pct"/>
            <w:vAlign w:val="center"/>
          </w:tcPr>
          <w:p>
            <w:pPr>
              <w:pStyle w:val="63"/>
              <w:rPr>
                <w:szCs w:val="21"/>
              </w:rPr>
            </w:pPr>
            <w:r>
              <w:rPr>
                <w:szCs w:val="21"/>
              </w:rPr>
              <w:t>99%</w:t>
            </w:r>
          </w:p>
        </w:tc>
        <w:tc>
          <w:tcPr>
            <w:tcW w:w="422" w:type="pct"/>
            <w:vAlign w:val="center"/>
          </w:tcPr>
          <w:p>
            <w:pPr>
              <w:pStyle w:val="63"/>
              <w:rPr>
                <w:szCs w:val="21"/>
              </w:rPr>
            </w:pPr>
            <w:r>
              <w:rPr>
                <w:szCs w:val="21"/>
              </w:rPr>
              <w:t>0.00036</w:t>
            </w:r>
          </w:p>
        </w:tc>
        <w:tc>
          <w:tcPr>
            <w:tcW w:w="414" w:type="pct"/>
            <w:vAlign w:val="center"/>
          </w:tcPr>
          <w:p>
            <w:pPr>
              <w:pStyle w:val="63"/>
              <w:rPr>
                <w:szCs w:val="21"/>
              </w:rPr>
            </w:pPr>
            <w:r>
              <w:rPr>
                <w:szCs w:val="21"/>
              </w:rPr>
              <w:t>0.000016</w:t>
            </w:r>
          </w:p>
        </w:tc>
        <w:tc>
          <w:tcPr>
            <w:tcW w:w="371" w:type="pct"/>
            <w:vAlign w:val="center"/>
          </w:tcPr>
          <w:p>
            <w:pPr>
              <w:pStyle w:val="63"/>
              <w:rPr>
                <w:szCs w:val="21"/>
              </w:rPr>
            </w:pPr>
            <w:r>
              <w:rPr>
                <w:szCs w:val="21"/>
              </w:rPr>
              <w:t>0.128kg/a</w:t>
            </w:r>
          </w:p>
        </w:tc>
        <w:tc>
          <w:tcPr>
            <w:tcW w:w="455" w:type="pct"/>
            <w:vAlign w:val="center"/>
          </w:tcPr>
          <w:p>
            <w:pPr>
              <w:pStyle w:val="63"/>
              <w:rPr>
                <w:szCs w:val="21"/>
              </w:rPr>
            </w:pPr>
            <w:r>
              <w:rPr>
                <w:szCs w:val="21"/>
              </w:rPr>
              <w:t>--</w:t>
            </w:r>
          </w:p>
        </w:tc>
        <w:tc>
          <w:tcPr>
            <w:tcW w:w="388" w:type="pct"/>
            <w:vAlign w:val="center"/>
          </w:tcPr>
          <w:p>
            <w:pPr>
              <w:pStyle w:val="63"/>
              <w:rPr>
                <w:szCs w:val="21"/>
              </w:rPr>
            </w:pPr>
            <w:r>
              <w:rPr>
                <w:szCs w:val="21"/>
              </w:rPr>
              <w:t>--</w:t>
            </w:r>
          </w:p>
        </w:tc>
        <w:tc>
          <w:tcPr>
            <w:tcW w:w="324" w:type="pct"/>
            <w:vAlign w:val="center"/>
          </w:tcPr>
          <w:p>
            <w:pPr>
              <w:pStyle w:val="63"/>
              <w:rPr>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8" w:type="pct"/>
            <w:vMerge w:val="continue"/>
            <w:vAlign w:val="center"/>
          </w:tcPr>
          <w:p>
            <w:pPr>
              <w:pStyle w:val="63"/>
              <w:rPr>
                <w:szCs w:val="21"/>
              </w:rPr>
            </w:pPr>
          </w:p>
        </w:tc>
        <w:tc>
          <w:tcPr>
            <w:tcW w:w="214" w:type="pct"/>
            <w:vMerge w:val="continue"/>
            <w:vAlign w:val="center"/>
          </w:tcPr>
          <w:p>
            <w:pPr>
              <w:pStyle w:val="63"/>
              <w:rPr>
                <w:szCs w:val="21"/>
              </w:rPr>
            </w:pPr>
          </w:p>
        </w:tc>
        <w:tc>
          <w:tcPr>
            <w:tcW w:w="402" w:type="pct"/>
            <w:vAlign w:val="center"/>
          </w:tcPr>
          <w:p>
            <w:pPr>
              <w:pStyle w:val="63"/>
              <w:rPr>
                <w:szCs w:val="21"/>
              </w:rPr>
            </w:pPr>
            <w:r>
              <w:rPr>
                <w:szCs w:val="21"/>
              </w:rPr>
              <w:t>锰及其化合物</w:t>
            </w:r>
          </w:p>
        </w:tc>
        <w:tc>
          <w:tcPr>
            <w:tcW w:w="444"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0.0025</w:t>
            </w:r>
          </w:p>
        </w:tc>
        <w:tc>
          <w:tcPr>
            <w:tcW w:w="416" w:type="pct"/>
            <w:vAlign w:val="center"/>
          </w:tcPr>
          <w:p>
            <w:pPr>
              <w:jc w:val="center"/>
              <w:rPr>
                <w:rFonts w:ascii="Times New Roman" w:hAnsi="Times New Roman" w:cs="Times New Roman"/>
                <w:sz w:val="21"/>
                <w:szCs w:val="21"/>
              </w:rPr>
            </w:pPr>
            <w:r>
              <w:rPr>
                <w:rFonts w:ascii="Times New Roman" w:hAnsi="Times New Roman" w:cs="Times New Roman"/>
                <w:sz w:val="21"/>
                <w:szCs w:val="21"/>
              </w:rPr>
              <w:t>19.6kg/a</w:t>
            </w:r>
          </w:p>
        </w:tc>
        <w:tc>
          <w:tcPr>
            <w:tcW w:w="310" w:type="pct"/>
            <w:vMerge w:val="continue"/>
            <w:vAlign w:val="center"/>
          </w:tcPr>
          <w:p>
            <w:pPr>
              <w:pStyle w:val="63"/>
              <w:rPr>
                <w:szCs w:val="21"/>
              </w:rPr>
            </w:pPr>
          </w:p>
        </w:tc>
        <w:tc>
          <w:tcPr>
            <w:tcW w:w="309" w:type="pct"/>
            <w:vMerge w:val="continue"/>
            <w:vAlign w:val="center"/>
          </w:tcPr>
          <w:p>
            <w:pPr>
              <w:pStyle w:val="63"/>
              <w:rPr>
                <w:szCs w:val="21"/>
              </w:rPr>
            </w:pPr>
          </w:p>
        </w:tc>
        <w:tc>
          <w:tcPr>
            <w:tcW w:w="311" w:type="pct"/>
            <w:vAlign w:val="center"/>
          </w:tcPr>
          <w:p>
            <w:pPr>
              <w:pStyle w:val="63"/>
              <w:rPr>
                <w:szCs w:val="21"/>
              </w:rPr>
            </w:pPr>
            <w:r>
              <w:rPr>
                <w:szCs w:val="21"/>
              </w:rPr>
              <w:t>99%</w:t>
            </w:r>
          </w:p>
        </w:tc>
        <w:tc>
          <w:tcPr>
            <w:tcW w:w="422" w:type="pct"/>
            <w:vAlign w:val="center"/>
          </w:tcPr>
          <w:p>
            <w:pPr>
              <w:pStyle w:val="63"/>
              <w:rPr>
                <w:szCs w:val="21"/>
              </w:rPr>
            </w:pPr>
            <w:r>
              <w:rPr>
                <w:szCs w:val="21"/>
              </w:rPr>
              <w:t>0.00056</w:t>
            </w:r>
          </w:p>
        </w:tc>
        <w:tc>
          <w:tcPr>
            <w:tcW w:w="414" w:type="pct"/>
            <w:vAlign w:val="center"/>
          </w:tcPr>
          <w:p>
            <w:pPr>
              <w:pStyle w:val="63"/>
              <w:rPr>
                <w:szCs w:val="21"/>
              </w:rPr>
            </w:pPr>
            <w:r>
              <w:rPr>
                <w:szCs w:val="21"/>
              </w:rPr>
              <w:t>0.000025</w:t>
            </w:r>
          </w:p>
        </w:tc>
        <w:tc>
          <w:tcPr>
            <w:tcW w:w="371" w:type="pct"/>
            <w:vAlign w:val="center"/>
          </w:tcPr>
          <w:p>
            <w:pPr>
              <w:pStyle w:val="63"/>
              <w:rPr>
                <w:szCs w:val="21"/>
              </w:rPr>
            </w:pPr>
            <w:r>
              <w:rPr>
                <w:szCs w:val="21"/>
              </w:rPr>
              <w:t>0.196kg/a</w:t>
            </w:r>
          </w:p>
        </w:tc>
        <w:tc>
          <w:tcPr>
            <w:tcW w:w="455" w:type="pct"/>
            <w:vAlign w:val="center"/>
          </w:tcPr>
          <w:p>
            <w:pPr>
              <w:pStyle w:val="63"/>
              <w:rPr>
                <w:szCs w:val="21"/>
              </w:rPr>
            </w:pPr>
            <w:r>
              <w:rPr>
                <w:szCs w:val="21"/>
              </w:rPr>
              <w:t>--</w:t>
            </w:r>
          </w:p>
        </w:tc>
        <w:tc>
          <w:tcPr>
            <w:tcW w:w="388" w:type="pct"/>
            <w:vAlign w:val="center"/>
          </w:tcPr>
          <w:p>
            <w:pPr>
              <w:pStyle w:val="63"/>
              <w:rPr>
                <w:szCs w:val="21"/>
              </w:rPr>
            </w:pPr>
            <w:r>
              <w:rPr>
                <w:szCs w:val="21"/>
              </w:rPr>
              <w:t>--</w:t>
            </w:r>
          </w:p>
        </w:tc>
        <w:tc>
          <w:tcPr>
            <w:tcW w:w="324" w:type="pct"/>
            <w:vAlign w:val="center"/>
          </w:tcPr>
          <w:p>
            <w:pPr>
              <w:pStyle w:val="63"/>
              <w:rPr>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8" w:type="pct"/>
            <w:vMerge w:val="continue"/>
            <w:vAlign w:val="center"/>
          </w:tcPr>
          <w:p>
            <w:pPr>
              <w:pStyle w:val="63"/>
              <w:rPr>
                <w:szCs w:val="21"/>
              </w:rPr>
            </w:pPr>
          </w:p>
        </w:tc>
        <w:tc>
          <w:tcPr>
            <w:tcW w:w="214" w:type="pct"/>
            <w:vMerge w:val="continue"/>
            <w:vAlign w:val="center"/>
          </w:tcPr>
          <w:p>
            <w:pPr>
              <w:pStyle w:val="63"/>
              <w:rPr>
                <w:szCs w:val="21"/>
              </w:rPr>
            </w:pPr>
          </w:p>
        </w:tc>
        <w:tc>
          <w:tcPr>
            <w:tcW w:w="402" w:type="pct"/>
            <w:vAlign w:val="center"/>
          </w:tcPr>
          <w:p>
            <w:pPr>
              <w:pStyle w:val="63"/>
              <w:rPr>
                <w:szCs w:val="21"/>
              </w:rPr>
            </w:pPr>
            <w:r>
              <w:rPr>
                <w:szCs w:val="21"/>
              </w:rPr>
              <w:t>SO</w:t>
            </w:r>
            <w:r>
              <w:rPr>
                <w:szCs w:val="21"/>
                <w:vertAlign w:val="subscript"/>
              </w:rPr>
              <w:t>2</w:t>
            </w:r>
          </w:p>
        </w:tc>
        <w:tc>
          <w:tcPr>
            <w:tcW w:w="444"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0.002</w:t>
            </w:r>
          </w:p>
        </w:tc>
        <w:tc>
          <w:tcPr>
            <w:tcW w:w="416"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0.013</w:t>
            </w:r>
          </w:p>
        </w:tc>
        <w:tc>
          <w:tcPr>
            <w:tcW w:w="310" w:type="pct"/>
            <w:vMerge w:val="continue"/>
            <w:vAlign w:val="center"/>
          </w:tcPr>
          <w:p>
            <w:pPr>
              <w:pStyle w:val="63"/>
              <w:rPr>
                <w:szCs w:val="21"/>
              </w:rPr>
            </w:pPr>
          </w:p>
        </w:tc>
        <w:tc>
          <w:tcPr>
            <w:tcW w:w="309" w:type="pct"/>
            <w:vMerge w:val="continue"/>
            <w:vAlign w:val="center"/>
          </w:tcPr>
          <w:p>
            <w:pPr>
              <w:pStyle w:val="63"/>
              <w:rPr>
                <w:szCs w:val="21"/>
              </w:rPr>
            </w:pPr>
          </w:p>
        </w:tc>
        <w:tc>
          <w:tcPr>
            <w:tcW w:w="311" w:type="pct"/>
            <w:vAlign w:val="center"/>
          </w:tcPr>
          <w:p>
            <w:pPr>
              <w:pStyle w:val="63"/>
              <w:rPr>
                <w:szCs w:val="21"/>
              </w:rPr>
            </w:pPr>
            <w:r>
              <w:rPr>
                <w:szCs w:val="21"/>
              </w:rPr>
              <w:t>80%</w:t>
            </w:r>
          </w:p>
        </w:tc>
        <w:tc>
          <w:tcPr>
            <w:tcW w:w="422" w:type="pct"/>
            <w:vAlign w:val="center"/>
          </w:tcPr>
          <w:p>
            <w:pPr>
              <w:pStyle w:val="63"/>
              <w:rPr>
                <w:szCs w:val="21"/>
              </w:rPr>
            </w:pPr>
            <w:r>
              <w:rPr>
                <w:szCs w:val="21"/>
              </w:rPr>
              <w:t>0.00889</w:t>
            </w:r>
          </w:p>
        </w:tc>
        <w:tc>
          <w:tcPr>
            <w:tcW w:w="414" w:type="pct"/>
            <w:vAlign w:val="center"/>
          </w:tcPr>
          <w:p>
            <w:pPr>
              <w:jc w:val="center"/>
              <w:rPr>
                <w:rFonts w:ascii="Times New Roman" w:hAnsi="Times New Roman" w:cs="Times New Roman"/>
                <w:sz w:val="22"/>
              </w:rPr>
            </w:pPr>
            <w:r>
              <w:rPr>
                <w:rFonts w:ascii="Times New Roman" w:hAnsi="Times New Roman" w:cs="Times New Roman"/>
                <w:sz w:val="22"/>
              </w:rPr>
              <w:t>0.0004</w:t>
            </w:r>
          </w:p>
        </w:tc>
        <w:tc>
          <w:tcPr>
            <w:tcW w:w="371" w:type="pct"/>
            <w:vAlign w:val="center"/>
          </w:tcPr>
          <w:p>
            <w:pPr>
              <w:jc w:val="center"/>
              <w:rPr>
                <w:rFonts w:ascii="Times New Roman" w:hAnsi="Times New Roman" w:cs="Times New Roman"/>
                <w:sz w:val="22"/>
              </w:rPr>
            </w:pPr>
            <w:r>
              <w:rPr>
                <w:rFonts w:ascii="Times New Roman" w:hAnsi="Times New Roman" w:cs="Times New Roman"/>
                <w:sz w:val="22"/>
              </w:rPr>
              <w:t>0.0026</w:t>
            </w:r>
          </w:p>
        </w:tc>
        <w:tc>
          <w:tcPr>
            <w:tcW w:w="455" w:type="pct"/>
            <w:vAlign w:val="center"/>
          </w:tcPr>
          <w:p>
            <w:pPr>
              <w:pStyle w:val="63"/>
              <w:rPr>
                <w:szCs w:val="21"/>
              </w:rPr>
            </w:pPr>
            <w:r>
              <w:rPr>
                <w:szCs w:val="21"/>
              </w:rPr>
              <w:t>550</w:t>
            </w:r>
          </w:p>
        </w:tc>
        <w:tc>
          <w:tcPr>
            <w:tcW w:w="388" w:type="pct"/>
            <w:vAlign w:val="center"/>
          </w:tcPr>
          <w:p>
            <w:pPr>
              <w:pStyle w:val="63"/>
              <w:rPr>
                <w:szCs w:val="21"/>
              </w:rPr>
            </w:pPr>
            <w:r>
              <w:rPr>
                <w:szCs w:val="21"/>
              </w:rPr>
              <w:t>15</w:t>
            </w:r>
          </w:p>
        </w:tc>
        <w:tc>
          <w:tcPr>
            <w:tcW w:w="324" w:type="pct"/>
            <w:vAlign w:val="center"/>
          </w:tcPr>
          <w:p>
            <w:pPr>
              <w:pStyle w:val="63"/>
              <w:rPr>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8" w:type="pct"/>
            <w:vMerge w:val="continue"/>
            <w:vAlign w:val="center"/>
          </w:tcPr>
          <w:p>
            <w:pPr>
              <w:pStyle w:val="63"/>
              <w:rPr>
                <w:szCs w:val="21"/>
              </w:rPr>
            </w:pPr>
          </w:p>
        </w:tc>
        <w:tc>
          <w:tcPr>
            <w:tcW w:w="214" w:type="pct"/>
            <w:vMerge w:val="continue"/>
            <w:vAlign w:val="center"/>
          </w:tcPr>
          <w:p>
            <w:pPr>
              <w:pStyle w:val="63"/>
              <w:rPr>
                <w:szCs w:val="21"/>
              </w:rPr>
            </w:pPr>
          </w:p>
        </w:tc>
        <w:tc>
          <w:tcPr>
            <w:tcW w:w="402" w:type="pct"/>
            <w:vAlign w:val="center"/>
          </w:tcPr>
          <w:p>
            <w:pPr>
              <w:pStyle w:val="63"/>
              <w:rPr>
                <w:szCs w:val="21"/>
              </w:rPr>
            </w:pPr>
            <w:r>
              <w:rPr>
                <w:szCs w:val="21"/>
              </w:rPr>
              <w:t>NOx</w:t>
            </w:r>
          </w:p>
        </w:tc>
        <w:tc>
          <w:tcPr>
            <w:tcW w:w="444"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0.075</w:t>
            </w:r>
          </w:p>
        </w:tc>
        <w:tc>
          <w:tcPr>
            <w:tcW w:w="416" w:type="pct"/>
            <w:vAlign w:val="center"/>
          </w:tcPr>
          <w:p>
            <w:pPr>
              <w:jc w:val="center"/>
              <w:rPr>
                <w:rFonts w:ascii="Times New Roman" w:hAnsi="Times New Roman" w:cs="Times New Roman"/>
                <w:sz w:val="21"/>
                <w:szCs w:val="21"/>
              </w:rPr>
            </w:pPr>
            <w:r>
              <w:rPr>
                <w:rFonts w:ascii="Times New Roman" w:hAnsi="Times New Roman" w:cs="Times New Roman"/>
                <w:sz w:val="21"/>
                <w:szCs w:val="21"/>
              </w:rPr>
              <w:t>0.593</w:t>
            </w:r>
          </w:p>
        </w:tc>
        <w:tc>
          <w:tcPr>
            <w:tcW w:w="310" w:type="pct"/>
            <w:vMerge w:val="continue"/>
            <w:vAlign w:val="center"/>
          </w:tcPr>
          <w:p>
            <w:pPr>
              <w:pStyle w:val="63"/>
              <w:rPr>
                <w:szCs w:val="21"/>
              </w:rPr>
            </w:pPr>
          </w:p>
        </w:tc>
        <w:tc>
          <w:tcPr>
            <w:tcW w:w="309" w:type="pct"/>
            <w:vMerge w:val="continue"/>
            <w:vAlign w:val="center"/>
          </w:tcPr>
          <w:p>
            <w:pPr>
              <w:pStyle w:val="63"/>
              <w:rPr>
                <w:szCs w:val="21"/>
              </w:rPr>
            </w:pPr>
          </w:p>
        </w:tc>
        <w:tc>
          <w:tcPr>
            <w:tcW w:w="311" w:type="pct"/>
            <w:vAlign w:val="center"/>
          </w:tcPr>
          <w:p>
            <w:pPr>
              <w:pStyle w:val="63"/>
              <w:rPr>
                <w:szCs w:val="21"/>
              </w:rPr>
            </w:pPr>
            <w:r>
              <w:rPr>
                <w:szCs w:val="21"/>
              </w:rPr>
              <w:t>0%</w:t>
            </w:r>
          </w:p>
        </w:tc>
        <w:tc>
          <w:tcPr>
            <w:tcW w:w="422" w:type="pct"/>
            <w:vAlign w:val="center"/>
          </w:tcPr>
          <w:p>
            <w:pPr>
              <w:pStyle w:val="63"/>
              <w:rPr>
                <w:szCs w:val="21"/>
              </w:rPr>
            </w:pPr>
            <w:r>
              <w:rPr>
                <w:szCs w:val="21"/>
              </w:rPr>
              <w:t>1.66667</w:t>
            </w:r>
          </w:p>
        </w:tc>
        <w:tc>
          <w:tcPr>
            <w:tcW w:w="414" w:type="pct"/>
            <w:vAlign w:val="center"/>
          </w:tcPr>
          <w:p>
            <w:pPr>
              <w:jc w:val="center"/>
              <w:rPr>
                <w:rFonts w:ascii="Times New Roman" w:hAnsi="Times New Roman" w:cs="Times New Roman"/>
                <w:sz w:val="22"/>
              </w:rPr>
            </w:pPr>
            <w:r>
              <w:rPr>
                <w:rFonts w:ascii="Times New Roman" w:hAnsi="Times New Roman" w:cs="Times New Roman"/>
                <w:sz w:val="22"/>
              </w:rPr>
              <w:t>0.075</w:t>
            </w:r>
          </w:p>
        </w:tc>
        <w:tc>
          <w:tcPr>
            <w:tcW w:w="371" w:type="pct"/>
            <w:vAlign w:val="center"/>
          </w:tcPr>
          <w:p>
            <w:pPr>
              <w:jc w:val="center"/>
              <w:rPr>
                <w:rFonts w:ascii="Times New Roman" w:hAnsi="Times New Roman" w:cs="Times New Roman"/>
                <w:sz w:val="22"/>
              </w:rPr>
            </w:pPr>
            <w:r>
              <w:rPr>
                <w:rFonts w:ascii="Times New Roman" w:hAnsi="Times New Roman" w:cs="Times New Roman"/>
                <w:sz w:val="22"/>
              </w:rPr>
              <w:t>0.593</w:t>
            </w:r>
          </w:p>
        </w:tc>
        <w:tc>
          <w:tcPr>
            <w:tcW w:w="455" w:type="pct"/>
            <w:vAlign w:val="center"/>
          </w:tcPr>
          <w:p>
            <w:pPr>
              <w:pStyle w:val="63"/>
              <w:rPr>
                <w:szCs w:val="21"/>
              </w:rPr>
            </w:pPr>
            <w:r>
              <w:rPr>
                <w:szCs w:val="21"/>
              </w:rPr>
              <w:t>240</w:t>
            </w:r>
          </w:p>
        </w:tc>
        <w:tc>
          <w:tcPr>
            <w:tcW w:w="388" w:type="pct"/>
            <w:vAlign w:val="center"/>
          </w:tcPr>
          <w:p>
            <w:pPr>
              <w:pStyle w:val="63"/>
              <w:rPr>
                <w:szCs w:val="21"/>
              </w:rPr>
            </w:pPr>
            <w:r>
              <w:rPr>
                <w:szCs w:val="21"/>
              </w:rPr>
              <w:t>4.4</w:t>
            </w:r>
          </w:p>
        </w:tc>
        <w:tc>
          <w:tcPr>
            <w:tcW w:w="324" w:type="pct"/>
            <w:vAlign w:val="center"/>
          </w:tcPr>
          <w:p>
            <w:pPr>
              <w:pStyle w:val="63"/>
              <w:rPr>
                <w:szCs w:val="21"/>
              </w:rPr>
            </w:pPr>
            <w:r>
              <w:rPr>
                <w:szCs w:val="21"/>
              </w:rPr>
              <w:t>达标</w:t>
            </w:r>
          </w:p>
        </w:tc>
      </w:tr>
    </w:tbl>
    <w:p>
      <w:pPr>
        <w:spacing w:line="360" w:lineRule="auto"/>
        <w:ind w:firstLine="480" w:firstLineChars="200"/>
        <w:rPr>
          <w:rFonts w:ascii="Times New Roman" w:hAnsi="Times New Roman" w:cs="Times New Roman"/>
        </w:rPr>
        <w:sectPr>
          <w:pgSz w:w="16840" w:h="11907" w:orient="landscape"/>
          <w:pgMar w:top="1797" w:right="1440" w:bottom="1797" w:left="1440" w:header="964" w:footer="851" w:gutter="0"/>
          <w:cols w:space="720" w:num="1"/>
          <w:docGrid w:linePitch="297" w:charSpace="200"/>
        </w:sectPr>
      </w:pPr>
    </w:p>
    <w:p>
      <w:pPr>
        <w:spacing w:line="360" w:lineRule="auto"/>
        <w:ind w:firstLine="482" w:firstLineChars="200"/>
        <w:rPr>
          <w:rFonts w:ascii="Times New Roman" w:hAnsi="Times New Roman" w:cs="Times New Roman"/>
          <w:b/>
        </w:rPr>
      </w:pPr>
      <w:r>
        <w:rPr>
          <w:rFonts w:ascii="Times New Roman" w:hAnsi="Times New Roman" w:cs="Times New Roman"/>
          <w:b/>
        </w:rPr>
        <w:t>（3）浸出车间废气</w:t>
      </w:r>
    </w:p>
    <w:p>
      <w:pPr>
        <w:spacing w:line="360" w:lineRule="auto"/>
        <w:ind w:firstLine="480" w:firstLineChars="200"/>
        <w:rPr>
          <w:rFonts w:ascii="Times New Roman" w:hAnsi="Times New Roman" w:cs="Times New Roman"/>
        </w:rPr>
      </w:pPr>
      <w:r>
        <w:rPr>
          <w:rFonts w:ascii="Times New Roman" w:hAnsi="Times New Roman" w:cs="Times New Roman"/>
        </w:rPr>
        <w:t>1）硫酸雾</w:t>
      </w:r>
    </w:p>
    <w:p>
      <w:pPr>
        <w:spacing w:line="360" w:lineRule="auto"/>
        <w:ind w:firstLine="480" w:firstLineChars="200"/>
        <w:rPr>
          <w:rFonts w:ascii="Times New Roman" w:hAnsi="Times New Roman" w:cs="Times New Roman"/>
        </w:rPr>
      </w:pPr>
      <w:r>
        <w:rPr>
          <w:rFonts w:ascii="Times New Roman" w:hAnsi="Times New Roman" w:cs="Times New Roman"/>
        </w:rPr>
        <w:t>本项目三元锂电池黑粉、磷酸铁锂电池黑粉均采用硫酸浸出。浸出过程中会产生硫酸雾。</w:t>
      </w:r>
    </w:p>
    <w:p>
      <w:pPr>
        <w:spacing w:line="360" w:lineRule="auto"/>
        <w:ind w:firstLine="480" w:firstLineChars="200"/>
        <w:rPr>
          <w:rFonts w:ascii="Times New Roman" w:hAnsi="Times New Roman" w:cs="Times New Roman"/>
        </w:rPr>
      </w:pPr>
      <w:r>
        <w:rPr>
          <w:rFonts w:ascii="Times New Roman" w:hAnsi="Times New Roman" w:cs="Times New Roman"/>
        </w:rPr>
        <w:t>项目硫酸雾的挥发量根据《环境统计手册》中液体（除水以外）蒸发量的计算公式：</w:t>
      </w:r>
    </w:p>
    <w:p>
      <w:pPr>
        <w:spacing w:line="360" w:lineRule="auto"/>
        <w:ind w:firstLine="480" w:firstLineChars="200"/>
        <w:rPr>
          <w:rFonts w:ascii="Times New Roman" w:hAnsi="Times New Roman" w:cs="Times New Roman"/>
        </w:rPr>
      </w:pPr>
      <w:r>
        <w:rPr>
          <w:rFonts w:ascii="Times New Roman" w:hAnsi="Times New Roman" w:cs="Times New Roman"/>
        </w:rPr>
        <w:t>Gz=M*（0.000352+0.000786V）P•F</w:t>
      </w:r>
    </w:p>
    <w:p>
      <w:pPr>
        <w:spacing w:line="360" w:lineRule="auto"/>
        <w:ind w:firstLine="480" w:firstLineChars="200"/>
        <w:rPr>
          <w:rFonts w:ascii="Times New Roman" w:hAnsi="Times New Roman" w:cs="Times New Roman"/>
        </w:rPr>
      </w:pPr>
      <w:r>
        <w:rPr>
          <w:rFonts w:ascii="Times New Roman" w:hAnsi="Times New Roman" w:cs="Times New Roman"/>
        </w:rPr>
        <w:t>式中：Gz——液体的蒸发量（公斤/时）；</w:t>
      </w:r>
    </w:p>
    <w:p>
      <w:pPr>
        <w:spacing w:line="360" w:lineRule="auto"/>
        <w:ind w:firstLine="480" w:firstLineChars="200"/>
        <w:rPr>
          <w:rFonts w:ascii="Times New Roman" w:hAnsi="Times New Roman" w:cs="Times New Roman"/>
        </w:rPr>
      </w:pPr>
      <w:r>
        <w:rPr>
          <w:rFonts w:ascii="Times New Roman" w:hAnsi="Times New Roman" w:cs="Times New Roman"/>
        </w:rPr>
        <w:t>M——液体的分子量；</w:t>
      </w:r>
    </w:p>
    <w:p>
      <w:pPr>
        <w:spacing w:line="360" w:lineRule="auto"/>
        <w:ind w:firstLine="480" w:firstLineChars="200"/>
        <w:rPr>
          <w:rFonts w:ascii="Times New Roman" w:hAnsi="Times New Roman" w:cs="Times New Roman"/>
        </w:rPr>
      </w:pPr>
      <w:r>
        <w:rPr>
          <w:rFonts w:ascii="Times New Roman" w:hAnsi="Times New Roman" w:cs="Times New Roman"/>
        </w:rPr>
        <w:t>V——蒸发液体表面上的空气流速（米/秒），本项目各浸出槽均位于室内，且各浸出槽均为密闭，因此取0.1m/s；</w:t>
      </w:r>
    </w:p>
    <w:p>
      <w:pPr>
        <w:spacing w:line="360" w:lineRule="auto"/>
        <w:ind w:firstLine="480" w:firstLineChars="200"/>
        <w:rPr>
          <w:rFonts w:ascii="Times New Roman" w:hAnsi="Times New Roman" w:cs="Times New Roman"/>
        </w:rPr>
      </w:pPr>
      <w:r>
        <w:rPr>
          <w:rFonts w:ascii="Times New Roman" w:hAnsi="Times New Roman" w:cs="Times New Roman"/>
        </w:rPr>
        <w:t>P——相应于液体温度下空气中的蒸汽分压力（毫米汞柱）。</w:t>
      </w:r>
    </w:p>
    <w:p>
      <w:pPr>
        <w:spacing w:line="360" w:lineRule="auto"/>
        <w:ind w:firstLine="480" w:firstLineChars="200"/>
        <w:rPr>
          <w:rFonts w:ascii="Times New Roman" w:hAnsi="Times New Roman" w:cs="Times New Roman"/>
        </w:rPr>
      </w:pPr>
      <w:r>
        <w:rPr>
          <w:rFonts w:ascii="Times New Roman" w:hAnsi="Times New Roman" w:cs="Times New Roman"/>
        </w:rPr>
        <w:t>F——液体蒸发面的表面积。</w:t>
      </w:r>
    </w:p>
    <w:p>
      <w:pPr>
        <w:spacing w:line="360" w:lineRule="auto"/>
        <w:ind w:firstLine="480" w:firstLineChars="200"/>
        <w:rPr>
          <w:rFonts w:ascii="Times New Roman" w:hAnsi="Times New Roman" w:cs="Times New Roman"/>
        </w:rPr>
      </w:pPr>
      <w:r>
        <w:rPr>
          <w:rFonts w:ascii="Times New Roman" w:hAnsi="Times New Roman" w:cs="Times New Roman"/>
        </w:rPr>
        <w:t>本项目电池黑粉浸出槽中硫酸的浓度为2mol/L（17.5%），浸出温度为80</w:t>
      </w:r>
      <w:r>
        <w:rPr>
          <w:rFonts w:hint="eastAsia" w:ascii="宋体" w:hAnsi="宋体" w:eastAsia="宋体" w:cs="宋体"/>
        </w:rPr>
        <w:t>℃</w:t>
      </w:r>
      <w:r>
        <w:rPr>
          <w:rFonts w:ascii="Times New Roman" w:hAnsi="Times New Roman" w:cs="Times New Roman"/>
        </w:rPr>
        <w:t>，根据《化学化工物理数据手册 无机卷》，17.5%的硫酸溶液的蒸汽分压为0.6mmHg；60</w:t>
      </w:r>
      <w:r>
        <w:rPr>
          <w:rFonts w:hint="eastAsia" w:ascii="宋体" w:hAnsi="宋体" w:eastAsia="宋体" w:cs="宋体"/>
        </w:rPr>
        <w:t>℃</w:t>
      </w:r>
      <w:r>
        <w:rPr>
          <w:rFonts w:ascii="Times New Roman" w:hAnsi="Times New Roman" w:cs="Times New Roman"/>
        </w:rPr>
        <w:t>。</w:t>
      </w:r>
    </w:p>
    <w:p>
      <w:pPr>
        <w:spacing w:line="360" w:lineRule="auto"/>
        <w:ind w:firstLine="480" w:firstLineChars="200"/>
        <w:rPr>
          <w:rFonts w:ascii="Times New Roman" w:hAnsi="Times New Roman" w:cs="Times New Roman"/>
        </w:rPr>
      </w:pPr>
      <w:r>
        <w:rPr>
          <w:rFonts w:ascii="Times New Roman" w:hAnsi="Times New Roman" w:cs="Times New Roman"/>
        </w:rPr>
        <w:t>项目酸雾主要是浆化酸浸过程产生的硫酸雾。本项目浸出车间用于三元锂电池黑粉的浸出，设有13个φ3.5m×3.2m的酸浸槽，其蒸发面积为125.01m</w:t>
      </w:r>
      <w:r>
        <w:rPr>
          <w:rFonts w:ascii="Times New Roman" w:hAnsi="Times New Roman" w:cs="Times New Roman"/>
          <w:vertAlign w:val="superscript"/>
        </w:rPr>
        <w:t>2</w:t>
      </w:r>
      <w:r>
        <w:rPr>
          <w:rFonts w:ascii="Times New Roman" w:hAnsi="Times New Roman" w:cs="Times New Roman"/>
        </w:rPr>
        <w:t>；2#浸出车间用于磷酸铁锂的浸出，设有20个φ3.5m×3.2m的酸浸槽，其蒸发面积为192.32m</w:t>
      </w:r>
      <w:r>
        <w:rPr>
          <w:rFonts w:ascii="Times New Roman" w:hAnsi="Times New Roman" w:cs="Times New Roman"/>
          <w:vertAlign w:val="superscript"/>
        </w:rPr>
        <w:t>2</w:t>
      </w:r>
      <w:r>
        <w:rPr>
          <w:rFonts w:ascii="Times New Roman" w:hAnsi="Times New Roman" w:cs="Times New Roman"/>
        </w:rPr>
        <w:t>。</w:t>
      </w:r>
    </w:p>
    <w:p>
      <w:pPr>
        <w:spacing w:line="360" w:lineRule="auto"/>
        <w:ind w:firstLine="480" w:firstLineChars="200"/>
        <w:rPr>
          <w:rFonts w:ascii="Times New Roman" w:hAnsi="Times New Roman" w:cs="Times New Roman"/>
        </w:rPr>
      </w:pPr>
      <w:r>
        <w:rPr>
          <w:rFonts w:ascii="Times New Roman" w:hAnsi="Times New Roman" w:cs="Times New Roman"/>
        </w:rPr>
        <w:t>项目酸雾总的产生量如下表所示。</w:t>
      </w:r>
    </w:p>
    <w:p>
      <w:pPr>
        <w:pStyle w:val="6"/>
        <w:rPr>
          <w:rFonts w:ascii="Times New Roman" w:hAnsi="Times New Roman" w:cs="Times New Roman"/>
        </w:rPr>
      </w:pPr>
      <w:r>
        <w:rPr>
          <w:rFonts w:ascii="Times New Roman" w:hAnsi="Times New Roman" w:cs="Times New Roman"/>
        </w:rPr>
        <w:t>表3.2-</w:t>
      </w:r>
      <w:r>
        <w:rPr>
          <w:rFonts w:hint="eastAsia" w:ascii="Times New Roman" w:hAnsi="Times New Roman" w:cs="Times New Roman"/>
        </w:rPr>
        <w:t>20</w:t>
      </w:r>
      <w:r>
        <w:rPr>
          <w:rFonts w:ascii="Times New Roman" w:hAnsi="Times New Roman" w:cs="Times New Roman"/>
        </w:rPr>
        <w:t xml:space="preserve">  项目酸雾产生明细表</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1126"/>
        <w:gridCol w:w="1931"/>
        <w:gridCol w:w="644"/>
        <w:gridCol w:w="1020"/>
        <w:gridCol w:w="1286"/>
        <w:gridCol w:w="1281"/>
        <w:gridCol w:w="105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675" w:type="pct"/>
            <w:vAlign w:val="center"/>
          </w:tcPr>
          <w:p>
            <w:pPr>
              <w:pStyle w:val="63"/>
            </w:pPr>
            <w:r>
              <w:t>废气因子</w:t>
            </w:r>
          </w:p>
        </w:tc>
        <w:tc>
          <w:tcPr>
            <w:tcW w:w="1157" w:type="pct"/>
            <w:vAlign w:val="center"/>
          </w:tcPr>
          <w:p>
            <w:pPr>
              <w:pStyle w:val="63"/>
            </w:pPr>
            <w:r>
              <w:t>产生工序</w:t>
            </w:r>
          </w:p>
        </w:tc>
        <w:tc>
          <w:tcPr>
            <w:tcW w:w="386" w:type="pct"/>
            <w:vAlign w:val="center"/>
          </w:tcPr>
          <w:p>
            <w:pPr>
              <w:pStyle w:val="63"/>
            </w:pPr>
            <w:r>
              <w:t>M</w:t>
            </w:r>
          </w:p>
        </w:tc>
        <w:tc>
          <w:tcPr>
            <w:tcW w:w="611" w:type="pct"/>
            <w:vAlign w:val="center"/>
          </w:tcPr>
          <w:p>
            <w:pPr>
              <w:pStyle w:val="63"/>
            </w:pPr>
            <w:r>
              <w:t>P（mmHg）</w:t>
            </w:r>
          </w:p>
        </w:tc>
        <w:tc>
          <w:tcPr>
            <w:tcW w:w="771" w:type="pct"/>
            <w:vAlign w:val="center"/>
          </w:tcPr>
          <w:p>
            <w:pPr>
              <w:pStyle w:val="63"/>
            </w:pPr>
            <w:r>
              <w:t>F（m</w:t>
            </w:r>
            <w:r>
              <w:rPr>
                <w:vertAlign w:val="superscript"/>
              </w:rPr>
              <w:t>2</w:t>
            </w:r>
            <w:r>
              <w:t>）</w:t>
            </w:r>
          </w:p>
        </w:tc>
        <w:tc>
          <w:tcPr>
            <w:tcW w:w="768" w:type="pct"/>
            <w:vAlign w:val="center"/>
          </w:tcPr>
          <w:p>
            <w:pPr>
              <w:pStyle w:val="63"/>
            </w:pPr>
            <w:r>
              <w:t>Gz（kg/h）</w:t>
            </w:r>
          </w:p>
        </w:tc>
        <w:tc>
          <w:tcPr>
            <w:tcW w:w="632" w:type="pct"/>
            <w:vAlign w:val="center"/>
          </w:tcPr>
          <w:p>
            <w:pPr>
              <w:pStyle w:val="63"/>
            </w:pPr>
            <w:r>
              <w:t>Gz（t/a）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675" w:type="pct"/>
            <w:vMerge w:val="restart"/>
            <w:vAlign w:val="center"/>
          </w:tcPr>
          <w:p>
            <w:pPr>
              <w:pStyle w:val="63"/>
            </w:pPr>
            <w:r>
              <w:t>硫酸雾</w:t>
            </w:r>
          </w:p>
        </w:tc>
        <w:tc>
          <w:tcPr>
            <w:tcW w:w="1157" w:type="pct"/>
            <w:vAlign w:val="center"/>
          </w:tcPr>
          <w:p>
            <w:pPr>
              <w:pStyle w:val="63"/>
            </w:pPr>
            <w:r>
              <w:t>磷酸铁锂电池回收浆化/酸浸</w:t>
            </w:r>
          </w:p>
        </w:tc>
        <w:tc>
          <w:tcPr>
            <w:tcW w:w="386" w:type="pct"/>
            <w:vAlign w:val="center"/>
          </w:tcPr>
          <w:p>
            <w:pPr>
              <w:pStyle w:val="63"/>
            </w:pPr>
            <w:r>
              <w:t>98</w:t>
            </w:r>
          </w:p>
        </w:tc>
        <w:tc>
          <w:tcPr>
            <w:tcW w:w="611" w:type="pct"/>
            <w:vAlign w:val="center"/>
          </w:tcPr>
          <w:p>
            <w:pPr>
              <w:pStyle w:val="63"/>
            </w:pPr>
            <w:r>
              <w:t>0.6</w:t>
            </w:r>
          </w:p>
        </w:tc>
        <w:tc>
          <w:tcPr>
            <w:tcW w:w="771" w:type="pct"/>
            <w:vAlign w:val="center"/>
          </w:tcPr>
          <w:p>
            <w:pPr>
              <w:pStyle w:val="63"/>
            </w:pPr>
            <w:r>
              <w:t>192.32</w:t>
            </w:r>
          </w:p>
        </w:tc>
        <w:tc>
          <w:tcPr>
            <w:tcW w:w="768" w:type="pct"/>
            <w:vAlign w:val="center"/>
          </w:tcPr>
          <w:p>
            <w:pPr>
              <w:pStyle w:val="63"/>
            </w:pPr>
            <w:r>
              <w:t>4.87</w:t>
            </w:r>
          </w:p>
        </w:tc>
        <w:tc>
          <w:tcPr>
            <w:tcW w:w="632" w:type="pct"/>
            <w:vAlign w:val="center"/>
          </w:tcPr>
          <w:p>
            <w:pPr>
              <w:pStyle w:val="63"/>
            </w:pPr>
            <w:r>
              <w:t>38.57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675" w:type="pct"/>
            <w:vMerge w:val="continue"/>
            <w:vAlign w:val="center"/>
          </w:tcPr>
          <w:p>
            <w:pPr>
              <w:pStyle w:val="63"/>
            </w:pPr>
          </w:p>
        </w:tc>
        <w:tc>
          <w:tcPr>
            <w:tcW w:w="1157" w:type="pct"/>
            <w:vAlign w:val="center"/>
          </w:tcPr>
          <w:p>
            <w:pPr>
              <w:pStyle w:val="63"/>
            </w:pPr>
            <w:r>
              <w:t>三元电池回收浆化/酸浸</w:t>
            </w:r>
          </w:p>
        </w:tc>
        <w:tc>
          <w:tcPr>
            <w:tcW w:w="386" w:type="pct"/>
            <w:vAlign w:val="center"/>
          </w:tcPr>
          <w:p>
            <w:pPr>
              <w:pStyle w:val="63"/>
            </w:pPr>
            <w:r>
              <w:t>98</w:t>
            </w:r>
          </w:p>
        </w:tc>
        <w:tc>
          <w:tcPr>
            <w:tcW w:w="611" w:type="pct"/>
            <w:vAlign w:val="center"/>
          </w:tcPr>
          <w:p>
            <w:pPr>
              <w:pStyle w:val="63"/>
            </w:pPr>
            <w:r>
              <w:t>0.6</w:t>
            </w:r>
          </w:p>
        </w:tc>
        <w:tc>
          <w:tcPr>
            <w:tcW w:w="771" w:type="pct"/>
            <w:vAlign w:val="center"/>
          </w:tcPr>
          <w:p>
            <w:pPr>
              <w:pStyle w:val="63"/>
            </w:pPr>
            <w:r>
              <w:t>125.01</w:t>
            </w:r>
          </w:p>
        </w:tc>
        <w:tc>
          <w:tcPr>
            <w:tcW w:w="768" w:type="pct"/>
            <w:vAlign w:val="center"/>
          </w:tcPr>
          <w:p>
            <w:pPr>
              <w:pStyle w:val="63"/>
            </w:pPr>
            <w:r>
              <w:t>3.16</w:t>
            </w:r>
          </w:p>
        </w:tc>
        <w:tc>
          <w:tcPr>
            <w:tcW w:w="632" w:type="pct"/>
            <w:vAlign w:val="center"/>
          </w:tcPr>
          <w:p>
            <w:pPr>
              <w:pStyle w:val="63"/>
            </w:pPr>
            <w:r>
              <w:t>25.03</w:t>
            </w:r>
          </w:p>
        </w:tc>
      </w:tr>
    </w:tbl>
    <w:p>
      <w:pPr>
        <w:spacing w:line="360" w:lineRule="auto"/>
        <w:ind w:firstLine="480" w:firstLineChars="200"/>
        <w:rPr>
          <w:rFonts w:ascii="Times New Roman" w:hAnsi="Times New Roman" w:cs="Times New Roman"/>
        </w:rPr>
      </w:pPr>
      <w:r>
        <w:rPr>
          <w:rFonts w:ascii="Times New Roman" w:hAnsi="Times New Roman" w:cs="Times New Roman"/>
        </w:rPr>
        <w:t>本项目各反应槽、中转槽均为密闭设备，液态浆料通过管道输送、反应槽上方设排气口连接废气管道。工艺过程各浸出槽挥发的酸雾采用抽风机负压抽风，由于酸溶槽封闭性较好，因此所有废气均可被集气装置有效捕集，没有无组织废气产生。工艺过程中挥发的酸雾通过废气口排放，经集气管道统一收集后进入“碱喷淋酸雾吸收塔”处理后通过20m高排气筒排放。项目在浸出槽上方进行封闭，保留一个出风口，采用抽风机负压抽风，由于酸浸槽封闭性较好，因此所有废气均可被集气装置有效捕集，没有无组织废气产生。1#三元锂电池黑粉集气装置风机风量为10000m</w:t>
      </w:r>
      <w:r>
        <w:rPr>
          <w:rFonts w:ascii="Times New Roman" w:hAnsi="Times New Roman" w:cs="Times New Roman"/>
          <w:vertAlign w:val="superscript"/>
        </w:rPr>
        <w:t>3</w:t>
      </w:r>
      <w:r>
        <w:rPr>
          <w:rFonts w:ascii="Times New Roman" w:hAnsi="Times New Roman" w:cs="Times New Roman"/>
        </w:rPr>
        <w:t>/h，2#磷酸铁锂电池黑粉集气罩风机风量为10000m</w:t>
      </w:r>
      <w:r>
        <w:rPr>
          <w:rFonts w:ascii="Times New Roman" w:hAnsi="Times New Roman" w:cs="Times New Roman"/>
          <w:vertAlign w:val="superscript"/>
        </w:rPr>
        <w:t>3</w:t>
      </w:r>
      <w:r>
        <w:rPr>
          <w:rFonts w:ascii="Times New Roman" w:hAnsi="Times New Roman" w:cs="Times New Roman"/>
        </w:rPr>
        <w:t>/h。</w:t>
      </w:r>
    </w:p>
    <w:p>
      <w:pPr>
        <w:pStyle w:val="6"/>
        <w:rPr>
          <w:rFonts w:ascii="Times New Roman" w:hAnsi="Times New Roman" w:cs="Times New Roman"/>
        </w:rPr>
      </w:pPr>
      <w:r>
        <w:rPr>
          <w:rFonts w:ascii="Times New Roman" w:hAnsi="Times New Roman" w:cs="Times New Roman"/>
        </w:rPr>
        <w:t>表3.2-</w:t>
      </w:r>
      <w:r>
        <w:rPr>
          <w:rFonts w:hint="eastAsia" w:ascii="Times New Roman" w:hAnsi="Times New Roman" w:cs="Times New Roman"/>
        </w:rPr>
        <w:t>21</w:t>
      </w:r>
      <w:r>
        <w:rPr>
          <w:rFonts w:ascii="Times New Roman" w:hAnsi="Times New Roman" w:cs="Times New Roman"/>
        </w:rPr>
        <w:t xml:space="preserve">  浸出车间废气产生与排放情况一览表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74"/>
        <w:gridCol w:w="554"/>
        <w:gridCol w:w="554"/>
        <w:gridCol w:w="802"/>
        <w:gridCol w:w="646"/>
        <w:gridCol w:w="689"/>
        <w:gridCol w:w="617"/>
        <w:gridCol w:w="601"/>
        <w:gridCol w:w="812"/>
        <w:gridCol w:w="689"/>
        <w:gridCol w:w="689"/>
        <w:gridCol w:w="812"/>
        <w:gridCol w:w="5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 w:type="pct"/>
            <w:vMerge w:val="restart"/>
            <w:vAlign w:val="center"/>
          </w:tcPr>
          <w:p>
            <w:pPr>
              <w:pStyle w:val="63"/>
            </w:pPr>
            <w:r>
              <w:t>排放形式</w:t>
            </w:r>
          </w:p>
        </w:tc>
        <w:tc>
          <w:tcPr>
            <w:tcW w:w="325" w:type="pct"/>
            <w:vMerge w:val="restart"/>
            <w:vAlign w:val="center"/>
          </w:tcPr>
          <w:p>
            <w:pPr>
              <w:pStyle w:val="63"/>
            </w:pPr>
            <w:r>
              <w:t>产生环节</w:t>
            </w:r>
          </w:p>
        </w:tc>
        <w:tc>
          <w:tcPr>
            <w:tcW w:w="325" w:type="pct"/>
            <w:vMerge w:val="restart"/>
            <w:vAlign w:val="center"/>
          </w:tcPr>
          <w:p>
            <w:pPr>
              <w:pStyle w:val="63"/>
            </w:pPr>
            <w:r>
              <w:t>污染物</w:t>
            </w:r>
          </w:p>
        </w:tc>
        <w:tc>
          <w:tcPr>
            <w:tcW w:w="1253" w:type="pct"/>
            <w:gridSpan w:val="3"/>
            <w:vAlign w:val="center"/>
          </w:tcPr>
          <w:p>
            <w:pPr>
              <w:pStyle w:val="63"/>
            </w:pPr>
            <w:r>
              <w:t>产生情况</w:t>
            </w:r>
          </w:p>
        </w:tc>
        <w:tc>
          <w:tcPr>
            <w:tcW w:w="362" w:type="pct"/>
            <w:vMerge w:val="restart"/>
            <w:vAlign w:val="center"/>
          </w:tcPr>
          <w:p>
            <w:pPr>
              <w:pStyle w:val="63"/>
            </w:pPr>
            <w:r>
              <w:t>治理措施</w:t>
            </w:r>
          </w:p>
        </w:tc>
        <w:tc>
          <w:tcPr>
            <w:tcW w:w="352" w:type="pct"/>
            <w:vMerge w:val="restart"/>
            <w:vAlign w:val="center"/>
          </w:tcPr>
          <w:p>
            <w:pPr>
              <w:pStyle w:val="63"/>
            </w:pPr>
            <w:r>
              <w:t>去除效率</w:t>
            </w:r>
          </w:p>
        </w:tc>
        <w:tc>
          <w:tcPr>
            <w:tcW w:w="1284" w:type="pct"/>
            <w:gridSpan w:val="3"/>
            <w:vAlign w:val="center"/>
          </w:tcPr>
          <w:p>
            <w:pPr>
              <w:pStyle w:val="63"/>
            </w:pPr>
            <w:r>
              <w:t>排放</w:t>
            </w:r>
          </w:p>
        </w:tc>
        <w:tc>
          <w:tcPr>
            <w:tcW w:w="822" w:type="pct"/>
            <w:gridSpan w:val="2"/>
            <w:vAlign w:val="center"/>
          </w:tcPr>
          <w:p>
            <w:pPr>
              <w:pStyle w:val="63"/>
            </w:pPr>
            <w:r>
              <w:t>大气污染物综合排放标准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 w:type="pct"/>
            <w:vMerge w:val="continue"/>
            <w:vAlign w:val="center"/>
          </w:tcPr>
          <w:p>
            <w:pPr>
              <w:pStyle w:val="63"/>
            </w:pPr>
          </w:p>
        </w:tc>
        <w:tc>
          <w:tcPr>
            <w:tcW w:w="325" w:type="pct"/>
            <w:vMerge w:val="continue"/>
            <w:vAlign w:val="center"/>
          </w:tcPr>
          <w:p>
            <w:pPr>
              <w:pStyle w:val="63"/>
            </w:pPr>
          </w:p>
        </w:tc>
        <w:tc>
          <w:tcPr>
            <w:tcW w:w="325" w:type="pct"/>
            <w:vMerge w:val="continue"/>
            <w:vAlign w:val="center"/>
          </w:tcPr>
          <w:p>
            <w:pPr>
              <w:pStyle w:val="63"/>
            </w:pPr>
          </w:p>
        </w:tc>
        <w:tc>
          <w:tcPr>
            <w:tcW w:w="470" w:type="pct"/>
            <w:vAlign w:val="center"/>
          </w:tcPr>
          <w:p>
            <w:pPr>
              <w:pStyle w:val="63"/>
            </w:pPr>
            <w:r>
              <w:t>浓度mg/m</w:t>
            </w:r>
            <w:r>
              <w:rPr>
                <w:vertAlign w:val="superscript"/>
              </w:rPr>
              <w:t>3</w:t>
            </w:r>
          </w:p>
        </w:tc>
        <w:tc>
          <w:tcPr>
            <w:tcW w:w="379" w:type="pct"/>
            <w:vAlign w:val="center"/>
          </w:tcPr>
          <w:p>
            <w:pPr>
              <w:pStyle w:val="63"/>
            </w:pPr>
            <w:r>
              <w:t>速率kg/h</w:t>
            </w:r>
          </w:p>
        </w:tc>
        <w:tc>
          <w:tcPr>
            <w:tcW w:w="404" w:type="pct"/>
            <w:vAlign w:val="center"/>
          </w:tcPr>
          <w:p>
            <w:pPr>
              <w:pStyle w:val="63"/>
            </w:pPr>
            <w:r>
              <w:t>量t/a</w:t>
            </w:r>
          </w:p>
        </w:tc>
        <w:tc>
          <w:tcPr>
            <w:tcW w:w="362" w:type="pct"/>
            <w:vMerge w:val="continue"/>
            <w:vAlign w:val="center"/>
          </w:tcPr>
          <w:p>
            <w:pPr>
              <w:pStyle w:val="63"/>
            </w:pPr>
          </w:p>
        </w:tc>
        <w:tc>
          <w:tcPr>
            <w:tcW w:w="352" w:type="pct"/>
            <w:vMerge w:val="continue"/>
            <w:vAlign w:val="center"/>
          </w:tcPr>
          <w:p>
            <w:pPr>
              <w:pStyle w:val="63"/>
            </w:pPr>
          </w:p>
        </w:tc>
        <w:tc>
          <w:tcPr>
            <w:tcW w:w="476" w:type="pct"/>
            <w:vAlign w:val="center"/>
          </w:tcPr>
          <w:p>
            <w:pPr>
              <w:pStyle w:val="63"/>
            </w:pPr>
            <w:r>
              <w:t>浓度mg/m</w:t>
            </w:r>
            <w:r>
              <w:rPr>
                <w:vertAlign w:val="superscript"/>
              </w:rPr>
              <w:t>3</w:t>
            </w:r>
          </w:p>
        </w:tc>
        <w:tc>
          <w:tcPr>
            <w:tcW w:w="404" w:type="pct"/>
            <w:vAlign w:val="center"/>
          </w:tcPr>
          <w:p>
            <w:pPr>
              <w:pStyle w:val="63"/>
            </w:pPr>
            <w:r>
              <w:t>速率kg/h</w:t>
            </w:r>
          </w:p>
        </w:tc>
        <w:tc>
          <w:tcPr>
            <w:tcW w:w="404" w:type="pct"/>
            <w:vAlign w:val="center"/>
          </w:tcPr>
          <w:p>
            <w:pPr>
              <w:pStyle w:val="63"/>
            </w:pPr>
            <w:r>
              <w:t>量t/a</w:t>
            </w:r>
          </w:p>
        </w:tc>
        <w:tc>
          <w:tcPr>
            <w:tcW w:w="476" w:type="pct"/>
            <w:vAlign w:val="center"/>
          </w:tcPr>
          <w:p>
            <w:pPr>
              <w:pStyle w:val="63"/>
            </w:pPr>
            <w:r>
              <w:t>浓度mg/m</w:t>
            </w:r>
            <w:r>
              <w:rPr>
                <w:vertAlign w:val="superscript"/>
              </w:rPr>
              <w:t>3</w:t>
            </w:r>
          </w:p>
        </w:tc>
        <w:tc>
          <w:tcPr>
            <w:tcW w:w="346" w:type="pct"/>
            <w:vAlign w:val="center"/>
          </w:tcPr>
          <w:p>
            <w:pPr>
              <w:pStyle w:val="63"/>
            </w:pPr>
            <w:r>
              <w:t>速率kg/h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 w:type="pct"/>
            <w:vAlign w:val="center"/>
          </w:tcPr>
          <w:p>
            <w:pPr>
              <w:pStyle w:val="63"/>
            </w:pPr>
            <w:r>
              <w:t>P2</w:t>
            </w:r>
          </w:p>
        </w:tc>
        <w:tc>
          <w:tcPr>
            <w:tcW w:w="325" w:type="pct"/>
            <w:vAlign w:val="center"/>
          </w:tcPr>
          <w:p>
            <w:pPr>
              <w:pStyle w:val="63"/>
            </w:pPr>
            <w:r>
              <w:t>浸出</w:t>
            </w:r>
          </w:p>
        </w:tc>
        <w:tc>
          <w:tcPr>
            <w:tcW w:w="325" w:type="pct"/>
            <w:vAlign w:val="center"/>
          </w:tcPr>
          <w:p>
            <w:pPr>
              <w:pStyle w:val="63"/>
            </w:pPr>
            <w:r>
              <w:t>硫酸雾</w:t>
            </w:r>
          </w:p>
        </w:tc>
        <w:tc>
          <w:tcPr>
            <w:tcW w:w="470" w:type="pct"/>
            <w:vAlign w:val="center"/>
          </w:tcPr>
          <w:p>
            <w:pPr>
              <w:pStyle w:val="63"/>
            </w:pPr>
            <w:r>
              <w:t>267.67</w:t>
            </w:r>
          </w:p>
        </w:tc>
        <w:tc>
          <w:tcPr>
            <w:tcW w:w="379" w:type="pct"/>
            <w:vAlign w:val="center"/>
          </w:tcPr>
          <w:p>
            <w:pPr>
              <w:pStyle w:val="63"/>
            </w:pPr>
            <w:r>
              <w:t>8.03</w:t>
            </w:r>
          </w:p>
        </w:tc>
        <w:tc>
          <w:tcPr>
            <w:tcW w:w="404" w:type="pct"/>
            <w:vAlign w:val="center"/>
          </w:tcPr>
          <w:p>
            <w:pPr>
              <w:pStyle w:val="63"/>
            </w:pPr>
            <w:r>
              <w:t>63.6</w:t>
            </w:r>
          </w:p>
        </w:tc>
        <w:tc>
          <w:tcPr>
            <w:tcW w:w="362" w:type="pct"/>
            <w:vAlign w:val="center"/>
          </w:tcPr>
          <w:p>
            <w:pPr>
              <w:pStyle w:val="63"/>
            </w:pPr>
            <w:r>
              <w:t>碱喷淋酸雾吸收塔</w:t>
            </w:r>
          </w:p>
        </w:tc>
        <w:tc>
          <w:tcPr>
            <w:tcW w:w="352" w:type="pct"/>
            <w:vAlign w:val="center"/>
          </w:tcPr>
          <w:p>
            <w:pPr>
              <w:pStyle w:val="63"/>
            </w:pPr>
            <w:r>
              <w:t>95%</w:t>
            </w:r>
          </w:p>
        </w:tc>
        <w:tc>
          <w:tcPr>
            <w:tcW w:w="476" w:type="pct"/>
            <w:vAlign w:val="center"/>
          </w:tcPr>
          <w:p>
            <w:pPr>
              <w:pStyle w:val="63"/>
            </w:pPr>
            <w:r>
              <w:t>13.38</w:t>
            </w:r>
          </w:p>
        </w:tc>
        <w:tc>
          <w:tcPr>
            <w:tcW w:w="404" w:type="pct"/>
            <w:vAlign w:val="center"/>
          </w:tcPr>
          <w:p>
            <w:pPr>
              <w:pStyle w:val="63"/>
            </w:pPr>
            <w:r>
              <w:t>0.402</w:t>
            </w:r>
          </w:p>
        </w:tc>
        <w:tc>
          <w:tcPr>
            <w:tcW w:w="404" w:type="pct"/>
            <w:vAlign w:val="center"/>
          </w:tcPr>
          <w:p>
            <w:pPr>
              <w:pStyle w:val="63"/>
            </w:pPr>
            <w:r>
              <w:t>3.180</w:t>
            </w:r>
          </w:p>
        </w:tc>
        <w:tc>
          <w:tcPr>
            <w:tcW w:w="476" w:type="pct"/>
            <w:vAlign w:val="center"/>
          </w:tcPr>
          <w:p>
            <w:pPr>
              <w:pStyle w:val="63"/>
            </w:pPr>
            <w:r>
              <w:t>45</w:t>
            </w:r>
          </w:p>
        </w:tc>
        <w:tc>
          <w:tcPr>
            <w:tcW w:w="346" w:type="pct"/>
            <w:vAlign w:val="center"/>
          </w:tcPr>
          <w:p>
            <w:pPr>
              <w:pStyle w:val="63"/>
            </w:pPr>
            <w:r>
              <w:t>1.5</w:t>
            </w:r>
          </w:p>
        </w:tc>
      </w:tr>
    </w:tbl>
    <w:p>
      <w:pPr>
        <w:spacing w:line="360" w:lineRule="auto"/>
        <w:ind w:firstLine="482" w:firstLineChars="200"/>
        <w:rPr>
          <w:rFonts w:ascii="Times New Roman" w:hAnsi="Times New Roman" w:cs="Times New Roman"/>
          <w:b/>
        </w:rPr>
      </w:pPr>
      <w:r>
        <w:rPr>
          <w:rFonts w:ascii="Times New Roman" w:hAnsi="Times New Roman" w:cs="Times New Roman"/>
          <w:b/>
        </w:rPr>
        <w:t>（4）萃取车间废气</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fldChar w:fldCharType="begin"/>
      </w:r>
      <w:r>
        <w:rPr>
          <w:rFonts w:ascii="Times New Roman" w:hAnsi="Times New Roman" w:cs="Times New Roman"/>
          <w:u w:val="single"/>
        </w:rPr>
        <w:instrText xml:space="preserve"> = 1 \* GB3 </w:instrText>
      </w:r>
      <w:r>
        <w:rPr>
          <w:rFonts w:ascii="Times New Roman" w:hAnsi="Times New Roman" w:cs="Times New Roman"/>
          <w:u w:val="single"/>
        </w:rPr>
        <w:fldChar w:fldCharType="separate"/>
      </w:r>
      <w:r>
        <w:rPr>
          <w:rFonts w:hint="eastAsia" w:ascii="宋体" w:hAnsi="宋体" w:eastAsia="宋体" w:cs="宋体"/>
          <w:u w:val="single"/>
        </w:rPr>
        <w:t>①</w:t>
      </w:r>
      <w:r>
        <w:rPr>
          <w:rFonts w:ascii="Times New Roman" w:hAnsi="Times New Roman" w:cs="Times New Roman"/>
          <w:u w:val="single"/>
        </w:rPr>
        <w:fldChar w:fldCharType="end"/>
      </w:r>
      <w:r>
        <w:rPr>
          <w:rFonts w:ascii="Times New Roman" w:hAnsi="Times New Roman" w:cs="Times New Roman"/>
          <w:u w:val="single"/>
        </w:rPr>
        <w:t>非甲烷总烃</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项目萃取槽所产生的废气主要是萃取剂+磺化煤油挥发出的有机废气，以非甲烷总烃计，以及在强酸反应下少量挥发的酸雾。萃取设备处于密封运行状态，通过负压收集后经“酸雾吸收塔+过滤棉+活性炭吸附+15m高排气筒”排放。</w:t>
      </w:r>
    </w:p>
    <w:p>
      <w:pPr>
        <w:spacing w:line="360" w:lineRule="auto"/>
        <w:ind w:firstLine="480" w:firstLineChars="200"/>
        <w:rPr>
          <w:rFonts w:ascii="Times New Roman" w:hAnsi="Times New Roman" w:cs="Times New Roman"/>
        </w:rPr>
      </w:pPr>
      <w:r>
        <w:rPr>
          <w:rFonts w:ascii="Times New Roman" w:hAnsi="Times New Roman" w:cs="Times New Roman"/>
        </w:rPr>
        <w:t>本项目萃取剂总用量约为140t。</w:t>
      </w:r>
      <w:r>
        <w:rPr>
          <w:rFonts w:hint="eastAsia" w:ascii="Times New Roman" w:hAnsi="Times New Roman" w:cs="Times New Roman"/>
        </w:rPr>
        <w:t>类比《全南县瑞隆科技有限公司年处理13000吨废锂电池正极片综合利用项目竣工环境保护验收监测报告》，萃取剂用量为16t/a，非甲烷总烃产生速率0.12kg/h，根据萃取剂的比例关系，本项目非甲烷总烃产生速率取1.05kg/h</w:t>
      </w:r>
      <w:r>
        <w:rPr>
          <w:rFonts w:ascii="Times New Roman" w:hAnsi="Times New Roman" w:cs="Times New Roman"/>
        </w:rPr>
        <w:t>。萃取设备处于密封运行状态，经风机收集（风量20000m</w:t>
      </w:r>
      <w:r>
        <w:rPr>
          <w:rFonts w:ascii="Times New Roman" w:hAnsi="Times New Roman" w:cs="Times New Roman"/>
          <w:vertAlign w:val="superscript"/>
        </w:rPr>
        <w:t>3</w:t>
      </w:r>
      <w:r>
        <w:rPr>
          <w:rFonts w:ascii="Times New Roman" w:hAnsi="Times New Roman" w:cs="Times New Roman"/>
        </w:rPr>
        <w:t>/h）后经“碱液喷淋+干式过滤装置+活性炭吸附装置”进行处理，参照《湖南省制造业（工业涂装）非甲烷总烃排放测算计算指南（试行）》表2中常见非甲烷总烃治理设施处理效率，本项目废气装置有机物非甲烷总烃等去除效率为70%以上。</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hint="eastAsia" w:ascii="宋体" w:hAnsi="宋体" w:eastAsia="宋体" w:cs="宋体"/>
        </w:rPr>
        <w:t>②</w:t>
      </w:r>
      <w:r>
        <w:rPr>
          <w:rFonts w:ascii="Times New Roman" w:hAnsi="Times New Roman" w:cs="Times New Roman"/>
        </w:rPr>
        <w:fldChar w:fldCharType="end"/>
      </w:r>
      <w:r>
        <w:rPr>
          <w:rFonts w:ascii="Times New Roman" w:hAnsi="Times New Roman" w:cs="Times New Roman"/>
        </w:rPr>
        <w:t>硫酸雾</w:t>
      </w:r>
    </w:p>
    <w:p>
      <w:pPr>
        <w:spacing w:line="360" w:lineRule="auto"/>
        <w:ind w:firstLine="480" w:firstLineChars="200"/>
        <w:rPr>
          <w:rFonts w:ascii="Times New Roman" w:hAnsi="Times New Roman" w:cs="Times New Roman"/>
        </w:rPr>
      </w:pPr>
      <w:r>
        <w:rPr>
          <w:rFonts w:ascii="Times New Roman" w:hAnsi="Times New Roman" w:cs="Times New Roman"/>
        </w:rPr>
        <w:t>本项目萃取车间需添加硫酸进行反萃。反萃槽会挥发出硫酸雾。</w:t>
      </w:r>
    </w:p>
    <w:p>
      <w:pPr>
        <w:spacing w:line="360" w:lineRule="auto"/>
        <w:ind w:firstLine="480" w:firstLineChars="200"/>
        <w:rPr>
          <w:rFonts w:ascii="Times New Roman" w:hAnsi="Times New Roman" w:cs="Times New Roman"/>
        </w:rPr>
      </w:pPr>
      <w:r>
        <w:rPr>
          <w:rFonts w:ascii="Times New Roman" w:hAnsi="Times New Roman" w:cs="Times New Roman"/>
        </w:rPr>
        <w:t>硫酸雾挥发量通过如下公式进行计算。</w:t>
      </w:r>
    </w:p>
    <w:p>
      <w:pPr>
        <w:spacing w:line="360" w:lineRule="auto"/>
        <w:ind w:firstLine="480" w:firstLineChars="200"/>
        <w:rPr>
          <w:rFonts w:ascii="Times New Roman" w:hAnsi="Times New Roman" w:cs="Times New Roman"/>
        </w:rPr>
      </w:pPr>
      <w:r>
        <w:rPr>
          <w:rFonts w:ascii="Times New Roman" w:hAnsi="Times New Roman" w:cs="Times New Roman"/>
        </w:rPr>
        <w:t>Gz=M*（0.000352+0.000786V）P•F</w:t>
      </w:r>
    </w:p>
    <w:p>
      <w:pPr>
        <w:spacing w:line="360" w:lineRule="auto"/>
        <w:ind w:firstLine="480" w:firstLineChars="200"/>
        <w:rPr>
          <w:rFonts w:ascii="Times New Roman" w:hAnsi="Times New Roman" w:cs="Times New Roman"/>
        </w:rPr>
      </w:pPr>
      <w:r>
        <w:rPr>
          <w:rFonts w:ascii="Times New Roman" w:hAnsi="Times New Roman" w:cs="Times New Roman"/>
        </w:rPr>
        <w:t>式中：Gz——液体的蒸发量（公斤/时）；</w:t>
      </w:r>
    </w:p>
    <w:p>
      <w:pPr>
        <w:spacing w:line="360" w:lineRule="auto"/>
        <w:ind w:firstLine="480" w:firstLineChars="200"/>
        <w:rPr>
          <w:rFonts w:ascii="Times New Roman" w:hAnsi="Times New Roman" w:cs="Times New Roman"/>
        </w:rPr>
      </w:pPr>
      <w:r>
        <w:rPr>
          <w:rFonts w:ascii="Times New Roman" w:hAnsi="Times New Roman" w:cs="Times New Roman"/>
        </w:rPr>
        <w:t>M——液体的分子量；</w:t>
      </w:r>
    </w:p>
    <w:p>
      <w:pPr>
        <w:spacing w:line="360" w:lineRule="auto"/>
        <w:ind w:firstLine="480" w:firstLineChars="200"/>
        <w:rPr>
          <w:rFonts w:ascii="Times New Roman" w:hAnsi="Times New Roman" w:cs="Times New Roman"/>
        </w:rPr>
      </w:pPr>
      <w:r>
        <w:rPr>
          <w:rFonts w:ascii="Times New Roman" w:hAnsi="Times New Roman" w:cs="Times New Roman"/>
        </w:rPr>
        <w:t>V——蒸发液体表面上的空气流速（米/秒），一般0.2~0.5m/s，本项目各浸出槽均为密闭，因此取0.2m/s；</w:t>
      </w:r>
    </w:p>
    <w:p>
      <w:pPr>
        <w:spacing w:line="360" w:lineRule="auto"/>
        <w:ind w:firstLine="480" w:firstLineChars="200"/>
        <w:rPr>
          <w:rFonts w:ascii="Times New Roman" w:hAnsi="Times New Roman" w:cs="Times New Roman"/>
        </w:rPr>
      </w:pPr>
      <w:r>
        <w:rPr>
          <w:rFonts w:ascii="Times New Roman" w:hAnsi="Times New Roman" w:cs="Times New Roman"/>
        </w:rPr>
        <w:t>P——相应于液体温度下空气中的蒸汽分压力（毫米汞柱）。</w:t>
      </w:r>
    </w:p>
    <w:p>
      <w:pPr>
        <w:spacing w:line="360" w:lineRule="auto"/>
        <w:ind w:firstLine="480" w:firstLineChars="200"/>
        <w:rPr>
          <w:rFonts w:ascii="Times New Roman" w:hAnsi="Times New Roman" w:cs="Times New Roman"/>
        </w:rPr>
      </w:pPr>
      <w:r>
        <w:rPr>
          <w:rFonts w:ascii="Times New Roman" w:hAnsi="Times New Roman" w:cs="Times New Roman"/>
        </w:rPr>
        <w:t>本项目反萃槽中硫酸的浓度为2mol/L（17.5%），反萃温度为40</w:t>
      </w:r>
      <w:r>
        <w:rPr>
          <w:rFonts w:hint="eastAsia" w:ascii="宋体" w:hAnsi="宋体" w:eastAsia="宋体" w:cs="宋体"/>
        </w:rPr>
        <w:t>℃</w:t>
      </w:r>
      <w:r>
        <w:rPr>
          <w:rFonts w:ascii="Times New Roman" w:hAnsi="Times New Roman" w:cs="Times New Roman"/>
        </w:rPr>
        <w:t>；根据《化学化工物理数据手册  无机卷》，17.5%的硫酸溶液的蒸汽分压为0.2mmHg；40</w:t>
      </w:r>
      <w:r>
        <w:rPr>
          <w:rFonts w:hint="eastAsia" w:ascii="宋体" w:hAnsi="宋体" w:eastAsia="宋体" w:cs="宋体"/>
        </w:rPr>
        <w:t>℃</w:t>
      </w:r>
      <w:r>
        <w:rPr>
          <w:rFonts w:ascii="Times New Roman" w:hAnsi="Times New Roman" w:cs="Times New Roman"/>
        </w:rPr>
        <w:t>。</w:t>
      </w:r>
    </w:p>
    <w:p>
      <w:pPr>
        <w:spacing w:line="360" w:lineRule="auto"/>
        <w:ind w:firstLine="480" w:firstLineChars="200"/>
        <w:rPr>
          <w:rFonts w:ascii="Times New Roman" w:hAnsi="Times New Roman" w:cs="Times New Roman"/>
        </w:rPr>
      </w:pPr>
      <w:r>
        <w:rPr>
          <w:rFonts w:ascii="Times New Roman" w:hAnsi="Times New Roman" w:cs="Times New Roman"/>
        </w:rPr>
        <w:t>F——液体蒸发面的表面积。本项目萃取车间蒸发面积取96m</w:t>
      </w:r>
      <w:r>
        <w:rPr>
          <w:rFonts w:ascii="Times New Roman" w:hAnsi="Times New Roman" w:cs="Times New Roman"/>
          <w:vertAlign w:val="superscript"/>
        </w:rPr>
        <w:t>2</w:t>
      </w:r>
      <w:r>
        <w:rPr>
          <w:rFonts w:ascii="Times New Roman" w:hAnsi="Times New Roman" w:cs="Times New Roman"/>
        </w:rPr>
        <w:t>。</w:t>
      </w:r>
    </w:p>
    <w:p>
      <w:pPr>
        <w:spacing w:line="360" w:lineRule="auto"/>
        <w:ind w:firstLine="480" w:firstLineChars="200"/>
        <w:rPr>
          <w:rFonts w:ascii="Times New Roman" w:hAnsi="Times New Roman" w:cs="Times New Roman"/>
        </w:rPr>
      </w:pPr>
      <w:r>
        <w:rPr>
          <w:rFonts w:ascii="Times New Roman" w:hAnsi="Times New Roman" w:cs="Times New Roman"/>
        </w:rPr>
        <w:t>因此，项目萃取车间挥发的硫酸雾为0.958kg/h，6.899t/a。萃取设备处于密封运行状态，经风机收集（风量20000m</w:t>
      </w:r>
      <w:r>
        <w:rPr>
          <w:rFonts w:ascii="Times New Roman" w:hAnsi="Times New Roman" w:cs="Times New Roman"/>
          <w:vertAlign w:val="superscript"/>
        </w:rPr>
        <w:t>3</w:t>
      </w:r>
      <w:r>
        <w:rPr>
          <w:rFonts w:ascii="Times New Roman" w:hAnsi="Times New Roman" w:cs="Times New Roman"/>
        </w:rPr>
        <w:t>/h）后经“碱液喷淋+干式过滤装置+活性炭吸附装置”进行处理。</w:t>
      </w:r>
    </w:p>
    <w:p>
      <w:pPr>
        <w:pStyle w:val="6"/>
        <w:rPr>
          <w:rFonts w:ascii="Times New Roman" w:hAnsi="Times New Roman" w:cs="Times New Roman"/>
        </w:rPr>
      </w:pPr>
      <w:r>
        <w:rPr>
          <w:rFonts w:ascii="Times New Roman" w:hAnsi="Times New Roman" w:cs="Times New Roman"/>
        </w:rPr>
        <w:t>表3.2-</w:t>
      </w:r>
      <w:r>
        <w:rPr>
          <w:rFonts w:hint="eastAsia" w:ascii="Times New Roman" w:hAnsi="Times New Roman" w:cs="Times New Roman"/>
        </w:rPr>
        <w:t>22</w:t>
      </w:r>
      <w:r>
        <w:rPr>
          <w:rFonts w:ascii="Times New Roman" w:hAnsi="Times New Roman" w:cs="Times New Roman"/>
        </w:rPr>
        <w:t xml:space="preserve">  萃取车间各污染物产生与排放情况一览表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27"/>
        <w:gridCol w:w="426"/>
        <w:gridCol w:w="503"/>
        <w:gridCol w:w="775"/>
        <w:gridCol w:w="689"/>
        <w:gridCol w:w="689"/>
        <w:gridCol w:w="697"/>
        <w:gridCol w:w="601"/>
        <w:gridCol w:w="775"/>
        <w:gridCol w:w="689"/>
        <w:gridCol w:w="794"/>
        <w:gridCol w:w="775"/>
        <w:gridCol w:w="5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Merge w:val="restart"/>
            <w:vAlign w:val="center"/>
          </w:tcPr>
          <w:p>
            <w:pPr>
              <w:pStyle w:val="63"/>
            </w:pPr>
            <w:r>
              <w:t>排放形式</w:t>
            </w:r>
          </w:p>
        </w:tc>
        <w:tc>
          <w:tcPr>
            <w:tcW w:w="271" w:type="pct"/>
            <w:vMerge w:val="restart"/>
            <w:vAlign w:val="center"/>
          </w:tcPr>
          <w:p>
            <w:pPr>
              <w:pStyle w:val="63"/>
            </w:pPr>
            <w:r>
              <w:t>产生环节</w:t>
            </w:r>
          </w:p>
        </w:tc>
        <w:tc>
          <w:tcPr>
            <w:tcW w:w="383" w:type="pct"/>
            <w:vMerge w:val="restart"/>
            <w:vAlign w:val="center"/>
          </w:tcPr>
          <w:p>
            <w:pPr>
              <w:pStyle w:val="63"/>
            </w:pPr>
            <w:r>
              <w:t>污染物</w:t>
            </w:r>
          </w:p>
        </w:tc>
        <w:tc>
          <w:tcPr>
            <w:tcW w:w="1168" w:type="pct"/>
            <w:gridSpan w:val="3"/>
            <w:vAlign w:val="center"/>
          </w:tcPr>
          <w:p>
            <w:pPr>
              <w:pStyle w:val="63"/>
            </w:pPr>
            <w:r>
              <w:t>产生情况</w:t>
            </w:r>
          </w:p>
        </w:tc>
        <w:tc>
          <w:tcPr>
            <w:tcW w:w="475" w:type="pct"/>
            <w:vMerge w:val="restart"/>
            <w:vAlign w:val="center"/>
          </w:tcPr>
          <w:p>
            <w:pPr>
              <w:pStyle w:val="63"/>
            </w:pPr>
            <w:r>
              <w:t>治理措施</w:t>
            </w:r>
          </w:p>
        </w:tc>
        <w:tc>
          <w:tcPr>
            <w:tcW w:w="327" w:type="pct"/>
            <w:vMerge w:val="restart"/>
            <w:vAlign w:val="center"/>
          </w:tcPr>
          <w:p>
            <w:pPr>
              <w:pStyle w:val="63"/>
            </w:pPr>
            <w:r>
              <w:t>去除效率</w:t>
            </w:r>
          </w:p>
        </w:tc>
        <w:tc>
          <w:tcPr>
            <w:tcW w:w="1234" w:type="pct"/>
            <w:gridSpan w:val="3"/>
            <w:vAlign w:val="center"/>
          </w:tcPr>
          <w:p>
            <w:pPr>
              <w:pStyle w:val="63"/>
            </w:pPr>
            <w:r>
              <w:t>排放</w:t>
            </w:r>
          </w:p>
        </w:tc>
        <w:tc>
          <w:tcPr>
            <w:tcW w:w="767" w:type="pct"/>
            <w:gridSpan w:val="2"/>
            <w:vAlign w:val="center"/>
          </w:tcPr>
          <w:p>
            <w:pPr>
              <w:pStyle w:val="63"/>
            </w:pPr>
            <w:r>
              <w:t>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Merge w:val="continue"/>
            <w:vAlign w:val="center"/>
          </w:tcPr>
          <w:p>
            <w:pPr>
              <w:pStyle w:val="63"/>
            </w:pPr>
          </w:p>
        </w:tc>
        <w:tc>
          <w:tcPr>
            <w:tcW w:w="271" w:type="pct"/>
            <w:vMerge w:val="continue"/>
            <w:vAlign w:val="center"/>
          </w:tcPr>
          <w:p>
            <w:pPr>
              <w:pStyle w:val="63"/>
            </w:pPr>
          </w:p>
        </w:tc>
        <w:tc>
          <w:tcPr>
            <w:tcW w:w="383" w:type="pct"/>
            <w:vMerge w:val="continue"/>
            <w:vAlign w:val="center"/>
          </w:tcPr>
          <w:p>
            <w:pPr>
              <w:pStyle w:val="63"/>
            </w:pPr>
          </w:p>
        </w:tc>
        <w:tc>
          <w:tcPr>
            <w:tcW w:w="409" w:type="pct"/>
            <w:vAlign w:val="center"/>
          </w:tcPr>
          <w:p>
            <w:pPr>
              <w:pStyle w:val="63"/>
            </w:pPr>
            <w:r>
              <w:t>浓度mg/m</w:t>
            </w:r>
            <w:r>
              <w:rPr>
                <w:vertAlign w:val="superscript"/>
              </w:rPr>
              <w:t>3</w:t>
            </w:r>
          </w:p>
        </w:tc>
        <w:tc>
          <w:tcPr>
            <w:tcW w:w="392" w:type="pct"/>
            <w:vAlign w:val="center"/>
          </w:tcPr>
          <w:p>
            <w:pPr>
              <w:pStyle w:val="63"/>
            </w:pPr>
            <w:r>
              <w:t>速率kg/h</w:t>
            </w:r>
          </w:p>
        </w:tc>
        <w:tc>
          <w:tcPr>
            <w:tcW w:w="367" w:type="pct"/>
            <w:vAlign w:val="center"/>
          </w:tcPr>
          <w:p>
            <w:pPr>
              <w:pStyle w:val="63"/>
            </w:pPr>
            <w:r>
              <w:t>量t/a</w:t>
            </w:r>
          </w:p>
        </w:tc>
        <w:tc>
          <w:tcPr>
            <w:tcW w:w="475" w:type="pct"/>
            <w:vMerge w:val="continue"/>
            <w:vAlign w:val="center"/>
          </w:tcPr>
          <w:p>
            <w:pPr>
              <w:pStyle w:val="63"/>
            </w:pPr>
          </w:p>
        </w:tc>
        <w:tc>
          <w:tcPr>
            <w:tcW w:w="327" w:type="pct"/>
            <w:vMerge w:val="continue"/>
            <w:vAlign w:val="center"/>
          </w:tcPr>
          <w:p>
            <w:pPr>
              <w:pStyle w:val="63"/>
            </w:pPr>
          </w:p>
        </w:tc>
        <w:tc>
          <w:tcPr>
            <w:tcW w:w="409" w:type="pct"/>
            <w:vAlign w:val="center"/>
          </w:tcPr>
          <w:p>
            <w:pPr>
              <w:pStyle w:val="63"/>
            </w:pPr>
            <w:r>
              <w:t>浓度mg/m</w:t>
            </w:r>
            <w:r>
              <w:rPr>
                <w:vertAlign w:val="superscript"/>
              </w:rPr>
              <w:t>3</w:t>
            </w:r>
          </w:p>
        </w:tc>
        <w:tc>
          <w:tcPr>
            <w:tcW w:w="408" w:type="pct"/>
            <w:vAlign w:val="center"/>
          </w:tcPr>
          <w:p>
            <w:pPr>
              <w:pStyle w:val="63"/>
            </w:pPr>
            <w:r>
              <w:t>速率kg/h</w:t>
            </w:r>
          </w:p>
        </w:tc>
        <w:tc>
          <w:tcPr>
            <w:tcW w:w="417" w:type="pct"/>
            <w:vAlign w:val="center"/>
          </w:tcPr>
          <w:p>
            <w:pPr>
              <w:pStyle w:val="63"/>
            </w:pPr>
            <w:r>
              <w:t>量t/a</w:t>
            </w:r>
          </w:p>
        </w:tc>
        <w:tc>
          <w:tcPr>
            <w:tcW w:w="409" w:type="pct"/>
            <w:vAlign w:val="center"/>
          </w:tcPr>
          <w:p>
            <w:pPr>
              <w:pStyle w:val="63"/>
            </w:pPr>
            <w:r>
              <w:t>浓度mg/m</w:t>
            </w:r>
            <w:r>
              <w:rPr>
                <w:vertAlign w:val="superscript"/>
              </w:rPr>
              <w:t>3</w:t>
            </w:r>
          </w:p>
        </w:tc>
        <w:tc>
          <w:tcPr>
            <w:tcW w:w="358" w:type="pct"/>
            <w:vAlign w:val="center"/>
          </w:tcPr>
          <w:p>
            <w:pPr>
              <w:pStyle w:val="63"/>
            </w:pPr>
            <w:r>
              <w:t>速率kg/h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Merge w:val="restart"/>
            <w:vAlign w:val="center"/>
          </w:tcPr>
          <w:p>
            <w:pPr>
              <w:pStyle w:val="63"/>
            </w:pPr>
            <w:r>
              <w:t>P3</w:t>
            </w:r>
          </w:p>
        </w:tc>
        <w:tc>
          <w:tcPr>
            <w:tcW w:w="271" w:type="pct"/>
            <w:vMerge w:val="restart"/>
            <w:vAlign w:val="center"/>
          </w:tcPr>
          <w:p>
            <w:pPr>
              <w:pStyle w:val="63"/>
            </w:pPr>
            <w:r>
              <w:t>萃取</w:t>
            </w:r>
          </w:p>
        </w:tc>
        <w:tc>
          <w:tcPr>
            <w:tcW w:w="383" w:type="pct"/>
            <w:vAlign w:val="center"/>
          </w:tcPr>
          <w:p>
            <w:pPr>
              <w:pStyle w:val="63"/>
            </w:pPr>
            <w:r>
              <w:t>非甲烷总烃</w:t>
            </w:r>
          </w:p>
        </w:tc>
        <w:tc>
          <w:tcPr>
            <w:tcW w:w="409" w:type="pct"/>
            <w:vAlign w:val="center"/>
          </w:tcPr>
          <w:p>
            <w:pPr>
              <w:pStyle w:val="63"/>
            </w:pPr>
            <w:r>
              <w:t>52.5</w:t>
            </w:r>
          </w:p>
        </w:tc>
        <w:tc>
          <w:tcPr>
            <w:tcW w:w="392" w:type="pct"/>
            <w:vAlign w:val="center"/>
          </w:tcPr>
          <w:p>
            <w:pPr>
              <w:pStyle w:val="63"/>
            </w:pPr>
            <w:r>
              <w:t>1.05</w:t>
            </w:r>
          </w:p>
        </w:tc>
        <w:tc>
          <w:tcPr>
            <w:tcW w:w="367" w:type="pct"/>
            <w:vAlign w:val="center"/>
          </w:tcPr>
          <w:p>
            <w:pPr>
              <w:pStyle w:val="63"/>
            </w:pPr>
            <w:r>
              <w:t>7.56</w:t>
            </w:r>
          </w:p>
        </w:tc>
        <w:tc>
          <w:tcPr>
            <w:tcW w:w="475" w:type="pct"/>
            <w:vMerge w:val="restart"/>
            <w:vAlign w:val="center"/>
          </w:tcPr>
          <w:p>
            <w:pPr>
              <w:pStyle w:val="63"/>
            </w:pPr>
            <w:r>
              <w:t>碱液喷淋+干式过滤器+活性炭吸附</w:t>
            </w:r>
          </w:p>
        </w:tc>
        <w:tc>
          <w:tcPr>
            <w:tcW w:w="327" w:type="pct"/>
            <w:vAlign w:val="center"/>
          </w:tcPr>
          <w:p>
            <w:pPr>
              <w:pStyle w:val="63"/>
            </w:pPr>
            <w:r>
              <w:t>70%</w:t>
            </w:r>
          </w:p>
        </w:tc>
        <w:tc>
          <w:tcPr>
            <w:tcW w:w="409" w:type="pct"/>
            <w:vAlign w:val="center"/>
          </w:tcPr>
          <w:p>
            <w:pPr>
              <w:pStyle w:val="63"/>
            </w:pPr>
            <w:r>
              <w:t>15.75</w:t>
            </w:r>
          </w:p>
        </w:tc>
        <w:tc>
          <w:tcPr>
            <w:tcW w:w="408" w:type="pct"/>
            <w:vAlign w:val="center"/>
          </w:tcPr>
          <w:p>
            <w:pPr>
              <w:pStyle w:val="63"/>
            </w:pPr>
            <w:r>
              <w:t>0.315</w:t>
            </w:r>
          </w:p>
        </w:tc>
        <w:tc>
          <w:tcPr>
            <w:tcW w:w="417" w:type="pct"/>
            <w:vAlign w:val="center"/>
          </w:tcPr>
          <w:p>
            <w:pPr>
              <w:pStyle w:val="63"/>
            </w:pPr>
            <w:r>
              <w:t>2.268</w:t>
            </w:r>
          </w:p>
        </w:tc>
        <w:tc>
          <w:tcPr>
            <w:tcW w:w="409" w:type="pct"/>
            <w:vAlign w:val="center"/>
          </w:tcPr>
          <w:p>
            <w:pPr>
              <w:pStyle w:val="63"/>
            </w:pPr>
            <w:r>
              <w:t>120</w:t>
            </w:r>
          </w:p>
        </w:tc>
        <w:tc>
          <w:tcPr>
            <w:tcW w:w="358" w:type="pct"/>
            <w:vAlign w:val="center"/>
          </w:tcPr>
          <w:p>
            <w:pPr>
              <w:pStyle w:val="63"/>
            </w:pPr>
            <w: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vMerge w:val="continue"/>
            <w:vAlign w:val="center"/>
          </w:tcPr>
          <w:p>
            <w:pPr>
              <w:pStyle w:val="63"/>
            </w:pPr>
          </w:p>
        </w:tc>
        <w:tc>
          <w:tcPr>
            <w:tcW w:w="271" w:type="pct"/>
            <w:vMerge w:val="continue"/>
            <w:vAlign w:val="center"/>
          </w:tcPr>
          <w:p>
            <w:pPr>
              <w:pStyle w:val="63"/>
            </w:pPr>
          </w:p>
        </w:tc>
        <w:tc>
          <w:tcPr>
            <w:tcW w:w="383" w:type="pct"/>
            <w:vAlign w:val="center"/>
          </w:tcPr>
          <w:p>
            <w:pPr>
              <w:pStyle w:val="63"/>
            </w:pPr>
            <w:r>
              <w:t>硫酸雾</w:t>
            </w:r>
          </w:p>
        </w:tc>
        <w:tc>
          <w:tcPr>
            <w:tcW w:w="409" w:type="pct"/>
            <w:vAlign w:val="center"/>
          </w:tcPr>
          <w:p>
            <w:pPr>
              <w:pStyle w:val="63"/>
            </w:pPr>
            <w:r>
              <w:t>47.9</w:t>
            </w:r>
          </w:p>
        </w:tc>
        <w:tc>
          <w:tcPr>
            <w:tcW w:w="392" w:type="pct"/>
            <w:vAlign w:val="center"/>
          </w:tcPr>
          <w:p>
            <w:pPr>
              <w:pStyle w:val="63"/>
            </w:pPr>
            <w:r>
              <w:t>0.958</w:t>
            </w:r>
          </w:p>
        </w:tc>
        <w:tc>
          <w:tcPr>
            <w:tcW w:w="367" w:type="pct"/>
            <w:vAlign w:val="center"/>
          </w:tcPr>
          <w:p>
            <w:pPr>
              <w:pStyle w:val="63"/>
            </w:pPr>
            <w:r>
              <w:t>6.899</w:t>
            </w:r>
          </w:p>
        </w:tc>
        <w:tc>
          <w:tcPr>
            <w:tcW w:w="475" w:type="pct"/>
            <w:vMerge w:val="continue"/>
            <w:vAlign w:val="center"/>
          </w:tcPr>
          <w:p>
            <w:pPr>
              <w:pStyle w:val="63"/>
            </w:pPr>
          </w:p>
        </w:tc>
        <w:tc>
          <w:tcPr>
            <w:tcW w:w="327" w:type="pct"/>
            <w:vAlign w:val="center"/>
          </w:tcPr>
          <w:p>
            <w:pPr>
              <w:pStyle w:val="63"/>
            </w:pPr>
            <w:r>
              <w:t>95%</w:t>
            </w:r>
          </w:p>
        </w:tc>
        <w:tc>
          <w:tcPr>
            <w:tcW w:w="409" w:type="pct"/>
            <w:vAlign w:val="center"/>
          </w:tcPr>
          <w:p>
            <w:pPr>
              <w:pStyle w:val="63"/>
            </w:pPr>
            <w:r>
              <w:t>2.40</w:t>
            </w:r>
          </w:p>
        </w:tc>
        <w:tc>
          <w:tcPr>
            <w:tcW w:w="408" w:type="pct"/>
            <w:vAlign w:val="center"/>
          </w:tcPr>
          <w:p>
            <w:pPr>
              <w:pStyle w:val="63"/>
            </w:pPr>
            <w:r>
              <w:t>0.048</w:t>
            </w:r>
          </w:p>
        </w:tc>
        <w:tc>
          <w:tcPr>
            <w:tcW w:w="417" w:type="pct"/>
            <w:vAlign w:val="center"/>
          </w:tcPr>
          <w:p>
            <w:pPr>
              <w:pStyle w:val="63"/>
            </w:pPr>
            <w:r>
              <w:t>0.3450</w:t>
            </w:r>
          </w:p>
        </w:tc>
        <w:tc>
          <w:tcPr>
            <w:tcW w:w="409" w:type="pct"/>
            <w:vAlign w:val="center"/>
          </w:tcPr>
          <w:p>
            <w:pPr>
              <w:pStyle w:val="63"/>
            </w:pPr>
            <w:r>
              <w:t>45</w:t>
            </w:r>
          </w:p>
        </w:tc>
        <w:tc>
          <w:tcPr>
            <w:tcW w:w="358" w:type="pct"/>
            <w:vAlign w:val="center"/>
          </w:tcPr>
          <w:p>
            <w:pPr>
              <w:pStyle w:val="63"/>
            </w:pPr>
            <w:r>
              <w:t>1.5</w:t>
            </w:r>
          </w:p>
        </w:tc>
      </w:tr>
    </w:tbl>
    <w:p>
      <w:pPr>
        <w:spacing w:line="360" w:lineRule="auto"/>
        <w:ind w:firstLine="482" w:firstLineChars="200"/>
        <w:rPr>
          <w:rFonts w:ascii="Times New Roman" w:hAnsi="Times New Roman" w:cs="Times New Roman"/>
          <w:b/>
        </w:rPr>
      </w:pPr>
      <w:r>
        <w:rPr>
          <w:rFonts w:ascii="Times New Roman" w:hAnsi="Times New Roman" w:cs="Times New Roman"/>
          <w:b/>
        </w:rPr>
        <w:t>（5）锅炉废气</w:t>
      </w:r>
    </w:p>
    <w:p>
      <w:pPr>
        <w:spacing w:line="360" w:lineRule="auto"/>
        <w:ind w:firstLine="480" w:firstLineChars="200"/>
        <w:rPr>
          <w:rFonts w:ascii="Times New Roman" w:hAnsi="Times New Roman" w:cs="Times New Roman"/>
          <w:snapToGrid w:val="0"/>
          <w:kern w:val="0"/>
        </w:rPr>
      </w:pPr>
      <w:r>
        <w:rPr>
          <w:rFonts w:ascii="Times New Roman" w:hAnsi="Times New Roman" w:cs="Times New Roman"/>
        </w:rPr>
        <w:t>本项目设有2台15t/h的生物质锅炉（一用一备），每天运转时间24h，</w:t>
      </w:r>
      <w:r>
        <w:rPr>
          <w:rFonts w:ascii="Times New Roman" w:hAnsi="Times New Roman" w:cs="Times New Roman"/>
          <w:snapToGrid w:val="0"/>
          <w:kern w:val="0"/>
        </w:rPr>
        <w:t>生物质用量为19440t/a，根据查照《全国第二次污染源普查工业源系数手册（试用版）》，每燃烧1t生物质废气产生量为6240m</w:t>
      </w:r>
      <w:r>
        <w:rPr>
          <w:rFonts w:ascii="Times New Roman" w:hAnsi="Times New Roman" w:cs="Times New Roman"/>
          <w:snapToGrid w:val="0"/>
          <w:kern w:val="0"/>
          <w:vertAlign w:val="superscript"/>
        </w:rPr>
        <w:t>3</w:t>
      </w:r>
      <w:r>
        <w:rPr>
          <w:rFonts w:ascii="Times New Roman" w:hAnsi="Times New Roman" w:cs="Times New Roman"/>
          <w:snapToGrid w:val="0"/>
          <w:kern w:val="0"/>
        </w:rPr>
        <w:t>，烟尘量为0.5kg，SO</w:t>
      </w:r>
      <w:r>
        <w:rPr>
          <w:rFonts w:ascii="Times New Roman" w:hAnsi="Times New Roman" w:cs="Times New Roman"/>
          <w:snapToGrid w:val="0"/>
          <w:kern w:val="0"/>
          <w:vertAlign w:val="subscript"/>
        </w:rPr>
        <w:t>2</w:t>
      </w:r>
      <w:r>
        <w:rPr>
          <w:rFonts w:ascii="Times New Roman" w:hAnsi="Times New Roman" w:cs="Times New Roman"/>
          <w:snapToGrid w:val="0"/>
          <w:kern w:val="0"/>
        </w:rPr>
        <w:t>量为0.0544kg，NOx量为1.02kg。经计算本项目生物质锅炉废气量为12130.56万m</w:t>
      </w:r>
      <w:r>
        <w:rPr>
          <w:rFonts w:ascii="Times New Roman" w:hAnsi="Times New Roman" w:cs="Times New Roman"/>
          <w:snapToGrid w:val="0"/>
          <w:kern w:val="0"/>
          <w:vertAlign w:val="superscript"/>
        </w:rPr>
        <w:t>3</w:t>
      </w:r>
      <w:r>
        <w:rPr>
          <w:rFonts w:ascii="Times New Roman" w:hAnsi="Times New Roman" w:cs="Times New Roman"/>
          <w:snapToGrid w:val="0"/>
          <w:kern w:val="0"/>
        </w:rPr>
        <w:t>/a，烟尘产生量为9.72t/a，SO</w:t>
      </w:r>
      <w:r>
        <w:rPr>
          <w:rFonts w:ascii="Times New Roman" w:hAnsi="Times New Roman" w:cs="Times New Roman"/>
          <w:snapToGrid w:val="0"/>
          <w:kern w:val="0"/>
          <w:vertAlign w:val="subscript"/>
        </w:rPr>
        <w:t>2</w:t>
      </w:r>
      <w:r>
        <w:rPr>
          <w:rFonts w:ascii="Times New Roman" w:hAnsi="Times New Roman" w:cs="Times New Roman"/>
          <w:snapToGrid w:val="0"/>
          <w:kern w:val="0"/>
        </w:rPr>
        <w:t>产生量为1.0584t/a，NOx产生量为19.818t/a。项目拟采用风量为20000m</w:t>
      </w:r>
      <w:r>
        <w:rPr>
          <w:rFonts w:ascii="Times New Roman" w:hAnsi="Times New Roman" w:cs="Times New Roman"/>
          <w:snapToGrid w:val="0"/>
          <w:kern w:val="0"/>
          <w:vertAlign w:val="superscript"/>
        </w:rPr>
        <w:t>3</w:t>
      </w:r>
      <w:r>
        <w:rPr>
          <w:rFonts w:ascii="Times New Roman" w:hAnsi="Times New Roman" w:cs="Times New Roman"/>
          <w:snapToGrid w:val="0"/>
          <w:kern w:val="0"/>
        </w:rPr>
        <w:t>/h的风机，故项目废气中各污染物的产生浓度分别为烟尘67.5mg/m</w:t>
      </w:r>
      <w:r>
        <w:rPr>
          <w:rFonts w:ascii="Times New Roman" w:hAnsi="Times New Roman" w:cs="Times New Roman"/>
          <w:snapToGrid w:val="0"/>
          <w:kern w:val="0"/>
          <w:vertAlign w:val="superscript"/>
        </w:rPr>
        <w:t>3</w:t>
      </w:r>
      <w:r>
        <w:rPr>
          <w:rFonts w:ascii="Times New Roman" w:hAnsi="Times New Roman" w:cs="Times New Roman"/>
          <w:snapToGrid w:val="0"/>
          <w:kern w:val="0"/>
        </w:rPr>
        <w:t>， SO</w:t>
      </w:r>
      <w:r>
        <w:rPr>
          <w:rFonts w:ascii="Times New Roman" w:hAnsi="Times New Roman" w:cs="Times New Roman"/>
          <w:snapToGrid w:val="0"/>
          <w:kern w:val="0"/>
          <w:vertAlign w:val="subscript"/>
        </w:rPr>
        <w:t xml:space="preserve">2 </w:t>
      </w:r>
      <w:r>
        <w:rPr>
          <w:rFonts w:ascii="Times New Roman" w:hAnsi="Times New Roman" w:cs="Times New Roman"/>
          <w:snapToGrid w:val="0"/>
          <w:kern w:val="0"/>
        </w:rPr>
        <w:t>7.35mg/m</w:t>
      </w:r>
      <w:r>
        <w:rPr>
          <w:rFonts w:ascii="Times New Roman" w:hAnsi="Times New Roman" w:cs="Times New Roman"/>
          <w:snapToGrid w:val="0"/>
          <w:kern w:val="0"/>
          <w:vertAlign w:val="superscript"/>
        </w:rPr>
        <w:t>3</w:t>
      </w:r>
      <w:r>
        <w:rPr>
          <w:rFonts w:ascii="Times New Roman" w:hAnsi="Times New Roman" w:cs="Times New Roman"/>
          <w:snapToGrid w:val="0"/>
          <w:kern w:val="0"/>
        </w:rPr>
        <w:t>，NOx 137.62mg/m</w:t>
      </w:r>
      <w:r>
        <w:rPr>
          <w:rFonts w:ascii="Times New Roman" w:hAnsi="Times New Roman" w:cs="Times New Roman"/>
          <w:snapToGrid w:val="0"/>
          <w:kern w:val="0"/>
          <w:vertAlign w:val="superscript"/>
        </w:rPr>
        <w:t>3</w:t>
      </w:r>
      <w:r>
        <w:rPr>
          <w:rFonts w:ascii="Times New Roman" w:hAnsi="Times New Roman" w:cs="Times New Roman"/>
          <w:snapToGrid w:val="0"/>
          <w:kern w:val="0"/>
        </w:rPr>
        <w:t>。</w:t>
      </w:r>
    </w:p>
    <w:p>
      <w:pPr>
        <w:spacing w:line="360" w:lineRule="auto"/>
        <w:ind w:firstLine="480" w:firstLineChars="200"/>
        <w:rPr>
          <w:rFonts w:ascii="Times New Roman" w:hAnsi="Times New Roman" w:cs="Times New Roman"/>
          <w:snapToGrid w:val="0"/>
          <w:kern w:val="0"/>
        </w:rPr>
      </w:pPr>
      <w:r>
        <w:rPr>
          <w:rFonts w:ascii="Times New Roman" w:hAnsi="Times New Roman" w:cs="Times New Roman"/>
          <w:snapToGrid w:val="0"/>
          <w:kern w:val="0"/>
        </w:rPr>
        <w:t>针对生物质锅炉废气，项目拟采用布袋除尘设施措施处理，该处理设施设计烟尘去除效率≥95%，由于项目采样的为低氮燃烧器，可减少30%的氮氧化物产生，故将低氮燃烧器的治理效率折算为30%。治理后烟尘排放浓度为3.4mg/m</w:t>
      </w:r>
      <w:r>
        <w:rPr>
          <w:rFonts w:ascii="Times New Roman" w:hAnsi="Times New Roman" w:cs="Times New Roman"/>
          <w:snapToGrid w:val="0"/>
          <w:kern w:val="0"/>
          <w:vertAlign w:val="superscript"/>
        </w:rPr>
        <w:t>3</w:t>
      </w:r>
      <w:r>
        <w:rPr>
          <w:rFonts w:ascii="Times New Roman" w:hAnsi="Times New Roman" w:cs="Times New Roman"/>
          <w:snapToGrid w:val="0"/>
          <w:kern w:val="0"/>
        </w:rPr>
        <w:t>，SO</w:t>
      </w:r>
      <w:r>
        <w:rPr>
          <w:rFonts w:ascii="Times New Roman" w:hAnsi="Times New Roman" w:cs="Times New Roman"/>
          <w:snapToGrid w:val="0"/>
          <w:kern w:val="0"/>
          <w:vertAlign w:val="subscript"/>
        </w:rPr>
        <w:t>2</w:t>
      </w:r>
      <w:r>
        <w:rPr>
          <w:rFonts w:ascii="Times New Roman" w:hAnsi="Times New Roman" w:cs="Times New Roman"/>
          <w:snapToGrid w:val="0"/>
          <w:kern w:val="0"/>
        </w:rPr>
        <w:t>排放浓度为7.35mg/m</w:t>
      </w:r>
      <w:r>
        <w:rPr>
          <w:rFonts w:ascii="Times New Roman" w:hAnsi="Times New Roman" w:cs="Times New Roman"/>
          <w:snapToGrid w:val="0"/>
          <w:kern w:val="0"/>
          <w:vertAlign w:val="superscript"/>
        </w:rPr>
        <w:t>3</w:t>
      </w:r>
      <w:r>
        <w:rPr>
          <w:rFonts w:ascii="Times New Roman" w:hAnsi="Times New Roman" w:cs="Times New Roman"/>
          <w:snapToGrid w:val="0"/>
          <w:kern w:val="0"/>
        </w:rPr>
        <w:t>，NOx排放浓度 96.3mg/m</w:t>
      </w:r>
      <w:r>
        <w:rPr>
          <w:rFonts w:ascii="Times New Roman" w:hAnsi="Times New Roman" w:cs="Times New Roman"/>
          <w:snapToGrid w:val="0"/>
          <w:kern w:val="0"/>
          <w:vertAlign w:val="superscript"/>
        </w:rPr>
        <w:t>3</w:t>
      </w:r>
      <w:r>
        <w:rPr>
          <w:rFonts w:ascii="Times New Roman" w:hAnsi="Times New Roman" w:cs="Times New Roman"/>
          <w:snapToGrid w:val="0"/>
          <w:kern w:val="0"/>
        </w:rPr>
        <w:t>。生物质锅炉废气执行《锅炉大气污染物排放标准》（GB13271-2014）表3中燃煤排放限值，即颗粒物 30mg/m</w:t>
      </w:r>
      <w:r>
        <w:rPr>
          <w:rFonts w:ascii="Times New Roman" w:hAnsi="Times New Roman" w:cs="Times New Roman"/>
          <w:snapToGrid w:val="0"/>
          <w:kern w:val="0"/>
          <w:vertAlign w:val="superscript"/>
        </w:rPr>
        <w:t>3</w:t>
      </w:r>
      <w:r>
        <w:rPr>
          <w:rFonts w:ascii="Times New Roman" w:hAnsi="Times New Roman" w:cs="Times New Roman"/>
          <w:snapToGrid w:val="0"/>
          <w:kern w:val="0"/>
        </w:rPr>
        <w:t>，SO</w:t>
      </w:r>
      <w:r>
        <w:rPr>
          <w:rFonts w:ascii="Times New Roman" w:hAnsi="Times New Roman" w:cs="Times New Roman"/>
          <w:snapToGrid w:val="0"/>
          <w:kern w:val="0"/>
          <w:vertAlign w:val="subscript"/>
        </w:rPr>
        <w:t>2</w:t>
      </w:r>
      <w:r>
        <w:rPr>
          <w:rFonts w:ascii="Times New Roman" w:hAnsi="Times New Roman" w:cs="Times New Roman"/>
          <w:snapToGrid w:val="0"/>
          <w:kern w:val="0"/>
        </w:rPr>
        <w:t>200mg/m</w:t>
      </w:r>
      <w:r>
        <w:rPr>
          <w:rFonts w:ascii="Times New Roman" w:hAnsi="Times New Roman" w:cs="Times New Roman"/>
          <w:snapToGrid w:val="0"/>
          <w:kern w:val="0"/>
          <w:vertAlign w:val="superscript"/>
        </w:rPr>
        <w:t>3</w:t>
      </w:r>
      <w:r>
        <w:rPr>
          <w:rFonts w:ascii="Times New Roman" w:hAnsi="Times New Roman" w:cs="Times New Roman"/>
          <w:snapToGrid w:val="0"/>
          <w:kern w:val="0"/>
        </w:rPr>
        <w:t>，NOx 200mg/m</w:t>
      </w:r>
      <w:r>
        <w:rPr>
          <w:rFonts w:ascii="Times New Roman" w:hAnsi="Times New Roman" w:cs="Times New Roman"/>
          <w:snapToGrid w:val="0"/>
          <w:kern w:val="0"/>
          <w:vertAlign w:val="superscript"/>
        </w:rPr>
        <w:t>3</w:t>
      </w:r>
      <w:r>
        <w:rPr>
          <w:rFonts w:ascii="Times New Roman" w:hAnsi="Times New Roman" w:cs="Times New Roman"/>
          <w:snapToGrid w:val="0"/>
          <w:kern w:val="0"/>
        </w:rPr>
        <w:t>标准要求，治理后废气经40m烟囱排放。依据分析，本项目排放的废气能够满足标准限值。</w:t>
      </w:r>
    </w:p>
    <w:p>
      <w:pPr>
        <w:pStyle w:val="6"/>
        <w:rPr>
          <w:rFonts w:ascii="Times New Roman" w:hAnsi="Times New Roman" w:cs="Times New Roman"/>
        </w:rPr>
      </w:pPr>
      <w:r>
        <w:rPr>
          <w:rFonts w:ascii="Times New Roman" w:hAnsi="Times New Roman" w:cs="Times New Roman"/>
        </w:rPr>
        <w:t>表3.2-</w:t>
      </w:r>
      <w:r>
        <w:rPr>
          <w:rFonts w:hint="eastAsia" w:ascii="Times New Roman" w:hAnsi="Times New Roman" w:cs="Times New Roman"/>
        </w:rPr>
        <w:t>23</w:t>
      </w:r>
      <w:r>
        <w:rPr>
          <w:rFonts w:ascii="Times New Roman" w:hAnsi="Times New Roman" w:cs="Times New Roman"/>
        </w:rPr>
        <w:t xml:space="preserve">  锅炉废气排放情况一览表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00"/>
        <w:gridCol w:w="389"/>
        <w:gridCol w:w="570"/>
        <w:gridCol w:w="742"/>
        <w:gridCol w:w="715"/>
        <w:gridCol w:w="780"/>
        <w:gridCol w:w="539"/>
        <w:gridCol w:w="742"/>
        <w:gridCol w:w="742"/>
        <w:gridCol w:w="728"/>
        <w:gridCol w:w="730"/>
        <w:gridCol w:w="742"/>
        <w:gridCol w:w="7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4" w:type="pct"/>
            <w:vMerge w:val="restart"/>
            <w:vAlign w:val="center"/>
          </w:tcPr>
          <w:p>
            <w:pPr>
              <w:pStyle w:val="63"/>
            </w:pPr>
            <w:bookmarkStart w:id="183" w:name="_Hlk98671785"/>
            <w:r>
              <w:t>排放形式</w:t>
            </w:r>
          </w:p>
        </w:tc>
        <w:tc>
          <w:tcPr>
            <w:tcW w:w="228" w:type="pct"/>
            <w:vMerge w:val="restart"/>
            <w:vAlign w:val="center"/>
          </w:tcPr>
          <w:p>
            <w:pPr>
              <w:pStyle w:val="63"/>
            </w:pPr>
            <w:r>
              <w:t>产生环节</w:t>
            </w:r>
          </w:p>
        </w:tc>
        <w:tc>
          <w:tcPr>
            <w:tcW w:w="334" w:type="pct"/>
            <w:vMerge w:val="restart"/>
            <w:vAlign w:val="center"/>
          </w:tcPr>
          <w:p>
            <w:pPr>
              <w:pStyle w:val="63"/>
            </w:pPr>
            <w:r>
              <w:t>污染物</w:t>
            </w:r>
          </w:p>
        </w:tc>
        <w:tc>
          <w:tcPr>
            <w:tcW w:w="1311" w:type="pct"/>
            <w:gridSpan w:val="3"/>
            <w:vAlign w:val="center"/>
          </w:tcPr>
          <w:p>
            <w:pPr>
              <w:pStyle w:val="63"/>
            </w:pPr>
            <w:r>
              <w:t>产生情况</w:t>
            </w:r>
          </w:p>
        </w:tc>
        <w:tc>
          <w:tcPr>
            <w:tcW w:w="316" w:type="pct"/>
            <w:vMerge w:val="restart"/>
            <w:vAlign w:val="center"/>
          </w:tcPr>
          <w:p>
            <w:pPr>
              <w:pStyle w:val="63"/>
            </w:pPr>
            <w:r>
              <w:t>治理措施</w:t>
            </w:r>
          </w:p>
        </w:tc>
        <w:tc>
          <w:tcPr>
            <w:tcW w:w="435" w:type="pct"/>
            <w:vMerge w:val="restart"/>
            <w:vAlign w:val="center"/>
          </w:tcPr>
          <w:p>
            <w:pPr>
              <w:pStyle w:val="63"/>
            </w:pPr>
            <w:r>
              <w:t>处理效率</w:t>
            </w:r>
          </w:p>
        </w:tc>
        <w:tc>
          <w:tcPr>
            <w:tcW w:w="1290" w:type="pct"/>
            <w:gridSpan w:val="3"/>
            <w:vAlign w:val="center"/>
          </w:tcPr>
          <w:p>
            <w:pPr>
              <w:pStyle w:val="63"/>
            </w:pPr>
            <w:r>
              <w:t>排放</w:t>
            </w:r>
          </w:p>
        </w:tc>
        <w:tc>
          <w:tcPr>
            <w:tcW w:w="851" w:type="pct"/>
            <w:gridSpan w:val="2"/>
            <w:vAlign w:val="center"/>
          </w:tcPr>
          <w:p>
            <w:pPr>
              <w:pStyle w:val="63"/>
            </w:pPr>
            <w:r>
              <w:t>《锅炉大气污染物排放标准》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4" w:type="pct"/>
            <w:vMerge w:val="continue"/>
            <w:vAlign w:val="center"/>
          </w:tcPr>
          <w:p>
            <w:pPr>
              <w:pStyle w:val="63"/>
            </w:pPr>
          </w:p>
        </w:tc>
        <w:tc>
          <w:tcPr>
            <w:tcW w:w="228" w:type="pct"/>
            <w:vMerge w:val="continue"/>
            <w:vAlign w:val="center"/>
          </w:tcPr>
          <w:p>
            <w:pPr>
              <w:pStyle w:val="63"/>
            </w:pPr>
          </w:p>
        </w:tc>
        <w:tc>
          <w:tcPr>
            <w:tcW w:w="334" w:type="pct"/>
            <w:vMerge w:val="continue"/>
            <w:vAlign w:val="center"/>
          </w:tcPr>
          <w:p>
            <w:pPr>
              <w:pStyle w:val="63"/>
            </w:pPr>
          </w:p>
        </w:tc>
        <w:tc>
          <w:tcPr>
            <w:tcW w:w="435" w:type="pct"/>
            <w:vAlign w:val="center"/>
          </w:tcPr>
          <w:p>
            <w:pPr>
              <w:pStyle w:val="63"/>
            </w:pPr>
            <w:r>
              <w:t>浓度mg/m</w:t>
            </w:r>
            <w:r>
              <w:rPr>
                <w:vertAlign w:val="superscript"/>
              </w:rPr>
              <w:t>3</w:t>
            </w:r>
          </w:p>
        </w:tc>
        <w:tc>
          <w:tcPr>
            <w:tcW w:w="419" w:type="pct"/>
            <w:vAlign w:val="center"/>
          </w:tcPr>
          <w:p>
            <w:pPr>
              <w:pStyle w:val="63"/>
            </w:pPr>
            <w:r>
              <w:t>速率kg/h</w:t>
            </w:r>
          </w:p>
        </w:tc>
        <w:tc>
          <w:tcPr>
            <w:tcW w:w="457" w:type="pct"/>
            <w:vAlign w:val="center"/>
          </w:tcPr>
          <w:p>
            <w:pPr>
              <w:pStyle w:val="63"/>
            </w:pPr>
            <w:r>
              <w:t>量t/a</w:t>
            </w:r>
          </w:p>
        </w:tc>
        <w:tc>
          <w:tcPr>
            <w:tcW w:w="316" w:type="pct"/>
            <w:vMerge w:val="continue"/>
            <w:vAlign w:val="center"/>
          </w:tcPr>
          <w:p>
            <w:pPr>
              <w:pStyle w:val="63"/>
            </w:pPr>
          </w:p>
        </w:tc>
        <w:tc>
          <w:tcPr>
            <w:tcW w:w="435" w:type="pct"/>
            <w:vMerge w:val="continue"/>
            <w:vAlign w:val="center"/>
          </w:tcPr>
          <w:p>
            <w:pPr>
              <w:pStyle w:val="63"/>
            </w:pPr>
          </w:p>
        </w:tc>
        <w:tc>
          <w:tcPr>
            <w:tcW w:w="435" w:type="pct"/>
            <w:vAlign w:val="center"/>
          </w:tcPr>
          <w:p>
            <w:pPr>
              <w:pStyle w:val="63"/>
            </w:pPr>
            <w:r>
              <w:t>浓度mg/m</w:t>
            </w:r>
            <w:r>
              <w:rPr>
                <w:vertAlign w:val="superscript"/>
              </w:rPr>
              <w:t>3</w:t>
            </w:r>
          </w:p>
        </w:tc>
        <w:tc>
          <w:tcPr>
            <w:tcW w:w="427" w:type="pct"/>
            <w:vAlign w:val="center"/>
          </w:tcPr>
          <w:p>
            <w:pPr>
              <w:pStyle w:val="63"/>
            </w:pPr>
            <w:r>
              <w:t>速率kg/h</w:t>
            </w:r>
          </w:p>
        </w:tc>
        <w:tc>
          <w:tcPr>
            <w:tcW w:w="428" w:type="pct"/>
            <w:vAlign w:val="center"/>
          </w:tcPr>
          <w:p>
            <w:pPr>
              <w:pStyle w:val="63"/>
            </w:pPr>
            <w:r>
              <w:t>量t/a</w:t>
            </w:r>
          </w:p>
        </w:tc>
        <w:tc>
          <w:tcPr>
            <w:tcW w:w="435" w:type="pct"/>
            <w:vAlign w:val="center"/>
          </w:tcPr>
          <w:p>
            <w:pPr>
              <w:pStyle w:val="63"/>
            </w:pPr>
            <w:r>
              <w:t>mg/m3</w:t>
            </w:r>
          </w:p>
        </w:tc>
        <w:tc>
          <w:tcPr>
            <w:tcW w:w="416" w:type="pct"/>
            <w:vAlign w:val="center"/>
          </w:tcPr>
          <w:p>
            <w:pPr>
              <w:pStyle w:val="63"/>
            </w:pPr>
            <w: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4" w:type="pct"/>
            <w:vMerge w:val="restart"/>
            <w:vAlign w:val="center"/>
          </w:tcPr>
          <w:p>
            <w:pPr>
              <w:pStyle w:val="63"/>
            </w:pPr>
            <w:r>
              <w:t>P4</w:t>
            </w:r>
          </w:p>
        </w:tc>
        <w:tc>
          <w:tcPr>
            <w:tcW w:w="228" w:type="pct"/>
            <w:vMerge w:val="restart"/>
            <w:vAlign w:val="center"/>
          </w:tcPr>
          <w:p>
            <w:pPr>
              <w:pStyle w:val="63"/>
            </w:pPr>
            <w:r>
              <w:t>锅炉</w:t>
            </w:r>
          </w:p>
        </w:tc>
        <w:tc>
          <w:tcPr>
            <w:tcW w:w="334" w:type="pct"/>
            <w:vAlign w:val="center"/>
          </w:tcPr>
          <w:p>
            <w:pPr>
              <w:pStyle w:val="63"/>
            </w:pPr>
            <w:r>
              <w:t>颗粒物</w:t>
            </w:r>
          </w:p>
        </w:tc>
        <w:tc>
          <w:tcPr>
            <w:tcW w:w="435" w:type="pct"/>
            <w:vAlign w:val="center"/>
          </w:tcPr>
          <w:p>
            <w:pPr>
              <w:pStyle w:val="63"/>
            </w:pPr>
            <w:r>
              <w:rPr>
                <w:szCs w:val="21"/>
              </w:rPr>
              <w:t>67.5</w:t>
            </w:r>
          </w:p>
        </w:tc>
        <w:tc>
          <w:tcPr>
            <w:tcW w:w="419" w:type="pct"/>
            <w:vAlign w:val="center"/>
          </w:tcPr>
          <w:p>
            <w:pPr>
              <w:pStyle w:val="63"/>
            </w:pPr>
            <w:r>
              <w:rPr>
                <w:szCs w:val="21"/>
              </w:rPr>
              <w:t>1.35</w:t>
            </w:r>
          </w:p>
        </w:tc>
        <w:tc>
          <w:tcPr>
            <w:tcW w:w="457" w:type="pct"/>
            <w:vAlign w:val="center"/>
          </w:tcPr>
          <w:p>
            <w:pPr>
              <w:pStyle w:val="63"/>
            </w:pPr>
            <w:r>
              <w:rPr>
                <w:szCs w:val="21"/>
              </w:rPr>
              <w:t>9.72</w:t>
            </w:r>
          </w:p>
        </w:tc>
        <w:tc>
          <w:tcPr>
            <w:tcW w:w="316" w:type="pct"/>
            <w:vMerge w:val="restart"/>
            <w:vAlign w:val="center"/>
          </w:tcPr>
          <w:p>
            <w:pPr>
              <w:pStyle w:val="63"/>
            </w:pPr>
            <w:r>
              <w:t>低氮燃烧</w:t>
            </w:r>
          </w:p>
        </w:tc>
        <w:tc>
          <w:tcPr>
            <w:tcW w:w="435" w:type="pct"/>
            <w:vAlign w:val="center"/>
          </w:tcPr>
          <w:p>
            <w:pPr>
              <w:pStyle w:val="63"/>
            </w:pPr>
            <w:r>
              <w:t>95%</w:t>
            </w:r>
          </w:p>
        </w:tc>
        <w:tc>
          <w:tcPr>
            <w:tcW w:w="435" w:type="pct"/>
            <w:vAlign w:val="center"/>
          </w:tcPr>
          <w:p>
            <w:pPr>
              <w:pStyle w:val="63"/>
            </w:pPr>
            <w:r>
              <w:rPr>
                <w:szCs w:val="21"/>
              </w:rPr>
              <w:t>3.4</w:t>
            </w:r>
          </w:p>
        </w:tc>
        <w:tc>
          <w:tcPr>
            <w:tcW w:w="427" w:type="pct"/>
            <w:vAlign w:val="center"/>
          </w:tcPr>
          <w:p>
            <w:pPr>
              <w:pStyle w:val="63"/>
            </w:pPr>
            <w:r>
              <w:rPr>
                <w:szCs w:val="21"/>
              </w:rPr>
              <w:t>0.07</w:t>
            </w:r>
          </w:p>
        </w:tc>
        <w:tc>
          <w:tcPr>
            <w:tcW w:w="428" w:type="pct"/>
            <w:vAlign w:val="center"/>
          </w:tcPr>
          <w:p>
            <w:pPr>
              <w:pStyle w:val="63"/>
            </w:pPr>
            <w:r>
              <w:rPr>
                <w:szCs w:val="21"/>
              </w:rPr>
              <w:t>0.486</w:t>
            </w:r>
          </w:p>
        </w:tc>
        <w:tc>
          <w:tcPr>
            <w:tcW w:w="435" w:type="pct"/>
            <w:vAlign w:val="center"/>
          </w:tcPr>
          <w:p>
            <w:pPr>
              <w:pStyle w:val="63"/>
            </w:pPr>
            <w:r>
              <w:t>30</w:t>
            </w:r>
          </w:p>
        </w:tc>
        <w:tc>
          <w:tcPr>
            <w:tcW w:w="416"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4" w:type="pct"/>
            <w:vMerge w:val="continue"/>
            <w:vAlign w:val="center"/>
          </w:tcPr>
          <w:p>
            <w:pPr>
              <w:pStyle w:val="63"/>
            </w:pPr>
          </w:p>
        </w:tc>
        <w:tc>
          <w:tcPr>
            <w:tcW w:w="228" w:type="pct"/>
            <w:vMerge w:val="continue"/>
            <w:vAlign w:val="center"/>
          </w:tcPr>
          <w:p>
            <w:pPr>
              <w:pStyle w:val="63"/>
            </w:pPr>
          </w:p>
        </w:tc>
        <w:tc>
          <w:tcPr>
            <w:tcW w:w="334" w:type="pct"/>
            <w:vAlign w:val="center"/>
          </w:tcPr>
          <w:p>
            <w:pPr>
              <w:pStyle w:val="63"/>
            </w:pPr>
            <w:r>
              <w:t>SO2</w:t>
            </w:r>
          </w:p>
        </w:tc>
        <w:tc>
          <w:tcPr>
            <w:tcW w:w="435" w:type="pct"/>
            <w:vAlign w:val="center"/>
          </w:tcPr>
          <w:p>
            <w:pPr>
              <w:pStyle w:val="63"/>
            </w:pPr>
            <w:r>
              <w:rPr>
                <w:szCs w:val="21"/>
              </w:rPr>
              <w:t>7.35</w:t>
            </w:r>
          </w:p>
        </w:tc>
        <w:tc>
          <w:tcPr>
            <w:tcW w:w="419" w:type="pct"/>
            <w:vAlign w:val="center"/>
          </w:tcPr>
          <w:p>
            <w:pPr>
              <w:pStyle w:val="63"/>
            </w:pPr>
            <w:r>
              <w:rPr>
                <w:szCs w:val="21"/>
              </w:rPr>
              <w:t>0.147</w:t>
            </w:r>
          </w:p>
        </w:tc>
        <w:tc>
          <w:tcPr>
            <w:tcW w:w="457" w:type="pct"/>
            <w:vAlign w:val="center"/>
          </w:tcPr>
          <w:p>
            <w:pPr>
              <w:pStyle w:val="63"/>
            </w:pPr>
            <w:r>
              <w:rPr>
                <w:szCs w:val="21"/>
              </w:rPr>
              <w:t>1.0584</w:t>
            </w:r>
          </w:p>
        </w:tc>
        <w:tc>
          <w:tcPr>
            <w:tcW w:w="316" w:type="pct"/>
            <w:vMerge w:val="continue"/>
            <w:vAlign w:val="center"/>
          </w:tcPr>
          <w:p>
            <w:pPr>
              <w:pStyle w:val="63"/>
            </w:pPr>
          </w:p>
        </w:tc>
        <w:tc>
          <w:tcPr>
            <w:tcW w:w="435" w:type="pct"/>
            <w:vAlign w:val="center"/>
          </w:tcPr>
          <w:p>
            <w:pPr>
              <w:pStyle w:val="63"/>
            </w:pPr>
            <w:r>
              <w:t>/</w:t>
            </w:r>
          </w:p>
        </w:tc>
        <w:tc>
          <w:tcPr>
            <w:tcW w:w="435" w:type="pct"/>
            <w:vAlign w:val="center"/>
          </w:tcPr>
          <w:p>
            <w:pPr>
              <w:pStyle w:val="63"/>
            </w:pPr>
            <w:r>
              <w:rPr>
                <w:szCs w:val="21"/>
              </w:rPr>
              <w:t>7.35</w:t>
            </w:r>
          </w:p>
        </w:tc>
        <w:tc>
          <w:tcPr>
            <w:tcW w:w="427" w:type="pct"/>
            <w:vAlign w:val="center"/>
          </w:tcPr>
          <w:p>
            <w:pPr>
              <w:pStyle w:val="63"/>
            </w:pPr>
            <w:r>
              <w:rPr>
                <w:szCs w:val="21"/>
              </w:rPr>
              <w:t>0.147</w:t>
            </w:r>
          </w:p>
        </w:tc>
        <w:tc>
          <w:tcPr>
            <w:tcW w:w="428" w:type="pct"/>
            <w:vAlign w:val="center"/>
          </w:tcPr>
          <w:p>
            <w:pPr>
              <w:pStyle w:val="85"/>
              <w:rPr>
                <w:rFonts w:eastAsiaTheme="minorEastAsia"/>
                <w:color w:val="auto"/>
                <w:szCs w:val="21"/>
              </w:rPr>
            </w:pPr>
            <w:r>
              <w:rPr>
                <w:rFonts w:eastAsiaTheme="minorEastAsia"/>
                <w:color w:val="auto"/>
                <w:szCs w:val="21"/>
              </w:rPr>
              <w:t>1.0584</w:t>
            </w:r>
          </w:p>
        </w:tc>
        <w:tc>
          <w:tcPr>
            <w:tcW w:w="435" w:type="pct"/>
            <w:vAlign w:val="center"/>
          </w:tcPr>
          <w:p>
            <w:pPr>
              <w:pStyle w:val="63"/>
            </w:pPr>
            <w:r>
              <w:rPr>
                <w:szCs w:val="21"/>
              </w:rPr>
              <w:t>200</w:t>
            </w:r>
          </w:p>
        </w:tc>
        <w:tc>
          <w:tcPr>
            <w:tcW w:w="416"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4" w:type="pct"/>
            <w:vMerge w:val="continue"/>
            <w:vAlign w:val="center"/>
          </w:tcPr>
          <w:p>
            <w:pPr>
              <w:pStyle w:val="63"/>
            </w:pPr>
          </w:p>
        </w:tc>
        <w:tc>
          <w:tcPr>
            <w:tcW w:w="228" w:type="pct"/>
            <w:vMerge w:val="continue"/>
            <w:vAlign w:val="center"/>
          </w:tcPr>
          <w:p>
            <w:pPr>
              <w:pStyle w:val="63"/>
            </w:pPr>
          </w:p>
        </w:tc>
        <w:tc>
          <w:tcPr>
            <w:tcW w:w="334" w:type="pct"/>
            <w:vAlign w:val="center"/>
          </w:tcPr>
          <w:p>
            <w:pPr>
              <w:pStyle w:val="63"/>
            </w:pPr>
            <w:r>
              <w:t>NOx</w:t>
            </w:r>
          </w:p>
        </w:tc>
        <w:tc>
          <w:tcPr>
            <w:tcW w:w="435" w:type="pct"/>
            <w:vAlign w:val="center"/>
          </w:tcPr>
          <w:p>
            <w:pPr>
              <w:pStyle w:val="63"/>
            </w:pPr>
            <w:r>
              <w:rPr>
                <w:szCs w:val="21"/>
              </w:rPr>
              <w:t>137.62</w:t>
            </w:r>
          </w:p>
        </w:tc>
        <w:tc>
          <w:tcPr>
            <w:tcW w:w="419" w:type="pct"/>
            <w:vAlign w:val="center"/>
          </w:tcPr>
          <w:p>
            <w:pPr>
              <w:pStyle w:val="63"/>
            </w:pPr>
            <w:r>
              <w:rPr>
                <w:szCs w:val="21"/>
              </w:rPr>
              <w:t>2.75</w:t>
            </w:r>
          </w:p>
        </w:tc>
        <w:tc>
          <w:tcPr>
            <w:tcW w:w="457" w:type="pct"/>
            <w:vAlign w:val="center"/>
          </w:tcPr>
          <w:p>
            <w:pPr>
              <w:pStyle w:val="63"/>
            </w:pPr>
            <w:r>
              <w:rPr>
                <w:szCs w:val="21"/>
              </w:rPr>
              <w:t>19.818</w:t>
            </w:r>
          </w:p>
        </w:tc>
        <w:tc>
          <w:tcPr>
            <w:tcW w:w="316" w:type="pct"/>
            <w:vMerge w:val="continue"/>
            <w:vAlign w:val="center"/>
          </w:tcPr>
          <w:p>
            <w:pPr>
              <w:pStyle w:val="63"/>
            </w:pPr>
          </w:p>
        </w:tc>
        <w:tc>
          <w:tcPr>
            <w:tcW w:w="435" w:type="pct"/>
            <w:vAlign w:val="center"/>
          </w:tcPr>
          <w:p>
            <w:pPr>
              <w:pStyle w:val="63"/>
            </w:pPr>
            <w:r>
              <w:t>30%</w:t>
            </w:r>
          </w:p>
        </w:tc>
        <w:tc>
          <w:tcPr>
            <w:tcW w:w="435" w:type="pct"/>
            <w:vAlign w:val="center"/>
          </w:tcPr>
          <w:p>
            <w:pPr>
              <w:pStyle w:val="63"/>
            </w:pPr>
            <w:r>
              <w:rPr>
                <w:szCs w:val="21"/>
              </w:rPr>
              <w:t>96.3</w:t>
            </w:r>
          </w:p>
        </w:tc>
        <w:tc>
          <w:tcPr>
            <w:tcW w:w="427" w:type="pct"/>
            <w:vAlign w:val="center"/>
          </w:tcPr>
          <w:p>
            <w:pPr>
              <w:pStyle w:val="63"/>
            </w:pPr>
            <w:r>
              <w:rPr>
                <w:szCs w:val="21"/>
              </w:rPr>
              <w:t>1.92</w:t>
            </w:r>
          </w:p>
        </w:tc>
        <w:tc>
          <w:tcPr>
            <w:tcW w:w="428" w:type="pct"/>
            <w:vAlign w:val="center"/>
          </w:tcPr>
          <w:p>
            <w:pPr>
              <w:pStyle w:val="63"/>
            </w:pPr>
            <w:r>
              <w:rPr>
                <w:szCs w:val="21"/>
              </w:rPr>
              <w:t>13.872</w:t>
            </w:r>
          </w:p>
        </w:tc>
        <w:tc>
          <w:tcPr>
            <w:tcW w:w="435" w:type="pct"/>
            <w:vAlign w:val="center"/>
          </w:tcPr>
          <w:p>
            <w:pPr>
              <w:pStyle w:val="63"/>
            </w:pPr>
            <w:r>
              <w:rPr>
                <w:szCs w:val="21"/>
              </w:rPr>
              <w:t>200</w:t>
            </w:r>
          </w:p>
        </w:tc>
        <w:tc>
          <w:tcPr>
            <w:tcW w:w="416" w:type="pct"/>
            <w:vAlign w:val="center"/>
          </w:tcPr>
          <w:p>
            <w:pPr>
              <w:pStyle w:val="63"/>
            </w:pPr>
            <w:r>
              <w:t>达标</w:t>
            </w:r>
          </w:p>
        </w:tc>
      </w:tr>
      <w:bookmarkEnd w:id="183"/>
    </w:tbl>
    <w:p>
      <w:pPr>
        <w:spacing w:line="360" w:lineRule="auto"/>
        <w:ind w:firstLine="480" w:firstLineChars="200"/>
        <w:rPr>
          <w:rFonts w:ascii="Times New Roman" w:hAnsi="Times New Roman" w:cs="Times New Roman"/>
        </w:rPr>
      </w:pPr>
      <w:r>
        <w:rPr>
          <w:rFonts w:ascii="Times New Roman" w:hAnsi="Times New Roman" w:cs="Times New Roman"/>
        </w:rPr>
        <w:t>（7）无组织废气</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fldChar w:fldCharType="begin"/>
      </w:r>
      <w:r>
        <w:rPr>
          <w:rFonts w:ascii="Times New Roman" w:hAnsi="Times New Roman" w:cs="Times New Roman"/>
          <w:u w:val="single"/>
        </w:rPr>
        <w:instrText xml:space="preserve"> = 1 \* GB3 </w:instrText>
      </w:r>
      <w:r>
        <w:rPr>
          <w:rFonts w:ascii="Times New Roman" w:hAnsi="Times New Roman" w:cs="Times New Roman"/>
          <w:u w:val="single"/>
        </w:rPr>
        <w:fldChar w:fldCharType="separate"/>
      </w:r>
      <w:r>
        <w:rPr>
          <w:rFonts w:hint="eastAsia" w:ascii="宋体" w:hAnsi="宋体" w:eastAsia="宋体" w:cs="宋体"/>
          <w:u w:val="single"/>
        </w:rPr>
        <w:t>①</w:t>
      </w:r>
      <w:r>
        <w:rPr>
          <w:rFonts w:ascii="Times New Roman" w:hAnsi="Times New Roman" w:cs="Times New Roman"/>
          <w:u w:val="single"/>
        </w:rPr>
        <w:fldChar w:fldCharType="end"/>
      </w:r>
      <w:r>
        <w:rPr>
          <w:rFonts w:ascii="Times New Roman" w:hAnsi="Times New Roman" w:cs="Times New Roman"/>
          <w:u w:val="single"/>
        </w:rPr>
        <w:t>酸储罐废气</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项目厂内设有1个200m</w:t>
      </w:r>
      <w:r>
        <w:rPr>
          <w:rFonts w:ascii="Times New Roman" w:hAnsi="Times New Roman" w:cs="Times New Roman"/>
          <w:u w:val="single"/>
          <w:vertAlign w:val="superscript"/>
        </w:rPr>
        <w:t>3</w:t>
      </w:r>
      <w:r>
        <w:rPr>
          <w:rFonts w:ascii="Times New Roman" w:hAnsi="Times New Roman" w:cs="Times New Roman"/>
          <w:u w:val="single"/>
        </w:rPr>
        <w:t>的硫酸储罐、1个200m</w:t>
      </w:r>
      <w:r>
        <w:rPr>
          <w:rFonts w:ascii="Times New Roman" w:hAnsi="Times New Roman" w:cs="Times New Roman"/>
          <w:u w:val="single"/>
          <w:vertAlign w:val="superscript"/>
        </w:rPr>
        <w:t>3</w:t>
      </w:r>
      <w:r>
        <w:rPr>
          <w:rFonts w:ascii="Times New Roman" w:hAnsi="Times New Roman" w:cs="Times New Roman"/>
          <w:u w:val="single"/>
        </w:rPr>
        <w:t>的液碱储罐。装置均为密闭系统，正常情况下不会产生气体泄漏，当管道、法兰、阀门等设备密封不严时会有微量泄露，主要污染物为硫酸雾。依据《大气环境影响评价实用技术》（王栋成主编）相关统计，拟建项目罐区泄漏量为年用量的0.05‰。拟建项目年用硫酸11480.00吨，其硫酸雾无组织排放为0.57t/a。</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hint="eastAsia" w:ascii="宋体" w:hAnsi="宋体" w:eastAsia="宋体" w:cs="宋体"/>
        </w:rPr>
        <w:t>②</w:t>
      </w:r>
      <w:r>
        <w:rPr>
          <w:rFonts w:ascii="Times New Roman" w:hAnsi="Times New Roman" w:cs="Times New Roman"/>
        </w:rPr>
        <w:fldChar w:fldCharType="end"/>
      </w:r>
      <w:r>
        <w:rPr>
          <w:rFonts w:ascii="Times New Roman" w:hAnsi="Times New Roman" w:cs="Times New Roman"/>
        </w:rPr>
        <w:t>车间无组织废气</w:t>
      </w:r>
    </w:p>
    <w:p>
      <w:pPr>
        <w:spacing w:line="360" w:lineRule="auto"/>
        <w:ind w:firstLine="480" w:firstLineChars="200"/>
        <w:rPr>
          <w:rFonts w:ascii="Times New Roman" w:hAnsi="Times New Roman" w:cs="Times New Roman"/>
        </w:rPr>
      </w:pPr>
      <w:r>
        <w:rPr>
          <w:rFonts w:ascii="Times New Roman" w:hAnsi="Times New Roman" w:cs="Times New Roman"/>
        </w:rPr>
        <w:t>本项目浸出工段浸出槽及萃取槽均采用全密闭。在对生产中产生酸雾的各节点采取有效收集处理措施后，基本没有明显的无组织排放的酸雾，仅在项目酸浸车间设备及管道的跑冒滴漏会挥发产生少量的硫酸雾。根据同类企业的生产情况类比，估算本项目硫酸雾的无组织排放约为0.1t/a。</w:t>
      </w:r>
    </w:p>
    <w:p>
      <w:pPr>
        <w:spacing w:line="360" w:lineRule="auto"/>
        <w:ind w:firstLine="480" w:firstLineChars="200"/>
        <w:rPr>
          <w:rFonts w:ascii="Times New Roman" w:hAnsi="Times New Roman" w:cs="Times New Roman"/>
        </w:rPr>
      </w:pPr>
      <w:r>
        <w:rPr>
          <w:rFonts w:ascii="Times New Roman" w:hAnsi="Times New Roman" w:cs="Times New Roman"/>
        </w:rPr>
        <w:t>（8）食堂油烟</w:t>
      </w:r>
    </w:p>
    <w:p>
      <w:pPr>
        <w:spacing w:line="360" w:lineRule="auto"/>
        <w:ind w:firstLine="480" w:firstLineChars="200"/>
        <w:rPr>
          <w:rFonts w:ascii="Times New Roman" w:hAnsi="Times New Roman" w:cs="Times New Roman"/>
        </w:rPr>
      </w:pPr>
      <w:r>
        <w:rPr>
          <w:rFonts w:ascii="Times New Roman" w:hAnsi="Times New Roman" w:cs="Times New Roman"/>
        </w:rPr>
        <w:t>项目食堂设置一个灶头，风量为5000m</w:t>
      </w:r>
      <w:r>
        <w:rPr>
          <w:rFonts w:ascii="Times New Roman" w:hAnsi="Times New Roman" w:cs="Times New Roman"/>
          <w:vertAlign w:val="superscript"/>
        </w:rPr>
        <w:t>3</w:t>
      </w:r>
      <w:r>
        <w:rPr>
          <w:rFonts w:ascii="Times New Roman" w:hAnsi="Times New Roman" w:cs="Times New Roman"/>
        </w:rPr>
        <w:t>/h，每日最大就餐人数为188人，根据类比调查和有关资料显示，每人每天耗食油量约为30克，食品在炒作时油烟的挥发量为总耗油量的3%左右，则项目食堂油烟产生量为169.2kg/a，产生速率为0.094kg/h，油烟产生浓度为18.8mg/m</w:t>
      </w:r>
      <w:r>
        <w:rPr>
          <w:rFonts w:ascii="Times New Roman" w:hAnsi="Times New Roman" w:cs="Times New Roman"/>
          <w:vertAlign w:val="superscript"/>
        </w:rPr>
        <w:t>3</w:t>
      </w:r>
      <w:r>
        <w:rPr>
          <w:rFonts w:ascii="Times New Roman" w:hAnsi="Times New Roman" w:cs="Times New Roman"/>
        </w:rPr>
        <w:t>。食堂油烟经油烟净化装置（效率90%）处理后，排放浓度1.88mg/m</w:t>
      </w:r>
      <w:r>
        <w:rPr>
          <w:rFonts w:ascii="Times New Roman" w:hAnsi="Times New Roman" w:cs="Times New Roman"/>
          <w:vertAlign w:val="superscript"/>
        </w:rPr>
        <w:t>3</w:t>
      </w:r>
      <w:r>
        <w:rPr>
          <w:rFonts w:ascii="Times New Roman" w:hAnsi="Times New Roman" w:cs="Times New Roman"/>
        </w:rPr>
        <w:t>，其排放浓度可满足《饮食业油烟排放标准（试行）》（GB18483-2001）的浓度限值要求（2.0mg/m</w:t>
      </w:r>
      <w:r>
        <w:rPr>
          <w:rFonts w:ascii="Times New Roman" w:hAnsi="Times New Roman" w:cs="Times New Roman"/>
          <w:vertAlign w:val="superscript"/>
        </w:rPr>
        <w:t>3</w:t>
      </w:r>
      <w:r>
        <w:rPr>
          <w:rFonts w:ascii="Times New Roman" w:hAnsi="Times New Roman" w:cs="Times New Roman"/>
        </w:rPr>
        <w:t>）。</w:t>
      </w:r>
    </w:p>
    <w:p>
      <w:pPr>
        <w:spacing w:line="360" w:lineRule="auto"/>
        <w:ind w:firstLine="480" w:firstLineChars="200"/>
        <w:rPr>
          <w:rFonts w:ascii="Times New Roman" w:hAnsi="Times New Roman" w:cs="Times New Roman"/>
          <w:highlight w:val="yellow"/>
        </w:rPr>
        <w:sectPr>
          <w:pgSz w:w="11907" w:h="16840"/>
          <w:pgMar w:top="1440" w:right="1797" w:bottom="1440" w:left="1797" w:header="964" w:footer="851" w:gutter="0"/>
          <w:cols w:space="720" w:num="1"/>
          <w:docGrid w:linePitch="326" w:charSpace="200"/>
        </w:sectPr>
      </w:pPr>
    </w:p>
    <w:p>
      <w:pPr>
        <w:pStyle w:val="6"/>
        <w:rPr>
          <w:rFonts w:ascii="Times New Roman" w:hAnsi="Times New Roman" w:cs="Times New Roman"/>
        </w:rPr>
      </w:pPr>
      <w:bookmarkStart w:id="184" w:name="_Hlk90304526"/>
      <w:r>
        <w:rPr>
          <w:rFonts w:ascii="Times New Roman" w:hAnsi="Times New Roman" w:cs="Times New Roman"/>
        </w:rPr>
        <w:t>表3.2-</w:t>
      </w:r>
      <w:r>
        <w:rPr>
          <w:rFonts w:hint="eastAsia" w:ascii="Times New Roman" w:hAnsi="Times New Roman" w:cs="Times New Roman"/>
        </w:rPr>
        <w:t>24</w:t>
      </w:r>
      <w:r>
        <w:rPr>
          <w:rFonts w:ascii="Times New Roman" w:hAnsi="Times New Roman" w:cs="Times New Roman"/>
        </w:rPr>
        <w:t xml:space="preserve">  全厂废气排放情况汇总表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68"/>
        <w:gridCol w:w="1333"/>
        <w:gridCol w:w="803"/>
        <w:gridCol w:w="799"/>
        <w:gridCol w:w="941"/>
        <w:gridCol w:w="849"/>
        <w:gridCol w:w="710"/>
        <w:gridCol w:w="710"/>
        <w:gridCol w:w="991"/>
        <w:gridCol w:w="1136"/>
        <w:gridCol w:w="707"/>
        <w:gridCol w:w="852"/>
        <w:gridCol w:w="849"/>
        <w:gridCol w:w="849"/>
        <w:gridCol w:w="849"/>
        <w:gridCol w:w="790"/>
        <w:gridCol w:w="85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60" w:type="pct"/>
            <w:vMerge w:val="restart"/>
            <w:vAlign w:val="center"/>
          </w:tcPr>
          <w:p>
            <w:pPr>
              <w:pStyle w:val="63"/>
            </w:pPr>
            <w:r>
              <w:t>排放</w:t>
            </w:r>
          </w:p>
          <w:p>
            <w:pPr>
              <w:pStyle w:val="63"/>
            </w:pPr>
            <w:r>
              <w:t>形式</w:t>
            </w:r>
          </w:p>
        </w:tc>
        <w:tc>
          <w:tcPr>
            <w:tcW w:w="451" w:type="pct"/>
            <w:vMerge w:val="restart"/>
            <w:vAlign w:val="center"/>
          </w:tcPr>
          <w:p>
            <w:pPr>
              <w:pStyle w:val="63"/>
            </w:pPr>
            <w:r>
              <w:t>污染物</w:t>
            </w:r>
          </w:p>
        </w:tc>
        <w:tc>
          <w:tcPr>
            <w:tcW w:w="860" w:type="pct"/>
            <w:gridSpan w:val="3"/>
            <w:vAlign w:val="center"/>
          </w:tcPr>
          <w:p>
            <w:pPr>
              <w:pStyle w:val="63"/>
            </w:pPr>
            <w:r>
              <w:t>产生情况</w:t>
            </w:r>
          </w:p>
        </w:tc>
        <w:tc>
          <w:tcPr>
            <w:tcW w:w="287" w:type="pct"/>
            <w:vMerge w:val="restart"/>
            <w:vAlign w:val="center"/>
          </w:tcPr>
          <w:p>
            <w:pPr>
              <w:pStyle w:val="63"/>
            </w:pPr>
            <w:r>
              <w:t>治理措施</w:t>
            </w:r>
          </w:p>
        </w:tc>
        <w:tc>
          <w:tcPr>
            <w:tcW w:w="240" w:type="pct"/>
            <w:vMerge w:val="restart"/>
            <w:vAlign w:val="center"/>
          </w:tcPr>
          <w:p>
            <w:pPr>
              <w:pStyle w:val="63"/>
            </w:pPr>
            <w:r>
              <w:t>治理效率</w:t>
            </w:r>
          </w:p>
        </w:tc>
        <w:tc>
          <w:tcPr>
            <w:tcW w:w="959" w:type="pct"/>
            <w:gridSpan w:val="3"/>
            <w:vAlign w:val="center"/>
          </w:tcPr>
          <w:p>
            <w:pPr>
              <w:pStyle w:val="63"/>
            </w:pPr>
            <w:r>
              <w:t>排放</w:t>
            </w:r>
          </w:p>
        </w:tc>
        <w:tc>
          <w:tcPr>
            <w:tcW w:w="527" w:type="pct"/>
            <w:gridSpan w:val="2"/>
            <w:vAlign w:val="center"/>
          </w:tcPr>
          <w:p>
            <w:pPr>
              <w:pStyle w:val="63"/>
            </w:pPr>
            <w:r>
              <w:t>标准</w:t>
            </w:r>
          </w:p>
        </w:tc>
        <w:tc>
          <w:tcPr>
            <w:tcW w:w="1128" w:type="pct"/>
            <w:gridSpan w:val="4"/>
            <w:vAlign w:val="center"/>
          </w:tcPr>
          <w:p>
            <w:pPr>
              <w:pStyle w:val="63"/>
            </w:pPr>
            <w:r>
              <w:t>排放参数</w:t>
            </w:r>
          </w:p>
        </w:tc>
        <w:tc>
          <w:tcPr>
            <w:tcW w:w="288" w:type="pct"/>
            <w:vMerge w:val="restart"/>
            <w:vAlign w:val="center"/>
          </w:tcPr>
          <w:p>
            <w:pPr>
              <w:pStyle w:val="63"/>
            </w:pPr>
            <w: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60" w:type="pct"/>
            <w:vMerge w:val="continue"/>
            <w:vAlign w:val="center"/>
          </w:tcPr>
          <w:p>
            <w:pPr>
              <w:pStyle w:val="63"/>
            </w:pPr>
          </w:p>
        </w:tc>
        <w:tc>
          <w:tcPr>
            <w:tcW w:w="451" w:type="pct"/>
            <w:vMerge w:val="continue"/>
            <w:vAlign w:val="center"/>
          </w:tcPr>
          <w:p>
            <w:pPr>
              <w:pStyle w:val="63"/>
            </w:pPr>
          </w:p>
        </w:tc>
        <w:tc>
          <w:tcPr>
            <w:tcW w:w="272" w:type="pct"/>
            <w:vAlign w:val="center"/>
          </w:tcPr>
          <w:p>
            <w:pPr>
              <w:pStyle w:val="63"/>
            </w:pPr>
            <w:r>
              <w:t>浓度mg/m3</w:t>
            </w:r>
          </w:p>
        </w:tc>
        <w:tc>
          <w:tcPr>
            <w:tcW w:w="270" w:type="pct"/>
            <w:vAlign w:val="center"/>
          </w:tcPr>
          <w:p>
            <w:pPr>
              <w:pStyle w:val="63"/>
            </w:pPr>
            <w:r>
              <w:t>速率kg/h</w:t>
            </w:r>
          </w:p>
        </w:tc>
        <w:tc>
          <w:tcPr>
            <w:tcW w:w="318" w:type="pct"/>
            <w:vAlign w:val="center"/>
          </w:tcPr>
          <w:p>
            <w:pPr>
              <w:pStyle w:val="63"/>
            </w:pPr>
            <w:r>
              <w:t>量</w:t>
            </w:r>
          </w:p>
          <w:p>
            <w:pPr>
              <w:pStyle w:val="63"/>
            </w:pPr>
            <w:r>
              <w:t>t/a</w:t>
            </w:r>
          </w:p>
        </w:tc>
        <w:tc>
          <w:tcPr>
            <w:tcW w:w="287" w:type="pct"/>
            <w:vMerge w:val="continue"/>
            <w:vAlign w:val="center"/>
          </w:tcPr>
          <w:p>
            <w:pPr>
              <w:pStyle w:val="63"/>
            </w:pPr>
          </w:p>
        </w:tc>
        <w:tc>
          <w:tcPr>
            <w:tcW w:w="240" w:type="pct"/>
            <w:vMerge w:val="continue"/>
            <w:vAlign w:val="center"/>
          </w:tcPr>
          <w:p>
            <w:pPr>
              <w:pStyle w:val="63"/>
            </w:pPr>
          </w:p>
        </w:tc>
        <w:tc>
          <w:tcPr>
            <w:tcW w:w="240" w:type="pct"/>
            <w:vAlign w:val="center"/>
          </w:tcPr>
          <w:p>
            <w:pPr>
              <w:pStyle w:val="63"/>
            </w:pPr>
            <w:r>
              <w:t>浓度mg/m3</w:t>
            </w:r>
          </w:p>
        </w:tc>
        <w:tc>
          <w:tcPr>
            <w:tcW w:w="335" w:type="pct"/>
            <w:vAlign w:val="center"/>
          </w:tcPr>
          <w:p>
            <w:pPr>
              <w:pStyle w:val="63"/>
            </w:pPr>
            <w:r>
              <w:t>速率kg/h</w:t>
            </w:r>
          </w:p>
        </w:tc>
        <w:tc>
          <w:tcPr>
            <w:tcW w:w="384" w:type="pct"/>
            <w:vAlign w:val="center"/>
          </w:tcPr>
          <w:p>
            <w:pPr>
              <w:pStyle w:val="63"/>
            </w:pPr>
            <w:r>
              <w:t>量</w:t>
            </w:r>
          </w:p>
          <w:p>
            <w:pPr>
              <w:pStyle w:val="63"/>
            </w:pPr>
            <w:r>
              <w:t>t/a</w:t>
            </w:r>
          </w:p>
        </w:tc>
        <w:tc>
          <w:tcPr>
            <w:tcW w:w="239" w:type="pct"/>
            <w:vAlign w:val="center"/>
          </w:tcPr>
          <w:p>
            <w:pPr>
              <w:pStyle w:val="63"/>
            </w:pPr>
            <w:r>
              <w:t>浓度mg/m3</w:t>
            </w:r>
          </w:p>
        </w:tc>
        <w:tc>
          <w:tcPr>
            <w:tcW w:w="288" w:type="pct"/>
            <w:vAlign w:val="center"/>
          </w:tcPr>
          <w:p>
            <w:pPr>
              <w:pStyle w:val="63"/>
            </w:pPr>
            <w:r>
              <w:t>速率</w:t>
            </w:r>
          </w:p>
          <w:p>
            <w:pPr>
              <w:pStyle w:val="63"/>
            </w:pPr>
            <w:r>
              <w:t>kg/h</w:t>
            </w:r>
          </w:p>
        </w:tc>
        <w:tc>
          <w:tcPr>
            <w:tcW w:w="287" w:type="pct"/>
            <w:vAlign w:val="center"/>
          </w:tcPr>
          <w:p>
            <w:pPr>
              <w:pStyle w:val="63"/>
            </w:pPr>
            <w:r>
              <w:t>排放温度</w:t>
            </w:r>
            <w:r>
              <w:rPr>
                <w:rFonts w:hint="eastAsia" w:ascii="宋体" w:hAnsi="宋体" w:eastAsia="宋体" w:cs="宋体"/>
              </w:rPr>
              <w:t>℃</w:t>
            </w:r>
          </w:p>
        </w:tc>
        <w:tc>
          <w:tcPr>
            <w:tcW w:w="287" w:type="pct"/>
            <w:vAlign w:val="center"/>
          </w:tcPr>
          <w:p>
            <w:pPr>
              <w:pStyle w:val="63"/>
            </w:pPr>
            <w:r>
              <w:t>排气筒高度/m</w:t>
            </w:r>
          </w:p>
        </w:tc>
        <w:tc>
          <w:tcPr>
            <w:tcW w:w="287" w:type="pct"/>
            <w:vAlign w:val="center"/>
          </w:tcPr>
          <w:p>
            <w:pPr>
              <w:pStyle w:val="63"/>
            </w:pPr>
            <w:r>
              <w:t>排气筒内径/m</w:t>
            </w:r>
          </w:p>
        </w:tc>
        <w:tc>
          <w:tcPr>
            <w:tcW w:w="267" w:type="pct"/>
            <w:vAlign w:val="center"/>
          </w:tcPr>
          <w:p>
            <w:pPr>
              <w:pStyle w:val="63"/>
            </w:pPr>
            <w:r>
              <w:t>烟气量m3/h</w:t>
            </w:r>
          </w:p>
        </w:tc>
        <w:tc>
          <w:tcPr>
            <w:tcW w:w="288"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restart"/>
            <w:vAlign w:val="center"/>
          </w:tcPr>
          <w:p>
            <w:pPr>
              <w:pStyle w:val="63"/>
            </w:pPr>
            <w:r>
              <w:t>P1预处理车间</w:t>
            </w:r>
          </w:p>
        </w:tc>
        <w:tc>
          <w:tcPr>
            <w:tcW w:w="451" w:type="pct"/>
            <w:vAlign w:val="center"/>
          </w:tcPr>
          <w:p>
            <w:pPr>
              <w:pStyle w:val="63"/>
            </w:pPr>
            <w:r>
              <w:t>颗粒物</w:t>
            </w:r>
          </w:p>
        </w:tc>
        <w:tc>
          <w:tcPr>
            <w:tcW w:w="272" w:type="pct"/>
            <w:vAlign w:val="center"/>
          </w:tcPr>
          <w:p>
            <w:pPr>
              <w:pStyle w:val="63"/>
              <w:rPr>
                <w:sz w:val="22"/>
              </w:rPr>
            </w:pPr>
            <w:r>
              <w:rPr>
                <w:sz w:val="22"/>
              </w:rPr>
              <w:t>3.844</w:t>
            </w:r>
          </w:p>
        </w:tc>
        <w:tc>
          <w:tcPr>
            <w:tcW w:w="270" w:type="pct"/>
            <w:vAlign w:val="center"/>
          </w:tcPr>
          <w:p>
            <w:pPr>
              <w:pStyle w:val="63"/>
              <w:rPr>
                <w:sz w:val="22"/>
              </w:rPr>
            </w:pPr>
            <w:r>
              <w:rPr>
                <w:sz w:val="22"/>
              </w:rPr>
              <w:t>0.173</w:t>
            </w:r>
          </w:p>
        </w:tc>
        <w:tc>
          <w:tcPr>
            <w:tcW w:w="318" w:type="pct"/>
            <w:vAlign w:val="center"/>
          </w:tcPr>
          <w:p>
            <w:pPr>
              <w:pStyle w:val="63"/>
            </w:pPr>
            <w:r>
              <w:t>1.371</w:t>
            </w:r>
          </w:p>
        </w:tc>
        <w:tc>
          <w:tcPr>
            <w:tcW w:w="287" w:type="pct"/>
            <w:vMerge w:val="restart"/>
            <w:vAlign w:val="center"/>
          </w:tcPr>
          <w:p>
            <w:pPr>
              <w:pStyle w:val="63"/>
            </w:pPr>
            <w:r>
              <w:t>废气焚烧+急冷+布袋除尘+三级水洗+碱液喷淋</w:t>
            </w:r>
          </w:p>
        </w:tc>
        <w:tc>
          <w:tcPr>
            <w:tcW w:w="240" w:type="pct"/>
            <w:vAlign w:val="center"/>
          </w:tcPr>
          <w:p>
            <w:pPr>
              <w:pStyle w:val="63"/>
            </w:pPr>
            <w:r>
              <w:t>99%</w:t>
            </w:r>
          </w:p>
        </w:tc>
        <w:tc>
          <w:tcPr>
            <w:tcW w:w="240" w:type="pct"/>
            <w:vAlign w:val="center"/>
          </w:tcPr>
          <w:p>
            <w:pPr>
              <w:pStyle w:val="63"/>
            </w:pPr>
            <w:r>
              <w:rPr>
                <w:szCs w:val="21"/>
              </w:rPr>
              <w:t>0.03844</w:t>
            </w:r>
          </w:p>
        </w:tc>
        <w:tc>
          <w:tcPr>
            <w:tcW w:w="335" w:type="pct"/>
            <w:vAlign w:val="center"/>
          </w:tcPr>
          <w:p>
            <w:pPr>
              <w:pStyle w:val="63"/>
            </w:pPr>
            <w:r>
              <w:rPr>
                <w:sz w:val="22"/>
              </w:rPr>
              <w:t>0.00173</w:t>
            </w:r>
          </w:p>
        </w:tc>
        <w:tc>
          <w:tcPr>
            <w:tcW w:w="384" w:type="pct"/>
            <w:vAlign w:val="center"/>
          </w:tcPr>
          <w:p>
            <w:pPr>
              <w:pStyle w:val="63"/>
            </w:pPr>
            <w:r>
              <w:rPr>
                <w:sz w:val="22"/>
              </w:rPr>
              <w:t>0.01371</w:t>
            </w:r>
          </w:p>
        </w:tc>
        <w:tc>
          <w:tcPr>
            <w:tcW w:w="239" w:type="pct"/>
            <w:vAlign w:val="center"/>
          </w:tcPr>
          <w:p>
            <w:pPr>
              <w:pStyle w:val="63"/>
            </w:pPr>
            <w:r>
              <w:t>120</w:t>
            </w:r>
          </w:p>
        </w:tc>
        <w:tc>
          <w:tcPr>
            <w:tcW w:w="288" w:type="pct"/>
            <w:vAlign w:val="center"/>
          </w:tcPr>
          <w:p>
            <w:pPr>
              <w:pStyle w:val="63"/>
            </w:pPr>
            <w:r>
              <w:t>23</w:t>
            </w:r>
          </w:p>
        </w:tc>
        <w:tc>
          <w:tcPr>
            <w:tcW w:w="287" w:type="pct"/>
            <w:vMerge w:val="restart"/>
            <w:vAlign w:val="center"/>
          </w:tcPr>
          <w:p>
            <w:pPr>
              <w:pStyle w:val="63"/>
            </w:pPr>
            <w:r>
              <w:t>25</w:t>
            </w:r>
          </w:p>
        </w:tc>
        <w:tc>
          <w:tcPr>
            <w:tcW w:w="287" w:type="pct"/>
            <w:vMerge w:val="restart"/>
            <w:vAlign w:val="center"/>
          </w:tcPr>
          <w:p>
            <w:pPr>
              <w:pStyle w:val="63"/>
            </w:pPr>
            <w:r>
              <w:t>30</w:t>
            </w:r>
          </w:p>
        </w:tc>
        <w:tc>
          <w:tcPr>
            <w:tcW w:w="287" w:type="pct"/>
            <w:vMerge w:val="restart"/>
            <w:vAlign w:val="center"/>
          </w:tcPr>
          <w:p>
            <w:pPr>
              <w:pStyle w:val="63"/>
            </w:pPr>
            <w:r>
              <w:t>1.2</w:t>
            </w:r>
          </w:p>
        </w:tc>
        <w:tc>
          <w:tcPr>
            <w:tcW w:w="267" w:type="pct"/>
            <w:vMerge w:val="restart"/>
            <w:vAlign w:val="center"/>
          </w:tcPr>
          <w:p>
            <w:pPr>
              <w:pStyle w:val="63"/>
            </w:pPr>
            <w:r>
              <w:t>45000</w:t>
            </w: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非甲烷总烃</w:t>
            </w:r>
          </w:p>
        </w:tc>
        <w:tc>
          <w:tcPr>
            <w:tcW w:w="272" w:type="pct"/>
            <w:vAlign w:val="center"/>
          </w:tcPr>
          <w:p>
            <w:pPr>
              <w:pStyle w:val="63"/>
              <w:rPr>
                <w:sz w:val="22"/>
              </w:rPr>
            </w:pPr>
            <w:r>
              <w:rPr>
                <w:sz w:val="22"/>
              </w:rPr>
              <w:t>6576.889</w:t>
            </w:r>
          </w:p>
        </w:tc>
        <w:tc>
          <w:tcPr>
            <w:tcW w:w="270" w:type="pct"/>
            <w:vAlign w:val="center"/>
          </w:tcPr>
          <w:p>
            <w:pPr>
              <w:pStyle w:val="63"/>
              <w:rPr>
                <w:sz w:val="22"/>
              </w:rPr>
            </w:pPr>
            <w:r>
              <w:rPr>
                <w:sz w:val="22"/>
              </w:rPr>
              <w:t>295.96</w:t>
            </w:r>
          </w:p>
        </w:tc>
        <w:tc>
          <w:tcPr>
            <w:tcW w:w="318" w:type="pct"/>
            <w:vAlign w:val="center"/>
          </w:tcPr>
          <w:p>
            <w:pPr>
              <w:pStyle w:val="63"/>
            </w:pPr>
            <w:r>
              <w:t>2344</w:t>
            </w:r>
          </w:p>
        </w:tc>
        <w:tc>
          <w:tcPr>
            <w:tcW w:w="287" w:type="pct"/>
            <w:vMerge w:val="continue"/>
            <w:vAlign w:val="center"/>
          </w:tcPr>
          <w:p>
            <w:pPr>
              <w:pStyle w:val="63"/>
            </w:pPr>
          </w:p>
        </w:tc>
        <w:tc>
          <w:tcPr>
            <w:tcW w:w="240" w:type="pct"/>
            <w:vAlign w:val="center"/>
          </w:tcPr>
          <w:p>
            <w:pPr>
              <w:pStyle w:val="63"/>
            </w:pPr>
            <w:r>
              <w:t>99.5%</w:t>
            </w:r>
          </w:p>
        </w:tc>
        <w:tc>
          <w:tcPr>
            <w:tcW w:w="240" w:type="pct"/>
            <w:vAlign w:val="center"/>
          </w:tcPr>
          <w:p>
            <w:pPr>
              <w:pStyle w:val="63"/>
            </w:pPr>
            <w:r>
              <w:rPr>
                <w:szCs w:val="21"/>
              </w:rPr>
              <w:t>32.8844</w:t>
            </w:r>
          </w:p>
        </w:tc>
        <w:tc>
          <w:tcPr>
            <w:tcW w:w="335" w:type="pct"/>
            <w:vAlign w:val="center"/>
          </w:tcPr>
          <w:p>
            <w:pPr>
              <w:pStyle w:val="63"/>
            </w:pPr>
            <w:r>
              <w:rPr>
                <w:szCs w:val="21"/>
              </w:rPr>
              <w:t>1.4798</w:t>
            </w:r>
          </w:p>
        </w:tc>
        <w:tc>
          <w:tcPr>
            <w:tcW w:w="384" w:type="pct"/>
            <w:vAlign w:val="center"/>
          </w:tcPr>
          <w:p>
            <w:pPr>
              <w:pStyle w:val="63"/>
            </w:pPr>
            <w:r>
              <w:rPr>
                <w:szCs w:val="21"/>
              </w:rPr>
              <w:t>11.72</w:t>
            </w:r>
          </w:p>
        </w:tc>
        <w:tc>
          <w:tcPr>
            <w:tcW w:w="239" w:type="pct"/>
            <w:vAlign w:val="center"/>
          </w:tcPr>
          <w:p>
            <w:pPr>
              <w:pStyle w:val="63"/>
            </w:pPr>
            <w:r>
              <w:t>120</w:t>
            </w:r>
          </w:p>
        </w:tc>
        <w:tc>
          <w:tcPr>
            <w:tcW w:w="288" w:type="pct"/>
            <w:vAlign w:val="center"/>
          </w:tcPr>
          <w:p>
            <w:pPr>
              <w:pStyle w:val="63"/>
            </w:pPr>
            <w:r>
              <w:t>53</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氟化物</w:t>
            </w:r>
          </w:p>
        </w:tc>
        <w:tc>
          <w:tcPr>
            <w:tcW w:w="272" w:type="pct"/>
            <w:vAlign w:val="center"/>
          </w:tcPr>
          <w:p>
            <w:pPr>
              <w:pStyle w:val="63"/>
              <w:rPr>
                <w:sz w:val="22"/>
              </w:rPr>
            </w:pPr>
            <w:r>
              <w:rPr>
                <w:sz w:val="22"/>
              </w:rPr>
              <w:t>660.444</w:t>
            </w:r>
          </w:p>
        </w:tc>
        <w:tc>
          <w:tcPr>
            <w:tcW w:w="270" w:type="pct"/>
            <w:vAlign w:val="center"/>
          </w:tcPr>
          <w:p>
            <w:pPr>
              <w:pStyle w:val="63"/>
              <w:rPr>
                <w:sz w:val="22"/>
              </w:rPr>
            </w:pPr>
            <w:r>
              <w:rPr>
                <w:sz w:val="22"/>
              </w:rPr>
              <w:t>29.72</w:t>
            </w:r>
          </w:p>
        </w:tc>
        <w:tc>
          <w:tcPr>
            <w:tcW w:w="318" w:type="pct"/>
            <w:vAlign w:val="center"/>
          </w:tcPr>
          <w:p>
            <w:pPr>
              <w:pStyle w:val="63"/>
            </w:pPr>
            <w:r>
              <w:t>214</w:t>
            </w:r>
          </w:p>
        </w:tc>
        <w:tc>
          <w:tcPr>
            <w:tcW w:w="287" w:type="pct"/>
            <w:vMerge w:val="continue"/>
            <w:vAlign w:val="center"/>
          </w:tcPr>
          <w:p>
            <w:pPr>
              <w:pStyle w:val="63"/>
            </w:pPr>
          </w:p>
        </w:tc>
        <w:tc>
          <w:tcPr>
            <w:tcW w:w="240" w:type="pct"/>
            <w:vAlign w:val="center"/>
          </w:tcPr>
          <w:p>
            <w:pPr>
              <w:pStyle w:val="63"/>
            </w:pPr>
            <w:r>
              <w:t>99.5%</w:t>
            </w:r>
          </w:p>
        </w:tc>
        <w:tc>
          <w:tcPr>
            <w:tcW w:w="240" w:type="pct"/>
            <w:vAlign w:val="center"/>
          </w:tcPr>
          <w:p>
            <w:pPr>
              <w:pStyle w:val="63"/>
            </w:pPr>
            <w:r>
              <w:rPr>
                <w:szCs w:val="21"/>
              </w:rPr>
              <w:t>3.30222</w:t>
            </w:r>
          </w:p>
        </w:tc>
        <w:tc>
          <w:tcPr>
            <w:tcW w:w="335" w:type="pct"/>
            <w:vAlign w:val="center"/>
          </w:tcPr>
          <w:p>
            <w:pPr>
              <w:pStyle w:val="63"/>
            </w:pPr>
            <w:r>
              <w:rPr>
                <w:szCs w:val="21"/>
              </w:rPr>
              <w:t>0.1486</w:t>
            </w:r>
          </w:p>
        </w:tc>
        <w:tc>
          <w:tcPr>
            <w:tcW w:w="384" w:type="pct"/>
            <w:vAlign w:val="center"/>
          </w:tcPr>
          <w:p>
            <w:pPr>
              <w:pStyle w:val="63"/>
            </w:pPr>
            <w:r>
              <w:rPr>
                <w:szCs w:val="21"/>
              </w:rPr>
              <w:t>1.07</w:t>
            </w:r>
          </w:p>
        </w:tc>
        <w:tc>
          <w:tcPr>
            <w:tcW w:w="239" w:type="pct"/>
            <w:vAlign w:val="center"/>
          </w:tcPr>
          <w:p>
            <w:pPr>
              <w:pStyle w:val="63"/>
            </w:pPr>
            <w:r>
              <w:t>9.0</w:t>
            </w:r>
          </w:p>
        </w:tc>
        <w:tc>
          <w:tcPr>
            <w:tcW w:w="288" w:type="pct"/>
            <w:vAlign w:val="center"/>
          </w:tcPr>
          <w:p>
            <w:pPr>
              <w:pStyle w:val="63"/>
            </w:pPr>
            <w:r>
              <w:t>0.59</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镍及其化合物</w:t>
            </w:r>
          </w:p>
        </w:tc>
        <w:tc>
          <w:tcPr>
            <w:tcW w:w="272" w:type="pct"/>
            <w:vAlign w:val="center"/>
          </w:tcPr>
          <w:p>
            <w:pPr>
              <w:pStyle w:val="63"/>
              <w:rPr>
                <w:sz w:val="22"/>
              </w:rPr>
            </w:pPr>
            <w:r>
              <w:rPr>
                <w:sz w:val="22"/>
              </w:rPr>
              <w:t>0.089</w:t>
            </w:r>
          </w:p>
        </w:tc>
        <w:tc>
          <w:tcPr>
            <w:tcW w:w="270" w:type="pct"/>
            <w:vAlign w:val="center"/>
          </w:tcPr>
          <w:p>
            <w:pPr>
              <w:pStyle w:val="63"/>
              <w:rPr>
                <w:sz w:val="22"/>
              </w:rPr>
            </w:pPr>
            <w:r>
              <w:rPr>
                <w:sz w:val="22"/>
              </w:rPr>
              <w:t>0.004</w:t>
            </w:r>
          </w:p>
        </w:tc>
        <w:tc>
          <w:tcPr>
            <w:tcW w:w="318" w:type="pct"/>
            <w:vAlign w:val="center"/>
          </w:tcPr>
          <w:p>
            <w:pPr>
              <w:pStyle w:val="63"/>
            </w:pPr>
            <w:r>
              <w:t>32.4 kg/a</w:t>
            </w:r>
          </w:p>
        </w:tc>
        <w:tc>
          <w:tcPr>
            <w:tcW w:w="287" w:type="pct"/>
            <w:vMerge w:val="continue"/>
            <w:vAlign w:val="center"/>
          </w:tcPr>
          <w:p>
            <w:pPr>
              <w:pStyle w:val="63"/>
            </w:pPr>
          </w:p>
        </w:tc>
        <w:tc>
          <w:tcPr>
            <w:tcW w:w="240" w:type="pct"/>
            <w:vAlign w:val="center"/>
          </w:tcPr>
          <w:p>
            <w:pPr>
              <w:pStyle w:val="63"/>
            </w:pPr>
            <w:r>
              <w:t>99%</w:t>
            </w:r>
          </w:p>
        </w:tc>
        <w:tc>
          <w:tcPr>
            <w:tcW w:w="240" w:type="pct"/>
            <w:vAlign w:val="center"/>
          </w:tcPr>
          <w:p>
            <w:pPr>
              <w:pStyle w:val="63"/>
            </w:pPr>
            <w:r>
              <w:rPr>
                <w:szCs w:val="21"/>
              </w:rPr>
              <w:t>0.00089</w:t>
            </w:r>
          </w:p>
        </w:tc>
        <w:tc>
          <w:tcPr>
            <w:tcW w:w="335" w:type="pct"/>
            <w:vAlign w:val="center"/>
          </w:tcPr>
          <w:p>
            <w:pPr>
              <w:pStyle w:val="63"/>
            </w:pPr>
            <w:r>
              <w:rPr>
                <w:szCs w:val="21"/>
              </w:rPr>
              <w:t>0.00004</w:t>
            </w:r>
          </w:p>
        </w:tc>
        <w:tc>
          <w:tcPr>
            <w:tcW w:w="384" w:type="pct"/>
            <w:vAlign w:val="center"/>
          </w:tcPr>
          <w:p>
            <w:pPr>
              <w:pStyle w:val="63"/>
            </w:pPr>
            <w:r>
              <w:rPr>
                <w:szCs w:val="21"/>
              </w:rPr>
              <w:t>0.324kg/a</w:t>
            </w:r>
          </w:p>
        </w:tc>
        <w:tc>
          <w:tcPr>
            <w:tcW w:w="239" w:type="pct"/>
            <w:vAlign w:val="center"/>
          </w:tcPr>
          <w:p>
            <w:pPr>
              <w:pStyle w:val="63"/>
            </w:pPr>
            <w:r>
              <w:t>4.32</w:t>
            </w:r>
          </w:p>
        </w:tc>
        <w:tc>
          <w:tcPr>
            <w:tcW w:w="288" w:type="pct"/>
            <w:vAlign w:val="center"/>
          </w:tcPr>
          <w:p>
            <w:pPr>
              <w:pStyle w:val="63"/>
            </w:pPr>
            <w:r>
              <w:t>0.88</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钴及其化合物</w:t>
            </w:r>
          </w:p>
        </w:tc>
        <w:tc>
          <w:tcPr>
            <w:tcW w:w="272" w:type="pct"/>
            <w:vAlign w:val="center"/>
          </w:tcPr>
          <w:p>
            <w:pPr>
              <w:pStyle w:val="63"/>
              <w:rPr>
                <w:sz w:val="22"/>
              </w:rPr>
            </w:pPr>
            <w:r>
              <w:rPr>
                <w:sz w:val="22"/>
              </w:rPr>
              <w:t>0.036</w:t>
            </w:r>
          </w:p>
        </w:tc>
        <w:tc>
          <w:tcPr>
            <w:tcW w:w="270" w:type="pct"/>
            <w:vAlign w:val="center"/>
          </w:tcPr>
          <w:p>
            <w:pPr>
              <w:pStyle w:val="63"/>
              <w:rPr>
                <w:sz w:val="22"/>
              </w:rPr>
            </w:pPr>
            <w:r>
              <w:rPr>
                <w:sz w:val="22"/>
              </w:rPr>
              <w:t>0.0016</w:t>
            </w:r>
          </w:p>
        </w:tc>
        <w:tc>
          <w:tcPr>
            <w:tcW w:w="318" w:type="pct"/>
            <w:vAlign w:val="center"/>
          </w:tcPr>
          <w:p>
            <w:pPr>
              <w:pStyle w:val="63"/>
            </w:pPr>
            <w:r>
              <w:t>12.8kg/a</w:t>
            </w:r>
          </w:p>
        </w:tc>
        <w:tc>
          <w:tcPr>
            <w:tcW w:w="287" w:type="pct"/>
            <w:vMerge w:val="continue"/>
            <w:vAlign w:val="center"/>
          </w:tcPr>
          <w:p>
            <w:pPr>
              <w:pStyle w:val="63"/>
            </w:pPr>
          </w:p>
        </w:tc>
        <w:tc>
          <w:tcPr>
            <w:tcW w:w="240" w:type="pct"/>
            <w:vAlign w:val="center"/>
          </w:tcPr>
          <w:p>
            <w:pPr>
              <w:pStyle w:val="63"/>
            </w:pPr>
            <w:r>
              <w:t>99%</w:t>
            </w:r>
          </w:p>
        </w:tc>
        <w:tc>
          <w:tcPr>
            <w:tcW w:w="240" w:type="pct"/>
            <w:vAlign w:val="center"/>
          </w:tcPr>
          <w:p>
            <w:pPr>
              <w:pStyle w:val="63"/>
            </w:pPr>
            <w:r>
              <w:rPr>
                <w:szCs w:val="21"/>
              </w:rPr>
              <w:t>0.00036</w:t>
            </w:r>
          </w:p>
        </w:tc>
        <w:tc>
          <w:tcPr>
            <w:tcW w:w="335" w:type="pct"/>
            <w:vAlign w:val="center"/>
          </w:tcPr>
          <w:p>
            <w:pPr>
              <w:pStyle w:val="63"/>
            </w:pPr>
            <w:r>
              <w:rPr>
                <w:szCs w:val="21"/>
              </w:rPr>
              <w:t>0.000016</w:t>
            </w:r>
          </w:p>
        </w:tc>
        <w:tc>
          <w:tcPr>
            <w:tcW w:w="384" w:type="pct"/>
            <w:vAlign w:val="center"/>
          </w:tcPr>
          <w:p>
            <w:pPr>
              <w:pStyle w:val="63"/>
            </w:pPr>
            <w:r>
              <w:rPr>
                <w:szCs w:val="21"/>
              </w:rPr>
              <w:t>0.128kg/a</w:t>
            </w:r>
          </w:p>
        </w:tc>
        <w:tc>
          <w:tcPr>
            <w:tcW w:w="239" w:type="pct"/>
            <w:vAlign w:val="center"/>
          </w:tcPr>
          <w:p>
            <w:pPr>
              <w:pStyle w:val="63"/>
            </w:pPr>
            <w:r>
              <w:t>--</w:t>
            </w:r>
          </w:p>
        </w:tc>
        <w:tc>
          <w:tcPr>
            <w:tcW w:w="288" w:type="pct"/>
            <w:vAlign w:val="center"/>
          </w:tcPr>
          <w:p>
            <w:pPr>
              <w:pStyle w:val="63"/>
            </w:pPr>
            <w:r>
              <w:t>--</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锰及其化合物</w:t>
            </w:r>
          </w:p>
        </w:tc>
        <w:tc>
          <w:tcPr>
            <w:tcW w:w="272" w:type="pct"/>
            <w:vAlign w:val="center"/>
          </w:tcPr>
          <w:p>
            <w:pPr>
              <w:pStyle w:val="63"/>
              <w:rPr>
                <w:sz w:val="22"/>
              </w:rPr>
            </w:pPr>
            <w:r>
              <w:rPr>
                <w:sz w:val="22"/>
              </w:rPr>
              <w:t>0.056</w:t>
            </w:r>
          </w:p>
        </w:tc>
        <w:tc>
          <w:tcPr>
            <w:tcW w:w="270" w:type="pct"/>
            <w:vAlign w:val="center"/>
          </w:tcPr>
          <w:p>
            <w:pPr>
              <w:pStyle w:val="63"/>
              <w:rPr>
                <w:sz w:val="22"/>
              </w:rPr>
            </w:pPr>
            <w:r>
              <w:rPr>
                <w:sz w:val="22"/>
              </w:rPr>
              <w:t>0.0025</w:t>
            </w:r>
          </w:p>
        </w:tc>
        <w:tc>
          <w:tcPr>
            <w:tcW w:w="318" w:type="pct"/>
            <w:vAlign w:val="center"/>
          </w:tcPr>
          <w:p>
            <w:pPr>
              <w:pStyle w:val="63"/>
            </w:pPr>
            <w:r>
              <w:t>19.6kg/a</w:t>
            </w:r>
          </w:p>
        </w:tc>
        <w:tc>
          <w:tcPr>
            <w:tcW w:w="287" w:type="pct"/>
            <w:vMerge w:val="continue"/>
            <w:vAlign w:val="center"/>
          </w:tcPr>
          <w:p>
            <w:pPr>
              <w:pStyle w:val="63"/>
            </w:pPr>
          </w:p>
        </w:tc>
        <w:tc>
          <w:tcPr>
            <w:tcW w:w="240" w:type="pct"/>
            <w:vAlign w:val="center"/>
          </w:tcPr>
          <w:p>
            <w:pPr>
              <w:pStyle w:val="63"/>
            </w:pPr>
            <w:r>
              <w:t>99%</w:t>
            </w:r>
          </w:p>
        </w:tc>
        <w:tc>
          <w:tcPr>
            <w:tcW w:w="240" w:type="pct"/>
            <w:vAlign w:val="center"/>
          </w:tcPr>
          <w:p>
            <w:pPr>
              <w:pStyle w:val="63"/>
            </w:pPr>
            <w:r>
              <w:rPr>
                <w:szCs w:val="21"/>
              </w:rPr>
              <w:t>0.00056</w:t>
            </w:r>
          </w:p>
        </w:tc>
        <w:tc>
          <w:tcPr>
            <w:tcW w:w="335" w:type="pct"/>
            <w:vAlign w:val="center"/>
          </w:tcPr>
          <w:p>
            <w:pPr>
              <w:pStyle w:val="63"/>
            </w:pPr>
            <w:r>
              <w:rPr>
                <w:szCs w:val="21"/>
              </w:rPr>
              <w:t>0.000025</w:t>
            </w:r>
          </w:p>
        </w:tc>
        <w:tc>
          <w:tcPr>
            <w:tcW w:w="384" w:type="pct"/>
            <w:vAlign w:val="center"/>
          </w:tcPr>
          <w:p>
            <w:pPr>
              <w:pStyle w:val="63"/>
            </w:pPr>
            <w:r>
              <w:rPr>
                <w:szCs w:val="21"/>
              </w:rPr>
              <w:t>0.196kg/a</w:t>
            </w:r>
          </w:p>
        </w:tc>
        <w:tc>
          <w:tcPr>
            <w:tcW w:w="239" w:type="pct"/>
            <w:vAlign w:val="center"/>
          </w:tcPr>
          <w:p>
            <w:pPr>
              <w:pStyle w:val="63"/>
            </w:pPr>
            <w:r>
              <w:t>--</w:t>
            </w:r>
          </w:p>
        </w:tc>
        <w:tc>
          <w:tcPr>
            <w:tcW w:w="288" w:type="pct"/>
            <w:vAlign w:val="center"/>
          </w:tcPr>
          <w:p>
            <w:pPr>
              <w:pStyle w:val="63"/>
            </w:pPr>
            <w:r>
              <w:t>--</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SO</w:t>
            </w:r>
            <w:r>
              <w:rPr>
                <w:vertAlign w:val="subscript"/>
              </w:rPr>
              <w:t>2</w:t>
            </w:r>
          </w:p>
        </w:tc>
        <w:tc>
          <w:tcPr>
            <w:tcW w:w="272" w:type="pct"/>
            <w:vAlign w:val="center"/>
          </w:tcPr>
          <w:p>
            <w:pPr>
              <w:pStyle w:val="63"/>
              <w:rPr>
                <w:sz w:val="22"/>
              </w:rPr>
            </w:pPr>
            <w:r>
              <w:rPr>
                <w:sz w:val="22"/>
              </w:rPr>
              <w:t>0.044</w:t>
            </w:r>
          </w:p>
        </w:tc>
        <w:tc>
          <w:tcPr>
            <w:tcW w:w="270" w:type="pct"/>
            <w:vAlign w:val="center"/>
          </w:tcPr>
          <w:p>
            <w:pPr>
              <w:pStyle w:val="63"/>
              <w:rPr>
                <w:sz w:val="22"/>
              </w:rPr>
            </w:pPr>
            <w:r>
              <w:rPr>
                <w:sz w:val="22"/>
              </w:rPr>
              <w:t>0.002</w:t>
            </w:r>
          </w:p>
        </w:tc>
        <w:tc>
          <w:tcPr>
            <w:tcW w:w="318" w:type="pct"/>
            <w:vAlign w:val="center"/>
          </w:tcPr>
          <w:p>
            <w:pPr>
              <w:pStyle w:val="63"/>
            </w:pPr>
            <w:r>
              <w:t>0.013</w:t>
            </w:r>
          </w:p>
        </w:tc>
        <w:tc>
          <w:tcPr>
            <w:tcW w:w="287" w:type="pct"/>
            <w:vMerge w:val="continue"/>
            <w:vAlign w:val="center"/>
          </w:tcPr>
          <w:p>
            <w:pPr>
              <w:pStyle w:val="63"/>
            </w:pPr>
          </w:p>
        </w:tc>
        <w:tc>
          <w:tcPr>
            <w:tcW w:w="240" w:type="pct"/>
            <w:vAlign w:val="center"/>
          </w:tcPr>
          <w:p>
            <w:pPr>
              <w:pStyle w:val="63"/>
            </w:pPr>
            <w:r>
              <w:t>80%</w:t>
            </w:r>
          </w:p>
        </w:tc>
        <w:tc>
          <w:tcPr>
            <w:tcW w:w="240" w:type="pct"/>
            <w:vAlign w:val="center"/>
          </w:tcPr>
          <w:p>
            <w:pPr>
              <w:pStyle w:val="63"/>
            </w:pPr>
            <w:r>
              <w:rPr>
                <w:szCs w:val="21"/>
              </w:rPr>
              <w:t>0.00889</w:t>
            </w:r>
          </w:p>
        </w:tc>
        <w:tc>
          <w:tcPr>
            <w:tcW w:w="335" w:type="pct"/>
            <w:vAlign w:val="center"/>
          </w:tcPr>
          <w:p>
            <w:pPr>
              <w:pStyle w:val="63"/>
            </w:pPr>
            <w:r>
              <w:rPr>
                <w:sz w:val="22"/>
              </w:rPr>
              <w:t>0.0004</w:t>
            </w:r>
          </w:p>
        </w:tc>
        <w:tc>
          <w:tcPr>
            <w:tcW w:w="384" w:type="pct"/>
            <w:vAlign w:val="center"/>
          </w:tcPr>
          <w:p>
            <w:pPr>
              <w:pStyle w:val="63"/>
            </w:pPr>
            <w:r>
              <w:rPr>
                <w:sz w:val="22"/>
              </w:rPr>
              <w:t>0.0026</w:t>
            </w:r>
          </w:p>
        </w:tc>
        <w:tc>
          <w:tcPr>
            <w:tcW w:w="239" w:type="pct"/>
            <w:vAlign w:val="center"/>
          </w:tcPr>
          <w:p>
            <w:pPr>
              <w:pStyle w:val="63"/>
            </w:pPr>
            <w:r>
              <w:t>550</w:t>
            </w:r>
          </w:p>
        </w:tc>
        <w:tc>
          <w:tcPr>
            <w:tcW w:w="288" w:type="pct"/>
            <w:vAlign w:val="center"/>
          </w:tcPr>
          <w:p>
            <w:pPr>
              <w:pStyle w:val="63"/>
            </w:pPr>
            <w:r>
              <w:t>15</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NOx</w:t>
            </w:r>
          </w:p>
        </w:tc>
        <w:tc>
          <w:tcPr>
            <w:tcW w:w="272" w:type="pct"/>
            <w:vAlign w:val="center"/>
          </w:tcPr>
          <w:p>
            <w:pPr>
              <w:pStyle w:val="63"/>
              <w:rPr>
                <w:sz w:val="22"/>
              </w:rPr>
            </w:pPr>
            <w:r>
              <w:rPr>
                <w:sz w:val="22"/>
              </w:rPr>
              <w:t>1.667</w:t>
            </w:r>
          </w:p>
        </w:tc>
        <w:tc>
          <w:tcPr>
            <w:tcW w:w="270" w:type="pct"/>
            <w:vAlign w:val="center"/>
          </w:tcPr>
          <w:p>
            <w:pPr>
              <w:pStyle w:val="63"/>
              <w:rPr>
                <w:sz w:val="22"/>
              </w:rPr>
            </w:pPr>
            <w:r>
              <w:rPr>
                <w:sz w:val="22"/>
              </w:rPr>
              <w:t>0.075</w:t>
            </w:r>
          </w:p>
        </w:tc>
        <w:tc>
          <w:tcPr>
            <w:tcW w:w="318" w:type="pct"/>
            <w:vAlign w:val="center"/>
          </w:tcPr>
          <w:p>
            <w:pPr>
              <w:pStyle w:val="63"/>
            </w:pPr>
            <w:r>
              <w:t>0.593</w:t>
            </w:r>
          </w:p>
        </w:tc>
        <w:tc>
          <w:tcPr>
            <w:tcW w:w="287" w:type="pct"/>
            <w:vMerge w:val="continue"/>
            <w:vAlign w:val="center"/>
          </w:tcPr>
          <w:p>
            <w:pPr>
              <w:pStyle w:val="63"/>
            </w:pPr>
          </w:p>
        </w:tc>
        <w:tc>
          <w:tcPr>
            <w:tcW w:w="240" w:type="pct"/>
            <w:vAlign w:val="center"/>
          </w:tcPr>
          <w:p>
            <w:pPr>
              <w:pStyle w:val="63"/>
            </w:pPr>
            <w:r>
              <w:t>0%</w:t>
            </w:r>
          </w:p>
        </w:tc>
        <w:tc>
          <w:tcPr>
            <w:tcW w:w="240" w:type="pct"/>
            <w:vAlign w:val="center"/>
          </w:tcPr>
          <w:p>
            <w:pPr>
              <w:pStyle w:val="63"/>
            </w:pPr>
            <w:r>
              <w:rPr>
                <w:szCs w:val="21"/>
              </w:rPr>
              <w:t>1.66667</w:t>
            </w:r>
          </w:p>
        </w:tc>
        <w:tc>
          <w:tcPr>
            <w:tcW w:w="335" w:type="pct"/>
            <w:vAlign w:val="center"/>
          </w:tcPr>
          <w:p>
            <w:pPr>
              <w:pStyle w:val="63"/>
            </w:pPr>
            <w:r>
              <w:rPr>
                <w:sz w:val="22"/>
              </w:rPr>
              <w:t>0.075</w:t>
            </w:r>
          </w:p>
        </w:tc>
        <w:tc>
          <w:tcPr>
            <w:tcW w:w="384" w:type="pct"/>
            <w:vAlign w:val="center"/>
          </w:tcPr>
          <w:p>
            <w:pPr>
              <w:pStyle w:val="63"/>
            </w:pPr>
            <w:r>
              <w:rPr>
                <w:sz w:val="22"/>
              </w:rPr>
              <w:t>0.593</w:t>
            </w:r>
          </w:p>
        </w:tc>
        <w:tc>
          <w:tcPr>
            <w:tcW w:w="239" w:type="pct"/>
            <w:vAlign w:val="center"/>
          </w:tcPr>
          <w:p>
            <w:pPr>
              <w:pStyle w:val="63"/>
            </w:pPr>
            <w:r>
              <w:t>240</w:t>
            </w:r>
          </w:p>
        </w:tc>
        <w:tc>
          <w:tcPr>
            <w:tcW w:w="288" w:type="pct"/>
            <w:vAlign w:val="center"/>
          </w:tcPr>
          <w:p>
            <w:pPr>
              <w:pStyle w:val="63"/>
            </w:pPr>
            <w:r>
              <w:t>4.4</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Align w:val="center"/>
          </w:tcPr>
          <w:p>
            <w:pPr>
              <w:pStyle w:val="63"/>
            </w:pPr>
            <w:r>
              <w:t>P2浸出车间</w:t>
            </w:r>
          </w:p>
        </w:tc>
        <w:tc>
          <w:tcPr>
            <w:tcW w:w="451" w:type="pct"/>
            <w:vAlign w:val="center"/>
          </w:tcPr>
          <w:p>
            <w:pPr>
              <w:pStyle w:val="63"/>
            </w:pPr>
            <w:r>
              <w:t>硫酸雾</w:t>
            </w:r>
          </w:p>
        </w:tc>
        <w:tc>
          <w:tcPr>
            <w:tcW w:w="272" w:type="pct"/>
            <w:vAlign w:val="center"/>
          </w:tcPr>
          <w:p>
            <w:pPr>
              <w:pStyle w:val="63"/>
            </w:pPr>
            <w:r>
              <w:t>267.67</w:t>
            </w:r>
          </w:p>
        </w:tc>
        <w:tc>
          <w:tcPr>
            <w:tcW w:w="270" w:type="pct"/>
            <w:vAlign w:val="center"/>
          </w:tcPr>
          <w:p>
            <w:pPr>
              <w:pStyle w:val="63"/>
            </w:pPr>
            <w:r>
              <w:t>8.03</w:t>
            </w:r>
          </w:p>
        </w:tc>
        <w:tc>
          <w:tcPr>
            <w:tcW w:w="318" w:type="pct"/>
            <w:vAlign w:val="center"/>
          </w:tcPr>
          <w:p>
            <w:pPr>
              <w:pStyle w:val="63"/>
            </w:pPr>
            <w:r>
              <w:t>63.6</w:t>
            </w:r>
          </w:p>
        </w:tc>
        <w:tc>
          <w:tcPr>
            <w:tcW w:w="287" w:type="pct"/>
            <w:vAlign w:val="center"/>
          </w:tcPr>
          <w:p>
            <w:pPr>
              <w:pStyle w:val="63"/>
            </w:pPr>
            <w:r>
              <w:t>碱喷淋酸雾吸收塔</w:t>
            </w:r>
          </w:p>
        </w:tc>
        <w:tc>
          <w:tcPr>
            <w:tcW w:w="240" w:type="pct"/>
            <w:vAlign w:val="center"/>
          </w:tcPr>
          <w:p>
            <w:pPr>
              <w:pStyle w:val="63"/>
            </w:pPr>
            <w:r>
              <w:t>95%</w:t>
            </w:r>
          </w:p>
        </w:tc>
        <w:tc>
          <w:tcPr>
            <w:tcW w:w="240" w:type="pct"/>
            <w:vAlign w:val="center"/>
          </w:tcPr>
          <w:p>
            <w:pPr>
              <w:pStyle w:val="63"/>
            </w:pPr>
            <w:r>
              <w:t>13.38</w:t>
            </w:r>
          </w:p>
        </w:tc>
        <w:tc>
          <w:tcPr>
            <w:tcW w:w="335" w:type="pct"/>
            <w:vAlign w:val="center"/>
          </w:tcPr>
          <w:p>
            <w:pPr>
              <w:pStyle w:val="63"/>
            </w:pPr>
            <w:r>
              <w:t>0.402</w:t>
            </w:r>
          </w:p>
        </w:tc>
        <w:tc>
          <w:tcPr>
            <w:tcW w:w="384" w:type="pct"/>
            <w:vAlign w:val="center"/>
          </w:tcPr>
          <w:p>
            <w:pPr>
              <w:pStyle w:val="63"/>
            </w:pPr>
            <w:r>
              <w:t>3.180</w:t>
            </w:r>
          </w:p>
        </w:tc>
        <w:tc>
          <w:tcPr>
            <w:tcW w:w="239" w:type="pct"/>
            <w:vAlign w:val="center"/>
          </w:tcPr>
          <w:p>
            <w:pPr>
              <w:pStyle w:val="63"/>
            </w:pPr>
            <w:r>
              <w:t>45</w:t>
            </w:r>
          </w:p>
        </w:tc>
        <w:tc>
          <w:tcPr>
            <w:tcW w:w="288" w:type="pct"/>
            <w:vAlign w:val="center"/>
          </w:tcPr>
          <w:p>
            <w:pPr>
              <w:pStyle w:val="63"/>
            </w:pPr>
            <w:r>
              <w:t>1.5</w:t>
            </w:r>
          </w:p>
        </w:tc>
        <w:tc>
          <w:tcPr>
            <w:tcW w:w="287" w:type="pct"/>
            <w:vAlign w:val="center"/>
          </w:tcPr>
          <w:p>
            <w:pPr>
              <w:pStyle w:val="63"/>
            </w:pPr>
            <w:r>
              <w:t>25</w:t>
            </w:r>
          </w:p>
        </w:tc>
        <w:tc>
          <w:tcPr>
            <w:tcW w:w="287" w:type="pct"/>
            <w:vAlign w:val="center"/>
          </w:tcPr>
          <w:p>
            <w:pPr>
              <w:pStyle w:val="63"/>
            </w:pPr>
            <w:r>
              <w:t>20</w:t>
            </w:r>
          </w:p>
        </w:tc>
        <w:tc>
          <w:tcPr>
            <w:tcW w:w="287" w:type="pct"/>
            <w:vAlign w:val="center"/>
          </w:tcPr>
          <w:p>
            <w:pPr>
              <w:pStyle w:val="63"/>
            </w:pPr>
            <w:r>
              <w:t>0.8</w:t>
            </w:r>
          </w:p>
        </w:tc>
        <w:tc>
          <w:tcPr>
            <w:tcW w:w="267" w:type="pct"/>
            <w:vAlign w:val="center"/>
          </w:tcPr>
          <w:p>
            <w:pPr>
              <w:pStyle w:val="63"/>
            </w:pPr>
            <w:r>
              <w:t>20000</w:t>
            </w: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43" w:hRule="atLeast"/>
          <w:jc w:val="center"/>
        </w:trPr>
        <w:tc>
          <w:tcPr>
            <w:tcW w:w="260" w:type="pct"/>
            <w:vMerge w:val="restart"/>
            <w:vAlign w:val="center"/>
          </w:tcPr>
          <w:p>
            <w:pPr>
              <w:pStyle w:val="63"/>
            </w:pPr>
            <w:r>
              <w:t>P3萃取车间</w:t>
            </w:r>
          </w:p>
        </w:tc>
        <w:tc>
          <w:tcPr>
            <w:tcW w:w="451" w:type="pct"/>
            <w:vAlign w:val="center"/>
          </w:tcPr>
          <w:p>
            <w:pPr>
              <w:pStyle w:val="63"/>
            </w:pPr>
            <w:r>
              <w:t>非甲烷总烃</w:t>
            </w:r>
          </w:p>
        </w:tc>
        <w:tc>
          <w:tcPr>
            <w:tcW w:w="272" w:type="pct"/>
            <w:vAlign w:val="center"/>
          </w:tcPr>
          <w:p>
            <w:pPr>
              <w:pStyle w:val="63"/>
            </w:pPr>
            <w:r>
              <w:t>52.5</w:t>
            </w:r>
          </w:p>
        </w:tc>
        <w:tc>
          <w:tcPr>
            <w:tcW w:w="270" w:type="pct"/>
            <w:vAlign w:val="center"/>
          </w:tcPr>
          <w:p>
            <w:pPr>
              <w:pStyle w:val="63"/>
            </w:pPr>
            <w:r>
              <w:t>1.05</w:t>
            </w:r>
          </w:p>
        </w:tc>
        <w:tc>
          <w:tcPr>
            <w:tcW w:w="318" w:type="pct"/>
            <w:vAlign w:val="center"/>
          </w:tcPr>
          <w:p>
            <w:pPr>
              <w:pStyle w:val="63"/>
            </w:pPr>
            <w:r>
              <w:t>7.56</w:t>
            </w:r>
          </w:p>
        </w:tc>
        <w:tc>
          <w:tcPr>
            <w:tcW w:w="287" w:type="pct"/>
            <w:vMerge w:val="restart"/>
            <w:vAlign w:val="center"/>
          </w:tcPr>
          <w:p>
            <w:pPr>
              <w:pStyle w:val="63"/>
            </w:pPr>
            <w:r>
              <w:t>酸雾净化+干式过滤器+活性炭吸附</w:t>
            </w:r>
          </w:p>
        </w:tc>
        <w:tc>
          <w:tcPr>
            <w:tcW w:w="240" w:type="pct"/>
            <w:vAlign w:val="center"/>
          </w:tcPr>
          <w:p>
            <w:pPr>
              <w:pStyle w:val="63"/>
            </w:pPr>
            <w:r>
              <w:t>70%</w:t>
            </w:r>
          </w:p>
        </w:tc>
        <w:tc>
          <w:tcPr>
            <w:tcW w:w="240" w:type="pct"/>
            <w:vAlign w:val="center"/>
          </w:tcPr>
          <w:p>
            <w:pPr>
              <w:pStyle w:val="63"/>
            </w:pPr>
            <w:r>
              <w:t>15.75</w:t>
            </w:r>
          </w:p>
        </w:tc>
        <w:tc>
          <w:tcPr>
            <w:tcW w:w="335" w:type="pct"/>
            <w:vAlign w:val="center"/>
          </w:tcPr>
          <w:p>
            <w:pPr>
              <w:pStyle w:val="63"/>
            </w:pPr>
            <w:r>
              <w:t>0.315</w:t>
            </w:r>
          </w:p>
        </w:tc>
        <w:tc>
          <w:tcPr>
            <w:tcW w:w="384" w:type="pct"/>
            <w:vAlign w:val="center"/>
          </w:tcPr>
          <w:p>
            <w:pPr>
              <w:pStyle w:val="63"/>
            </w:pPr>
            <w:r>
              <w:t>2.268</w:t>
            </w:r>
          </w:p>
        </w:tc>
        <w:tc>
          <w:tcPr>
            <w:tcW w:w="239" w:type="pct"/>
            <w:vAlign w:val="center"/>
          </w:tcPr>
          <w:p>
            <w:pPr>
              <w:pStyle w:val="63"/>
            </w:pPr>
            <w:r>
              <w:t>120</w:t>
            </w:r>
          </w:p>
        </w:tc>
        <w:tc>
          <w:tcPr>
            <w:tcW w:w="288" w:type="pct"/>
            <w:vAlign w:val="center"/>
          </w:tcPr>
          <w:p>
            <w:pPr>
              <w:pStyle w:val="63"/>
            </w:pPr>
            <w:r>
              <w:t>10</w:t>
            </w:r>
          </w:p>
        </w:tc>
        <w:tc>
          <w:tcPr>
            <w:tcW w:w="287" w:type="pct"/>
            <w:vMerge w:val="restart"/>
            <w:vAlign w:val="center"/>
          </w:tcPr>
          <w:p>
            <w:pPr>
              <w:pStyle w:val="63"/>
            </w:pPr>
            <w:r>
              <w:t>25</w:t>
            </w:r>
          </w:p>
        </w:tc>
        <w:tc>
          <w:tcPr>
            <w:tcW w:w="287" w:type="pct"/>
            <w:vMerge w:val="restart"/>
            <w:vAlign w:val="center"/>
          </w:tcPr>
          <w:p>
            <w:pPr>
              <w:pStyle w:val="63"/>
            </w:pPr>
            <w:r>
              <w:t>15</w:t>
            </w:r>
          </w:p>
        </w:tc>
        <w:tc>
          <w:tcPr>
            <w:tcW w:w="287" w:type="pct"/>
            <w:vMerge w:val="restart"/>
            <w:vAlign w:val="center"/>
          </w:tcPr>
          <w:p>
            <w:pPr>
              <w:pStyle w:val="63"/>
            </w:pPr>
            <w:r>
              <w:t>0.8</w:t>
            </w:r>
          </w:p>
        </w:tc>
        <w:tc>
          <w:tcPr>
            <w:tcW w:w="267" w:type="pct"/>
            <w:vMerge w:val="restart"/>
            <w:vAlign w:val="center"/>
          </w:tcPr>
          <w:p>
            <w:pPr>
              <w:pStyle w:val="63"/>
            </w:pPr>
            <w:r>
              <w:t>20000</w:t>
            </w: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硫酸雾</w:t>
            </w:r>
          </w:p>
        </w:tc>
        <w:tc>
          <w:tcPr>
            <w:tcW w:w="272" w:type="pct"/>
            <w:vAlign w:val="center"/>
          </w:tcPr>
          <w:p>
            <w:pPr>
              <w:pStyle w:val="63"/>
            </w:pPr>
            <w:r>
              <w:t>47.9</w:t>
            </w:r>
          </w:p>
        </w:tc>
        <w:tc>
          <w:tcPr>
            <w:tcW w:w="270" w:type="pct"/>
            <w:vAlign w:val="center"/>
          </w:tcPr>
          <w:p>
            <w:pPr>
              <w:pStyle w:val="63"/>
            </w:pPr>
            <w:r>
              <w:t>0.958</w:t>
            </w:r>
          </w:p>
        </w:tc>
        <w:tc>
          <w:tcPr>
            <w:tcW w:w="318" w:type="pct"/>
            <w:vAlign w:val="center"/>
          </w:tcPr>
          <w:p>
            <w:pPr>
              <w:pStyle w:val="63"/>
            </w:pPr>
            <w:r>
              <w:t>6.899</w:t>
            </w:r>
          </w:p>
        </w:tc>
        <w:tc>
          <w:tcPr>
            <w:tcW w:w="287" w:type="pct"/>
            <w:vMerge w:val="continue"/>
            <w:vAlign w:val="center"/>
          </w:tcPr>
          <w:p>
            <w:pPr>
              <w:pStyle w:val="63"/>
            </w:pPr>
          </w:p>
        </w:tc>
        <w:tc>
          <w:tcPr>
            <w:tcW w:w="240" w:type="pct"/>
            <w:vAlign w:val="center"/>
          </w:tcPr>
          <w:p>
            <w:pPr>
              <w:pStyle w:val="63"/>
            </w:pPr>
            <w:r>
              <w:t>95%</w:t>
            </w:r>
          </w:p>
        </w:tc>
        <w:tc>
          <w:tcPr>
            <w:tcW w:w="240" w:type="pct"/>
            <w:vAlign w:val="center"/>
          </w:tcPr>
          <w:p>
            <w:pPr>
              <w:pStyle w:val="63"/>
            </w:pPr>
            <w:r>
              <w:t>2.40</w:t>
            </w:r>
          </w:p>
        </w:tc>
        <w:tc>
          <w:tcPr>
            <w:tcW w:w="335" w:type="pct"/>
            <w:vAlign w:val="center"/>
          </w:tcPr>
          <w:p>
            <w:pPr>
              <w:pStyle w:val="63"/>
            </w:pPr>
            <w:r>
              <w:t>0.048</w:t>
            </w:r>
          </w:p>
        </w:tc>
        <w:tc>
          <w:tcPr>
            <w:tcW w:w="384" w:type="pct"/>
            <w:vAlign w:val="center"/>
          </w:tcPr>
          <w:p>
            <w:pPr>
              <w:pStyle w:val="63"/>
            </w:pPr>
            <w:r>
              <w:t>0.3450</w:t>
            </w:r>
          </w:p>
        </w:tc>
        <w:tc>
          <w:tcPr>
            <w:tcW w:w="239" w:type="pct"/>
            <w:vAlign w:val="center"/>
          </w:tcPr>
          <w:p>
            <w:pPr>
              <w:pStyle w:val="63"/>
            </w:pPr>
            <w:r>
              <w:t>45</w:t>
            </w:r>
          </w:p>
        </w:tc>
        <w:tc>
          <w:tcPr>
            <w:tcW w:w="288" w:type="pct"/>
            <w:vAlign w:val="center"/>
          </w:tcPr>
          <w:p>
            <w:pPr>
              <w:pStyle w:val="63"/>
            </w:pPr>
            <w:r>
              <w:t>1.5</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restart"/>
            <w:vAlign w:val="center"/>
          </w:tcPr>
          <w:p>
            <w:pPr>
              <w:pStyle w:val="63"/>
            </w:pPr>
            <w:r>
              <w:t>P4锅炉</w:t>
            </w:r>
          </w:p>
        </w:tc>
        <w:tc>
          <w:tcPr>
            <w:tcW w:w="451" w:type="pct"/>
            <w:vAlign w:val="center"/>
          </w:tcPr>
          <w:p>
            <w:pPr>
              <w:pStyle w:val="63"/>
            </w:pPr>
            <w:r>
              <w:t>颗粒物</w:t>
            </w:r>
          </w:p>
        </w:tc>
        <w:tc>
          <w:tcPr>
            <w:tcW w:w="272" w:type="pct"/>
            <w:vAlign w:val="center"/>
          </w:tcPr>
          <w:p>
            <w:pPr>
              <w:pStyle w:val="63"/>
            </w:pPr>
            <w:r>
              <w:rPr>
                <w:szCs w:val="21"/>
              </w:rPr>
              <w:t>67.5</w:t>
            </w:r>
          </w:p>
        </w:tc>
        <w:tc>
          <w:tcPr>
            <w:tcW w:w="270" w:type="pct"/>
            <w:vAlign w:val="center"/>
          </w:tcPr>
          <w:p>
            <w:pPr>
              <w:pStyle w:val="63"/>
            </w:pPr>
            <w:r>
              <w:rPr>
                <w:szCs w:val="21"/>
              </w:rPr>
              <w:t>1.35</w:t>
            </w:r>
          </w:p>
        </w:tc>
        <w:tc>
          <w:tcPr>
            <w:tcW w:w="318" w:type="pct"/>
            <w:vAlign w:val="center"/>
          </w:tcPr>
          <w:p>
            <w:pPr>
              <w:pStyle w:val="63"/>
            </w:pPr>
            <w:r>
              <w:rPr>
                <w:szCs w:val="21"/>
              </w:rPr>
              <w:t>9.72</w:t>
            </w:r>
          </w:p>
        </w:tc>
        <w:tc>
          <w:tcPr>
            <w:tcW w:w="287" w:type="pct"/>
            <w:vMerge w:val="restart"/>
            <w:vAlign w:val="center"/>
          </w:tcPr>
          <w:p>
            <w:pPr>
              <w:pStyle w:val="63"/>
            </w:pPr>
            <w:r>
              <w:t>低氮燃烧</w:t>
            </w:r>
          </w:p>
        </w:tc>
        <w:tc>
          <w:tcPr>
            <w:tcW w:w="240" w:type="pct"/>
            <w:vAlign w:val="center"/>
          </w:tcPr>
          <w:p>
            <w:pPr>
              <w:pStyle w:val="63"/>
            </w:pPr>
            <w:r>
              <w:t>95%</w:t>
            </w:r>
          </w:p>
        </w:tc>
        <w:tc>
          <w:tcPr>
            <w:tcW w:w="240" w:type="pct"/>
            <w:vAlign w:val="center"/>
          </w:tcPr>
          <w:p>
            <w:pPr>
              <w:pStyle w:val="63"/>
            </w:pPr>
            <w:r>
              <w:rPr>
                <w:szCs w:val="21"/>
              </w:rPr>
              <w:t>3.4</w:t>
            </w:r>
          </w:p>
        </w:tc>
        <w:tc>
          <w:tcPr>
            <w:tcW w:w="335" w:type="pct"/>
            <w:vAlign w:val="center"/>
          </w:tcPr>
          <w:p>
            <w:pPr>
              <w:pStyle w:val="63"/>
            </w:pPr>
            <w:r>
              <w:rPr>
                <w:szCs w:val="21"/>
              </w:rPr>
              <w:t>0.07</w:t>
            </w:r>
          </w:p>
        </w:tc>
        <w:tc>
          <w:tcPr>
            <w:tcW w:w="384" w:type="pct"/>
            <w:vAlign w:val="center"/>
          </w:tcPr>
          <w:p>
            <w:pPr>
              <w:pStyle w:val="63"/>
            </w:pPr>
            <w:r>
              <w:rPr>
                <w:szCs w:val="21"/>
              </w:rPr>
              <w:t>0.486</w:t>
            </w:r>
          </w:p>
        </w:tc>
        <w:tc>
          <w:tcPr>
            <w:tcW w:w="239" w:type="pct"/>
            <w:vAlign w:val="center"/>
          </w:tcPr>
          <w:p>
            <w:pPr>
              <w:pStyle w:val="63"/>
            </w:pPr>
            <w:r>
              <w:t>30</w:t>
            </w:r>
          </w:p>
        </w:tc>
        <w:tc>
          <w:tcPr>
            <w:tcW w:w="288" w:type="pct"/>
            <w:vAlign w:val="center"/>
          </w:tcPr>
          <w:p>
            <w:pPr>
              <w:pStyle w:val="63"/>
            </w:pPr>
            <w:r>
              <w:t>--</w:t>
            </w:r>
          </w:p>
        </w:tc>
        <w:tc>
          <w:tcPr>
            <w:tcW w:w="287" w:type="pct"/>
            <w:vMerge w:val="restart"/>
            <w:vAlign w:val="center"/>
          </w:tcPr>
          <w:p>
            <w:pPr>
              <w:pStyle w:val="63"/>
            </w:pPr>
            <w:r>
              <w:t>75</w:t>
            </w:r>
          </w:p>
        </w:tc>
        <w:tc>
          <w:tcPr>
            <w:tcW w:w="287" w:type="pct"/>
            <w:vMerge w:val="restart"/>
            <w:vAlign w:val="center"/>
          </w:tcPr>
          <w:p>
            <w:pPr>
              <w:pStyle w:val="63"/>
            </w:pPr>
            <w:r>
              <w:t>40</w:t>
            </w:r>
          </w:p>
        </w:tc>
        <w:tc>
          <w:tcPr>
            <w:tcW w:w="287" w:type="pct"/>
            <w:vMerge w:val="restart"/>
            <w:vAlign w:val="center"/>
          </w:tcPr>
          <w:p>
            <w:pPr>
              <w:pStyle w:val="63"/>
            </w:pPr>
            <w:r>
              <w:t>0.8</w:t>
            </w:r>
          </w:p>
        </w:tc>
        <w:tc>
          <w:tcPr>
            <w:tcW w:w="267" w:type="pct"/>
            <w:vMerge w:val="restart"/>
            <w:vAlign w:val="center"/>
          </w:tcPr>
          <w:p>
            <w:pPr>
              <w:pStyle w:val="63"/>
            </w:pPr>
            <w:r>
              <w:t>20000</w:t>
            </w: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SO</w:t>
            </w:r>
            <w:r>
              <w:rPr>
                <w:vertAlign w:val="subscript"/>
              </w:rPr>
              <w:t>2</w:t>
            </w:r>
          </w:p>
        </w:tc>
        <w:tc>
          <w:tcPr>
            <w:tcW w:w="272" w:type="pct"/>
            <w:vAlign w:val="center"/>
          </w:tcPr>
          <w:p>
            <w:pPr>
              <w:pStyle w:val="63"/>
            </w:pPr>
            <w:r>
              <w:rPr>
                <w:szCs w:val="21"/>
              </w:rPr>
              <w:t>7.35</w:t>
            </w:r>
          </w:p>
        </w:tc>
        <w:tc>
          <w:tcPr>
            <w:tcW w:w="270" w:type="pct"/>
            <w:vAlign w:val="center"/>
          </w:tcPr>
          <w:p>
            <w:pPr>
              <w:pStyle w:val="63"/>
            </w:pPr>
            <w:r>
              <w:rPr>
                <w:szCs w:val="21"/>
              </w:rPr>
              <w:t>0.147</w:t>
            </w:r>
          </w:p>
        </w:tc>
        <w:tc>
          <w:tcPr>
            <w:tcW w:w="318" w:type="pct"/>
            <w:vAlign w:val="center"/>
          </w:tcPr>
          <w:p>
            <w:pPr>
              <w:pStyle w:val="63"/>
            </w:pPr>
            <w:r>
              <w:rPr>
                <w:szCs w:val="21"/>
              </w:rPr>
              <w:t>1.0584</w:t>
            </w:r>
          </w:p>
        </w:tc>
        <w:tc>
          <w:tcPr>
            <w:tcW w:w="287" w:type="pct"/>
            <w:vMerge w:val="continue"/>
            <w:vAlign w:val="center"/>
          </w:tcPr>
          <w:p>
            <w:pPr>
              <w:pStyle w:val="63"/>
            </w:pPr>
          </w:p>
        </w:tc>
        <w:tc>
          <w:tcPr>
            <w:tcW w:w="240" w:type="pct"/>
            <w:vAlign w:val="center"/>
          </w:tcPr>
          <w:p>
            <w:pPr>
              <w:pStyle w:val="63"/>
            </w:pPr>
            <w:r>
              <w:t>/</w:t>
            </w:r>
          </w:p>
        </w:tc>
        <w:tc>
          <w:tcPr>
            <w:tcW w:w="240" w:type="pct"/>
            <w:vAlign w:val="center"/>
          </w:tcPr>
          <w:p>
            <w:pPr>
              <w:pStyle w:val="63"/>
            </w:pPr>
            <w:r>
              <w:rPr>
                <w:szCs w:val="21"/>
              </w:rPr>
              <w:t>7.35</w:t>
            </w:r>
          </w:p>
        </w:tc>
        <w:tc>
          <w:tcPr>
            <w:tcW w:w="335" w:type="pct"/>
            <w:vAlign w:val="center"/>
          </w:tcPr>
          <w:p>
            <w:pPr>
              <w:pStyle w:val="63"/>
            </w:pPr>
            <w:r>
              <w:rPr>
                <w:szCs w:val="21"/>
              </w:rPr>
              <w:t>0.147</w:t>
            </w:r>
          </w:p>
        </w:tc>
        <w:tc>
          <w:tcPr>
            <w:tcW w:w="384" w:type="pct"/>
            <w:vAlign w:val="center"/>
          </w:tcPr>
          <w:p>
            <w:pPr>
              <w:pStyle w:val="63"/>
            </w:pPr>
            <w:r>
              <w:rPr>
                <w:szCs w:val="21"/>
              </w:rPr>
              <w:t>1.0584</w:t>
            </w:r>
          </w:p>
        </w:tc>
        <w:tc>
          <w:tcPr>
            <w:tcW w:w="239" w:type="pct"/>
            <w:vAlign w:val="center"/>
          </w:tcPr>
          <w:p>
            <w:pPr>
              <w:pStyle w:val="63"/>
            </w:pPr>
            <w:r>
              <w:t>100</w:t>
            </w:r>
          </w:p>
        </w:tc>
        <w:tc>
          <w:tcPr>
            <w:tcW w:w="288" w:type="pct"/>
            <w:vAlign w:val="center"/>
          </w:tcPr>
          <w:p>
            <w:pPr>
              <w:pStyle w:val="63"/>
            </w:pPr>
            <w:r>
              <w:t>--</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NOx</w:t>
            </w:r>
          </w:p>
        </w:tc>
        <w:tc>
          <w:tcPr>
            <w:tcW w:w="272" w:type="pct"/>
            <w:vAlign w:val="center"/>
          </w:tcPr>
          <w:p>
            <w:pPr>
              <w:pStyle w:val="63"/>
            </w:pPr>
            <w:r>
              <w:rPr>
                <w:szCs w:val="21"/>
              </w:rPr>
              <w:t>137.62</w:t>
            </w:r>
          </w:p>
        </w:tc>
        <w:tc>
          <w:tcPr>
            <w:tcW w:w="270" w:type="pct"/>
            <w:vAlign w:val="center"/>
          </w:tcPr>
          <w:p>
            <w:pPr>
              <w:pStyle w:val="63"/>
            </w:pPr>
            <w:r>
              <w:rPr>
                <w:szCs w:val="21"/>
              </w:rPr>
              <w:t>2.75</w:t>
            </w:r>
          </w:p>
        </w:tc>
        <w:tc>
          <w:tcPr>
            <w:tcW w:w="318" w:type="pct"/>
            <w:vAlign w:val="center"/>
          </w:tcPr>
          <w:p>
            <w:pPr>
              <w:pStyle w:val="63"/>
            </w:pPr>
            <w:r>
              <w:rPr>
                <w:szCs w:val="21"/>
              </w:rPr>
              <w:t>19.818</w:t>
            </w:r>
          </w:p>
        </w:tc>
        <w:tc>
          <w:tcPr>
            <w:tcW w:w="287" w:type="pct"/>
            <w:vMerge w:val="continue"/>
            <w:vAlign w:val="center"/>
          </w:tcPr>
          <w:p>
            <w:pPr>
              <w:pStyle w:val="63"/>
            </w:pPr>
          </w:p>
        </w:tc>
        <w:tc>
          <w:tcPr>
            <w:tcW w:w="240" w:type="pct"/>
            <w:vAlign w:val="center"/>
          </w:tcPr>
          <w:p>
            <w:pPr>
              <w:pStyle w:val="63"/>
            </w:pPr>
            <w:r>
              <w:t>30%</w:t>
            </w:r>
          </w:p>
        </w:tc>
        <w:tc>
          <w:tcPr>
            <w:tcW w:w="240" w:type="pct"/>
            <w:vAlign w:val="center"/>
          </w:tcPr>
          <w:p>
            <w:pPr>
              <w:pStyle w:val="63"/>
            </w:pPr>
            <w:r>
              <w:rPr>
                <w:szCs w:val="21"/>
              </w:rPr>
              <w:t>96.3</w:t>
            </w:r>
          </w:p>
        </w:tc>
        <w:tc>
          <w:tcPr>
            <w:tcW w:w="335" w:type="pct"/>
            <w:vAlign w:val="center"/>
          </w:tcPr>
          <w:p>
            <w:pPr>
              <w:pStyle w:val="63"/>
            </w:pPr>
            <w:r>
              <w:rPr>
                <w:szCs w:val="21"/>
              </w:rPr>
              <w:t>1.92</w:t>
            </w:r>
          </w:p>
        </w:tc>
        <w:tc>
          <w:tcPr>
            <w:tcW w:w="384" w:type="pct"/>
            <w:vAlign w:val="center"/>
          </w:tcPr>
          <w:p>
            <w:pPr>
              <w:pStyle w:val="63"/>
            </w:pPr>
            <w:r>
              <w:rPr>
                <w:szCs w:val="21"/>
              </w:rPr>
              <w:t>13.872</w:t>
            </w:r>
          </w:p>
        </w:tc>
        <w:tc>
          <w:tcPr>
            <w:tcW w:w="239" w:type="pct"/>
            <w:vAlign w:val="center"/>
          </w:tcPr>
          <w:p>
            <w:pPr>
              <w:pStyle w:val="63"/>
            </w:pPr>
            <w:r>
              <w:t>400</w:t>
            </w:r>
          </w:p>
        </w:tc>
        <w:tc>
          <w:tcPr>
            <w:tcW w:w="288" w:type="pct"/>
            <w:vAlign w:val="center"/>
          </w:tcPr>
          <w:p>
            <w:pPr>
              <w:pStyle w:val="63"/>
            </w:pPr>
            <w:r>
              <w:t>--</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260" w:type="pct"/>
            <w:vAlign w:val="center"/>
          </w:tcPr>
          <w:p>
            <w:pPr>
              <w:pStyle w:val="63"/>
            </w:pPr>
            <w:r>
              <w:t>储罐废气</w:t>
            </w:r>
          </w:p>
        </w:tc>
        <w:tc>
          <w:tcPr>
            <w:tcW w:w="451" w:type="pct"/>
            <w:vAlign w:val="center"/>
          </w:tcPr>
          <w:p>
            <w:pPr>
              <w:pStyle w:val="63"/>
            </w:pPr>
            <w:r>
              <w:t>硫酸雾</w:t>
            </w:r>
          </w:p>
        </w:tc>
        <w:tc>
          <w:tcPr>
            <w:tcW w:w="272" w:type="pct"/>
            <w:vAlign w:val="center"/>
          </w:tcPr>
          <w:p>
            <w:pPr>
              <w:pStyle w:val="63"/>
            </w:pPr>
            <w:r>
              <w:t>--</w:t>
            </w:r>
          </w:p>
        </w:tc>
        <w:tc>
          <w:tcPr>
            <w:tcW w:w="270" w:type="pct"/>
            <w:vAlign w:val="center"/>
          </w:tcPr>
          <w:p>
            <w:pPr>
              <w:pStyle w:val="63"/>
            </w:pPr>
            <w:r>
              <w:t>0.08</w:t>
            </w:r>
          </w:p>
        </w:tc>
        <w:tc>
          <w:tcPr>
            <w:tcW w:w="318" w:type="pct"/>
            <w:vAlign w:val="center"/>
          </w:tcPr>
          <w:p>
            <w:pPr>
              <w:pStyle w:val="63"/>
            </w:pPr>
            <w:r>
              <w:t>0.57</w:t>
            </w:r>
          </w:p>
        </w:tc>
        <w:tc>
          <w:tcPr>
            <w:tcW w:w="287" w:type="pct"/>
            <w:vAlign w:val="center"/>
          </w:tcPr>
          <w:p>
            <w:pPr>
              <w:pStyle w:val="63"/>
            </w:pPr>
            <w:r>
              <w:t>--</w:t>
            </w:r>
          </w:p>
        </w:tc>
        <w:tc>
          <w:tcPr>
            <w:tcW w:w="240" w:type="pct"/>
            <w:vAlign w:val="center"/>
          </w:tcPr>
          <w:p>
            <w:pPr>
              <w:pStyle w:val="63"/>
            </w:pPr>
            <w:r>
              <w:t>--</w:t>
            </w:r>
          </w:p>
        </w:tc>
        <w:tc>
          <w:tcPr>
            <w:tcW w:w="240" w:type="pct"/>
            <w:vAlign w:val="center"/>
          </w:tcPr>
          <w:p>
            <w:pPr>
              <w:pStyle w:val="63"/>
            </w:pPr>
            <w:r>
              <w:t>--</w:t>
            </w:r>
          </w:p>
        </w:tc>
        <w:tc>
          <w:tcPr>
            <w:tcW w:w="335" w:type="pct"/>
            <w:vAlign w:val="center"/>
          </w:tcPr>
          <w:p>
            <w:pPr>
              <w:pStyle w:val="63"/>
            </w:pPr>
            <w:r>
              <w:t>0.08</w:t>
            </w:r>
          </w:p>
        </w:tc>
        <w:tc>
          <w:tcPr>
            <w:tcW w:w="384" w:type="pct"/>
            <w:vAlign w:val="center"/>
          </w:tcPr>
          <w:p>
            <w:pPr>
              <w:pStyle w:val="63"/>
            </w:pPr>
            <w:r>
              <w:t>0.57</w:t>
            </w:r>
          </w:p>
        </w:tc>
        <w:tc>
          <w:tcPr>
            <w:tcW w:w="239" w:type="pct"/>
            <w:vAlign w:val="center"/>
          </w:tcPr>
          <w:p>
            <w:pPr>
              <w:pStyle w:val="63"/>
            </w:pPr>
            <w:r>
              <w:t>1.2</w:t>
            </w:r>
          </w:p>
        </w:tc>
        <w:tc>
          <w:tcPr>
            <w:tcW w:w="288" w:type="pct"/>
            <w:vAlign w:val="center"/>
          </w:tcPr>
          <w:p>
            <w:pPr>
              <w:pStyle w:val="63"/>
            </w:pPr>
            <w:r>
              <w:t>--</w:t>
            </w:r>
          </w:p>
        </w:tc>
        <w:tc>
          <w:tcPr>
            <w:tcW w:w="287" w:type="pct"/>
            <w:vAlign w:val="center"/>
          </w:tcPr>
          <w:p>
            <w:pPr>
              <w:pStyle w:val="63"/>
            </w:pPr>
            <w:r>
              <w:t>--</w:t>
            </w:r>
          </w:p>
        </w:tc>
        <w:tc>
          <w:tcPr>
            <w:tcW w:w="287" w:type="pct"/>
            <w:vAlign w:val="center"/>
          </w:tcPr>
          <w:p>
            <w:pPr>
              <w:pStyle w:val="63"/>
            </w:pPr>
            <w:r>
              <w:t>--</w:t>
            </w:r>
          </w:p>
        </w:tc>
        <w:tc>
          <w:tcPr>
            <w:tcW w:w="287" w:type="pct"/>
            <w:vAlign w:val="center"/>
          </w:tcPr>
          <w:p>
            <w:pPr>
              <w:pStyle w:val="63"/>
            </w:pPr>
            <w:r>
              <w:t>--</w:t>
            </w:r>
          </w:p>
        </w:tc>
        <w:tc>
          <w:tcPr>
            <w:tcW w:w="267" w:type="pct"/>
            <w:vAlign w:val="center"/>
          </w:tcPr>
          <w:p>
            <w:pPr>
              <w:pStyle w:val="63"/>
            </w:pP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Align w:val="center"/>
          </w:tcPr>
          <w:p>
            <w:pPr>
              <w:pStyle w:val="63"/>
            </w:pPr>
            <w:r>
              <w:t>车间废气</w:t>
            </w:r>
          </w:p>
        </w:tc>
        <w:tc>
          <w:tcPr>
            <w:tcW w:w="451" w:type="pct"/>
            <w:vAlign w:val="center"/>
          </w:tcPr>
          <w:p>
            <w:pPr>
              <w:pStyle w:val="63"/>
            </w:pPr>
            <w:r>
              <w:t>硫酸雾</w:t>
            </w:r>
          </w:p>
        </w:tc>
        <w:tc>
          <w:tcPr>
            <w:tcW w:w="272" w:type="pct"/>
            <w:vAlign w:val="center"/>
          </w:tcPr>
          <w:p>
            <w:pPr>
              <w:pStyle w:val="63"/>
            </w:pPr>
            <w:r>
              <w:t>--</w:t>
            </w:r>
          </w:p>
        </w:tc>
        <w:tc>
          <w:tcPr>
            <w:tcW w:w="270" w:type="pct"/>
            <w:vAlign w:val="center"/>
          </w:tcPr>
          <w:p>
            <w:pPr>
              <w:pStyle w:val="63"/>
            </w:pPr>
            <w:r>
              <w:t>0.01</w:t>
            </w:r>
          </w:p>
        </w:tc>
        <w:tc>
          <w:tcPr>
            <w:tcW w:w="318" w:type="pct"/>
            <w:vAlign w:val="center"/>
          </w:tcPr>
          <w:p>
            <w:pPr>
              <w:pStyle w:val="63"/>
            </w:pPr>
            <w:r>
              <w:t>0.1</w:t>
            </w:r>
          </w:p>
        </w:tc>
        <w:tc>
          <w:tcPr>
            <w:tcW w:w="287" w:type="pct"/>
            <w:vAlign w:val="center"/>
          </w:tcPr>
          <w:p>
            <w:pPr>
              <w:pStyle w:val="63"/>
            </w:pPr>
            <w:r>
              <w:t>--</w:t>
            </w:r>
          </w:p>
        </w:tc>
        <w:tc>
          <w:tcPr>
            <w:tcW w:w="240" w:type="pct"/>
            <w:vAlign w:val="center"/>
          </w:tcPr>
          <w:p>
            <w:pPr>
              <w:pStyle w:val="63"/>
            </w:pPr>
            <w:r>
              <w:t>--</w:t>
            </w:r>
          </w:p>
        </w:tc>
        <w:tc>
          <w:tcPr>
            <w:tcW w:w="240" w:type="pct"/>
            <w:vAlign w:val="center"/>
          </w:tcPr>
          <w:p>
            <w:pPr>
              <w:pStyle w:val="63"/>
            </w:pPr>
            <w:r>
              <w:t>--</w:t>
            </w:r>
          </w:p>
        </w:tc>
        <w:tc>
          <w:tcPr>
            <w:tcW w:w="335" w:type="pct"/>
            <w:vAlign w:val="center"/>
          </w:tcPr>
          <w:p>
            <w:pPr>
              <w:pStyle w:val="63"/>
            </w:pPr>
            <w:r>
              <w:t>0.01</w:t>
            </w:r>
          </w:p>
        </w:tc>
        <w:tc>
          <w:tcPr>
            <w:tcW w:w="384" w:type="pct"/>
            <w:vAlign w:val="center"/>
          </w:tcPr>
          <w:p>
            <w:pPr>
              <w:pStyle w:val="63"/>
            </w:pPr>
            <w:r>
              <w:t>0.1</w:t>
            </w:r>
          </w:p>
        </w:tc>
        <w:tc>
          <w:tcPr>
            <w:tcW w:w="239" w:type="pct"/>
            <w:vAlign w:val="center"/>
          </w:tcPr>
          <w:p>
            <w:pPr>
              <w:pStyle w:val="63"/>
            </w:pPr>
            <w:r>
              <w:t>1.2</w:t>
            </w:r>
          </w:p>
        </w:tc>
        <w:tc>
          <w:tcPr>
            <w:tcW w:w="288" w:type="pct"/>
            <w:vAlign w:val="center"/>
          </w:tcPr>
          <w:p>
            <w:pPr>
              <w:pStyle w:val="63"/>
            </w:pPr>
            <w:r>
              <w:t>--</w:t>
            </w:r>
          </w:p>
        </w:tc>
        <w:tc>
          <w:tcPr>
            <w:tcW w:w="287" w:type="pct"/>
            <w:vAlign w:val="center"/>
          </w:tcPr>
          <w:p>
            <w:pPr>
              <w:pStyle w:val="63"/>
            </w:pPr>
            <w:r>
              <w:t>--</w:t>
            </w:r>
          </w:p>
        </w:tc>
        <w:tc>
          <w:tcPr>
            <w:tcW w:w="287" w:type="pct"/>
            <w:vAlign w:val="center"/>
          </w:tcPr>
          <w:p>
            <w:pPr>
              <w:pStyle w:val="63"/>
            </w:pPr>
            <w:r>
              <w:t>--</w:t>
            </w:r>
          </w:p>
        </w:tc>
        <w:tc>
          <w:tcPr>
            <w:tcW w:w="287" w:type="pct"/>
            <w:vAlign w:val="center"/>
          </w:tcPr>
          <w:p>
            <w:pPr>
              <w:pStyle w:val="63"/>
            </w:pPr>
            <w:r>
              <w:t>--</w:t>
            </w:r>
          </w:p>
        </w:tc>
        <w:tc>
          <w:tcPr>
            <w:tcW w:w="267" w:type="pct"/>
            <w:vAlign w:val="center"/>
          </w:tcPr>
          <w:p>
            <w:pPr>
              <w:pStyle w:val="63"/>
            </w:pP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Align w:val="center"/>
          </w:tcPr>
          <w:p>
            <w:pPr>
              <w:pStyle w:val="63"/>
            </w:pPr>
            <w:r>
              <w:t>食堂油烟</w:t>
            </w:r>
          </w:p>
        </w:tc>
        <w:tc>
          <w:tcPr>
            <w:tcW w:w="451" w:type="pct"/>
            <w:vAlign w:val="center"/>
          </w:tcPr>
          <w:p>
            <w:pPr>
              <w:pStyle w:val="63"/>
            </w:pPr>
            <w:r>
              <w:t>油烟</w:t>
            </w:r>
          </w:p>
        </w:tc>
        <w:tc>
          <w:tcPr>
            <w:tcW w:w="272" w:type="pct"/>
            <w:vAlign w:val="center"/>
          </w:tcPr>
          <w:p>
            <w:pPr>
              <w:pStyle w:val="63"/>
            </w:pPr>
            <w:r>
              <w:t>18.8</w:t>
            </w:r>
          </w:p>
        </w:tc>
        <w:tc>
          <w:tcPr>
            <w:tcW w:w="270" w:type="pct"/>
            <w:vAlign w:val="center"/>
          </w:tcPr>
          <w:p>
            <w:pPr>
              <w:pStyle w:val="63"/>
            </w:pPr>
            <w:r>
              <w:t>0.0094</w:t>
            </w:r>
          </w:p>
        </w:tc>
        <w:tc>
          <w:tcPr>
            <w:tcW w:w="318" w:type="pct"/>
            <w:vAlign w:val="center"/>
          </w:tcPr>
          <w:p>
            <w:pPr>
              <w:pStyle w:val="63"/>
            </w:pPr>
            <w:r>
              <w:t>0.1692</w:t>
            </w:r>
          </w:p>
        </w:tc>
        <w:tc>
          <w:tcPr>
            <w:tcW w:w="287" w:type="pct"/>
            <w:vAlign w:val="center"/>
          </w:tcPr>
          <w:p>
            <w:pPr>
              <w:pStyle w:val="63"/>
            </w:pPr>
            <w:r>
              <w:t>油烟净化器</w:t>
            </w:r>
          </w:p>
        </w:tc>
        <w:tc>
          <w:tcPr>
            <w:tcW w:w="240" w:type="pct"/>
            <w:vAlign w:val="center"/>
          </w:tcPr>
          <w:p>
            <w:pPr>
              <w:pStyle w:val="63"/>
            </w:pPr>
            <w:r>
              <w:t>90%</w:t>
            </w:r>
          </w:p>
        </w:tc>
        <w:tc>
          <w:tcPr>
            <w:tcW w:w="240" w:type="pct"/>
            <w:vAlign w:val="center"/>
          </w:tcPr>
          <w:p>
            <w:pPr>
              <w:pStyle w:val="63"/>
            </w:pPr>
            <w:r>
              <w:t>1.88</w:t>
            </w:r>
          </w:p>
        </w:tc>
        <w:tc>
          <w:tcPr>
            <w:tcW w:w="335" w:type="pct"/>
            <w:vAlign w:val="center"/>
          </w:tcPr>
          <w:p>
            <w:pPr>
              <w:pStyle w:val="63"/>
            </w:pPr>
            <w:r>
              <w:t>0.00094</w:t>
            </w:r>
          </w:p>
        </w:tc>
        <w:tc>
          <w:tcPr>
            <w:tcW w:w="384" w:type="pct"/>
            <w:vAlign w:val="center"/>
          </w:tcPr>
          <w:p>
            <w:pPr>
              <w:pStyle w:val="63"/>
            </w:pPr>
            <w:r>
              <w:t>0.01692</w:t>
            </w:r>
          </w:p>
        </w:tc>
        <w:tc>
          <w:tcPr>
            <w:tcW w:w="239" w:type="pct"/>
            <w:vAlign w:val="center"/>
          </w:tcPr>
          <w:p>
            <w:pPr>
              <w:pStyle w:val="63"/>
            </w:pPr>
            <w:r>
              <w:t>2.0</w:t>
            </w:r>
          </w:p>
        </w:tc>
        <w:tc>
          <w:tcPr>
            <w:tcW w:w="288" w:type="pct"/>
            <w:vAlign w:val="center"/>
          </w:tcPr>
          <w:p>
            <w:pPr>
              <w:pStyle w:val="63"/>
            </w:pPr>
            <w:r>
              <w:t>--</w:t>
            </w:r>
          </w:p>
        </w:tc>
        <w:tc>
          <w:tcPr>
            <w:tcW w:w="287" w:type="pct"/>
            <w:vAlign w:val="center"/>
          </w:tcPr>
          <w:p>
            <w:pPr>
              <w:pStyle w:val="63"/>
            </w:pPr>
            <w:r>
              <w:t>--</w:t>
            </w:r>
          </w:p>
        </w:tc>
        <w:tc>
          <w:tcPr>
            <w:tcW w:w="287" w:type="pct"/>
            <w:vAlign w:val="center"/>
          </w:tcPr>
          <w:p>
            <w:pPr>
              <w:pStyle w:val="63"/>
            </w:pPr>
            <w:r>
              <w:t>--</w:t>
            </w:r>
          </w:p>
        </w:tc>
        <w:tc>
          <w:tcPr>
            <w:tcW w:w="287" w:type="pct"/>
            <w:vAlign w:val="center"/>
          </w:tcPr>
          <w:p>
            <w:pPr>
              <w:pStyle w:val="63"/>
            </w:pPr>
            <w:r>
              <w:t>--</w:t>
            </w:r>
          </w:p>
        </w:tc>
        <w:tc>
          <w:tcPr>
            <w:tcW w:w="267" w:type="pct"/>
            <w:vAlign w:val="center"/>
          </w:tcPr>
          <w:p>
            <w:pPr>
              <w:pStyle w:val="63"/>
            </w:pPr>
          </w:p>
        </w:tc>
        <w:tc>
          <w:tcPr>
            <w:tcW w:w="288" w:type="pct"/>
            <w:vAlign w:val="center"/>
          </w:tcPr>
          <w:p>
            <w:pPr>
              <w:pStyle w:val="63"/>
            </w:pPr>
            <w:r>
              <w:t>达标</w:t>
            </w:r>
          </w:p>
        </w:tc>
      </w:tr>
      <w:bookmarkEnd w:id="184"/>
    </w:tbl>
    <w:p>
      <w:pPr>
        <w:spacing w:line="360" w:lineRule="auto"/>
        <w:ind w:firstLine="480" w:firstLineChars="200"/>
        <w:rPr>
          <w:rFonts w:ascii="Times New Roman" w:hAnsi="Times New Roman" w:cs="Times New Roman"/>
        </w:rPr>
        <w:sectPr>
          <w:pgSz w:w="16840" w:h="11907" w:orient="landscape"/>
          <w:pgMar w:top="1797" w:right="1134" w:bottom="1797" w:left="1134" w:header="964" w:footer="851" w:gutter="0"/>
          <w:cols w:space="720" w:num="1"/>
          <w:docGrid w:linePitch="297" w:charSpace="200"/>
        </w:sectPr>
      </w:pPr>
    </w:p>
    <w:p>
      <w:pPr>
        <w:pStyle w:val="5"/>
        <w:ind w:firstLine="482"/>
        <w:rPr>
          <w:rFonts w:ascii="Times New Roman" w:hAnsi="Times New Roman" w:cs="Times New Roman" w:eastAsiaTheme="minorEastAsia"/>
        </w:rPr>
      </w:pPr>
      <w:r>
        <w:rPr>
          <w:rFonts w:ascii="Times New Roman" w:hAnsi="Times New Roman" w:cs="Times New Roman" w:eastAsiaTheme="minorEastAsia"/>
        </w:rPr>
        <w:t>3.2.5.</w:t>
      </w:r>
      <w:r>
        <w:rPr>
          <w:rFonts w:hint="eastAsia" w:ascii="Times New Roman" w:hAnsi="Times New Roman" w:cs="Times New Roman" w:eastAsiaTheme="minorEastAsia"/>
        </w:rPr>
        <w:t>3</w:t>
      </w:r>
      <w:r>
        <w:rPr>
          <w:rFonts w:ascii="Times New Roman" w:hAnsi="Times New Roman" w:cs="Times New Roman" w:eastAsiaTheme="minorEastAsia"/>
        </w:rPr>
        <w:t xml:space="preserve"> </w:t>
      </w:r>
      <w:r>
        <w:rPr>
          <w:rFonts w:hint="eastAsia" w:ascii="Times New Roman" w:hAnsi="Times New Roman" w:cs="Times New Roman" w:eastAsiaTheme="minorEastAsia"/>
        </w:rPr>
        <w:t>综合利用厂区</w:t>
      </w:r>
      <w:r>
        <w:rPr>
          <w:rFonts w:ascii="Times New Roman" w:hAnsi="Times New Roman" w:cs="Times New Roman" w:eastAsiaTheme="minorEastAsia"/>
        </w:rPr>
        <w:t>废水</w:t>
      </w:r>
    </w:p>
    <w:p>
      <w:pPr>
        <w:spacing w:line="360" w:lineRule="auto"/>
        <w:ind w:firstLine="480" w:firstLineChars="200"/>
        <w:rPr>
          <w:rFonts w:ascii="Times New Roman" w:hAnsi="Times New Roman" w:cs="Times New Roman"/>
        </w:rPr>
      </w:pPr>
      <w:r>
        <w:rPr>
          <w:rFonts w:ascii="Times New Roman" w:hAnsi="Times New Roman" w:cs="Times New Roman"/>
        </w:rPr>
        <w:t>本项目废水主要有纯水制备废水、生产废水（湿法剥离洗涤废水、三级水喷淋废水、裂解烟气碱液喷淋塔废水、铁铝渣和通滤渣洗涤废水、酸雾洗涤塔废水、蒸发结晶离心废水）、地面冲洗废水、初期雨水以及员工生活污水。</w:t>
      </w:r>
    </w:p>
    <w:p>
      <w:pPr>
        <w:spacing w:line="360" w:lineRule="auto"/>
        <w:ind w:firstLine="480" w:firstLineChars="200"/>
        <w:rPr>
          <w:rFonts w:ascii="Times New Roman" w:hAnsi="Times New Roman" w:cs="Times New Roman"/>
        </w:rPr>
      </w:pPr>
      <w:r>
        <w:rPr>
          <w:rFonts w:ascii="Times New Roman" w:hAnsi="Times New Roman" w:cs="Times New Roman"/>
        </w:rPr>
        <w:t>（1）纯水制备废水</w:t>
      </w:r>
    </w:p>
    <w:p>
      <w:pPr>
        <w:spacing w:line="360" w:lineRule="auto"/>
        <w:ind w:firstLine="480" w:firstLineChars="200"/>
        <w:rPr>
          <w:rFonts w:ascii="Times New Roman" w:hAnsi="Times New Roman" w:cs="Times New Roman"/>
        </w:rPr>
      </w:pPr>
      <w:r>
        <w:rPr>
          <w:rFonts w:ascii="Times New Roman" w:hAnsi="Times New Roman" w:cs="Times New Roman"/>
        </w:rPr>
        <w:t>本项目纯水制备采用“砂滤+活性炭过滤+二级反渗透装置”工艺，纯水制备过程中会产生浓水。</w:t>
      </w:r>
      <w:r>
        <w:rPr>
          <w:rFonts w:ascii="Times New Roman" w:hAnsi="Times New Roman" w:cs="Times New Roman"/>
          <w:kern w:val="0"/>
          <w:shd w:val="clear" w:color="auto" w:fill="FFFFFF"/>
        </w:rPr>
        <w:t>软水制备系统用水量为120000</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kern w:val="0"/>
          <w:shd w:val="clear" w:color="auto" w:fill="FFFFFF"/>
        </w:rPr>
        <w:t>，浓水产生量为10%，为12000</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/a，该部分废水中主要污染物为pH、COD、盐类，纯水制备过程中产生的浓水送废水处理站进行处理后回用。</w:t>
      </w:r>
    </w:p>
    <w:p>
      <w:pPr>
        <w:spacing w:line="360" w:lineRule="auto"/>
        <w:ind w:firstLine="480" w:firstLineChars="200"/>
        <w:rPr>
          <w:rFonts w:ascii="Times New Roman" w:hAnsi="Times New Roman" w:cs="Times New Roman"/>
        </w:rPr>
      </w:pPr>
      <w:r>
        <w:rPr>
          <w:rFonts w:ascii="Times New Roman" w:hAnsi="Times New Roman" w:cs="Times New Roman"/>
        </w:rPr>
        <w:t>（2）锅炉排污水</w:t>
      </w:r>
    </w:p>
    <w:p>
      <w:pPr>
        <w:spacing w:line="360" w:lineRule="auto"/>
        <w:ind w:firstLine="480" w:firstLineChars="200"/>
        <w:rPr>
          <w:rFonts w:ascii="Times New Roman" w:hAnsi="Times New Roman" w:cs="Times New Roman"/>
        </w:rPr>
      </w:pPr>
      <w:r>
        <w:rPr>
          <w:rFonts w:ascii="Times New Roman" w:hAnsi="Times New Roman" w:cs="Times New Roman"/>
        </w:rPr>
        <w:t>本项目锅炉使用软化水，锅炉使用过程中排污水量为锅炉用水量的3%，锅炉用水量为108000</w:t>
      </w:r>
      <w:r>
        <w:rPr>
          <w:rFonts w:ascii="Times New Roman" w:hAnsi="Times New Roman" w:cs="Times New Roman"/>
          <w:kern w:val="0"/>
          <w:shd w:val="clear" w:color="auto" w:fill="FFFFFF"/>
        </w:rPr>
        <w:t xml:space="preserve"> t/a，则锅炉排污水为3240</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/a。该部分废水中主要污染物为pH、COD、盐类，送废水处理站进行处理后回用。</w:t>
      </w:r>
    </w:p>
    <w:p>
      <w:pPr>
        <w:spacing w:line="360" w:lineRule="auto"/>
        <w:ind w:firstLine="480" w:firstLineChars="200"/>
        <w:rPr>
          <w:rFonts w:ascii="Times New Roman" w:hAnsi="Times New Roman" w:cs="Times New Roman"/>
        </w:rPr>
      </w:pPr>
      <w:r>
        <w:rPr>
          <w:rFonts w:ascii="Times New Roman" w:hAnsi="Times New Roman" w:cs="Times New Roman"/>
        </w:rPr>
        <w:t>（</w:t>
      </w:r>
      <w:r>
        <w:rPr>
          <w:rFonts w:hint="eastAsia" w:ascii="Times New Roman" w:hAnsi="Times New Roman" w:cs="Times New Roman"/>
        </w:rPr>
        <w:t>3</w:t>
      </w:r>
      <w:r>
        <w:rPr>
          <w:rFonts w:ascii="Times New Roman" w:hAnsi="Times New Roman" w:cs="Times New Roman"/>
        </w:rPr>
        <w:t>）三级水喷淋和碱液喷淋废水</w:t>
      </w:r>
    </w:p>
    <w:p>
      <w:pPr>
        <w:spacing w:line="360" w:lineRule="auto"/>
        <w:ind w:firstLine="480" w:firstLineChars="200"/>
        <w:rPr>
          <w:rFonts w:ascii="Times New Roman" w:hAnsi="Times New Roman" w:cs="Times New Roman"/>
        </w:rPr>
      </w:pPr>
      <w:r>
        <w:rPr>
          <w:rFonts w:ascii="Times New Roman" w:hAnsi="Times New Roman" w:cs="Times New Roman"/>
        </w:rPr>
        <w:t>本项目预处理废气采用三级水喷淋和一级碱液喷淋，该过程中会产生三级水洗废水和碱液喷淋废水。根据前述分析可知，项目三级水喷淋废水产生量40500m</w:t>
      </w:r>
      <w:r>
        <w:rPr>
          <w:rFonts w:ascii="Times New Roman" w:hAnsi="Times New Roman" w:cs="Times New Roman"/>
          <w:vertAlign w:val="superscript"/>
        </w:rPr>
        <w:t>3</w:t>
      </w:r>
      <w:r>
        <w:rPr>
          <w:rFonts w:ascii="Times New Roman" w:hAnsi="Times New Roman" w:cs="Times New Roman"/>
        </w:rPr>
        <w:t>/a，碱液喷淋废水产生量为12000m</w:t>
      </w:r>
      <w:r>
        <w:rPr>
          <w:rFonts w:ascii="Times New Roman" w:hAnsi="Times New Roman" w:cs="Times New Roman"/>
          <w:vertAlign w:val="superscript"/>
        </w:rPr>
        <w:t>3</w:t>
      </w:r>
      <w:r>
        <w:rPr>
          <w:rFonts w:ascii="Times New Roman" w:hAnsi="Times New Roman" w:cs="Times New Roman"/>
        </w:rPr>
        <w:t>/a。三级水喷淋废水和碱液喷淋废水中主要污染物为pH、COD、SS、氟化物，该部分废水进行脱氟处理后全部回用，不外排。</w:t>
      </w:r>
    </w:p>
    <w:p>
      <w:pPr>
        <w:spacing w:line="360" w:lineRule="auto"/>
        <w:ind w:firstLine="480" w:firstLineChars="200"/>
        <w:rPr>
          <w:rFonts w:ascii="Times New Roman" w:hAnsi="Times New Roman" w:cs="Times New Roman"/>
        </w:rPr>
      </w:pPr>
      <w:r>
        <w:rPr>
          <w:rFonts w:ascii="Times New Roman" w:hAnsi="Times New Roman" w:cs="Times New Roman"/>
        </w:rPr>
        <w:t>（</w:t>
      </w:r>
      <w:r>
        <w:rPr>
          <w:rFonts w:hint="eastAsia" w:ascii="Times New Roman" w:hAnsi="Times New Roman" w:cs="Times New Roman"/>
        </w:rPr>
        <w:t>4</w:t>
      </w:r>
      <w:r>
        <w:rPr>
          <w:rFonts w:ascii="Times New Roman" w:hAnsi="Times New Roman" w:cs="Times New Roman"/>
        </w:rPr>
        <w:t>）浸出车间铁铝渣和铜渣洗涤废水</w:t>
      </w:r>
    </w:p>
    <w:p>
      <w:pPr>
        <w:spacing w:line="360" w:lineRule="auto"/>
        <w:ind w:firstLine="480" w:firstLineChars="200"/>
        <w:rPr>
          <w:rFonts w:ascii="Times New Roman" w:hAnsi="Times New Roman" w:cs="Times New Roman"/>
        </w:rPr>
      </w:pPr>
      <w:r>
        <w:rPr>
          <w:rFonts w:ascii="Times New Roman" w:hAnsi="Times New Roman" w:cs="Times New Roman"/>
        </w:rPr>
        <w:t>项目浸出车间分离出的铁铝渣和铜渣采用纯化水进行洗涤，其过程中会产生洗涤废水。根据前述分析可知，本项目浸出车间洗涤废水产生量为7200m</w:t>
      </w:r>
      <w:r>
        <w:rPr>
          <w:rFonts w:ascii="Times New Roman" w:hAnsi="Times New Roman" w:cs="Times New Roman"/>
          <w:vertAlign w:val="superscript"/>
        </w:rPr>
        <w:t>3</w:t>
      </w:r>
      <w:r>
        <w:rPr>
          <w:rFonts w:ascii="Times New Roman" w:hAnsi="Times New Roman" w:cs="Times New Roman"/>
        </w:rPr>
        <w:t>/a，该部分废水返回浆化槽。</w:t>
      </w:r>
    </w:p>
    <w:p>
      <w:pPr>
        <w:spacing w:line="360" w:lineRule="auto"/>
        <w:ind w:firstLine="480" w:firstLineChars="200"/>
        <w:rPr>
          <w:rFonts w:ascii="Times New Roman" w:hAnsi="Times New Roman" w:cs="Times New Roman"/>
        </w:rPr>
      </w:pPr>
      <w:r>
        <w:rPr>
          <w:rFonts w:ascii="Times New Roman" w:hAnsi="Times New Roman" w:cs="Times New Roman"/>
        </w:rPr>
        <w:t>（</w:t>
      </w:r>
      <w:r>
        <w:rPr>
          <w:rFonts w:hint="eastAsia" w:ascii="Times New Roman" w:hAnsi="Times New Roman" w:cs="Times New Roman"/>
        </w:rPr>
        <w:t>5</w:t>
      </w:r>
      <w:r>
        <w:rPr>
          <w:rFonts w:ascii="Times New Roman" w:hAnsi="Times New Roman" w:cs="Times New Roman"/>
        </w:rPr>
        <w:t>）浸出车间酸雾洗涤塔</w:t>
      </w:r>
    </w:p>
    <w:p>
      <w:pPr>
        <w:spacing w:line="360" w:lineRule="auto"/>
        <w:ind w:firstLine="480" w:firstLineChars="200"/>
        <w:rPr>
          <w:rFonts w:ascii="Times New Roman" w:hAnsi="Times New Roman" w:cs="Times New Roman"/>
        </w:rPr>
      </w:pPr>
      <w:r>
        <w:rPr>
          <w:rFonts w:ascii="Times New Roman" w:hAnsi="Times New Roman" w:cs="Times New Roman"/>
        </w:rPr>
        <w:t>本项目浸出车间浸出槽挥发的酸雾采用酸雾洗涤塔进行处理，其过程会产生酸雾洗涤废水。根据前述分析可知，本项目酸雾洗涤废水产生量为9600m</w:t>
      </w:r>
      <w:r>
        <w:rPr>
          <w:rFonts w:ascii="Times New Roman" w:hAnsi="Times New Roman" w:cs="Times New Roman"/>
          <w:vertAlign w:val="superscript"/>
        </w:rPr>
        <w:t>3</w:t>
      </w:r>
      <w:r>
        <w:rPr>
          <w:rFonts w:ascii="Times New Roman" w:hAnsi="Times New Roman" w:cs="Times New Roman"/>
        </w:rPr>
        <w:t>/a，该部分废水中主要污染物为pH、COD、硫酸盐、氯化物。浸出车间酸雾洗涤废水排入厂区废水处理站处理后全部回用，不外排。</w:t>
      </w:r>
    </w:p>
    <w:p>
      <w:pPr>
        <w:spacing w:line="360" w:lineRule="auto"/>
        <w:ind w:firstLine="480" w:firstLineChars="200"/>
        <w:rPr>
          <w:rFonts w:ascii="Times New Roman" w:hAnsi="Times New Roman" w:cs="Times New Roman"/>
        </w:rPr>
      </w:pPr>
      <w:r>
        <w:rPr>
          <w:rFonts w:ascii="Times New Roman" w:hAnsi="Times New Roman" w:cs="Times New Roman"/>
        </w:rPr>
        <w:t>（</w:t>
      </w:r>
      <w:r>
        <w:rPr>
          <w:rFonts w:hint="eastAsia" w:ascii="Times New Roman" w:hAnsi="Times New Roman" w:cs="Times New Roman"/>
        </w:rPr>
        <w:t>6</w:t>
      </w:r>
      <w:r>
        <w:rPr>
          <w:rFonts w:ascii="Times New Roman" w:hAnsi="Times New Roman" w:cs="Times New Roman"/>
        </w:rPr>
        <w:t>）萃取车间酸雾洗涤塔废水</w:t>
      </w:r>
    </w:p>
    <w:p>
      <w:pPr>
        <w:spacing w:line="360" w:lineRule="auto"/>
        <w:ind w:firstLine="480" w:firstLineChars="200"/>
        <w:rPr>
          <w:rFonts w:ascii="Times New Roman" w:hAnsi="Times New Roman" w:cs="Times New Roman"/>
        </w:rPr>
      </w:pPr>
      <w:r>
        <w:rPr>
          <w:rFonts w:ascii="Times New Roman" w:hAnsi="Times New Roman" w:cs="Times New Roman"/>
        </w:rPr>
        <w:t>本项目萃取槽中挥发出的酸雾采用酸雾洗涤塔进行处理，其过程中会产生酸雾洗涤废水。根据前述分析可知，项目酸雾洗涤废水产生量为4800m</w:t>
      </w:r>
      <w:r>
        <w:rPr>
          <w:rFonts w:ascii="Times New Roman" w:hAnsi="Times New Roman" w:cs="Times New Roman"/>
          <w:vertAlign w:val="superscript"/>
        </w:rPr>
        <w:t>3</w:t>
      </w:r>
      <w:r>
        <w:rPr>
          <w:rFonts w:ascii="Times New Roman" w:hAnsi="Times New Roman" w:cs="Times New Roman"/>
        </w:rPr>
        <w:t>/a，该部分废水中主要污染物为pH、COD、硫酸盐。酸雾洗涤废水排入厂区废水处理站处理后全部回用，不外排。</w:t>
      </w:r>
    </w:p>
    <w:p>
      <w:pPr>
        <w:spacing w:line="360" w:lineRule="auto"/>
        <w:ind w:firstLine="480" w:firstLineChars="200"/>
        <w:rPr>
          <w:rFonts w:ascii="Times New Roman" w:hAnsi="Times New Roman" w:cs="Times New Roman"/>
        </w:rPr>
      </w:pPr>
      <w:r>
        <w:rPr>
          <w:rFonts w:ascii="Times New Roman" w:hAnsi="Times New Roman" w:cs="Times New Roman"/>
        </w:rPr>
        <w:t>（</w:t>
      </w:r>
      <w:r>
        <w:rPr>
          <w:rFonts w:hint="eastAsia" w:ascii="Times New Roman" w:hAnsi="Times New Roman" w:cs="Times New Roman"/>
        </w:rPr>
        <w:t>7</w:t>
      </w:r>
      <w:r>
        <w:rPr>
          <w:rFonts w:ascii="Times New Roman" w:hAnsi="Times New Roman" w:cs="Times New Roman"/>
        </w:rPr>
        <w:t>）蒸发结晶离心分离废水</w:t>
      </w:r>
    </w:p>
    <w:p>
      <w:pPr>
        <w:spacing w:line="360" w:lineRule="auto"/>
        <w:ind w:firstLine="480" w:firstLineChars="200"/>
        <w:rPr>
          <w:rFonts w:ascii="Times New Roman" w:hAnsi="Times New Roman" w:cs="Times New Roman"/>
        </w:rPr>
      </w:pPr>
      <w:r>
        <w:rPr>
          <w:rFonts w:ascii="Times New Roman" w:hAnsi="Times New Roman" w:cs="Times New Roman"/>
        </w:rPr>
        <w:t>本项目反萃得到的产品均需进行蒸发结晶/多效蒸发，离心分离。该部分过程中会产生离心分离废水。根据前述分析可知，本项目离心分离废水产量为4200m</w:t>
      </w:r>
      <w:r>
        <w:rPr>
          <w:rFonts w:ascii="Times New Roman" w:hAnsi="Times New Roman" w:cs="Times New Roman"/>
          <w:vertAlign w:val="superscript"/>
        </w:rPr>
        <w:t>3</w:t>
      </w:r>
      <w:r>
        <w:rPr>
          <w:rFonts w:ascii="Times New Roman" w:hAnsi="Times New Roman" w:cs="Times New Roman"/>
        </w:rPr>
        <w:t>/a，该部分废水中主要污染物为pH、COD、SS、硫酸盐、氯化物。项目离心分离废水排入厂区废水处理站处理后全部回用，不外排。</w:t>
      </w:r>
    </w:p>
    <w:p>
      <w:pPr>
        <w:spacing w:line="360" w:lineRule="auto"/>
        <w:ind w:firstLine="480" w:firstLineChars="200"/>
        <w:rPr>
          <w:rFonts w:ascii="Times New Roman" w:hAnsi="Times New Roman" w:cs="Times New Roman"/>
        </w:rPr>
      </w:pPr>
      <w:r>
        <w:rPr>
          <w:rFonts w:ascii="Times New Roman" w:hAnsi="Times New Roman" w:cs="Times New Roman"/>
        </w:rPr>
        <w:t>（</w:t>
      </w:r>
      <w:r>
        <w:rPr>
          <w:rFonts w:hint="eastAsia" w:ascii="Times New Roman" w:hAnsi="Times New Roman" w:cs="Times New Roman"/>
        </w:rPr>
        <w:t>8</w:t>
      </w:r>
      <w:r>
        <w:rPr>
          <w:rFonts w:ascii="Times New Roman" w:hAnsi="Times New Roman" w:cs="Times New Roman"/>
        </w:rPr>
        <w:t>）地面冲洗废水</w:t>
      </w:r>
    </w:p>
    <w:p>
      <w:pPr>
        <w:spacing w:line="360" w:lineRule="auto"/>
        <w:ind w:firstLine="480" w:firstLineChars="200"/>
        <w:rPr>
          <w:rFonts w:ascii="Times New Roman" w:hAnsi="Times New Roman" w:cs="Times New Roman"/>
        </w:rPr>
      </w:pPr>
      <w:r>
        <w:rPr>
          <w:rFonts w:ascii="Times New Roman" w:hAnsi="Times New Roman" w:cs="Times New Roman"/>
        </w:rPr>
        <w:t>本项目定期对地面进行冲洗。根据前述分析可知，本项目地面冲洗废水产生量为1600m</w:t>
      </w:r>
      <w:r>
        <w:rPr>
          <w:rFonts w:ascii="Times New Roman" w:hAnsi="Times New Roman" w:cs="Times New Roman"/>
          <w:vertAlign w:val="superscript"/>
        </w:rPr>
        <w:t>3</w:t>
      </w:r>
      <w:r>
        <w:rPr>
          <w:rFonts w:ascii="Times New Roman" w:hAnsi="Times New Roman" w:cs="Times New Roman"/>
        </w:rPr>
        <w:t>/a，该部分废水中主要污染物为pH、COD、SS。项目地面冲洗废水排入厂区废水处理站处理后全部回用，不外排。</w:t>
      </w:r>
    </w:p>
    <w:p>
      <w:pPr>
        <w:spacing w:line="360" w:lineRule="auto"/>
        <w:ind w:firstLine="480" w:firstLineChars="200"/>
        <w:rPr>
          <w:rFonts w:ascii="Times New Roman" w:hAnsi="Times New Roman" w:cs="Times New Roman"/>
        </w:rPr>
      </w:pPr>
      <w:r>
        <w:rPr>
          <w:rFonts w:ascii="Times New Roman" w:hAnsi="Times New Roman" w:cs="Times New Roman"/>
        </w:rPr>
        <w:t>（</w:t>
      </w:r>
      <w:r>
        <w:rPr>
          <w:rFonts w:hint="eastAsia" w:ascii="Times New Roman" w:hAnsi="Times New Roman" w:cs="Times New Roman"/>
        </w:rPr>
        <w:t>9</w:t>
      </w:r>
      <w:r>
        <w:rPr>
          <w:rFonts w:ascii="Times New Roman" w:hAnsi="Times New Roman" w:cs="Times New Roman"/>
        </w:rPr>
        <w:t>）生活污水</w:t>
      </w:r>
    </w:p>
    <w:p>
      <w:pPr>
        <w:spacing w:line="360" w:lineRule="auto"/>
        <w:ind w:firstLine="480" w:firstLineChars="200"/>
        <w:rPr>
          <w:rFonts w:ascii="Times New Roman" w:hAnsi="Times New Roman" w:cs="Times New Roman"/>
        </w:rPr>
      </w:pPr>
      <w:r>
        <w:rPr>
          <w:rFonts w:ascii="Times New Roman" w:hAnsi="Times New Roman" w:cs="Times New Roman"/>
        </w:rPr>
        <w:t>本项目</w:t>
      </w:r>
      <w:r>
        <w:rPr>
          <w:rFonts w:hint="eastAsia" w:ascii="Times New Roman" w:hAnsi="Times New Roman" w:cs="Times New Roman"/>
        </w:rPr>
        <w:t>综合立车厂区</w:t>
      </w:r>
      <w:r>
        <w:rPr>
          <w:rFonts w:ascii="Times New Roman" w:hAnsi="Times New Roman" w:cs="Times New Roman"/>
        </w:rPr>
        <w:t>劳动定员1</w:t>
      </w:r>
      <w:r>
        <w:rPr>
          <w:rFonts w:hint="eastAsia" w:ascii="Times New Roman" w:hAnsi="Times New Roman" w:cs="Times New Roman"/>
        </w:rPr>
        <w:t>7</w:t>
      </w:r>
      <w:r>
        <w:rPr>
          <w:rFonts w:ascii="Times New Roman" w:hAnsi="Times New Roman" w:cs="Times New Roman"/>
        </w:rPr>
        <w:t>8人。根据前述分析可知，项目运营期生活污水产生量为</w:t>
      </w:r>
      <w:r>
        <w:rPr>
          <w:rFonts w:hint="eastAsia" w:ascii="Times New Roman" w:hAnsi="Times New Roman" w:cs="Times New Roman"/>
        </w:rPr>
        <w:t>6408</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/a，生活污水中主要污染物为COD、SS、BOD</w:t>
      </w:r>
      <w:r>
        <w:rPr>
          <w:rFonts w:ascii="Times New Roman" w:hAnsi="Times New Roman" w:cs="Times New Roman"/>
          <w:vertAlign w:val="subscript"/>
        </w:rPr>
        <w:t>5</w:t>
      </w:r>
      <w:r>
        <w:rPr>
          <w:rFonts w:ascii="Times New Roman" w:hAnsi="Times New Roman" w:cs="Times New Roman"/>
        </w:rPr>
        <w:t>、氨氮、动植物油。项目生活污水经化粪池处理后经园区污水管网排入园区污水处理厂。</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（1</w:t>
      </w:r>
      <w:r>
        <w:rPr>
          <w:rFonts w:hint="eastAsia" w:ascii="Times New Roman" w:hAnsi="Times New Roman" w:cs="Times New Roman"/>
          <w:u w:val="single"/>
        </w:rPr>
        <w:t>0</w:t>
      </w:r>
      <w:r>
        <w:rPr>
          <w:rFonts w:ascii="Times New Roman" w:hAnsi="Times New Roman" w:cs="Times New Roman"/>
          <w:u w:val="single"/>
        </w:rPr>
        <w:t>）</w:t>
      </w:r>
      <w:r>
        <w:rPr>
          <w:rFonts w:hint="eastAsia" w:ascii="Times New Roman" w:hAnsi="Times New Roman" w:cs="Times New Roman"/>
          <w:u w:val="single"/>
        </w:rPr>
        <w:t>冷凝水</w:t>
      </w:r>
    </w:p>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本项目MVR产生的冷凝水共60000</w:t>
      </w:r>
      <w:r>
        <w:rPr>
          <w:rFonts w:ascii="Times New Roman" w:hAnsi="Times New Roman" w:cs="Times New Roman"/>
          <w:u w:val="single"/>
        </w:rPr>
        <w:t xml:space="preserve"> m</w:t>
      </w:r>
      <w:r>
        <w:rPr>
          <w:rFonts w:ascii="Times New Roman" w:hAnsi="Times New Roman" w:cs="Times New Roman"/>
          <w:u w:val="single"/>
          <w:vertAlign w:val="superscript"/>
        </w:rPr>
        <w:t>3</w:t>
      </w:r>
      <w:r>
        <w:rPr>
          <w:rFonts w:ascii="Times New Roman" w:hAnsi="Times New Roman" w:cs="Times New Roman"/>
          <w:u w:val="single"/>
        </w:rPr>
        <w:t>/a</w:t>
      </w:r>
      <w:r>
        <w:rPr>
          <w:rFonts w:hint="eastAsia" w:ascii="Times New Roman" w:hAnsi="Times New Roman" w:cs="Times New Roman"/>
          <w:u w:val="single"/>
        </w:rPr>
        <w:t>，可回用于三级水系、铁铝渣洗涤、反萃用水、地面冲洗，可用水量为</w:t>
      </w:r>
      <w:r>
        <w:rPr>
          <w:rFonts w:ascii="Times New Roman" w:hAnsi="Times New Roman" w:cs="Times New Roman"/>
          <w:u w:val="single"/>
        </w:rPr>
        <w:t>30070 m</w:t>
      </w:r>
      <w:r>
        <w:rPr>
          <w:rFonts w:ascii="Times New Roman" w:hAnsi="Times New Roman" w:cs="Times New Roman"/>
          <w:u w:val="single"/>
          <w:vertAlign w:val="superscript"/>
        </w:rPr>
        <w:t>3</w:t>
      </w:r>
      <w:r>
        <w:rPr>
          <w:rFonts w:ascii="Times New Roman" w:hAnsi="Times New Roman" w:cs="Times New Roman"/>
          <w:u w:val="single"/>
        </w:rPr>
        <w:t>/a</w:t>
      </w:r>
      <w:r>
        <w:rPr>
          <w:rFonts w:hint="eastAsia" w:ascii="Times New Roman" w:hAnsi="Times New Roman" w:cs="Times New Roman"/>
          <w:u w:val="single"/>
        </w:rPr>
        <w:t>，剩余</w:t>
      </w:r>
      <w:r>
        <w:rPr>
          <w:rFonts w:ascii="Times New Roman" w:hAnsi="Times New Roman" w:cs="Times New Roman"/>
          <w:u w:val="single"/>
        </w:rPr>
        <w:t>29930 m</w:t>
      </w:r>
      <w:r>
        <w:rPr>
          <w:rFonts w:ascii="Times New Roman" w:hAnsi="Times New Roman" w:cs="Times New Roman"/>
          <w:u w:val="single"/>
          <w:vertAlign w:val="superscript"/>
        </w:rPr>
        <w:t>3</w:t>
      </w:r>
      <w:r>
        <w:rPr>
          <w:rFonts w:ascii="Times New Roman" w:hAnsi="Times New Roman" w:cs="Times New Roman"/>
          <w:u w:val="single"/>
        </w:rPr>
        <w:t>/a</w:t>
      </w:r>
      <w:r>
        <w:rPr>
          <w:rFonts w:hint="eastAsia" w:ascii="Times New Roman" w:hAnsi="Times New Roman" w:cs="Times New Roman"/>
          <w:u w:val="single"/>
        </w:rPr>
        <w:t>（99.76</w:t>
      </w:r>
      <w:r>
        <w:rPr>
          <w:rFonts w:ascii="Times New Roman" w:hAnsi="Times New Roman" w:cs="Times New Roman"/>
          <w:u w:val="single"/>
        </w:rPr>
        <w:t xml:space="preserve"> m</w:t>
      </w:r>
      <w:r>
        <w:rPr>
          <w:rFonts w:ascii="Times New Roman" w:hAnsi="Times New Roman" w:cs="Times New Roman"/>
          <w:u w:val="single"/>
          <w:vertAlign w:val="superscript"/>
        </w:rPr>
        <w:t>3</w:t>
      </w:r>
      <w:r>
        <w:rPr>
          <w:rFonts w:ascii="Times New Roman" w:hAnsi="Times New Roman" w:cs="Times New Roman"/>
          <w:u w:val="single"/>
        </w:rPr>
        <w:t>/</w:t>
      </w:r>
      <w:r>
        <w:rPr>
          <w:rFonts w:hint="eastAsia" w:ascii="Times New Roman" w:hAnsi="Times New Roman" w:cs="Times New Roman"/>
          <w:u w:val="single"/>
        </w:rPr>
        <w:t>d）冷凝水作为清净下水外排，</w:t>
      </w:r>
      <w:r>
        <w:rPr>
          <w:rFonts w:ascii="Times New Roman" w:hAnsi="Times New Roman" w:cs="Times New Roman"/>
          <w:u w:val="single"/>
        </w:rPr>
        <w:t>后经园区污水管网排入园区污水处理厂</w:t>
      </w:r>
      <w:r>
        <w:rPr>
          <w:rFonts w:hint="eastAsia"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（1</w:t>
      </w:r>
      <w:r>
        <w:rPr>
          <w:rFonts w:hint="eastAsia" w:ascii="Times New Roman" w:hAnsi="Times New Roman" w:cs="Times New Roman"/>
          <w:u w:val="single"/>
        </w:rPr>
        <w:t>1</w:t>
      </w:r>
      <w:r>
        <w:rPr>
          <w:rFonts w:ascii="Times New Roman" w:hAnsi="Times New Roman" w:cs="Times New Roman"/>
          <w:u w:val="single"/>
        </w:rPr>
        <w:t>）初期雨水</w:t>
      </w:r>
    </w:p>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厂区设置初期雨水收集处理系统。初期雨水收集范围分为东西两个厂区，西侧厂区面积为20亩，约</w:t>
      </w:r>
      <w:r>
        <w:rPr>
          <w:rFonts w:ascii="Times New Roman" w:hAnsi="Times New Roman" w:cs="Times New Roman"/>
          <w:u w:val="single"/>
        </w:rPr>
        <w:t>1</w:t>
      </w:r>
      <w:r>
        <w:rPr>
          <w:rFonts w:hint="eastAsia" w:ascii="Times New Roman" w:hAnsi="Times New Roman" w:cs="Times New Roman"/>
          <w:u w:val="single"/>
        </w:rPr>
        <w:t>.</w:t>
      </w:r>
      <w:r>
        <w:rPr>
          <w:rFonts w:ascii="Times New Roman" w:hAnsi="Times New Roman" w:cs="Times New Roman"/>
          <w:u w:val="single"/>
        </w:rPr>
        <w:t>3</w:t>
      </w:r>
      <w:r>
        <w:rPr>
          <w:rFonts w:hint="eastAsia" w:ascii="Times New Roman" w:hAnsi="Times New Roman" w:cs="Times New Roman"/>
          <w:u w:val="single"/>
        </w:rPr>
        <w:t>ha，东侧厂区面积为60亩，约4ha，按收集初期30min降水、径流系数0.6考虑。</w:t>
      </w:r>
    </w:p>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初期雨水计算如下：Q =</w:t>
      </w:r>
      <w:r>
        <w:rPr>
          <w:rFonts w:hint="eastAsia" w:cs="Times New Roman" w:asciiTheme="minorEastAsia" w:hAnsiTheme="minorEastAsia"/>
          <w:u w:val="single"/>
        </w:rPr>
        <w:t>ψ</w:t>
      </w:r>
      <w:r>
        <w:rPr>
          <w:rFonts w:hint="eastAsia" w:ascii="Times New Roman" w:hAnsi="Times New Roman" w:cs="Times New Roman"/>
          <w:u w:val="single"/>
        </w:rPr>
        <w:t>•q•A</w:t>
      </w:r>
    </w:p>
    <w:p>
      <w:pPr>
        <w:spacing w:line="360" w:lineRule="auto"/>
        <w:ind w:firstLine="480" w:firstLineChars="200"/>
        <w:rPr>
          <w:u w:val="single"/>
        </w:rPr>
      </w:pPr>
      <w:r>
        <w:rPr>
          <w:u w:val="single"/>
        </w:rPr>
        <w:t>其中：</w:t>
      </w:r>
    </w:p>
    <w:p>
      <w:pPr>
        <w:spacing w:line="360" w:lineRule="auto"/>
        <w:ind w:firstLine="480" w:firstLineChars="200"/>
        <w:rPr>
          <w:u w:val="single"/>
        </w:rPr>
      </w:pPr>
      <w:r>
        <w:rPr>
          <w:u w:val="single"/>
        </w:rPr>
        <w:t>Q：计算雨水量（L/s）；</w:t>
      </w:r>
    </w:p>
    <w:p>
      <w:pPr>
        <w:spacing w:line="360" w:lineRule="auto"/>
        <w:ind w:firstLine="480" w:firstLineChars="200"/>
        <w:rPr>
          <w:u w:val="single"/>
        </w:rPr>
      </w:pPr>
      <w:r>
        <w:rPr>
          <w:u w:val="single"/>
        </w:rPr>
        <w:t>ψ：综合径流系统，取0.6；</w:t>
      </w:r>
    </w:p>
    <w:p>
      <w:pPr>
        <w:spacing w:line="360" w:lineRule="auto"/>
        <w:ind w:firstLine="480" w:firstLineChars="200"/>
        <w:rPr>
          <w:u w:val="single"/>
        </w:rPr>
      </w:pPr>
      <w:r>
        <w:rPr>
          <w:u w:val="single"/>
        </w:rPr>
        <w:t>A：汇水面积（ha）；</w:t>
      </w:r>
    </w:p>
    <w:p>
      <w:pPr>
        <w:spacing w:line="360" w:lineRule="auto"/>
        <w:ind w:firstLine="480" w:firstLineChars="200"/>
        <w:rPr>
          <w:u w:val="single"/>
        </w:rPr>
      </w:pPr>
      <w:r>
        <w:rPr>
          <w:u w:val="single"/>
        </w:rPr>
        <w:t>q：暴雨强度（L/s•ha）；</w:t>
      </w:r>
    </w:p>
    <w:p>
      <w:pPr>
        <w:spacing w:line="360" w:lineRule="auto"/>
        <w:ind w:firstLine="480" w:firstLineChars="200"/>
        <w:rPr>
          <w:u w:val="single"/>
        </w:rPr>
      </w:pPr>
      <w:r>
        <w:rPr>
          <w:u w:val="single"/>
        </w:rPr>
        <w:t>衡阳市暴雨强度公式：q=892（1+0.67lgP）/t</w:t>
      </w:r>
      <w:r>
        <w:rPr>
          <w:u w:val="single"/>
          <w:vertAlign w:val="superscript"/>
        </w:rPr>
        <w:t>0.57</w:t>
      </w:r>
    </w:p>
    <w:p>
      <w:pPr>
        <w:spacing w:line="360" w:lineRule="auto"/>
        <w:ind w:firstLine="480" w:firstLineChars="200"/>
        <w:rPr>
          <w:u w:val="single"/>
        </w:rPr>
      </w:pPr>
      <w:r>
        <w:rPr>
          <w:u w:val="single"/>
        </w:rPr>
        <w:t>式中：</w:t>
      </w:r>
    </w:p>
    <w:p>
      <w:pPr>
        <w:spacing w:line="360" w:lineRule="auto"/>
        <w:ind w:firstLine="480" w:firstLineChars="200"/>
        <w:rPr>
          <w:u w:val="single"/>
        </w:rPr>
      </w:pPr>
      <w:r>
        <w:rPr>
          <w:u w:val="single"/>
        </w:rPr>
        <w:t>P为重现期，取2年；</w:t>
      </w:r>
    </w:p>
    <w:p>
      <w:pPr>
        <w:spacing w:line="360" w:lineRule="auto"/>
        <w:ind w:firstLine="480" w:firstLineChars="200"/>
        <w:rPr>
          <w:u w:val="single"/>
        </w:rPr>
      </w:pPr>
      <w:r>
        <w:rPr>
          <w:u w:val="single"/>
        </w:rPr>
        <w:t>t 为降雨历时，取</w:t>
      </w:r>
      <w:r>
        <w:rPr>
          <w:rFonts w:hint="eastAsia"/>
          <w:u w:val="single"/>
        </w:rPr>
        <w:t>30</w:t>
      </w:r>
      <w:r>
        <w:rPr>
          <w:u w:val="single"/>
        </w:rPr>
        <w:t>min</w:t>
      </w:r>
    </w:p>
    <w:p>
      <w:pPr>
        <w:spacing w:line="360" w:lineRule="auto"/>
        <w:ind w:firstLine="480" w:firstLineChars="200"/>
        <w:rPr>
          <w:rFonts w:ascii="Times New Roman" w:hAnsi="Times New Roman" w:cs="Times New Roman"/>
          <w:u w:val="single"/>
        </w:rPr>
      </w:pPr>
      <w:r>
        <w:rPr>
          <w:u w:val="single"/>
        </w:rPr>
        <w:t>设计暴雨强度：q=</w:t>
      </w:r>
      <w:r>
        <w:rPr>
          <w:rFonts w:hint="eastAsia"/>
          <w:u w:val="single"/>
        </w:rPr>
        <w:t>154.24</w:t>
      </w:r>
      <w:r>
        <w:rPr>
          <w:u w:val="single"/>
        </w:rPr>
        <w:t>L/s•ha</w:t>
      </w:r>
    </w:p>
    <w:p>
      <w:pPr>
        <w:spacing w:line="360" w:lineRule="auto"/>
        <w:ind w:firstLine="480" w:firstLineChars="200"/>
        <w:rPr>
          <w:u w:val="single"/>
        </w:rPr>
      </w:pPr>
      <w:r>
        <w:rPr>
          <w:rFonts w:hint="eastAsia" w:ascii="Times New Roman" w:hAnsi="Times New Roman" w:cs="Times New Roman"/>
          <w:u w:val="single"/>
        </w:rPr>
        <w:t>则西侧厂区Q=0.6</w:t>
      </w:r>
      <w:r>
        <w:rPr>
          <w:u w:val="single"/>
        </w:rPr>
        <w:t>×</w:t>
      </w:r>
      <w:r>
        <w:rPr>
          <w:rFonts w:hint="eastAsia"/>
          <w:u w:val="single"/>
        </w:rPr>
        <w:t>154.24</w:t>
      </w:r>
      <w:r>
        <w:rPr>
          <w:u w:val="single"/>
        </w:rPr>
        <w:t>×</w:t>
      </w:r>
      <w:r>
        <w:rPr>
          <w:rFonts w:hint="eastAsia" w:ascii="Times New Roman" w:hAnsi="Times New Roman" w:cs="Times New Roman"/>
          <w:u w:val="single"/>
        </w:rPr>
        <w:t>1.3</w:t>
      </w:r>
      <w:r>
        <w:rPr>
          <w:rFonts w:hint="eastAsia"/>
          <w:u w:val="single"/>
        </w:rPr>
        <w:t>=120.12</w:t>
      </w:r>
      <w:r>
        <w:rPr>
          <w:u w:val="single"/>
        </w:rPr>
        <w:t>L/s，最大初期雨水需收集量：W</w:t>
      </w:r>
      <w:r>
        <w:rPr>
          <w:rFonts w:hint="eastAsia"/>
          <w:u w:val="single"/>
          <w:vertAlign w:val="subscript"/>
        </w:rPr>
        <w:t>1</w:t>
      </w:r>
      <w:r>
        <w:rPr>
          <w:rFonts w:hint="eastAsia"/>
          <w:u w:val="single"/>
        </w:rPr>
        <w:t>=120.12</w:t>
      </w:r>
      <w:r>
        <w:rPr>
          <w:u w:val="single"/>
        </w:rPr>
        <w:t>×</w:t>
      </w:r>
      <w:r>
        <w:rPr>
          <w:rFonts w:hint="eastAsia"/>
          <w:u w:val="single"/>
        </w:rPr>
        <w:t>30</w:t>
      </w:r>
      <w:r>
        <w:rPr>
          <w:u w:val="single"/>
        </w:rPr>
        <w:t>×</w:t>
      </w:r>
      <w:r>
        <w:rPr>
          <w:rFonts w:hint="eastAsia"/>
          <w:u w:val="single"/>
        </w:rPr>
        <w:t>60/1000=108</w:t>
      </w:r>
      <w:r>
        <w:rPr>
          <w:rFonts w:ascii="Times New Roman" w:hAnsi="Times New Roman" w:cs="Times New Roman"/>
          <w:u w:val="single"/>
        </w:rPr>
        <w:t xml:space="preserve"> m</w:t>
      </w:r>
      <w:r>
        <w:rPr>
          <w:rFonts w:ascii="Times New Roman" w:hAnsi="Times New Roman" w:cs="Times New Roman"/>
          <w:u w:val="single"/>
          <w:vertAlign w:val="superscript"/>
        </w:rPr>
        <w:t>3</w:t>
      </w:r>
      <w:r>
        <w:rPr>
          <w:rFonts w:ascii="Times New Roman" w:hAnsi="Times New Roman" w:cs="Times New Roman"/>
          <w:u w:val="single"/>
        </w:rPr>
        <w:t>；</w:t>
      </w:r>
    </w:p>
    <w:p>
      <w:pPr>
        <w:spacing w:line="360" w:lineRule="auto"/>
        <w:ind w:firstLine="480" w:firstLineChars="200"/>
        <w:rPr>
          <w:u w:val="single"/>
        </w:rPr>
      </w:pPr>
      <w:r>
        <w:rPr>
          <w:rFonts w:ascii="Times New Roman" w:hAnsi="Times New Roman" w:cs="Times New Roman"/>
          <w:u w:val="single"/>
        </w:rPr>
        <w:t>东侧厂区</w:t>
      </w:r>
      <w:r>
        <w:rPr>
          <w:rFonts w:hint="eastAsia" w:ascii="Times New Roman" w:hAnsi="Times New Roman" w:cs="Times New Roman"/>
          <w:u w:val="single"/>
        </w:rPr>
        <w:t>Q=0.6</w:t>
      </w:r>
      <w:r>
        <w:rPr>
          <w:u w:val="single"/>
        </w:rPr>
        <w:t>×</w:t>
      </w:r>
      <w:r>
        <w:rPr>
          <w:rFonts w:hint="eastAsia"/>
          <w:u w:val="single"/>
        </w:rPr>
        <w:t>154.24</w:t>
      </w:r>
      <w:r>
        <w:rPr>
          <w:u w:val="single"/>
        </w:rPr>
        <w:t>×</w:t>
      </w:r>
      <w:r>
        <w:rPr>
          <w:rFonts w:hint="eastAsia" w:ascii="Times New Roman" w:hAnsi="Times New Roman" w:cs="Times New Roman"/>
          <w:u w:val="single"/>
        </w:rPr>
        <w:t>4</w:t>
      </w:r>
      <w:r>
        <w:rPr>
          <w:rFonts w:hint="eastAsia"/>
          <w:u w:val="single"/>
        </w:rPr>
        <w:t>=370.18</w:t>
      </w:r>
      <w:r>
        <w:rPr>
          <w:u w:val="single"/>
        </w:rPr>
        <w:t>L/s</w:t>
      </w:r>
      <w:r>
        <w:rPr>
          <w:rFonts w:ascii="Times New Roman" w:hAnsi="Times New Roman" w:cs="Times New Roman"/>
          <w:u w:val="single"/>
        </w:rPr>
        <w:t>，</w:t>
      </w:r>
      <w:r>
        <w:rPr>
          <w:u w:val="single"/>
        </w:rPr>
        <w:t>最大初期雨水需收集量：W</w:t>
      </w:r>
      <w:r>
        <w:rPr>
          <w:rFonts w:hint="eastAsia"/>
          <w:u w:val="single"/>
          <w:vertAlign w:val="subscript"/>
        </w:rPr>
        <w:t>2</w:t>
      </w:r>
      <w:r>
        <w:rPr>
          <w:rFonts w:hint="eastAsia"/>
          <w:u w:val="single"/>
        </w:rPr>
        <w:t>=370.18</w:t>
      </w:r>
      <w:r>
        <w:rPr>
          <w:u w:val="single"/>
        </w:rPr>
        <w:t>×</w:t>
      </w:r>
      <w:r>
        <w:rPr>
          <w:rFonts w:hint="eastAsia"/>
          <w:u w:val="single"/>
        </w:rPr>
        <w:t>30</w:t>
      </w:r>
      <w:r>
        <w:rPr>
          <w:u w:val="single"/>
        </w:rPr>
        <w:t>×</w:t>
      </w:r>
      <w:r>
        <w:rPr>
          <w:rFonts w:hint="eastAsia"/>
          <w:u w:val="single"/>
        </w:rPr>
        <w:t>60/1000=666</w:t>
      </w:r>
      <w:r>
        <w:rPr>
          <w:rFonts w:ascii="Times New Roman" w:hAnsi="Times New Roman" w:cs="Times New Roman"/>
          <w:u w:val="single"/>
        </w:rPr>
        <w:t xml:space="preserve"> m</w:t>
      </w:r>
      <w:r>
        <w:rPr>
          <w:rFonts w:ascii="Times New Roman" w:hAnsi="Times New Roman" w:cs="Times New Roman"/>
          <w:u w:val="single"/>
          <w:vertAlign w:val="superscript"/>
        </w:rPr>
        <w:t>3</w:t>
      </w:r>
      <w:r>
        <w:rPr>
          <w:rFonts w:ascii="Times New Roman" w:hAnsi="Times New Roman" w:cs="Times New Roman"/>
          <w:u w:val="single"/>
        </w:rPr>
        <w:t>，需要收集总初期雨水量为</w:t>
      </w:r>
      <w:r>
        <w:rPr>
          <w:rFonts w:hint="eastAsia" w:ascii="Times New Roman" w:hAnsi="Times New Roman" w:cs="Times New Roman"/>
          <w:u w:val="single"/>
        </w:rPr>
        <w:t>774</w:t>
      </w:r>
      <w:r>
        <w:rPr>
          <w:rFonts w:ascii="Times New Roman" w:hAnsi="Times New Roman" w:cs="Times New Roman"/>
          <w:u w:val="single"/>
        </w:rPr>
        <w:t xml:space="preserve"> m</w:t>
      </w:r>
      <w:r>
        <w:rPr>
          <w:rFonts w:ascii="Times New Roman" w:hAnsi="Times New Roman" w:cs="Times New Roman"/>
          <w:u w:val="single"/>
          <w:vertAlign w:val="superscript"/>
        </w:rPr>
        <w:t>3</w:t>
      </w:r>
      <w:r>
        <w:rPr>
          <w:rFonts w:ascii="Times New Roman" w:hAnsi="Times New Roman" w:cs="Times New Roman"/>
          <w:u w:val="single"/>
        </w:rPr>
        <w:t>。</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项目</w:t>
      </w:r>
      <w:r>
        <w:rPr>
          <w:rFonts w:hint="eastAsia" w:ascii="Times New Roman" w:hAnsi="Times New Roman" w:cs="Times New Roman"/>
          <w:u w:val="single"/>
        </w:rPr>
        <w:t>在东西厂区各</w:t>
      </w:r>
      <w:r>
        <w:rPr>
          <w:rFonts w:ascii="Times New Roman" w:hAnsi="Times New Roman" w:cs="Times New Roman"/>
          <w:u w:val="single"/>
        </w:rPr>
        <w:t>拟建设一座初期雨水沉淀池，对初期雨水进行收集，</w:t>
      </w:r>
      <w:r>
        <w:rPr>
          <w:rFonts w:hint="eastAsia" w:ascii="Times New Roman" w:hAnsi="Times New Roman" w:cs="Times New Roman"/>
          <w:u w:val="single"/>
        </w:rPr>
        <w:t>西侧厂区</w:t>
      </w:r>
      <w:r>
        <w:rPr>
          <w:rFonts w:ascii="Times New Roman" w:hAnsi="Times New Roman" w:cs="Times New Roman"/>
          <w:u w:val="single"/>
        </w:rPr>
        <w:t>初期雨水沉淀池容积为</w:t>
      </w:r>
      <w:r>
        <w:rPr>
          <w:rFonts w:hint="eastAsia" w:ascii="Times New Roman" w:hAnsi="Times New Roman" w:cs="Times New Roman"/>
          <w:u w:val="single"/>
        </w:rPr>
        <w:t>300</w:t>
      </w:r>
      <w:r>
        <w:rPr>
          <w:rFonts w:ascii="Times New Roman" w:hAnsi="Times New Roman" w:cs="Times New Roman"/>
          <w:u w:val="single"/>
        </w:rPr>
        <w:t>m</w:t>
      </w:r>
      <w:r>
        <w:rPr>
          <w:rFonts w:ascii="Times New Roman" w:hAnsi="Times New Roman" w:cs="Times New Roman"/>
          <w:u w:val="single"/>
          <w:vertAlign w:val="superscript"/>
        </w:rPr>
        <w:t>3</w:t>
      </w:r>
      <w:r>
        <w:rPr>
          <w:rFonts w:hint="eastAsia" w:ascii="Times New Roman" w:hAnsi="Times New Roman" w:cs="Times New Roman"/>
          <w:u w:val="single"/>
        </w:rPr>
        <w:t>，东侧厂区</w:t>
      </w:r>
      <w:r>
        <w:rPr>
          <w:rFonts w:ascii="Times New Roman" w:hAnsi="Times New Roman" w:cs="Times New Roman"/>
          <w:u w:val="single"/>
        </w:rPr>
        <w:t>初期雨水沉淀池容积为</w:t>
      </w:r>
      <w:r>
        <w:rPr>
          <w:rFonts w:hint="eastAsia" w:ascii="Times New Roman" w:hAnsi="Times New Roman" w:cs="Times New Roman"/>
          <w:u w:val="single"/>
        </w:rPr>
        <w:t>70</w:t>
      </w:r>
      <w:r>
        <w:rPr>
          <w:rFonts w:ascii="Times New Roman" w:hAnsi="Times New Roman" w:cs="Times New Roman"/>
          <w:u w:val="single"/>
        </w:rPr>
        <w:t>0m</w:t>
      </w:r>
      <w:r>
        <w:rPr>
          <w:rFonts w:ascii="Times New Roman" w:hAnsi="Times New Roman" w:cs="Times New Roman"/>
          <w:u w:val="single"/>
          <w:vertAlign w:val="superscript"/>
        </w:rPr>
        <w:t>3</w:t>
      </w:r>
      <w:r>
        <w:rPr>
          <w:rFonts w:ascii="Times New Roman" w:hAnsi="Times New Roman" w:cs="Times New Roman"/>
          <w:u w:val="single"/>
        </w:rPr>
        <w:t>。初期雨水错峰分批次泵入厂区污水处理设施处理。</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本项目在生产区四周设置雨水沟，雨水沟汇入厂区废水处理站旁的初期雨水池（1000m</w:t>
      </w:r>
      <w:r>
        <w:rPr>
          <w:rFonts w:ascii="Times New Roman" w:hAnsi="Times New Roman" w:cs="Times New Roman"/>
          <w:u w:val="single"/>
          <w:vertAlign w:val="superscript"/>
        </w:rPr>
        <w:t>3</w:t>
      </w:r>
      <w:r>
        <w:rPr>
          <w:rFonts w:ascii="Times New Roman" w:hAnsi="Times New Roman" w:cs="Times New Roman"/>
          <w:u w:val="single"/>
        </w:rPr>
        <w:t>），初期雨水设置切换阀，仅收集雨天前</w:t>
      </w:r>
      <w:r>
        <w:rPr>
          <w:rFonts w:hint="eastAsia" w:ascii="Times New Roman" w:hAnsi="Times New Roman" w:cs="Times New Roman"/>
          <w:u w:val="single"/>
        </w:rPr>
        <w:t>30</w:t>
      </w:r>
      <w:r>
        <w:rPr>
          <w:rFonts w:ascii="Times New Roman" w:hAnsi="Times New Roman" w:cs="Times New Roman"/>
          <w:u w:val="single"/>
        </w:rPr>
        <w:t>min的雨水，</w:t>
      </w:r>
      <w:r>
        <w:rPr>
          <w:rFonts w:hint="eastAsia" w:ascii="Times New Roman" w:hAnsi="Times New Roman" w:cs="Times New Roman"/>
          <w:u w:val="single"/>
        </w:rPr>
        <w:t>30</w:t>
      </w:r>
      <w:r>
        <w:rPr>
          <w:rFonts w:ascii="Times New Roman" w:hAnsi="Times New Roman" w:cs="Times New Roman"/>
          <w:u w:val="single"/>
        </w:rPr>
        <w:t>min后的雨水</w:t>
      </w:r>
      <w:r>
        <w:rPr>
          <w:rFonts w:hint="eastAsia" w:ascii="Times New Roman" w:hAnsi="Times New Roman" w:cs="Times New Roman"/>
          <w:u w:val="single"/>
        </w:rPr>
        <w:t>，厂区</w:t>
      </w:r>
      <w:r>
        <w:rPr>
          <w:rFonts w:ascii="Times New Roman" w:hAnsi="Times New Roman" w:cs="Times New Roman"/>
          <w:u w:val="single"/>
        </w:rPr>
        <w:t>通过雨水沟排入园区雨水管网。初期雨水池设有水泵，将初期雨水抽至项目废水处理站进行深度处理后回用，不外排。</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根据建设单位提供的废水设计方案中给出的各种废水进水水质数据，类比《湖南瑞科美新能源有限责任公司年处理3万吨废旧动力蓄电池绿色回收资源循环项目环境影响报告书》</w:t>
      </w:r>
      <w:r>
        <w:rPr>
          <w:rFonts w:hint="eastAsia" w:ascii="Times New Roman" w:hAnsi="Times New Roman" w:cs="Times New Roman"/>
          <w:u w:val="single"/>
        </w:rPr>
        <w:t>、《全南县瑞隆科技有限公司年处理13000吨废锂电池正极片综合利用项目竣工环保验收监测报告》，</w:t>
      </w:r>
      <w:r>
        <w:rPr>
          <w:rFonts w:ascii="Times New Roman" w:hAnsi="Times New Roman" w:cs="Times New Roman"/>
          <w:u w:val="single"/>
        </w:rPr>
        <w:t>本项目废水排放情况如下表。</w:t>
      </w:r>
    </w:p>
    <w:p>
      <w:pPr>
        <w:spacing w:line="360" w:lineRule="auto"/>
        <w:ind w:firstLine="480" w:firstLineChars="200"/>
        <w:rPr>
          <w:rFonts w:ascii="Times New Roman" w:hAnsi="Times New Roman" w:cs="Times New Roman"/>
        </w:rPr>
      </w:pPr>
    </w:p>
    <w:p>
      <w:pPr>
        <w:spacing w:line="360" w:lineRule="auto"/>
        <w:ind w:firstLine="480" w:firstLineChars="200"/>
        <w:rPr>
          <w:rFonts w:ascii="Times New Roman" w:hAnsi="Times New Roman" w:cs="Times New Roman"/>
        </w:rPr>
        <w:sectPr>
          <w:footerReference r:id="rId5" w:type="default"/>
          <w:pgSz w:w="11907" w:h="16840"/>
          <w:pgMar w:top="1418" w:right="1701" w:bottom="1418" w:left="1701" w:header="851" w:footer="851" w:gutter="0"/>
          <w:cols w:space="720" w:num="1"/>
          <w:docGrid w:linePitch="312" w:charSpace="0"/>
        </w:sectPr>
      </w:pPr>
    </w:p>
    <w:p>
      <w:pPr>
        <w:pStyle w:val="6"/>
        <w:rPr>
          <w:rFonts w:ascii="Times New Roman" w:hAnsi="Times New Roman" w:cs="Times New Roman"/>
        </w:rPr>
      </w:pPr>
      <w:r>
        <w:rPr>
          <w:rFonts w:ascii="Times New Roman" w:hAnsi="Times New Roman" w:cs="Times New Roman"/>
        </w:rPr>
        <w:t>表3.2-</w:t>
      </w:r>
      <w:r>
        <w:rPr>
          <w:rFonts w:hint="eastAsia" w:ascii="Times New Roman" w:hAnsi="Times New Roman" w:cs="Times New Roman"/>
        </w:rPr>
        <w:t>25</w:t>
      </w:r>
      <w:r>
        <w:rPr>
          <w:rFonts w:ascii="Times New Roman" w:hAnsi="Times New Roman" w:cs="Times New Roman"/>
        </w:rPr>
        <w:t xml:space="preserve">  项目水污染物产生及排放情况</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42"/>
        <w:gridCol w:w="1382"/>
        <w:gridCol w:w="1186"/>
        <w:gridCol w:w="1183"/>
        <w:gridCol w:w="1368"/>
        <w:gridCol w:w="1843"/>
        <w:gridCol w:w="1712"/>
        <w:gridCol w:w="1183"/>
        <w:gridCol w:w="1180"/>
        <w:gridCol w:w="1180"/>
        <w:gridCol w:w="106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31" w:type="pct"/>
            <w:vMerge w:val="restart"/>
            <w:vAlign w:val="center"/>
          </w:tcPr>
          <w:p>
            <w:pPr>
              <w:pStyle w:val="63"/>
            </w:pPr>
            <w:r>
              <w:t>种类</w:t>
            </w:r>
          </w:p>
        </w:tc>
        <w:tc>
          <w:tcPr>
            <w:tcW w:w="486" w:type="pct"/>
            <w:vMerge w:val="restart"/>
            <w:vAlign w:val="center"/>
          </w:tcPr>
          <w:p>
            <w:pPr>
              <w:pStyle w:val="63"/>
            </w:pPr>
            <w:r>
              <w:t>废水量</w:t>
            </w:r>
          </w:p>
        </w:tc>
        <w:tc>
          <w:tcPr>
            <w:tcW w:w="417" w:type="pct"/>
            <w:vMerge w:val="restart"/>
            <w:vAlign w:val="center"/>
          </w:tcPr>
          <w:p>
            <w:pPr>
              <w:pStyle w:val="63"/>
            </w:pPr>
            <w:r>
              <w:t>污染物</w:t>
            </w:r>
          </w:p>
          <w:p>
            <w:pPr>
              <w:pStyle w:val="63"/>
            </w:pPr>
            <w:r>
              <w:t>名称</w:t>
            </w:r>
          </w:p>
        </w:tc>
        <w:tc>
          <w:tcPr>
            <w:tcW w:w="897" w:type="pct"/>
            <w:gridSpan w:val="2"/>
            <w:vAlign w:val="center"/>
          </w:tcPr>
          <w:p>
            <w:pPr>
              <w:pStyle w:val="63"/>
            </w:pPr>
            <w:r>
              <w:t>污染物产生量</w:t>
            </w:r>
          </w:p>
        </w:tc>
        <w:tc>
          <w:tcPr>
            <w:tcW w:w="648" w:type="pct"/>
            <w:vMerge w:val="restart"/>
            <w:vAlign w:val="center"/>
          </w:tcPr>
          <w:p>
            <w:pPr>
              <w:pStyle w:val="63"/>
            </w:pPr>
            <w:r>
              <w:t>治理</w:t>
            </w:r>
          </w:p>
          <w:p>
            <w:pPr>
              <w:pStyle w:val="63"/>
            </w:pPr>
            <w:r>
              <w:t>措施</w:t>
            </w:r>
          </w:p>
        </w:tc>
        <w:tc>
          <w:tcPr>
            <w:tcW w:w="602" w:type="pct"/>
            <w:vMerge w:val="restart"/>
            <w:vAlign w:val="center"/>
          </w:tcPr>
          <w:p>
            <w:pPr>
              <w:pStyle w:val="63"/>
            </w:pPr>
            <w:r>
              <w:t>去除效率%</w:t>
            </w:r>
          </w:p>
        </w:tc>
        <w:tc>
          <w:tcPr>
            <w:tcW w:w="831" w:type="pct"/>
            <w:gridSpan w:val="2"/>
            <w:vAlign w:val="center"/>
          </w:tcPr>
          <w:p>
            <w:pPr>
              <w:pStyle w:val="63"/>
            </w:pPr>
            <w:r>
              <w:t>污染物排放量</w:t>
            </w:r>
          </w:p>
        </w:tc>
        <w:tc>
          <w:tcPr>
            <w:tcW w:w="415" w:type="pct"/>
            <w:vMerge w:val="restart"/>
            <w:vAlign w:val="center"/>
          </w:tcPr>
          <w:p>
            <w:pPr>
              <w:pStyle w:val="63"/>
            </w:pPr>
            <w:r>
              <w:t>标准浓度限值（mg/L）</w:t>
            </w:r>
          </w:p>
        </w:tc>
        <w:tc>
          <w:tcPr>
            <w:tcW w:w="373" w:type="pct"/>
            <w:vMerge w:val="restart"/>
            <w:vAlign w:val="center"/>
          </w:tcPr>
          <w:p>
            <w:pPr>
              <w:pStyle w:val="63"/>
            </w:pPr>
            <w:r>
              <w:t>排放去向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31" w:type="pct"/>
            <w:vMerge w:val="continue"/>
            <w:vAlign w:val="center"/>
          </w:tcPr>
          <w:p>
            <w:pPr>
              <w:pStyle w:val="63"/>
            </w:pPr>
          </w:p>
        </w:tc>
        <w:tc>
          <w:tcPr>
            <w:tcW w:w="486" w:type="pct"/>
            <w:vMerge w:val="continue"/>
            <w:vAlign w:val="center"/>
          </w:tcPr>
          <w:p>
            <w:pPr>
              <w:pStyle w:val="63"/>
            </w:pPr>
          </w:p>
        </w:tc>
        <w:tc>
          <w:tcPr>
            <w:tcW w:w="417" w:type="pct"/>
            <w:vMerge w:val="continue"/>
            <w:vAlign w:val="center"/>
          </w:tcPr>
          <w:p>
            <w:pPr>
              <w:pStyle w:val="63"/>
            </w:pPr>
          </w:p>
        </w:tc>
        <w:tc>
          <w:tcPr>
            <w:tcW w:w="416" w:type="pct"/>
            <w:vAlign w:val="center"/>
          </w:tcPr>
          <w:p>
            <w:pPr>
              <w:pStyle w:val="63"/>
            </w:pPr>
            <w:r>
              <w:t>浓度（mg/L）</w:t>
            </w:r>
          </w:p>
        </w:tc>
        <w:tc>
          <w:tcPr>
            <w:tcW w:w="481" w:type="pct"/>
            <w:vAlign w:val="center"/>
          </w:tcPr>
          <w:p>
            <w:pPr>
              <w:pStyle w:val="63"/>
            </w:pPr>
            <w:r>
              <w:t>产生量（t/a）</w:t>
            </w:r>
          </w:p>
        </w:tc>
        <w:tc>
          <w:tcPr>
            <w:tcW w:w="648" w:type="pct"/>
            <w:vMerge w:val="continue"/>
            <w:vAlign w:val="center"/>
          </w:tcPr>
          <w:p>
            <w:pPr>
              <w:pStyle w:val="63"/>
            </w:pPr>
          </w:p>
        </w:tc>
        <w:tc>
          <w:tcPr>
            <w:tcW w:w="602" w:type="pct"/>
            <w:vMerge w:val="continue"/>
            <w:vAlign w:val="center"/>
          </w:tcPr>
          <w:p>
            <w:pPr>
              <w:pStyle w:val="63"/>
            </w:pPr>
          </w:p>
        </w:tc>
        <w:tc>
          <w:tcPr>
            <w:tcW w:w="416" w:type="pct"/>
            <w:vAlign w:val="center"/>
          </w:tcPr>
          <w:p>
            <w:pPr>
              <w:pStyle w:val="63"/>
            </w:pPr>
            <w:r>
              <w:t>浓度（mg/L）</w:t>
            </w:r>
          </w:p>
        </w:tc>
        <w:tc>
          <w:tcPr>
            <w:tcW w:w="415" w:type="pct"/>
            <w:vAlign w:val="center"/>
          </w:tcPr>
          <w:p>
            <w:pPr>
              <w:pStyle w:val="63"/>
            </w:pPr>
            <w:r>
              <w:t>排放量（t/a）</w:t>
            </w:r>
          </w:p>
        </w:tc>
        <w:tc>
          <w:tcPr>
            <w:tcW w:w="415" w:type="pct"/>
            <w:vMerge w:val="continue"/>
            <w:vAlign w:val="center"/>
          </w:tcPr>
          <w:p>
            <w:pPr>
              <w:pStyle w:val="63"/>
            </w:pP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restart"/>
            <w:vAlign w:val="center"/>
          </w:tcPr>
          <w:p>
            <w:pPr>
              <w:pStyle w:val="63"/>
            </w:pPr>
            <w:r>
              <w:t>纯水制备浓水</w:t>
            </w:r>
          </w:p>
        </w:tc>
        <w:tc>
          <w:tcPr>
            <w:tcW w:w="486" w:type="pct"/>
            <w:vMerge w:val="restart"/>
            <w:vAlign w:val="center"/>
          </w:tcPr>
          <w:p>
            <w:pPr>
              <w:pStyle w:val="63"/>
            </w:pPr>
            <w:r>
              <w:t>12000</w:t>
            </w:r>
          </w:p>
        </w:tc>
        <w:tc>
          <w:tcPr>
            <w:tcW w:w="417" w:type="pct"/>
            <w:vAlign w:val="center"/>
          </w:tcPr>
          <w:p>
            <w:pPr>
              <w:pStyle w:val="63"/>
            </w:pPr>
            <w:r>
              <w:t>pH</w:t>
            </w:r>
          </w:p>
        </w:tc>
        <w:tc>
          <w:tcPr>
            <w:tcW w:w="416" w:type="pct"/>
            <w:vAlign w:val="center"/>
          </w:tcPr>
          <w:p>
            <w:pPr>
              <w:pStyle w:val="63"/>
            </w:pPr>
            <w:r>
              <w:t>6~9</w:t>
            </w:r>
          </w:p>
        </w:tc>
        <w:tc>
          <w:tcPr>
            <w:tcW w:w="481" w:type="pct"/>
            <w:vAlign w:val="center"/>
          </w:tcPr>
          <w:p>
            <w:pPr>
              <w:pStyle w:val="63"/>
            </w:pPr>
            <w:r>
              <w:t>/</w:t>
            </w:r>
          </w:p>
        </w:tc>
        <w:tc>
          <w:tcPr>
            <w:tcW w:w="648" w:type="pct"/>
            <w:vMerge w:val="restart"/>
            <w:vAlign w:val="center"/>
          </w:tcPr>
          <w:p>
            <w:pPr>
              <w:pStyle w:val="63"/>
            </w:pPr>
            <w:r>
              <w:t>超滤+反渗透+MVR多效蒸发</w:t>
            </w:r>
          </w:p>
        </w:tc>
        <w:tc>
          <w:tcPr>
            <w:tcW w:w="602" w:type="pct"/>
            <w:vAlign w:val="center"/>
          </w:tcPr>
          <w:p>
            <w:pPr>
              <w:pStyle w:val="63"/>
            </w:pPr>
            <w:r>
              <w:t>/</w:t>
            </w:r>
          </w:p>
        </w:tc>
        <w:tc>
          <w:tcPr>
            <w:tcW w:w="416" w:type="pct"/>
            <w:vAlign w:val="center"/>
          </w:tcPr>
          <w:p>
            <w:pPr>
              <w:pStyle w:val="63"/>
            </w:pPr>
            <w:r>
              <w:t>/</w:t>
            </w:r>
          </w:p>
        </w:tc>
        <w:tc>
          <w:tcPr>
            <w:tcW w:w="415" w:type="pct"/>
            <w:vAlign w:val="center"/>
          </w:tcPr>
          <w:p>
            <w:pPr>
              <w:pStyle w:val="63"/>
            </w:pPr>
            <w:r>
              <w:t>/</w:t>
            </w:r>
          </w:p>
        </w:tc>
        <w:tc>
          <w:tcPr>
            <w:tcW w:w="415" w:type="pct"/>
            <w:vAlign w:val="center"/>
          </w:tcPr>
          <w:p>
            <w:pPr>
              <w:pStyle w:val="63"/>
            </w:pPr>
            <w:r>
              <w:t>6.5~8.5</w:t>
            </w:r>
          </w:p>
        </w:tc>
        <w:tc>
          <w:tcPr>
            <w:tcW w:w="373" w:type="pct"/>
            <w:vMerge w:val="restart"/>
            <w:vAlign w:val="center"/>
          </w:tcPr>
          <w:p>
            <w:pPr>
              <w:pStyle w:val="63"/>
            </w:pPr>
            <w:r>
              <w:t>废水处理站处理后全部回用，不外排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COD</w:t>
            </w:r>
          </w:p>
        </w:tc>
        <w:tc>
          <w:tcPr>
            <w:tcW w:w="416" w:type="pct"/>
            <w:vAlign w:val="center"/>
          </w:tcPr>
          <w:p>
            <w:pPr>
              <w:pStyle w:val="63"/>
            </w:pPr>
            <w:r>
              <w:t>40</w:t>
            </w:r>
          </w:p>
        </w:tc>
        <w:tc>
          <w:tcPr>
            <w:tcW w:w="481" w:type="pct"/>
            <w:vAlign w:val="center"/>
          </w:tcPr>
          <w:p>
            <w:pPr>
              <w:pStyle w:val="63"/>
            </w:pPr>
            <w:r>
              <w:rPr>
                <w:szCs w:val="21"/>
              </w:rPr>
              <w:t>0.48</w:t>
            </w:r>
          </w:p>
        </w:tc>
        <w:tc>
          <w:tcPr>
            <w:tcW w:w="648" w:type="pct"/>
            <w:vMerge w:val="continue"/>
            <w:vAlign w:val="center"/>
          </w:tcPr>
          <w:p>
            <w:pPr>
              <w:pStyle w:val="63"/>
            </w:pPr>
          </w:p>
        </w:tc>
        <w:tc>
          <w:tcPr>
            <w:tcW w:w="602" w:type="pct"/>
            <w:vAlign w:val="center"/>
          </w:tcPr>
          <w:p>
            <w:pPr>
              <w:pStyle w:val="63"/>
            </w:pPr>
            <w:r>
              <w:t>90%</w:t>
            </w:r>
          </w:p>
        </w:tc>
        <w:tc>
          <w:tcPr>
            <w:tcW w:w="416" w:type="pct"/>
            <w:vAlign w:val="center"/>
          </w:tcPr>
          <w:p>
            <w:pPr>
              <w:pStyle w:val="63"/>
            </w:pPr>
            <w:r>
              <w:t>4</w:t>
            </w:r>
          </w:p>
        </w:tc>
        <w:tc>
          <w:tcPr>
            <w:tcW w:w="415" w:type="pct"/>
            <w:vAlign w:val="center"/>
          </w:tcPr>
          <w:p>
            <w:pPr>
              <w:pStyle w:val="63"/>
            </w:pPr>
            <w:r>
              <w:rPr>
                <w:szCs w:val="21"/>
              </w:rPr>
              <w:t>0.048</w:t>
            </w:r>
          </w:p>
        </w:tc>
        <w:tc>
          <w:tcPr>
            <w:tcW w:w="415" w:type="pct"/>
            <w:vAlign w:val="center"/>
          </w:tcPr>
          <w:p>
            <w:pPr>
              <w:pStyle w:val="63"/>
            </w:pPr>
            <w:r>
              <w:t>60</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SS</w:t>
            </w:r>
          </w:p>
        </w:tc>
        <w:tc>
          <w:tcPr>
            <w:tcW w:w="416" w:type="pct"/>
            <w:vAlign w:val="center"/>
          </w:tcPr>
          <w:p>
            <w:pPr>
              <w:pStyle w:val="63"/>
            </w:pPr>
            <w:r>
              <w:t>50</w:t>
            </w:r>
          </w:p>
        </w:tc>
        <w:tc>
          <w:tcPr>
            <w:tcW w:w="481" w:type="pct"/>
            <w:vAlign w:val="center"/>
          </w:tcPr>
          <w:p>
            <w:pPr>
              <w:pStyle w:val="63"/>
            </w:pPr>
            <w:r>
              <w:rPr>
                <w:szCs w:val="21"/>
              </w:rPr>
              <w:t>0.6</w:t>
            </w:r>
          </w:p>
        </w:tc>
        <w:tc>
          <w:tcPr>
            <w:tcW w:w="648" w:type="pct"/>
            <w:vMerge w:val="continue"/>
            <w:vAlign w:val="center"/>
          </w:tcPr>
          <w:p>
            <w:pPr>
              <w:pStyle w:val="63"/>
            </w:pPr>
          </w:p>
        </w:tc>
        <w:tc>
          <w:tcPr>
            <w:tcW w:w="602" w:type="pct"/>
            <w:vAlign w:val="center"/>
          </w:tcPr>
          <w:p>
            <w:pPr>
              <w:pStyle w:val="63"/>
            </w:pPr>
            <w:r>
              <w:t>99%</w:t>
            </w:r>
          </w:p>
        </w:tc>
        <w:tc>
          <w:tcPr>
            <w:tcW w:w="416" w:type="pct"/>
            <w:vAlign w:val="center"/>
          </w:tcPr>
          <w:p>
            <w:pPr>
              <w:pStyle w:val="63"/>
            </w:pPr>
            <w:r>
              <w:t>0.5</w:t>
            </w:r>
          </w:p>
        </w:tc>
        <w:tc>
          <w:tcPr>
            <w:tcW w:w="415" w:type="pct"/>
            <w:vAlign w:val="center"/>
          </w:tcPr>
          <w:p>
            <w:pPr>
              <w:pStyle w:val="63"/>
            </w:pPr>
            <w:r>
              <w:rPr>
                <w:szCs w:val="21"/>
              </w:rPr>
              <w:t>0.006</w:t>
            </w:r>
          </w:p>
        </w:tc>
        <w:tc>
          <w:tcPr>
            <w:tcW w:w="415" w:type="pct"/>
            <w:vAlign w:val="center"/>
          </w:tcPr>
          <w:p>
            <w:pPr>
              <w:pStyle w:val="63"/>
            </w:pPr>
            <w:r>
              <w:t>/</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全盐量</w:t>
            </w:r>
          </w:p>
        </w:tc>
        <w:tc>
          <w:tcPr>
            <w:tcW w:w="416" w:type="pct"/>
            <w:vAlign w:val="center"/>
          </w:tcPr>
          <w:p>
            <w:pPr>
              <w:pStyle w:val="63"/>
            </w:pPr>
            <w:r>
              <w:t>800</w:t>
            </w:r>
          </w:p>
        </w:tc>
        <w:tc>
          <w:tcPr>
            <w:tcW w:w="481" w:type="pct"/>
            <w:vAlign w:val="center"/>
          </w:tcPr>
          <w:p>
            <w:pPr>
              <w:pStyle w:val="63"/>
            </w:pPr>
            <w:r>
              <w:rPr>
                <w:szCs w:val="21"/>
              </w:rPr>
              <w:t>9.6</w:t>
            </w:r>
          </w:p>
        </w:tc>
        <w:tc>
          <w:tcPr>
            <w:tcW w:w="648" w:type="pct"/>
            <w:vMerge w:val="continue"/>
            <w:vAlign w:val="center"/>
          </w:tcPr>
          <w:p>
            <w:pPr>
              <w:pStyle w:val="63"/>
            </w:pPr>
          </w:p>
        </w:tc>
        <w:tc>
          <w:tcPr>
            <w:tcW w:w="602" w:type="pct"/>
            <w:vAlign w:val="center"/>
          </w:tcPr>
          <w:p>
            <w:pPr>
              <w:pStyle w:val="63"/>
            </w:pPr>
            <w:r>
              <w:t>99%</w:t>
            </w:r>
          </w:p>
        </w:tc>
        <w:tc>
          <w:tcPr>
            <w:tcW w:w="416" w:type="pct"/>
            <w:vAlign w:val="center"/>
          </w:tcPr>
          <w:p>
            <w:pPr>
              <w:pStyle w:val="63"/>
            </w:pPr>
            <w:r>
              <w:t>8</w:t>
            </w:r>
          </w:p>
        </w:tc>
        <w:tc>
          <w:tcPr>
            <w:tcW w:w="415" w:type="pct"/>
            <w:vAlign w:val="center"/>
          </w:tcPr>
          <w:p>
            <w:pPr>
              <w:pStyle w:val="63"/>
            </w:pPr>
            <w:r>
              <w:rPr>
                <w:szCs w:val="21"/>
              </w:rPr>
              <w:t>0.096</w:t>
            </w:r>
          </w:p>
        </w:tc>
        <w:tc>
          <w:tcPr>
            <w:tcW w:w="415" w:type="pct"/>
            <w:vAlign w:val="center"/>
          </w:tcPr>
          <w:p>
            <w:pPr>
              <w:pStyle w:val="63"/>
            </w:pPr>
            <w:r>
              <w:t>/</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restart"/>
            <w:vAlign w:val="center"/>
          </w:tcPr>
          <w:p>
            <w:pPr>
              <w:pStyle w:val="63"/>
            </w:pPr>
            <w:r>
              <w:t>锅炉排污水</w:t>
            </w:r>
          </w:p>
        </w:tc>
        <w:tc>
          <w:tcPr>
            <w:tcW w:w="486" w:type="pct"/>
            <w:vMerge w:val="restart"/>
            <w:vAlign w:val="center"/>
          </w:tcPr>
          <w:p>
            <w:pPr>
              <w:pStyle w:val="63"/>
            </w:pPr>
            <w:r>
              <w:t>3240</w:t>
            </w:r>
          </w:p>
        </w:tc>
        <w:tc>
          <w:tcPr>
            <w:tcW w:w="417" w:type="pct"/>
            <w:vAlign w:val="center"/>
          </w:tcPr>
          <w:p>
            <w:pPr>
              <w:pStyle w:val="63"/>
            </w:pPr>
            <w:r>
              <w:t>pH</w:t>
            </w:r>
          </w:p>
        </w:tc>
        <w:tc>
          <w:tcPr>
            <w:tcW w:w="416" w:type="pct"/>
            <w:vAlign w:val="center"/>
          </w:tcPr>
          <w:p>
            <w:pPr>
              <w:pStyle w:val="63"/>
            </w:pPr>
            <w:r>
              <w:t>6~9</w:t>
            </w:r>
          </w:p>
        </w:tc>
        <w:tc>
          <w:tcPr>
            <w:tcW w:w="481" w:type="pct"/>
            <w:vAlign w:val="center"/>
          </w:tcPr>
          <w:p>
            <w:pPr>
              <w:pStyle w:val="63"/>
            </w:pPr>
            <w:r>
              <w:t>/</w:t>
            </w:r>
          </w:p>
        </w:tc>
        <w:tc>
          <w:tcPr>
            <w:tcW w:w="648" w:type="pct"/>
            <w:vMerge w:val="restart"/>
            <w:vAlign w:val="center"/>
          </w:tcPr>
          <w:p>
            <w:pPr>
              <w:pStyle w:val="63"/>
            </w:pPr>
            <w:r>
              <w:t>超滤+反渗透+MVR多效蒸发</w:t>
            </w:r>
          </w:p>
        </w:tc>
        <w:tc>
          <w:tcPr>
            <w:tcW w:w="602" w:type="pct"/>
            <w:vAlign w:val="center"/>
          </w:tcPr>
          <w:p>
            <w:pPr>
              <w:pStyle w:val="63"/>
            </w:pPr>
            <w:r>
              <w:t>/</w:t>
            </w:r>
          </w:p>
        </w:tc>
        <w:tc>
          <w:tcPr>
            <w:tcW w:w="416" w:type="pct"/>
            <w:vAlign w:val="center"/>
          </w:tcPr>
          <w:p>
            <w:pPr>
              <w:pStyle w:val="63"/>
            </w:pPr>
            <w:r>
              <w:t>/</w:t>
            </w:r>
          </w:p>
        </w:tc>
        <w:tc>
          <w:tcPr>
            <w:tcW w:w="415" w:type="pct"/>
            <w:vAlign w:val="center"/>
          </w:tcPr>
          <w:p>
            <w:pPr>
              <w:pStyle w:val="63"/>
            </w:pPr>
            <w:r>
              <w:t>/</w:t>
            </w:r>
          </w:p>
        </w:tc>
        <w:tc>
          <w:tcPr>
            <w:tcW w:w="415" w:type="pct"/>
            <w:vAlign w:val="center"/>
          </w:tcPr>
          <w:p>
            <w:pPr>
              <w:pStyle w:val="63"/>
            </w:pPr>
            <w:r>
              <w:t>6.5~8.5</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COD</w:t>
            </w:r>
          </w:p>
        </w:tc>
        <w:tc>
          <w:tcPr>
            <w:tcW w:w="416" w:type="pct"/>
            <w:vAlign w:val="center"/>
          </w:tcPr>
          <w:p>
            <w:pPr>
              <w:pStyle w:val="63"/>
            </w:pPr>
            <w:r>
              <w:t>60</w:t>
            </w:r>
          </w:p>
        </w:tc>
        <w:tc>
          <w:tcPr>
            <w:tcW w:w="481" w:type="pct"/>
            <w:vAlign w:val="center"/>
          </w:tcPr>
          <w:p>
            <w:pPr>
              <w:pStyle w:val="63"/>
            </w:pPr>
            <w:r>
              <w:rPr>
                <w:szCs w:val="21"/>
              </w:rPr>
              <w:t>0.1944</w:t>
            </w:r>
          </w:p>
        </w:tc>
        <w:tc>
          <w:tcPr>
            <w:tcW w:w="648" w:type="pct"/>
            <w:vMerge w:val="continue"/>
            <w:vAlign w:val="center"/>
          </w:tcPr>
          <w:p>
            <w:pPr>
              <w:pStyle w:val="63"/>
            </w:pPr>
          </w:p>
        </w:tc>
        <w:tc>
          <w:tcPr>
            <w:tcW w:w="602" w:type="pct"/>
            <w:vAlign w:val="center"/>
          </w:tcPr>
          <w:p>
            <w:pPr>
              <w:pStyle w:val="63"/>
            </w:pPr>
            <w:r>
              <w:t>90%</w:t>
            </w:r>
          </w:p>
        </w:tc>
        <w:tc>
          <w:tcPr>
            <w:tcW w:w="416" w:type="pct"/>
            <w:vAlign w:val="center"/>
          </w:tcPr>
          <w:p>
            <w:pPr>
              <w:pStyle w:val="63"/>
            </w:pPr>
            <w:r>
              <w:t>6</w:t>
            </w:r>
          </w:p>
        </w:tc>
        <w:tc>
          <w:tcPr>
            <w:tcW w:w="415" w:type="pct"/>
            <w:vAlign w:val="center"/>
          </w:tcPr>
          <w:p>
            <w:pPr>
              <w:pStyle w:val="63"/>
            </w:pPr>
            <w:r>
              <w:rPr>
                <w:szCs w:val="21"/>
              </w:rPr>
              <w:t>0.01944</w:t>
            </w:r>
          </w:p>
        </w:tc>
        <w:tc>
          <w:tcPr>
            <w:tcW w:w="415" w:type="pct"/>
            <w:vAlign w:val="center"/>
          </w:tcPr>
          <w:p>
            <w:pPr>
              <w:pStyle w:val="63"/>
            </w:pPr>
            <w:r>
              <w:t>60</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SS</w:t>
            </w:r>
          </w:p>
        </w:tc>
        <w:tc>
          <w:tcPr>
            <w:tcW w:w="416" w:type="pct"/>
            <w:vAlign w:val="center"/>
          </w:tcPr>
          <w:p>
            <w:pPr>
              <w:pStyle w:val="63"/>
            </w:pPr>
            <w:r>
              <w:t>50</w:t>
            </w:r>
          </w:p>
        </w:tc>
        <w:tc>
          <w:tcPr>
            <w:tcW w:w="481" w:type="pct"/>
            <w:vAlign w:val="center"/>
          </w:tcPr>
          <w:p>
            <w:pPr>
              <w:pStyle w:val="63"/>
            </w:pPr>
            <w:r>
              <w:rPr>
                <w:szCs w:val="21"/>
              </w:rPr>
              <w:t>0.162</w:t>
            </w:r>
          </w:p>
        </w:tc>
        <w:tc>
          <w:tcPr>
            <w:tcW w:w="648" w:type="pct"/>
            <w:vMerge w:val="continue"/>
            <w:vAlign w:val="center"/>
          </w:tcPr>
          <w:p>
            <w:pPr>
              <w:pStyle w:val="63"/>
            </w:pPr>
          </w:p>
        </w:tc>
        <w:tc>
          <w:tcPr>
            <w:tcW w:w="602" w:type="pct"/>
            <w:vAlign w:val="center"/>
          </w:tcPr>
          <w:p>
            <w:pPr>
              <w:pStyle w:val="63"/>
            </w:pPr>
            <w:r>
              <w:t>90%</w:t>
            </w:r>
          </w:p>
        </w:tc>
        <w:tc>
          <w:tcPr>
            <w:tcW w:w="416" w:type="pct"/>
            <w:vAlign w:val="center"/>
          </w:tcPr>
          <w:p>
            <w:pPr>
              <w:pStyle w:val="63"/>
            </w:pPr>
            <w:r>
              <w:t>0.5</w:t>
            </w:r>
          </w:p>
        </w:tc>
        <w:tc>
          <w:tcPr>
            <w:tcW w:w="415" w:type="pct"/>
            <w:vAlign w:val="center"/>
          </w:tcPr>
          <w:p>
            <w:pPr>
              <w:pStyle w:val="63"/>
            </w:pPr>
            <w:r>
              <w:rPr>
                <w:szCs w:val="21"/>
              </w:rPr>
              <w:t>0.0162</w:t>
            </w:r>
          </w:p>
        </w:tc>
        <w:tc>
          <w:tcPr>
            <w:tcW w:w="415" w:type="pct"/>
            <w:vAlign w:val="center"/>
          </w:tcPr>
          <w:p>
            <w:pPr>
              <w:pStyle w:val="63"/>
            </w:pPr>
            <w:r>
              <w:t>/</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全盐量</w:t>
            </w:r>
          </w:p>
        </w:tc>
        <w:tc>
          <w:tcPr>
            <w:tcW w:w="416" w:type="pct"/>
            <w:vAlign w:val="center"/>
          </w:tcPr>
          <w:p>
            <w:pPr>
              <w:pStyle w:val="63"/>
            </w:pPr>
            <w:r>
              <w:t>600</w:t>
            </w:r>
          </w:p>
        </w:tc>
        <w:tc>
          <w:tcPr>
            <w:tcW w:w="481" w:type="pct"/>
            <w:vAlign w:val="center"/>
          </w:tcPr>
          <w:p>
            <w:pPr>
              <w:pStyle w:val="63"/>
            </w:pPr>
            <w:r>
              <w:rPr>
                <w:szCs w:val="21"/>
              </w:rPr>
              <w:t>1.944</w:t>
            </w:r>
          </w:p>
        </w:tc>
        <w:tc>
          <w:tcPr>
            <w:tcW w:w="648" w:type="pct"/>
            <w:vMerge w:val="continue"/>
            <w:vAlign w:val="center"/>
          </w:tcPr>
          <w:p>
            <w:pPr>
              <w:pStyle w:val="63"/>
            </w:pPr>
          </w:p>
        </w:tc>
        <w:tc>
          <w:tcPr>
            <w:tcW w:w="602" w:type="pct"/>
            <w:vAlign w:val="center"/>
          </w:tcPr>
          <w:p>
            <w:pPr>
              <w:pStyle w:val="63"/>
            </w:pPr>
            <w:r>
              <w:t>99%</w:t>
            </w:r>
          </w:p>
        </w:tc>
        <w:tc>
          <w:tcPr>
            <w:tcW w:w="416" w:type="pct"/>
            <w:vAlign w:val="center"/>
          </w:tcPr>
          <w:p>
            <w:pPr>
              <w:pStyle w:val="63"/>
            </w:pPr>
            <w:r>
              <w:t>6</w:t>
            </w:r>
          </w:p>
        </w:tc>
        <w:tc>
          <w:tcPr>
            <w:tcW w:w="415" w:type="pct"/>
            <w:vAlign w:val="center"/>
          </w:tcPr>
          <w:p>
            <w:pPr>
              <w:pStyle w:val="63"/>
            </w:pPr>
            <w:r>
              <w:rPr>
                <w:szCs w:val="21"/>
              </w:rPr>
              <w:t>0.01944</w:t>
            </w:r>
          </w:p>
        </w:tc>
        <w:tc>
          <w:tcPr>
            <w:tcW w:w="415" w:type="pct"/>
            <w:vAlign w:val="center"/>
          </w:tcPr>
          <w:p>
            <w:pPr>
              <w:pStyle w:val="63"/>
            </w:pPr>
            <w:r>
              <w:t>/</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restart"/>
            <w:vAlign w:val="center"/>
          </w:tcPr>
          <w:p>
            <w:pPr>
              <w:pStyle w:val="63"/>
            </w:pPr>
            <w:r>
              <w:t>预处理车间废气处理</w:t>
            </w:r>
          </w:p>
        </w:tc>
        <w:tc>
          <w:tcPr>
            <w:tcW w:w="486" w:type="pct"/>
            <w:vMerge w:val="restart"/>
            <w:vAlign w:val="center"/>
          </w:tcPr>
          <w:p>
            <w:pPr>
              <w:pStyle w:val="63"/>
            </w:pPr>
            <w:r>
              <w:t>52500</w:t>
            </w:r>
          </w:p>
        </w:tc>
        <w:tc>
          <w:tcPr>
            <w:tcW w:w="417" w:type="pct"/>
            <w:vAlign w:val="center"/>
          </w:tcPr>
          <w:p>
            <w:pPr>
              <w:pStyle w:val="63"/>
            </w:pPr>
            <w:r>
              <w:t>pH</w:t>
            </w:r>
          </w:p>
        </w:tc>
        <w:tc>
          <w:tcPr>
            <w:tcW w:w="416" w:type="pct"/>
            <w:vAlign w:val="center"/>
          </w:tcPr>
          <w:p>
            <w:pPr>
              <w:pStyle w:val="63"/>
            </w:pPr>
            <w:r>
              <w:t>6~9</w:t>
            </w:r>
          </w:p>
        </w:tc>
        <w:tc>
          <w:tcPr>
            <w:tcW w:w="481" w:type="pct"/>
            <w:vAlign w:val="center"/>
          </w:tcPr>
          <w:p>
            <w:pPr>
              <w:pStyle w:val="63"/>
            </w:pPr>
            <w:r>
              <w:t>/</w:t>
            </w:r>
          </w:p>
        </w:tc>
        <w:tc>
          <w:tcPr>
            <w:tcW w:w="648" w:type="pct"/>
            <w:vMerge w:val="restart"/>
            <w:vAlign w:val="center"/>
          </w:tcPr>
          <w:p>
            <w:pPr>
              <w:pStyle w:val="63"/>
            </w:pPr>
            <w:r>
              <w:t>二级氢氧化钙沉淀+板框压滤</w:t>
            </w:r>
          </w:p>
        </w:tc>
        <w:tc>
          <w:tcPr>
            <w:tcW w:w="602" w:type="pct"/>
            <w:vAlign w:val="center"/>
          </w:tcPr>
          <w:p>
            <w:pPr>
              <w:pStyle w:val="63"/>
            </w:pPr>
            <w:r>
              <w:t>/</w:t>
            </w:r>
          </w:p>
        </w:tc>
        <w:tc>
          <w:tcPr>
            <w:tcW w:w="416" w:type="pct"/>
            <w:vAlign w:val="center"/>
          </w:tcPr>
          <w:p>
            <w:pPr>
              <w:pStyle w:val="63"/>
            </w:pPr>
            <w:r>
              <w:t>/</w:t>
            </w:r>
          </w:p>
        </w:tc>
        <w:tc>
          <w:tcPr>
            <w:tcW w:w="415" w:type="pct"/>
            <w:vAlign w:val="center"/>
          </w:tcPr>
          <w:p>
            <w:pPr>
              <w:pStyle w:val="63"/>
            </w:pPr>
            <w:r>
              <w:t>/</w:t>
            </w:r>
          </w:p>
        </w:tc>
        <w:tc>
          <w:tcPr>
            <w:tcW w:w="415" w:type="pct"/>
            <w:vAlign w:val="center"/>
          </w:tcPr>
          <w:p>
            <w:pPr>
              <w:pStyle w:val="63"/>
            </w:pPr>
            <w:r>
              <w:t>6.5~8.5</w:t>
            </w:r>
          </w:p>
        </w:tc>
        <w:tc>
          <w:tcPr>
            <w:tcW w:w="373" w:type="pct"/>
            <w:vMerge w:val="restart"/>
            <w:vAlign w:val="center"/>
          </w:tcPr>
          <w:p>
            <w:pPr>
              <w:pStyle w:val="63"/>
            </w:pPr>
            <w:r>
              <w:t>脱氟废水处理池处理后全部回用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COD</w:t>
            </w:r>
          </w:p>
        </w:tc>
        <w:tc>
          <w:tcPr>
            <w:tcW w:w="416" w:type="pct"/>
            <w:vAlign w:val="center"/>
          </w:tcPr>
          <w:p>
            <w:pPr>
              <w:pStyle w:val="63"/>
            </w:pPr>
            <w:r>
              <w:t>300</w:t>
            </w:r>
          </w:p>
        </w:tc>
        <w:tc>
          <w:tcPr>
            <w:tcW w:w="481" w:type="pct"/>
            <w:vAlign w:val="center"/>
          </w:tcPr>
          <w:p>
            <w:pPr>
              <w:pStyle w:val="63"/>
            </w:pPr>
            <w:r>
              <w:t>15.75</w:t>
            </w:r>
          </w:p>
        </w:tc>
        <w:tc>
          <w:tcPr>
            <w:tcW w:w="648" w:type="pct"/>
            <w:vMerge w:val="continue"/>
            <w:vAlign w:val="center"/>
          </w:tcPr>
          <w:p>
            <w:pPr>
              <w:pStyle w:val="63"/>
            </w:pPr>
          </w:p>
        </w:tc>
        <w:tc>
          <w:tcPr>
            <w:tcW w:w="602" w:type="pct"/>
            <w:vAlign w:val="center"/>
          </w:tcPr>
          <w:p>
            <w:pPr>
              <w:pStyle w:val="63"/>
            </w:pPr>
            <w:r>
              <w:t>90</w:t>
            </w:r>
          </w:p>
        </w:tc>
        <w:tc>
          <w:tcPr>
            <w:tcW w:w="416" w:type="pct"/>
            <w:vAlign w:val="center"/>
          </w:tcPr>
          <w:p>
            <w:pPr>
              <w:pStyle w:val="63"/>
            </w:pPr>
            <w:r>
              <w:t>30</w:t>
            </w:r>
          </w:p>
        </w:tc>
        <w:tc>
          <w:tcPr>
            <w:tcW w:w="415" w:type="pct"/>
            <w:vAlign w:val="center"/>
          </w:tcPr>
          <w:p>
            <w:pPr>
              <w:pStyle w:val="63"/>
            </w:pPr>
            <w:r>
              <w:t>1.575</w:t>
            </w:r>
          </w:p>
        </w:tc>
        <w:tc>
          <w:tcPr>
            <w:tcW w:w="415" w:type="pct"/>
            <w:vAlign w:val="center"/>
          </w:tcPr>
          <w:p>
            <w:pPr>
              <w:pStyle w:val="63"/>
            </w:pPr>
            <w:r>
              <w:t>60</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SS</w:t>
            </w:r>
          </w:p>
        </w:tc>
        <w:tc>
          <w:tcPr>
            <w:tcW w:w="416" w:type="pct"/>
            <w:vAlign w:val="center"/>
          </w:tcPr>
          <w:p>
            <w:pPr>
              <w:pStyle w:val="63"/>
            </w:pPr>
            <w:r>
              <w:t>300</w:t>
            </w:r>
          </w:p>
        </w:tc>
        <w:tc>
          <w:tcPr>
            <w:tcW w:w="481" w:type="pct"/>
            <w:vAlign w:val="center"/>
          </w:tcPr>
          <w:p>
            <w:pPr>
              <w:pStyle w:val="63"/>
            </w:pPr>
            <w:r>
              <w:t>15.75</w:t>
            </w:r>
          </w:p>
        </w:tc>
        <w:tc>
          <w:tcPr>
            <w:tcW w:w="648" w:type="pct"/>
            <w:vMerge w:val="continue"/>
            <w:vAlign w:val="center"/>
          </w:tcPr>
          <w:p>
            <w:pPr>
              <w:pStyle w:val="63"/>
            </w:pPr>
          </w:p>
        </w:tc>
        <w:tc>
          <w:tcPr>
            <w:tcW w:w="602" w:type="pct"/>
            <w:vAlign w:val="center"/>
          </w:tcPr>
          <w:p>
            <w:pPr>
              <w:pStyle w:val="63"/>
            </w:pPr>
            <w:r>
              <w:t>90</w:t>
            </w:r>
          </w:p>
        </w:tc>
        <w:tc>
          <w:tcPr>
            <w:tcW w:w="416" w:type="pct"/>
            <w:vAlign w:val="center"/>
          </w:tcPr>
          <w:p>
            <w:pPr>
              <w:pStyle w:val="63"/>
            </w:pPr>
            <w:r>
              <w:t>30</w:t>
            </w:r>
          </w:p>
        </w:tc>
        <w:tc>
          <w:tcPr>
            <w:tcW w:w="415" w:type="pct"/>
            <w:vAlign w:val="center"/>
          </w:tcPr>
          <w:p>
            <w:pPr>
              <w:pStyle w:val="63"/>
            </w:pPr>
            <w:r>
              <w:t>1.575</w:t>
            </w:r>
          </w:p>
        </w:tc>
        <w:tc>
          <w:tcPr>
            <w:tcW w:w="415" w:type="pct"/>
            <w:vAlign w:val="center"/>
          </w:tcPr>
          <w:p>
            <w:pPr>
              <w:pStyle w:val="63"/>
            </w:pPr>
            <w:r>
              <w:t>/</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氟化物</w:t>
            </w:r>
          </w:p>
        </w:tc>
        <w:tc>
          <w:tcPr>
            <w:tcW w:w="416" w:type="pct"/>
            <w:vAlign w:val="center"/>
          </w:tcPr>
          <w:p>
            <w:pPr>
              <w:pStyle w:val="63"/>
            </w:pPr>
            <w:r>
              <w:t>500</w:t>
            </w:r>
          </w:p>
        </w:tc>
        <w:tc>
          <w:tcPr>
            <w:tcW w:w="481" w:type="pct"/>
            <w:vAlign w:val="center"/>
          </w:tcPr>
          <w:p>
            <w:pPr>
              <w:pStyle w:val="63"/>
            </w:pPr>
            <w:r>
              <w:t>26.25</w:t>
            </w:r>
          </w:p>
        </w:tc>
        <w:tc>
          <w:tcPr>
            <w:tcW w:w="648" w:type="pct"/>
            <w:vMerge w:val="continue"/>
            <w:vAlign w:val="center"/>
          </w:tcPr>
          <w:p>
            <w:pPr>
              <w:pStyle w:val="63"/>
            </w:pPr>
          </w:p>
        </w:tc>
        <w:tc>
          <w:tcPr>
            <w:tcW w:w="602" w:type="pct"/>
            <w:vAlign w:val="center"/>
          </w:tcPr>
          <w:p>
            <w:pPr>
              <w:pStyle w:val="63"/>
            </w:pPr>
            <w:r>
              <w:t>98</w:t>
            </w:r>
          </w:p>
        </w:tc>
        <w:tc>
          <w:tcPr>
            <w:tcW w:w="416" w:type="pct"/>
            <w:vAlign w:val="center"/>
          </w:tcPr>
          <w:p>
            <w:pPr>
              <w:pStyle w:val="63"/>
            </w:pPr>
            <w:r>
              <w:t>10</w:t>
            </w:r>
          </w:p>
        </w:tc>
        <w:tc>
          <w:tcPr>
            <w:tcW w:w="415" w:type="pct"/>
            <w:vAlign w:val="center"/>
          </w:tcPr>
          <w:p>
            <w:pPr>
              <w:pStyle w:val="63"/>
            </w:pPr>
            <w:r>
              <w:t>0.525</w:t>
            </w:r>
          </w:p>
        </w:tc>
        <w:tc>
          <w:tcPr>
            <w:tcW w:w="415" w:type="pct"/>
            <w:vAlign w:val="center"/>
          </w:tcPr>
          <w:p>
            <w:pPr>
              <w:pStyle w:val="63"/>
            </w:pPr>
            <w:r>
              <w:t>/</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Ni</w:t>
            </w:r>
          </w:p>
        </w:tc>
        <w:tc>
          <w:tcPr>
            <w:tcW w:w="416" w:type="pct"/>
            <w:vAlign w:val="center"/>
          </w:tcPr>
          <w:p>
            <w:pPr>
              <w:pStyle w:val="63"/>
            </w:pPr>
            <w:r>
              <w:t>0.0031</w:t>
            </w:r>
          </w:p>
        </w:tc>
        <w:tc>
          <w:tcPr>
            <w:tcW w:w="481" w:type="pct"/>
            <w:vAlign w:val="center"/>
          </w:tcPr>
          <w:p>
            <w:pPr>
              <w:pStyle w:val="63"/>
            </w:pPr>
            <w:r>
              <w:t>0.162kg/a</w:t>
            </w:r>
          </w:p>
        </w:tc>
        <w:tc>
          <w:tcPr>
            <w:tcW w:w="648" w:type="pct"/>
            <w:vMerge w:val="continue"/>
            <w:vAlign w:val="center"/>
          </w:tcPr>
          <w:p>
            <w:pPr>
              <w:pStyle w:val="63"/>
            </w:pPr>
          </w:p>
        </w:tc>
        <w:tc>
          <w:tcPr>
            <w:tcW w:w="602" w:type="pct"/>
            <w:vAlign w:val="center"/>
          </w:tcPr>
          <w:p>
            <w:pPr>
              <w:pStyle w:val="63"/>
            </w:pPr>
            <w:r>
              <w:t>90</w:t>
            </w:r>
          </w:p>
        </w:tc>
        <w:tc>
          <w:tcPr>
            <w:tcW w:w="416" w:type="pct"/>
            <w:vAlign w:val="center"/>
          </w:tcPr>
          <w:p>
            <w:pPr>
              <w:pStyle w:val="63"/>
            </w:pPr>
            <w:r>
              <w:t>0.00031</w:t>
            </w:r>
          </w:p>
        </w:tc>
        <w:tc>
          <w:tcPr>
            <w:tcW w:w="415" w:type="pct"/>
            <w:vAlign w:val="center"/>
          </w:tcPr>
          <w:p>
            <w:pPr>
              <w:pStyle w:val="63"/>
            </w:pPr>
            <w:r>
              <w:t>0.0162kg/a</w:t>
            </w:r>
          </w:p>
        </w:tc>
        <w:tc>
          <w:tcPr>
            <w:tcW w:w="415" w:type="pct"/>
            <w:vAlign w:val="center"/>
          </w:tcPr>
          <w:p>
            <w:pPr>
              <w:pStyle w:val="63"/>
            </w:pPr>
            <w:r>
              <w:t>0.05</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Co</w:t>
            </w:r>
          </w:p>
        </w:tc>
        <w:tc>
          <w:tcPr>
            <w:tcW w:w="416" w:type="pct"/>
            <w:vAlign w:val="center"/>
          </w:tcPr>
          <w:p>
            <w:pPr>
              <w:pStyle w:val="63"/>
            </w:pPr>
            <w:r>
              <w:t>0.0012</w:t>
            </w:r>
          </w:p>
        </w:tc>
        <w:tc>
          <w:tcPr>
            <w:tcW w:w="481" w:type="pct"/>
            <w:vAlign w:val="center"/>
          </w:tcPr>
          <w:p>
            <w:pPr>
              <w:pStyle w:val="63"/>
            </w:pPr>
            <w:r>
              <w:t>0.064kg/a</w:t>
            </w:r>
          </w:p>
        </w:tc>
        <w:tc>
          <w:tcPr>
            <w:tcW w:w="648" w:type="pct"/>
            <w:vMerge w:val="continue"/>
            <w:vAlign w:val="center"/>
          </w:tcPr>
          <w:p>
            <w:pPr>
              <w:pStyle w:val="63"/>
            </w:pPr>
          </w:p>
        </w:tc>
        <w:tc>
          <w:tcPr>
            <w:tcW w:w="602" w:type="pct"/>
            <w:vAlign w:val="center"/>
          </w:tcPr>
          <w:p>
            <w:pPr>
              <w:pStyle w:val="63"/>
            </w:pPr>
            <w:r>
              <w:t>90</w:t>
            </w:r>
          </w:p>
        </w:tc>
        <w:tc>
          <w:tcPr>
            <w:tcW w:w="416" w:type="pct"/>
            <w:vAlign w:val="center"/>
          </w:tcPr>
          <w:p>
            <w:pPr>
              <w:pStyle w:val="63"/>
            </w:pPr>
            <w:r>
              <w:t>0.00012</w:t>
            </w:r>
          </w:p>
        </w:tc>
        <w:tc>
          <w:tcPr>
            <w:tcW w:w="415" w:type="pct"/>
            <w:vAlign w:val="center"/>
          </w:tcPr>
          <w:p>
            <w:pPr>
              <w:pStyle w:val="63"/>
            </w:pPr>
            <w:r>
              <w:t>0.0064kg/a</w:t>
            </w:r>
          </w:p>
        </w:tc>
        <w:tc>
          <w:tcPr>
            <w:tcW w:w="415" w:type="pct"/>
            <w:vAlign w:val="center"/>
          </w:tcPr>
          <w:p>
            <w:pPr>
              <w:pStyle w:val="63"/>
            </w:pPr>
            <w:r>
              <w:t>/</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Mn</w:t>
            </w:r>
          </w:p>
        </w:tc>
        <w:tc>
          <w:tcPr>
            <w:tcW w:w="416" w:type="pct"/>
            <w:vAlign w:val="center"/>
          </w:tcPr>
          <w:p>
            <w:pPr>
              <w:pStyle w:val="63"/>
            </w:pPr>
            <w:r>
              <w:t>0.0018</w:t>
            </w:r>
          </w:p>
        </w:tc>
        <w:tc>
          <w:tcPr>
            <w:tcW w:w="481" w:type="pct"/>
            <w:vAlign w:val="center"/>
          </w:tcPr>
          <w:p>
            <w:pPr>
              <w:pStyle w:val="63"/>
            </w:pPr>
            <w:r>
              <w:t>0.098kg/a</w:t>
            </w:r>
          </w:p>
        </w:tc>
        <w:tc>
          <w:tcPr>
            <w:tcW w:w="648" w:type="pct"/>
            <w:vMerge w:val="continue"/>
            <w:vAlign w:val="center"/>
          </w:tcPr>
          <w:p>
            <w:pPr>
              <w:pStyle w:val="63"/>
            </w:pPr>
          </w:p>
        </w:tc>
        <w:tc>
          <w:tcPr>
            <w:tcW w:w="602" w:type="pct"/>
            <w:vAlign w:val="center"/>
          </w:tcPr>
          <w:p>
            <w:pPr>
              <w:pStyle w:val="63"/>
            </w:pPr>
            <w:r>
              <w:t>90</w:t>
            </w:r>
          </w:p>
        </w:tc>
        <w:tc>
          <w:tcPr>
            <w:tcW w:w="416" w:type="pct"/>
            <w:vAlign w:val="center"/>
          </w:tcPr>
          <w:p>
            <w:pPr>
              <w:pStyle w:val="63"/>
            </w:pPr>
            <w:r>
              <w:t>0.00018</w:t>
            </w:r>
          </w:p>
        </w:tc>
        <w:tc>
          <w:tcPr>
            <w:tcW w:w="415" w:type="pct"/>
            <w:vAlign w:val="center"/>
          </w:tcPr>
          <w:p>
            <w:pPr>
              <w:pStyle w:val="63"/>
            </w:pPr>
            <w:r>
              <w:t>0.0098kg/a</w:t>
            </w:r>
          </w:p>
        </w:tc>
        <w:tc>
          <w:tcPr>
            <w:tcW w:w="415" w:type="pct"/>
            <w:vAlign w:val="center"/>
          </w:tcPr>
          <w:p>
            <w:pPr>
              <w:pStyle w:val="63"/>
            </w:pPr>
            <w:r>
              <w:t>0.1</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restart"/>
            <w:vAlign w:val="center"/>
          </w:tcPr>
          <w:p>
            <w:pPr>
              <w:pStyle w:val="63"/>
            </w:pPr>
            <w:r>
              <w:t>浸出车间酸雾洗涤废水</w:t>
            </w:r>
          </w:p>
        </w:tc>
        <w:tc>
          <w:tcPr>
            <w:tcW w:w="486" w:type="pct"/>
            <w:vMerge w:val="restart"/>
            <w:vAlign w:val="center"/>
          </w:tcPr>
          <w:p>
            <w:pPr>
              <w:pStyle w:val="63"/>
            </w:pPr>
            <w:r>
              <w:t>9600</w:t>
            </w:r>
          </w:p>
        </w:tc>
        <w:tc>
          <w:tcPr>
            <w:tcW w:w="417" w:type="pct"/>
            <w:vAlign w:val="center"/>
          </w:tcPr>
          <w:p>
            <w:pPr>
              <w:pStyle w:val="63"/>
            </w:pPr>
            <w:r>
              <w:t>pH</w:t>
            </w:r>
          </w:p>
        </w:tc>
        <w:tc>
          <w:tcPr>
            <w:tcW w:w="416" w:type="pct"/>
            <w:vAlign w:val="center"/>
          </w:tcPr>
          <w:p>
            <w:pPr>
              <w:pStyle w:val="63"/>
            </w:pPr>
            <w:r>
              <w:t>6~9</w:t>
            </w:r>
          </w:p>
        </w:tc>
        <w:tc>
          <w:tcPr>
            <w:tcW w:w="481" w:type="pct"/>
            <w:vAlign w:val="center"/>
          </w:tcPr>
          <w:p>
            <w:pPr>
              <w:pStyle w:val="63"/>
            </w:pPr>
            <w:r>
              <w:t>/</w:t>
            </w:r>
          </w:p>
        </w:tc>
        <w:tc>
          <w:tcPr>
            <w:tcW w:w="648" w:type="pct"/>
            <w:vMerge w:val="restart"/>
            <w:vAlign w:val="center"/>
          </w:tcPr>
          <w:p>
            <w:pPr>
              <w:pStyle w:val="63"/>
              <w:jc w:val="both"/>
            </w:pPr>
            <w:r>
              <w:t>超滤+反渗透+MVR多效蒸发</w:t>
            </w:r>
          </w:p>
        </w:tc>
        <w:tc>
          <w:tcPr>
            <w:tcW w:w="602" w:type="pct"/>
            <w:vAlign w:val="center"/>
          </w:tcPr>
          <w:p>
            <w:pPr>
              <w:pStyle w:val="63"/>
            </w:pPr>
            <w:r>
              <w:t>/</w:t>
            </w:r>
          </w:p>
        </w:tc>
        <w:tc>
          <w:tcPr>
            <w:tcW w:w="416" w:type="pct"/>
            <w:vAlign w:val="center"/>
          </w:tcPr>
          <w:p>
            <w:pPr>
              <w:pStyle w:val="63"/>
            </w:pPr>
            <w:r>
              <w:t>--</w:t>
            </w:r>
          </w:p>
        </w:tc>
        <w:tc>
          <w:tcPr>
            <w:tcW w:w="415" w:type="pct"/>
            <w:vAlign w:val="center"/>
          </w:tcPr>
          <w:p>
            <w:pPr>
              <w:pStyle w:val="63"/>
            </w:pPr>
            <w:r>
              <w:t>--</w:t>
            </w:r>
          </w:p>
        </w:tc>
        <w:tc>
          <w:tcPr>
            <w:tcW w:w="415" w:type="pct"/>
            <w:vAlign w:val="center"/>
          </w:tcPr>
          <w:p>
            <w:pPr>
              <w:pStyle w:val="63"/>
            </w:pPr>
            <w:r>
              <w:t>6.5~8.5</w:t>
            </w:r>
          </w:p>
        </w:tc>
        <w:tc>
          <w:tcPr>
            <w:tcW w:w="373" w:type="pct"/>
            <w:vMerge w:val="restart"/>
            <w:vAlign w:val="center"/>
          </w:tcPr>
          <w:p>
            <w:pPr>
              <w:pStyle w:val="63"/>
            </w:pPr>
            <w:r>
              <w:t>废水处理站处理后全部回用，不外排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COD</w:t>
            </w:r>
          </w:p>
        </w:tc>
        <w:tc>
          <w:tcPr>
            <w:tcW w:w="416" w:type="pct"/>
            <w:vAlign w:val="center"/>
          </w:tcPr>
          <w:p>
            <w:pPr>
              <w:pStyle w:val="63"/>
            </w:pPr>
            <w:r>
              <w:t>300</w:t>
            </w:r>
          </w:p>
        </w:tc>
        <w:tc>
          <w:tcPr>
            <w:tcW w:w="481" w:type="pct"/>
            <w:vAlign w:val="center"/>
          </w:tcPr>
          <w:p>
            <w:pPr>
              <w:pStyle w:val="63"/>
            </w:pPr>
            <w:r>
              <w:rPr>
                <w:szCs w:val="21"/>
              </w:rPr>
              <w:t>2.88</w:t>
            </w:r>
          </w:p>
        </w:tc>
        <w:tc>
          <w:tcPr>
            <w:tcW w:w="648" w:type="pct"/>
            <w:vMerge w:val="continue"/>
            <w:vAlign w:val="center"/>
          </w:tcPr>
          <w:p>
            <w:pPr>
              <w:pStyle w:val="63"/>
            </w:pPr>
          </w:p>
        </w:tc>
        <w:tc>
          <w:tcPr>
            <w:tcW w:w="602" w:type="pct"/>
            <w:vAlign w:val="center"/>
          </w:tcPr>
          <w:p>
            <w:pPr>
              <w:pStyle w:val="63"/>
            </w:pPr>
            <w:r>
              <w:t>90</w:t>
            </w:r>
          </w:p>
        </w:tc>
        <w:tc>
          <w:tcPr>
            <w:tcW w:w="416" w:type="pct"/>
            <w:vAlign w:val="center"/>
          </w:tcPr>
          <w:p>
            <w:pPr>
              <w:pStyle w:val="63"/>
            </w:pPr>
            <w:r>
              <w:t>30</w:t>
            </w:r>
          </w:p>
        </w:tc>
        <w:tc>
          <w:tcPr>
            <w:tcW w:w="415" w:type="pct"/>
            <w:vAlign w:val="center"/>
          </w:tcPr>
          <w:p>
            <w:pPr>
              <w:pStyle w:val="63"/>
            </w:pPr>
            <w:r>
              <w:rPr>
                <w:szCs w:val="21"/>
              </w:rPr>
              <w:t>0.288</w:t>
            </w:r>
          </w:p>
        </w:tc>
        <w:tc>
          <w:tcPr>
            <w:tcW w:w="415" w:type="pct"/>
            <w:vAlign w:val="center"/>
          </w:tcPr>
          <w:p>
            <w:pPr>
              <w:pStyle w:val="63"/>
            </w:pPr>
            <w:r>
              <w:t>60</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SS</w:t>
            </w:r>
          </w:p>
        </w:tc>
        <w:tc>
          <w:tcPr>
            <w:tcW w:w="416" w:type="pct"/>
            <w:vAlign w:val="center"/>
          </w:tcPr>
          <w:p>
            <w:pPr>
              <w:pStyle w:val="63"/>
            </w:pPr>
            <w:r>
              <w:t>500</w:t>
            </w:r>
          </w:p>
        </w:tc>
        <w:tc>
          <w:tcPr>
            <w:tcW w:w="481" w:type="pct"/>
            <w:vAlign w:val="center"/>
          </w:tcPr>
          <w:p>
            <w:pPr>
              <w:pStyle w:val="63"/>
            </w:pPr>
            <w:r>
              <w:rPr>
                <w:szCs w:val="21"/>
              </w:rPr>
              <w:t>4.8</w:t>
            </w:r>
          </w:p>
        </w:tc>
        <w:tc>
          <w:tcPr>
            <w:tcW w:w="648" w:type="pct"/>
            <w:vMerge w:val="continue"/>
            <w:vAlign w:val="center"/>
          </w:tcPr>
          <w:p>
            <w:pPr>
              <w:pStyle w:val="63"/>
            </w:pPr>
          </w:p>
        </w:tc>
        <w:tc>
          <w:tcPr>
            <w:tcW w:w="602" w:type="pct"/>
            <w:vAlign w:val="center"/>
          </w:tcPr>
          <w:p>
            <w:pPr>
              <w:pStyle w:val="63"/>
            </w:pPr>
            <w:r>
              <w:t>99</w:t>
            </w:r>
          </w:p>
        </w:tc>
        <w:tc>
          <w:tcPr>
            <w:tcW w:w="416" w:type="pct"/>
            <w:vAlign w:val="center"/>
          </w:tcPr>
          <w:p>
            <w:pPr>
              <w:pStyle w:val="63"/>
            </w:pPr>
            <w:r>
              <w:t>5</w:t>
            </w:r>
          </w:p>
        </w:tc>
        <w:tc>
          <w:tcPr>
            <w:tcW w:w="415" w:type="pct"/>
            <w:vAlign w:val="center"/>
          </w:tcPr>
          <w:p>
            <w:pPr>
              <w:pStyle w:val="63"/>
            </w:pPr>
            <w:r>
              <w:rPr>
                <w:szCs w:val="21"/>
              </w:rPr>
              <w:t>0.048</w:t>
            </w:r>
          </w:p>
        </w:tc>
        <w:tc>
          <w:tcPr>
            <w:tcW w:w="415" w:type="pct"/>
            <w:vAlign w:val="center"/>
          </w:tcPr>
          <w:p>
            <w:pPr>
              <w:pStyle w:val="63"/>
            </w:pPr>
            <w:r>
              <w:t>/</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硫酸盐</w:t>
            </w:r>
          </w:p>
        </w:tc>
        <w:tc>
          <w:tcPr>
            <w:tcW w:w="416" w:type="pct"/>
            <w:vAlign w:val="center"/>
          </w:tcPr>
          <w:p>
            <w:pPr>
              <w:pStyle w:val="63"/>
            </w:pPr>
            <w:r>
              <w:t>750</w:t>
            </w:r>
          </w:p>
        </w:tc>
        <w:tc>
          <w:tcPr>
            <w:tcW w:w="481" w:type="pct"/>
            <w:vAlign w:val="center"/>
          </w:tcPr>
          <w:p>
            <w:pPr>
              <w:pStyle w:val="63"/>
            </w:pPr>
            <w:r>
              <w:rPr>
                <w:szCs w:val="21"/>
              </w:rPr>
              <w:t>7.2</w:t>
            </w:r>
          </w:p>
        </w:tc>
        <w:tc>
          <w:tcPr>
            <w:tcW w:w="648" w:type="pct"/>
            <w:vMerge w:val="continue"/>
            <w:vAlign w:val="center"/>
          </w:tcPr>
          <w:p>
            <w:pPr>
              <w:pStyle w:val="63"/>
            </w:pPr>
          </w:p>
        </w:tc>
        <w:tc>
          <w:tcPr>
            <w:tcW w:w="602" w:type="pct"/>
            <w:vAlign w:val="center"/>
          </w:tcPr>
          <w:p>
            <w:pPr>
              <w:pStyle w:val="63"/>
            </w:pPr>
            <w:r>
              <w:t>99</w:t>
            </w:r>
          </w:p>
        </w:tc>
        <w:tc>
          <w:tcPr>
            <w:tcW w:w="416" w:type="pct"/>
            <w:vAlign w:val="center"/>
          </w:tcPr>
          <w:p>
            <w:pPr>
              <w:pStyle w:val="63"/>
            </w:pPr>
            <w:r>
              <w:t>7.5</w:t>
            </w:r>
          </w:p>
        </w:tc>
        <w:tc>
          <w:tcPr>
            <w:tcW w:w="415" w:type="pct"/>
            <w:vAlign w:val="center"/>
          </w:tcPr>
          <w:p>
            <w:pPr>
              <w:pStyle w:val="63"/>
            </w:pPr>
            <w:r>
              <w:rPr>
                <w:szCs w:val="21"/>
              </w:rPr>
              <w:t>0.072</w:t>
            </w:r>
          </w:p>
        </w:tc>
        <w:tc>
          <w:tcPr>
            <w:tcW w:w="415" w:type="pct"/>
            <w:vAlign w:val="center"/>
          </w:tcPr>
          <w:p>
            <w:pPr>
              <w:pStyle w:val="63"/>
            </w:pPr>
            <w:r>
              <w:t>250</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氯化物</w:t>
            </w:r>
          </w:p>
        </w:tc>
        <w:tc>
          <w:tcPr>
            <w:tcW w:w="416" w:type="pct"/>
            <w:vAlign w:val="center"/>
          </w:tcPr>
          <w:p>
            <w:pPr>
              <w:pStyle w:val="63"/>
            </w:pPr>
            <w:r>
              <w:t>860</w:t>
            </w:r>
          </w:p>
        </w:tc>
        <w:tc>
          <w:tcPr>
            <w:tcW w:w="481" w:type="pct"/>
            <w:vAlign w:val="center"/>
          </w:tcPr>
          <w:p>
            <w:pPr>
              <w:pStyle w:val="63"/>
            </w:pPr>
            <w:r>
              <w:rPr>
                <w:szCs w:val="21"/>
              </w:rPr>
              <w:t>8.256</w:t>
            </w:r>
          </w:p>
        </w:tc>
        <w:tc>
          <w:tcPr>
            <w:tcW w:w="648" w:type="pct"/>
            <w:vMerge w:val="continue"/>
            <w:vAlign w:val="center"/>
          </w:tcPr>
          <w:p>
            <w:pPr>
              <w:pStyle w:val="63"/>
            </w:pPr>
          </w:p>
        </w:tc>
        <w:tc>
          <w:tcPr>
            <w:tcW w:w="602" w:type="pct"/>
            <w:vAlign w:val="center"/>
          </w:tcPr>
          <w:p>
            <w:pPr>
              <w:pStyle w:val="63"/>
            </w:pPr>
            <w:r>
              <w:t>99</w:t>
            </w:r>
          </w:p>
        </w:tc>
        <w:tc>
          <w:tcPr>
            <w:tcW w:w="416" w:type="pct"/>
            <w:vAlign w:val="center"/>
          </w:tcPr>
          <w:p>
            <w:pPr>
              <w:pStyle w:val="63"/>
            </w:pPr>
            <w:r>
              <w:t>8.6</w:t>
            </w:r>
          </w:p>
        </w:tc>
        <w:tc>
          <w:tcPr>
            <w:tcW w:w="415" w:type="pct"/>
            <w:vAlign w:val="center"/>
          </w:tcPr>
          <w:p>
            <w:pPr>
              <w:pStyle w:val="63"/>
            </w:pPr>
            <w:r>
              <w:rPr>
                <w:szCs w:val="21"/>
              </w:rPr>
              <w:t>0.08256</w:t>
            </w:r>
          </w:p>
        </w:tc>
        <w:tc>
          <w:tcPr>
            <w:tcW w:w="415" w:type="pct"/>
            <w:vAlign w:val="center"/>
          </w:tcPr>
          <w:p>
            <w:pPr>
              <w:pStyle w:val="63"/>
            </w:pPr>
            <w:r>
              <w:t>250</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restart"/>
            <w:vAlign w:val="center"/>
          </w:tcPr>
          <w:p>
            <w:pPr>
              <w:pStyle w:val="63"/>
            </w:pPr>
            <w:r>
              <w:t>萃取车间酸雾洗涤废水</w:t>
            </w:r>
          </w:p>
        </w:tc>
        <w:tc>
          <w:tcPr>
            <w:tcW w:w="486" w:type="pct"/>
            <w:vMerge w:val="restart"/>
            <w:vAlign w:val="center"/>
          </w:tcPr>
          <w:p>
            <w:pPr>
              <w:pStyle w:val="63"/>
            </w:pPr>
            <w:r>
              <w:t>4800</w:t>
            </w:r>
          </w:p>
        </w:tc>
        <w:tc>
          <w:tcPr>
            <w:tcW w:w="417" w:type="pct"/>
            <w:vAlign w:val="center"/>
          </w:tcPr>
          <w:p>
            <w:pPr>
              <w:pStyle w:val="63"/>
            </w:pPr>
            <w:r>
              <w:t>pH</w:t>
            </w:r>
          </w:p>
        </w:tc>
        <w:tc>
          <w:tcPr>
            <w:tcW w:w="416" w:type="pct"/>
            <w:vAlign w:val="center"/>
          </w:tcPr>
          <w:p>
            <w:pPr>
              <w:pStyle w:val="63"/>
            </w:pPr>
            <w:r>
              <w:t>6~9</w:t>
            </w:r>
          </w:p>
        </w:tc>
        <w:tc>
          <w:tcPr>
            <w:tcW w:w="481" w:type="pct"/>
            <w:vAlign w:val="center"/>
          </w:tcPr>
          <w:p>
            <w:pPr>
              <w:pStyle w:val="63"/>
            </w:pPr>
            <w:r>
              <w:t>/</w:t>
            </w:r>
          </w:p>
        </w:tc>
        <w:tc>
          <w:tcPr>
            <w:tcW w:w="648" w:type="pct"/>
            <w:vMerge w:val="restart"/>
            <w:vAlign w:val="center"/>
          </w:tcPr>
          <w:p>
            <w:pPr>
              <w:pStyle w:val="63"/>
            </w:pPr>
            <w:r>
              <w:t>超滤+反渗透+MVR多效蒸发</w:t>
            </w:r>
          </w:p>
        </w:tc>
        <w:tc>
          <w:tcPr>
            <w:tcW w:w="602" w:type="pct"/>
            <w:vAlign w:val="center"/>
          </w:tcPr>
          <w:p>
            <w:pPr>
              <w:pStyle w:val="63"/>
            </w:pPr>
            <w:r>
              <w:t>/</w:t>
            </w:r>
          </w:p>
        </w:tc>
        <w:tc>
          <w:tcPr>
            <w:tcW w:w="416" w:type="pct"/>
            <w:vAlign w:val="center"/>
          </w:tcPr>
          <w:p>
            <w:pPr>
              <w:pStyle w:val="63"/>
            </w:pPr>
            <w:r>
              <w:t>--</w:t>
            </w:r>
          </w:p>
        </w:tc>
        <w:tc>
          <w:tcPr>
            <w:tcW w:w="415" w:type="pct"/>
            <w:vAlign w:val="center"/>
          </w:tcPr>
          <w:p>
            <w:pPr>
              <w:pStyle w:val="63"/>
            </w:pPr>
            <w:r>
              <w:t>--</w:t>
            </w:r>
          </w:p>
        </w:tc>
        <w:tc>
          <w:tcPr>
            <w:tcW w:w="415" w:type="pct"/>
            <w:vAlign w:val="center"/>
          </w:tcPr>
          <w:p>
            <w:pPr>
              <w:pStyle w:val="63"/>
            </w:pPr>
            <w:r>
              <w:t>6.5~8.5</w:t>
            </w:r>
          </w:p>
        </w:tc>
        <w:tc>
          <w:tcPr>
            <w:tcW w:w="373" w:type="pct"/>
            <w:vMerge w:val="restart"/>
            <w:vAlign w:val="center"/>
          </w:tcPr>
          <w:p>
            <w:pPr>
              <w:pStyle w:val="63"/>
            </w:pPr>
            <w:r>
              <w:t>废水处理站处理后全部回用，不外排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COD</w:t>
            </w:r>
          </w:p>
        </w:tc>
        <w:tc>
          <w:tcPr>
            <w:tcW w:w="416" w:type="pct"/>
            <w:vAlign w:val="center"/>
          </w:tcPr>
          <w:p>
            <w:pPr>
              <w:pStyle w:val="63"/>
            </w:pPr>
            <w:r>
              <w:t>150</w:t>
            </w:r>
          </w:p>
        </w:tc>
        <w:tc>
          <w:tcPr>
            <w:tcW w:w="481" w:type="pct"/>
            <w:vAlign w:val="center"/>
          </w:tcPr>
          <w:p>
            <w:pPr>
              <w:pStyle w:val="63"/>
            </w:pPr>
            <w:r>
              <w:t>0.72</w:t>
            </w:r>
          </w:p>
        </w:tc>
        <w:tc>
          <w:tcPr>
            <w:tcW w:w="648" w:type="pct"/>
            <w:vMerge w:val="continue"/>
            <w:vAlign w:val="center"/>
          </w:tcPr>
          <w:p>
            <w:pPr>
              <w:pStyle w:val="63"/>
            </w:pPr>
          </w:p>
        </w:tc>
        <w:tc>
          <w:tcPr>
            <w:tcW w:w="602" w:type="pct"/>
            <w:vAlign w:val="center"/>
          </w:tcPr>
          <w:p>
            <w:pPr>
              <w:pStyle w:val="63"/>
            </w:pPr>
            <w:r>
              <w:t>90</w:t>
            </w:r>
          </w:p>
        </w:tc>
        <w:tc>
          <w:tcPr>
            <w:tcW w:w="416" w:type="pct"/>
            <w:vAlign w:val="center"/>
          </w:tcPr>
          <w:p>
            <w:pPr>
              <w:pStyle w:val="63"/>
            </w:pPr>
            <w:r>
              <w:t>15</w:t>
            </w:r>
          </w:p>
        </w:tc>
        <w:tc>
          <w:tcPr>
            <w:tcW w:w="415" w:type="pct"/>
            <w:vAlign w:val="center"/>
          </w:tcPr>
          <w:p>
            <w:pPr>
              <w:pStyle w:val="63"/>
            </w:pPr>
            <w:r>
              <w:rPr>
                <w:szCs w:val="21"/>
              </w:rPr>
              <w:t>0.072</w:t>
            </w:r>
          </w:p>
        </w:tc>
        <w:tc>
          <w:tcPr>
            <w:tcW w:w="415" w:type="pct"/>
            <w:vAlign w:val="center"/>
          </w:tcPr>
          <w:p>
            <w:pPr>
              <w:pStyle w:val="63"/>
            </w:pPr>
            <w:r>
              <w:t>60</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SS</w:t>
            </w:r>
          </w:p>
        </w:tc>
        <w:tc>
          <w:tcPr>
            <w:tcW w:w="416" w:type="pct"/>
            <w:vAlign w:val="center"/>
          </w:tcPr>
          <w:p>
            <w:pPr>
              <w:pStyle w:val="63"/>
            </w:pPr>
            <w:r>
              <w:t>100</w:t>
            </w:r>
          </w:p>
        </w:tc>
        <w:tc>
          <w:tcPr>
            <w:tcW w:w="481" w:type="pct"/>
            <w:vAlign w:val="center"/>
          </w:tcPr>
          <w:p>
            <w:pPr>
              <w:pStyle w:val="63"/>
            </w:pPr>
            <w:r>
              <w:t>0.48</w:t>
            </w:r>
          </w:p>
        </w:tc>
        <w:tc>
          <w:tcPr>
            <w:tcW w:w="648" w:type="pct"/>
            <w:vMerge w:val="continue"/>
            <w:vAlign w:val="center"/>
          </w:tcPr>
          <w:p>
            <w:pPr>
              <w:pStyle w:val="63"/>
            </w:pPr>
          </w:p>
        </w:tc>
        <w:tc>
          <w:tcPr>
            <w:tcW w:w="602" w:type="pct"/>
            <w:vAlign w:val="center"/>
          </w:tcPr>
          <w:p>
            <w:pPr>
              <w:pStyle w:val="63"/>
            </w:pPr>
            <w:r>
              <w:t>99</w:t>
            </w:r>
          </w:p>
        </w:tc>
        <w:tc>
          <w:tcPr>
            <w:tcW w:w="416" w:type="pct"/>
            <w:vAlign w:val="center"/>
          </w:tcPr>
          <w:p>
            <w:pPr>
              <w:pStyle w:val="63"/>
            </w:pPr>
            <w:r>
              <w:t>1</w:t>
            </w:r>
          </w:p>
        </w:tc>
        <w:tc>
          <w:tcPr>
            <w:tcW w:w="415" w:type="pct"/>
            <w:vAlign w:val="center"/>
          </w:tcPr>
          <w:p>
            <w:pPr>
              <w:pStyle w:val="63"/>
            </w:pPr>
            <w:r>
              <w:rPr>
                <w:szCs w:val="21"/>
              </w:rPr>
              <w:t>0.0048</w:t>
            </w:r>
          </w:p>
        </w:tc>
        <w:tc>
          <w:tcPr>
            <w:tcW w:w="415" w:type="pct"/>
            <w:vAlign w:val="center"/>
          </w:tcPr>
          <w:p>
            <w:pPr>
              <w:pStyle w:val="63"/>
            </w:pPr>
            <w:r>
              <w:t>/</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硫酸盐</w:t>
            </w:r>
          </w:p>
        </w:tc>
        <w:tc>
          <w:tcPr>
            <w:tcW w:w="416" w:type="pct"/>
            <w:vAlign w:val="center"/>
          </w:tcPr>
          <w:p>
            <w:pPr>
              <w:pStyle w:val="63"/>
            </w:pPr>
            <w:r>
              <w:t>750</w:t>
            </w:r>
          </w:p>
        </w:tc>
        <w:tc>
          <w:tcPr>
            <w:tcW w:w="481" w:type="pct"/>
            <w:vAlign w:val="center"/>
          </w:tcPr>
          <w:p>
            <w:pPr>
              <w:pStyle w:val="63"/>
            </w:pPr>
            <w:r>
              <w:t>3.6</w:t>
            </w:r>
          </w:p>
        </w:tc>
        <w:tc>
          <w:tcPr>
            <w:tcW w:w="648" w:type="pct"/>
            <w:vMerge w:val="continue"/>
            <w:vAlign w:val="center"/>
          </w:tcPr>
          <w:p>
            <w:pPr>
              <w:pStyle w:val="63"/>
            </w:pPr>
          </w:p>
        </w:tc>
        <w:tc>
          <w:tcPr>
            <w:tcW w:w="602" w:type="pct"/>
            <w:vAlign w:val="center"/>
          </w:tcPr>
          <w:p>
            <w:pPr>
              <w:pStyle w:val="63"/>
            </w:pPr>
            <w:r>
              <w:t>99</w:t>
            </w:r>
          </w:p>
        </w:tc>
        <w:tc>
          <w:tcPr>
            <w:tcW w:w="416" w:type="pct"/>
            <w:vAlign w:val="center"/>
          </w:tcPr>
          <w:p>
            <w:pPr>
              <w:pStyle w:val="63"/>
            </w:pPr>
            <w:r>
              <w:t>7.5</w:t>
            </w:r>
          </w:p>
        </w:tc>
        <w:tc>
          <w:tcPr>
            <w:tcW w:w="415" w:type="pct"/>
            <w:vAlign w:val="center"/>
          </w:tcPr>
          <w:p>
            <w:pPr>
              <w:pStyle w:val="63"/>
            </w:pPr>
            <w:r>
              <w:rPr>
                <w:szCs w:val="21"/>
              </w:rPr>
              <w:t>0.036</w:t>
            </w:r>
          </w:p>
        </w:tc>
        <w:tc>
          <w:tcPr>
            <w:tcW w:w="415" w:type="pct"/>
            <w:vAlign w:val="center"/>
          </w:tcPr>
          <w:p>
            <w:pPr>
              <w:pStyle w:val="63"/>
            </w:pPr>
            <w:r>
              <w:t>250</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氯化物</w:t>
            </w:r>
          </w:p>
        </w:tc>
        <w:tc>
          <w:tcPr>
            <w:tcW w:w="416" w:type="pct"/>
            <w:vAlign w:val="center"/>
          </w:tcPr>
          <w:p>
            <w:pPr>
              <w:pStyle w:val="63"/>
            </w:pPr>
            <w:r>
              <w:t>620</w:t>
            </w:r>
          </w:p>
        </w:tc>
        <w:tc>
          <w:tcPr>
            <w:tcW w:w="481" w:type="pct"/>
            <w:vAlign w:val="center"/>
          </w:tcPr>
          <w:p>
            <w:pPr>
              <w:widowControl/>
              <w:jc w:val="center"/>
              <w:rPr>
                <w:rFonts w:ascii="Times New Roman" w:hAnsi="Times New Roman" w:cs="Times New Roman"/>
                <w:sz w:val="21"/>
                <w:szCs w:val="21"/>
              </w:rPr>
            </w:pPr>
            <w:r>
              <w:rPr>
                <w:rFonts w:ascii="Times New Roman" w:hAnsi="Times New Roman" w:cs="Times New Roman"/>
                <w:sz w:val="21"/>
                <w:szCs w:val="21"/>
              </w:rPr>
              <w:t>2.976</w:t>
            </w:r>
          </w:p>
        </w:tc>
        <w:tc>
          <w:tcPr>
            <w:tcW w:w="648" w:type="pct"/>
            <w:vMerge w:val="continue"/>
            <w:vAlign w:val="center"/>
          </w:tcPr>
          <w:p>
            <w:pPr>
              <w:pStyle w:val="63"/>
            </w:pPr>
          </w:p>
        </w:tc>
        <w:tc>
          <w:tcPr>
            <w:tcW w:w="602" w:type="pct"/>
            <w:vAlign w:val="center"/>
          </w:tcPr>
          <w:p>
            <w:pPr>
              <w:pStyle w:val="63"/>
            </w:pPr>
            <w:r>
              <w:t>99</w:t>
            </w:r>
          </w:p>
        </w:tc>
        <w:tc>
          <w:tcPr>
            <w:tcW w:w="416" w:type="pct"/>
            <w:vAlign w:val="center"/>
          </w:tcPr>
          <w:p>
            <w:pPr>
              <w:pStyle w:val="63"/>
            </w:pPr>
            <w:r>
              <w:t>6.2</w:t>
            </w:r>
          </w:p>
        </w:tc>
        <w:tc>
          <w:tcPr>
            <w:tcW w:w="415" w:type="pct"/>
            <w:vAlign w:val="center"/>
          </w:tcPr>
          <w:p>
            <w:pPr>
              <w:pStyle w:val="63"/>
            </w:pPr>
            <w:r>
              <w:rPr>
                <w:szCs w:val="21"/>
              </w:rPr>
              <w:t>0.02976</w:t>
            </w:r>
          </w:p>
        </w:tc>
        <w:tc>
          <w:tcPr>
            <w:tcW w:w="415" w:type="pct"/>
            <w:vAlign w:val="center"/>
          </w:tcPr>
          <w:p>
            <w:pPr>
              <w:pStyle w:val="63"/>
            </w:pPr>
            <w:r>
              <w:t>250</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restart"/>
            <w:vAlign w:val="center"/>
          </w:tcPr>
          <w:p>
            <w:pPr>
              <w:pStyle w:val="63"/>
            </w:pPr>
            <w:r>
              <w:t>蒸发结晶离心分离废水</w:t>
            </w:r>
          </w:p>
        </w:tc>
        <w:tc>
          <w:tcPr>
            <w:tcW w:w="486" w:type="pct"/>
            <w:vMerge w:val="restart"/>
            <w:vAlign w:val="center"/>
          </w:tcPr>
          <w:p>
            <w:pPr>
              <w:pStyle w:val="63"/>
            </w:pPr>
            <w:r>
              <w:t>4200</w:t>
            </w:r>
          </w:p>
        </w:tc>
        <w:tc>
          <w:tcPr>
            <w:tcW w:w="417" w:type="pct"/>
            <w:vAlign w:val="center"/>
          </w:tcPr>
          <w:p>
            <w:pPr>
              <w:pStyle w:val="63"/>
            </w:pPr>
            <w:r>
              <w:t>pH</w:t>
            </w:r>
          </w:p>
        </w:tc>
        <w:tc>
          <w:tcPr>
            <w:tcW w:w="416" w:type="pct"/>
            <w:vAlign w:val="center"/>
          </w:tcPr>
          <w:p>
            <w:pPr>
              <w:pStyle w:val="63"/>
            </w:pPr>
            <w:r>
              <w:t>4~6</w:t>
            </w:r>
          </w:p>
        </w:tc>
        <w:tc>
          <w:tcPr>
            <w:tcW w:w="481" w:type="pct"/>
            <w:vAlign w:val="center"/>
          </w:tcPr>
          <w:p>
            <w:pPr>
              <w:pStyle w:val="63"/>
            </w:pPr>
            <w:r>
              <w:t>/</w:t>
            </w:r>
          </w:p>
        </w:tc>
        <w:tc>
          <w:tcPr>
            <w:tcW w:w="648" w:type="pct"/>
            <w:vMerge w:val="restart"/>
            <w:vAlign w:val="center"/>
          </w:tcPr>
          <w:p>
            <w:pPr>
              <w:pStyle w:val="63"/>
            </w:pPr>
            <w:r>
              <w:t>化学沉淀+超滤+反渗透+MVR多效蒸发</w:t>
            </w:r>
          </w:p>
        </w:tc>
        <w:tc>
          <w:tcPr>
            <w:tcW w:w="602" w:type="pct"/>
            <w:vAlign w:val="center"/>
          </w:tcPr>
          <w:p>
            <w:pPr>
              <w:pStyle w:val="63"/>
            </w:pPr>
            <w:r>
              <w:t>/</w:t>
            </w:r>
          </w:p>
        </w:tc>
        <w:tc>
          <w:tcPr>
            <w:tcW w:w="416" w:type="pct"/>
            <w:vAlign w:val="center"/>
          </w:tcPr>
          <w:p>
            <w:pPr>
              <w:pStyle w:val="63"/>
            </w:pPr>
            <w:r>
              <w:t>/</w:t>
            </w:r>
          </w:p>
        </w:tc>
        <w:tc>
          <w:tcPr>
            <w:tcW w:w="415" w:type="pct"/>
            <w:vAlign w:val="center"/>
          </w:tcPr>
          <w:p>
            <w:pPr>
              <w:pStyle w:val="63"/>
            </w:pPr>
            <w:r>
              <w:t>/</w:t>
            </w:r>
          </w:p>
        </w:tc>
        <w:tc>
          <w:tcPr>
            <w:tcW w:w="415" w:type="pct"/>
            <w:vAlign w:val="center"/>
          </w:tcPr>
          <w:p>
            <w:pPr>
              <w:pStyle w:val="63"/>
            </w:pPr>
            <w:r>
              <w:t>6.5~8.5</w:t>
            </w:r>
          </w:p>
        </w:tc>
        <w:tc>
          <w:tcPr>
            <w:tcW w:w="373" w:type="pct"/>
            <w:vMerge w:val="restart"/>
            <w:vAlign w:val="center"/>
          </w:tcPr>
          <w:p>
            <w:pPr>
              <w:pStyle w:val="63"/>
            </w:pPr>
            <w:r>
              <w:t>废水处理站处理后全部回用，不外排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COD</w:t>
            </w:r>
          </w:p>
        </w:tc>
        <w:tc>
          <w:tcPr>
            <w:tcW w:w="416" w:type="pct"/>
            <w:vAlign w:val="center"/>
          </w:tcPr>
          <w:p>
            <w:pPr>
              <w:pStyle w:val="63"/>
            </w:pPr>
            <w:r>
              <w:t>300</w:t>
            </w:r>
          </w:p>
        </w:tc>
        <w:tc>
          <w:tcPr>
            <w:tcW w:w="481" w:type="pct"/>
            <w:vAlign w:val="center"/>
          </w:tcPr>
          <w:p>
            <w:pPr>
              <w:pStyle w:val="63"/>
            </w:pPr>
            <w:r>
              <w:rPr>
                <w:szCs w:val="21"/>
              </w:rPr>
              <w:t>1.26</w:t>
            </w:r>
          </w:p>
        </w:tc>
        <w:tc>
          <w:tcPr>
            <w:tcW w:w="648" w:type="pct"/>
            <w:vMerge w:val="continue"/>
            <w:vAlign w:val="center"/>
          </w:tcPr>
          <w:p>
            <w:pPr>
              <w:pStyle w:val="63"/>
            </w:pPr>
          </w:p>
        </w:tc>
        <w:tc>
          <w:tcPr>
            <w:tcW w:w="602" w:type="pct"/>
            <w:vAlign w:val="center"/>
          </w:tcPr>
          <w:p>
            <w:pPr>
              <w:pStyle w:val="63"/>
            </w:pPr>
            <w:r>
              <w:t>90</w:t>
            </w:r>
          </w:p>
        </w:tc>
        <w:tc>
          <w:tcPr>
            <w:tcW w:w="416" w:type="pct"/>
            <w:vAlign w:val="center"/>
          </w:tcPr>
          <w:p>
            <w:pPr>
              <w:pStyle w:val="63"/>
            </w:pPr>
            <w:r>
              <w:t>30</w:t>
            </w:r>
          </w:p>
        </w:tc>
        <w:tc>
          <w:tcPr>
            <w:tcW w:w="415" w:type="pct"/>
            <w:vAlign w:val="center"/>
          </w:tcPr>
          <w:p>
            <w:pPr>
              <w:pStyle w:val="63"/>
            </w:pPr>
            <w:r>
              <w:rPr>
                <w:szCs w:val="21"/>
              </w:rPr>
              <w:t>0.126</w:t>
            </w:r>
          </w:p>
        </w:tc>
        <w:tc>
          <w:tcPr>
            <w:tcW w:w="415" w:type="pct"/>
            <w:vAlign w:val="center"/>
          </w:tcPr>
          <w:p>
            <w:pPr>
              <w:pStyle w:val="63"/>
            </w:pPr>
            <w:r>
              <w:t>60</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SS</w:t>
            </w:r>
          </w:p>
        </w:tc>
        <w:tc>
          <w:tcPr>
            <w:tcW w:w="416" w:type="pct"/>
            <w:vAlign w:val="center"/>
          </w:tcPr>
          <w:p>
            <w:pPr>
              <w:pStyle w:val="63"/>
            </w:pPr>
            <w:r>
              <w:t>220</w:t>
            </w:r>
          </w:p>
        </w:tc>
        <w:tc>
          <w:tcPr>
            <w:tcW w:w="481" w:type="pct"/>
            <w:vAlign w:val="center"/>
          </w:tcPr>
          <w:p>
            <w:pPr>
              <w:pStyle w:val="63"/>
            </w:pPr>
            <w:r>
              <w:rPr>
                <w:szCs w:val="21"/>
              </w:rPr>
              <w:t>0.924</w:t>
            </w:r>
          </w:p>
        </w:tc>
        <w:tc>
          <w:tcPr>
            <w:tcW w:w="648" w:type="pct"/>
            <w:vMerge w:val="continue"/>
            <w:vAlign w:val="center"/>
          </w:tcPr>
          <w:p>
            <w:pPr>
              <w:pStyle w:val="63"/>
            </w:pPr>
          </w:p>
        </w:tc>
        <w:tc>
          <w:tcPr>
            <w:tcW w:w="602" w:type="pct"/>
            <w:vAlign w:val="center"/>
          </w:tcPr>
          <w:p>
            <w:pPr>
              <w:pStyle w:val="63"/>
            </w:pPr>
            <w:r>
              <w:t>95</w:t>
            </w:r>
          </w:p>
        </w:tc>
        <w:tc>
          <w:tcPr>
            <w:tcW w:w="416" w:type="pct"/>
            <w:vAlign w:val="center"/>
          </w:tcPr>
          <w:p>
            <w:pPr>
              <w:pStyle w:val="63"/>
            </w:pPr>
            <w:r>
              <w:t>11</w:t>
            </w:r>
          </w:p>
        </w:tc>
        <w:tc>
          <w:tcPr>
            <w:tcW w:w="415" w:type="pct"/>
            <w:vAlign w:val="center"/>
          </w:tcPr>
          <w:p>
            <w:pPr>
              <w:pStyle w:val="63"/>
            </w:pPr>
            <w:r>
              <w:rPr>
                <w:szCs w:val="21"/>
              </w:rPr>
              <w:t>0.0462</w:t>
            </w:r>
          </w:p>
        </w:tc>
        <w:tc>
          <w:tcPr>
            <w:tcW w:w="415" w:type="pct"/>
            <w:vAlign w:val="center"/>
          </w:tcPr>
          <w:p>
            <w:pPr>
              <w:pStyle w:val="63"/>
            </w:pPr>
            <w:r>
              <w:t>/</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硫酸盐</w:t>
            </w:r>
          </w:p>
        </w:tc>
        <w:tc>
          <w:tcPr>
            <w:tcW w:w="416" w:type="pct"/>
            <w:vAlign w:val="center"/>
          </w:tcPr>
          <w:p>
            <w:pPr>
              <w:pStyle w:val="63"/>
            </w:pPr>
            <w:r>
              <w:t>4000</w:t>
            </w:r>
          </w:p>
        </w:tc>
        <w:tc>
          <w:tcPr>
            <w:tcW w:w="481" w:type="pct"/>
            <w:vAlign w:val="center"/>
          </w:tcPr>
          <w:p>
            <w:pPr>
              <w:pStyle w:val="63"/>
            </w:pPr>
            <w:r>
              <w:rPr>
                <w:szCs w:val="21"/>
              </w:rPr>
              <w:t>16.8</w:t>
            </w:r>
          </w:p>
        </w:tc>
        <w:tc>
          <w:tcPr>
            <w:tcW w:w="648" w:type="pct"/>
            <w:vMerge w:val="continue"/>
            <w:vAlign w:val="center"/>
          </w:tcPr>
          <w:p>
            <w:pPr>
              <w:pStyle w:val="63"/>
            </w:pPr>
          </w:p>
        </w:tc>
        <w:tc>
          <w:tcPr>
            <w:tcW w:w="602" w:type="pct"/>
            <w:vAlign w:val="center"/>
          </w:tcPr>
          <w:p>
            <w:pPr>
              <w:pStyle w:val="63"/>
            </w:pPr>
            <w:r>
              <w:t>99</w:t>
            </w:r>
          </w:p>
        </w:tc>
        <w:tc>
          <w:tcPr>
            <w:tcW w:w="416" w:type="pct"/>
            <w:vAlign w:val="center"/>
          </w:tcPr>
          <w:p>
            <w:pPr>
              <w:pStyle w:val="63"/>
            </w:pPr>
            <w:r>
              <w:t>40</w:t>
            </w:r>
          </w:p>
        </w:tc>
        <w:tc>
          <w:tcPr>
            <w:tcW w:w="415" w:type="pct"/>
            <w:vAlign w:val="center"/>
          </w:tcPr>
          <w:p>
            <w:pPr>
              <w:pStyle w:val="63"/>
            </w:pPr>
            <w:r>
              <w:rPr>
                <w:szCs w:val="21"/>
              </w:rPr>
              <w:t>0.168</w:t>
            </w:r>
          </w:p>
        </w:tc>
        <w:tc>
          <w:tcPr>
            <w:tcW w:w="415" w:type="pct"/>
            <w:vAlign w:val="center"/>
          </w:tcPr>
          <w:p>
            <w:pPr>
              <w:pStyle w:val="63"/>
            </w:pPr>
            <w:r>
              <w:t>250</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氯化物</w:t>
            </w:r>
          </w:p>
        </w:tc>
        <w:tc>
          <w:tcPr>
            <w:tcW w:w="416" w:type="pct"/>
            <w:vAlign w:val="center"/>
          </w:tcPr>
          <w:p>
            <w:pPr>
              <w:pStyle w:val="63"/>
            </w:pPr>
            <w:r>
              <w:t>2000</w:t>
            </w:r>
          </w:p>
        </w:tc>
        <w:tc>
          <w:tcPr>
            <w:tcW w:w="481" w:type="pct"/>
            <w:vAlign w:val="center"/>
          </w:tcPr>
          <w:p>
            <w:pPr>
              <w:pStyle w:val="63"/>
            </w:pPr>
            <w:r>
              <w:rPr>
                <w:szCs w:val="21"/>
              </w:rPr>
              <w:t>8.4</w:t>
            </w:r>
          </w:p>
        </w:tc>
        <w:tc>
          <w:tcPr>
            <w:tcW w:w="648" w:type="pct"/>
            <w:vMerge w:val="continue"/>
            <w:vAlign w:val="center"/>
          </w:tcPr>
          <w:p>
            <w:pPr>
              <w:pStyle w:val="63"/>
            </w:pPr>
          </w:p>
        </w:tc>
        <w:tc>
          <w:tcPr>
            <w:tcW w:w="602" w:type="pct"/>
            <w:vAlign w:val="center"/>
          </w:tcPr>
          <w:p>
            <w:pPr>
              <w:pStyle w:val="63"/>
            </w:pPr>
            <w:r>
              <w:t>99</w:t>
            </w:r>
          </w:p>
        </w:tc>
        <w:tc>
          <w:tcPr>
            <w:tcW w:w="416" w:type="pct"/>
            <w:vAlign w:val="center"/>
          </w:tcPr>
          <w:p>
            <w:pPr>
              <w:pStyle w:val="63"/>
            </w:pPr>
            <w:r>
              <w:t>20</w:t>
            </w:r>
          </w:p>
        </w:tc>
        <w:tc>
          <w:tcPr>
            <w:tcW w:w="415" w:type="pct"/>
            <w:vAlign w:val="center"/>
          </w:tcPr>
          <w:p>
            <w:pPr>
              <w:pStyle w:val="63"/>
            </w:pPr>
            <w:r>
              <w:rPr>
                <w:szCs w:val="21"/>
              </w:rPr>
              <w:t>0.084</w:t>
            </w:r>
          </w:p>
        </w:tc>
        <w:tc>
          <w:tcPr>
            <w:tcW w:w="415" w:type="pct"/>
            <w:vAlign w:val="center"/>
          </w:tcPr>
          <w:p>
            <w:pPr>
              <w:pStyle w:val="63"/>
            </w:pPr>
            <w:r>
              <w:t>250</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Ni</w:t>
            </w:r>
          </w:p>
        </w:tc>
        <w:tc>
          <w:tcPr>
            <w:tcW w:w="416" w:type="pct"/>
            <w:vAlign w:val="center"/>
          </w:tcPr>
          <w:p>
            <w:pPr>
              <w:pStyle w:val="63"/>
            </w:pPr>
            <w:r>
              <w:t>3.6</w:t>
            </w:r>
          </w:p>
        </w:tc>
        <w:tc>
          <w:tcPr>
            <w:tcW w:w="481" w:type="pct"/>
            <w:vAlign w:val="center"/>
          </w:tcPr>
          <w:p>
            <w:pPr>
              <w:pStyle w:val="63"/>
            </w:pPr>
            <w:r>
              <w:rPr>
                <w:szCs w:val="21"/>
              </w:rPr>
              <w:t>0.01512</w:t>
            </w:r>
          </w:p>
        </w:tc>
        <w:tc>
          <w:tcPr>
            <w:tcW w:w="648" w:type="pct"/>
            <w:vMerge w:val="continue"/>
            <w:vAlign w:val="center"/>
          </w:tcPr>
          <w:p>
            <w:pPr>
              <w:pStyle w:val="63"/>
            </w:pPr>
          </w:p>
        </w:tc>
        <w:tc>
          <w:tcPr>
            <w:tcW w:w="602" w:type="pct"/>
            <w:vAlign w:val="center"/>
          </w:tcPr>
          <w:p>
            <w:pPr>
              <w:pStyle w:val="63"/>
            </w:pPr>
            <w:r>
              <w:t>99</w:t>
            </w:r>
          </w:p>
        </w:tc>
        <w:tc>
          <w:tcPr>
            <w:tcW w:w="416" w:type="pct"/>
            <w:vAlign w:val="center"/>
          </w:tcPr>
          <w:p>
            <w:pPr>
              <w:pStyle w:val="63"/>
            </w:pPr>
            <w:r>
              <w:t>0.036</w:t>
            </w:r>
          </w:p>
        </w:tc>
        <w:tc>
          <w:tcPr>
            <w:tcW w:w="415" w:type="pct"/>
            <w:vAlign w:val="center"/>
          </w:tcPr>
          <w:p>
            <w:pPr>
              <w:pStyle w:val="63"/>
            </w:pPr>
            <w:r>
              <w:rPr>
                <w:szCs w:val="21"/>
              </w:rPr>
              <w:t>0.0001512</w:t>
            </w:r>
          </w:p>
        </w:tc>
        <w:tc>
          <w:tcPr>
            <w:tcW w:w="415" w:type="pct"/>
            <w:vAlign w:val="center"/>
          </w:tcPr>
          <w:p>
            <w:pPr>
              <w:pStyle w:val="63"/>
            </w:pPr>
            <w:r>
              <w:t>0.05</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Co</w:t>
            </w:r>
          </w:p>
        </w:tc>
        <w:tc>
          <w:tcPr>
            <w:tcW w:w="416" w:type="pct"/>
            <w:vAlign w:val="center"/>
          </w:tcPr>
          <w:p>
            <w:pPr>
              <w:pStyle w:val="63"/>
            </w:pPr>
            <w:r>
              <w:t>2.4</w:t>
            </w:r>
          </w:p>
        </w:tc>
        <w:tc>
          <w:tcPr>
            <w:tcW w:w="481" w:type="pct"/>
            <w:vAlign w:val="center"/>
          </w:tcPr>
          <w:p>
            <w:pPr>
              <w:pStyle w:val="63"/>
            </w:pPr>
            <w:r>
              <w:rPr>
                <w:szCs w:val="21"/>
              </w:rPr>
              <w:t>0.01008</w:t>
            </w:r>
          </w:p>
        </w:tc>
        <w:tc>
          <w:tcPr>
            <w:tcW w:w="648" w:type="pct"/>
            <w:vMerge w:val="continue"/>
            <w:vAlign w:val="center"/>
          </w:tcPr>
          <w:p>
            <w:pPr>
              <w:pStyle w:val="63"/>
            </w:pPr>
          </w:p>
        </w:tc>
        <w:tc>
          <w:tcPr>
            <w:tcW w:w="602" w:type="pct"/>
            <w:vAlign w:val="center"/>
          </w:tcPr>
          <w:p>
            <w:pPr>
              <w:pStyle w:val="63"/>
            </w:pPr>
            <w:r>
              <w:t>99</w:t>
            </w:r>
          </w:p>
        </w:tc>
        <w:tc>
          <w:tcPr>
            <w:tcW w:w="416" w:type="pct"/>
            <w:vAlign w:val="center"/>
          </w:tcPr>
          <w:p>
            <w:pPr>
              <w:pStyle w:val="63"/>
            </w:pPr>
            <w:r>
              <w:t>0.024</w:t>
            </w:r>
          </w:p>
        </w:tc>
        <w:tc>
          <w:tcPr>
            <w:tcW w:w="415" w:type="pct"/>
            <w:vAlign w:val="center"/>
          </w:tcPr>
          <w:p>
            <w:pPr>
              <w:pStyle w:val="63"/>
            </w:pPr>
            <w:r>
              <w:rPr>
                <w:szCs w:val="21"/>
              </w:rPr>
              <w:t>0.0001008</w:t>
            </w:r>
          </w:p>
        </w:tc>
        <w:tc>
          <w:tcPr>
            <w:tcW w:w="415" w:type="pct"/>
            <w:vAlign w:val="center"/>
          </w:tcPr>
          <w:p>
            <w:pPr>
              <w:pStyle w:val="63"/>
            </w:pPr>
            <w:r>
              <w:t>/</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Mn</w:t>
            </w:r>
          </w:p>
        </w:tc>
        <w:tc>
          <w:tcPr>
            <w:tcW w:w="416" w:type="pct"/>
            <w:vAlign w:val="center"/>
          </w:tcPr>
          <w:p>
            <w:pPr>
              <w:pStyle w:val="63"/>
            </w:pPr>
            <w:r>
              <w:t>1.8</w:t>
            </w:r>
          </w:p>
        </w:tc>
        <w:tc>
          <w:tcPr>
            <w:tcW w:w="481" w:type="pct"/>
            <w:vAlign w:val="center"/>
          </w:tcPr>
          <w:p>
            <w:pPr>
              <w:pStyle w:val="63"/>
            </w:pPr>
            <w:r>
              <w:rPr>
                <w:szCs w:val="21"/>
              </w:rPr>
              <w:t>0.00756</w:t>
            </w:r>
          </w:p>
        </w:tc>
        <w:tc>
          <w:tcPr>
            <w:tcW w:w="648" w:type="pct"/>
            <w:vMerge w:val="continue"/>
            <w:vAlign w:val="center"/>
          </w:tcPr>
          <w:p>
            <w:pPr>
              <w:pStyle w:val="63"/>
            </w:pPr>
          </w:p>
        </w:tc>
        <w:tc>
          <w:tcPr>
            <w:tcW w:w="602" w:type="pct"/>
            <w:vAlign w:val="center"/>
          </w:tcPr>
          <w:p>
            <w:pPr>
              <w:pStyle w:val="63"/>
            </w:pPr>
            <w:r>
              <w:t>99</w:t>
            </w:r>
          </w:p>
        </w:tc>
        <w:tc>
          <w:tcPr>
            <w:tcW w:w="416" w:type="pct"/>
            <w:vAlign w:val="center"/>
          </w:tcPr>
          <w:p>
            <w:pPr>
              <w:pStyle w:val="63"/>
            </w:pPr>
            <w:r>
              <w:t>0.018</w:t>
            </w:r>
          </w:p>
        </w:tc>
        <w:tc>
          <w:tcPr>
            <w:tcW w:w="415" w:type="pct"/>
            <w:vAlign w:val="center"/>
          </w:tcPr>
          <w:p>
            <w:pPr>
              <w:pStyle w:val="63"/>
            </w:pPr>
            <w:r>
              <w:rPr>
                <w:szCs w:val="21"/>
              </w:rPr>
              <w:t>0.0000756</w:t>
            </w:r>
          </w:p>
        </w:tc>
        <w:tc>
          <w:tcPr>
            <w:tcW w:w="415" w:type="pct"/>
            <w:vAlign w:val="center"/>
          </w:tcPr>
          <w:p>
            <w:pPr>
              <w:pStyle w:val="63"/>
            </w:pPr>
            <w:r>
              <w:t>0.1</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restart"/>
            <w:vAlign w:val="center"/>
          </w:tcPr>
          <w:p>
            <w:pPr>
              <w:pStyle w:val="63"/>
            </w:pPr>
            <w:r>
              <w:t>地面冲洗废水</w:t>
            </w:r>
          </w:p>
        </w:tc>
        <w:tc>
          <w:tcPr>
            <w:tcW w:w="486" w:type="pct"/>
            <w:vMerge w:val="restart"/>
            <w:vAlign w:val="center"/>
          </w:tcPr>
          <w:p>
            <w:pPr>
              <w:pStyle w:val="63"/>
            </w:pPr>
            <w:r>
              <w:t>1600</w:t>
            </w:r>
          </w:p>
        </w:tc>
        <w:tc>
          <w:tcPr>
            <w:tcW w:w="417" w:type="pct"/>
            <w:vAlign w:val="center"/>
          </w:tcPr>
          <w:p>
            <w:pPr>
              <w:pStyle w:val="63"/>
            </w:pPr>
            <w:r>
              <w:t>COD</w:t>
            </w:r>
          </w:p>
        </w:tc>
        <w:tc>
          <w:tcPr>
            <w:tcW w:w="416" w:type="pct"/>
            <w:vAlign w:val="center"/>
          </w:tcPr>
          <w:p>
            <w:pPr>
              <w:pStyle w:val="63"/>
            </w:pPr>
            <w:r>
              <w:t>350</w:t>
            </w:r>
          </w:p>
        </w:tc>
        <w:tc>
          <w:tcPr>
            <w:tcW w:w="481" w:type="pct"/>
            <w:vAlign w:val="center"/>
          </w:tcPr>
          <w:p>
            <w:pPr>
              <w:pStyle w:val="63"/>
            </w:pPr>
            <w:r>
              <w:rPr>
                <w:szCs w:val="21"/>
              </w:rPr>
              <w:t>0.56</w:t>
            </w:r>
          </w:p>
        </w:tc>
        <w:tc>
          <w:tcPr>
            <w:tcW w:w="648" w:type="pct"/>
            <w:vMerge w:val="continue"/>
            <w:vAlign w:val="center"/>
          </w:tcPr>
          <w:p>
            <w:pPr>
              <w:pStyle w:val="63"/>
            </w:pPr>
          </w:p>
        </w:tc>
        <w:tc>
          <w:tcPr>
            <w:tcW w:w="602" w:type="pct"/>
            <w:vAlign w:val="center"/>
          </w:tcPr>
          <w:p>
            <w:pPr>
              <w:pStyle w:val="63"/>
            </w:pPr>
            <w:r>
              <w:t>90</w:t>
            </w:r>
          </w:p>
        </w:tc>
        <w:tc>
          <w:tcPr>
            <w:tcW w:w="416" w:type="pct"/>
            <w:vAlign w:val="center"/>
          </w:tcPr>
          <w:p>
            <w:pPr>
              <w:pStyle w:val="63"/>
            </w:pPr>
            <w:r>
              <w:t>35</w:t>
            </w:r>
          </w:p>
        </w:tc>
        <w:tc>
          <w:tcPr>
            <w:tcW w:w="415" w:type="pct"/>
            <w:vAlign w:val="center"/>
          </w:tcPr>
          <w:p>
            <w:pPr>
              <w:pStyle w:val="63"/>
            </w:pPr>
            <w:r>
              <w:rPr>
                <w:szCs w:val="21"/>
              </w:rPr>
              <w:t>0.056</w:t>
            </w:r>
          </w:p>
        </w:tc>
        <w:tc>
          <w:tcPr>
            <w:tcW w:w="415" w:type="pct"/>
            <w:vAlign w:val="center"/>
          </w:tcPr>
          <w:p>
            <w:pPr>
              <w:pStyle w:val="63"/>
            </w:pPr>
            <w:r>
              <w:t>60</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SS</w:t>
            </w:r>
          </w:p>
        </w:tc>
        <w:tc>
          <w:tcPr>
            <w:tcW w:w="416" w:type="pct"/>
            <w:vAlign w:val="center"/>
          </w:tcPr>
          <w:p>
            <w:pPr>
              <w:pStyle w:val="63"/>
            </w:pPr>
            <w:r>
              <w:t>250</w:t>
            </w:r>
          </w:p>
        </w:tc>
        <w:tc>
          <w:tcPr>
            <w:tcW w:w="481" w:type="pct"/>
            <w:vAlign w:val="center"/>
          </w:tcPr>
          <w:p>
            <w:pPr>
              <w:pStyle w:val="63"/>
            </w:pPr>
            <w:r>
              <w:rPr>
                <w:szCs w:val="21"/>
              </w:rPr>
              <w:t>0.4</w:t>
            </w:r>
          </w:p>
        </w:tc>
        <w:tc>
          <w:tcPr>
            <w:tcW w:w="648" w:type="pct"/>
            <w:vMerge w:val="continue"/>
            <w:vAlign w:val="center"/>
          </w:tcPr>
          <w:p>
            <w:pPr>
              <w:pStyle w:val="63"/>
            </w:pPr>
          </w:p>
        </w:tc>
        <w:tc>
          <w:tcPr>
            <w:tcW w:w="602" w:type="pct"/>
            <w:vAlign w:val="center"/>
          </w:tcPr>
          <w:p>
            <w:pPr>
              <w:pStyle w:val="63"/>
            </w:pPr>
            <w:r>
              <w:t>95</w:t>
            </w:r>
          </w:p>
        </w:tc>
        <w:tc>
          <w:tcPr>
            <w:tcW w:w="416" w:type="pct"/>
            <w:vAlign w:val="center"/>
          </w:tcPr>
          <w:p>
            <w:pPr>
              <w:pStyle w:val="63"/>
            </w:pPr>
            <w:r>
              <w:t>12.5</w:t>
            </w:r>
          </w:p>
        </w:tc>
        <w:tc>
          <w:tcPr>
            <w:tcW w:w="415" w:type="pct"/>
            <w:vAlign w:val="center"/>
          </w:tcPr>
          <w:p>
            <w:pPr>
              <w:pStyle w:val="63"/>
            </w:pPr>
            <w:r>
              <w:rPr>
                <w:szCs w:val="21"/>
              </w:rPr>
              <w:t>0.02</w:t>
            </w:r>
          </w:p>
        </w:tc>
        <w:tc>
          <w:tcPr>
            <w:tcW w:w="415" w:type="pct"/>
            <w:vAlign w:val="center"/>
          </w:tcPr>
          <w:p>
            <w:pPr>
              <w:pStyle w:val="63"/>
            </w:pPr>
            <w:r>
              <w:t>/</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Ni</w:t>
            </w:r>
          </w:p>
        </w:tc>
        <w:tc>
          <w:tcPr>
            <w:tcW w:w="416" w:type="pct"/>
            <w:vAlign w:val="center"/>
          </w:tcPr>
          <w:p>
            <w:pPr>
              <w:pStyle w:val="63"/>
            </w:pPr>
            <w:r>
              <w:t>1.5</w:t>
            </w:r>
          </w:p>
        </w:tc>
        <w:tc>
          <w:tcPr>
            <w:tcW w:w="481" w:type="pct"/>
            <w:vAlign w:val="center"/>
          </w:tcPr>
          <w:p>
            <w:pPr>
              <w:pStyle w:val="63"/>
            </w:pPr>
            <w:r>
              <w:rPr>
                <w:szCs w:val="21"/>
              </w:rPr>
              <w:t>0.0024</w:t>
            </w:r>
          </w:p>
        </w:tc>
        <w:tc>
          <w:tcPr>
            <w:tcW w:w="648" w:type="pct"/>
            <w:vMerge w:val="continue"/>
            <w:vAlign w:val="center"/>
          </w:tcPr>
          <w:p>
            <w:pPr>
              <w:pStyle w:val="63"/>
            </w:pPr>
          </w:p>
        </w:tc>
        <w:tc>
          <w:tcPr>
            <w:tcW w:w="602" w:type="pct"/>
            <w:vAlign w:val="center"/>
          </w:tcPr>
          <w:p>
            <w:pPr>
              <w:pStyle w:val="63"/>
            </w:pPr>
            <w:r>
              <w:t>99</w:t>
            </w:r>
          </w:p>
        </w:tc>
        <w:tc>
          <w:tcPr>
            <w:tcW w:w="416" w:type="pct"/>
            <w:vAlign w:val="center"/>
          </w:tcPr>
          <w:p>
            <w:pPr>
              <w:pStyle w:val="63"/>
            </w:pPr>
            <w:r>
              <w:t>0.015</w:t>
            </w:r>
          </w:p>
        </w:tc>
        <w:tc>
          <w:tcPr>
            <w:tcW w:w="415" w:type="pct"/>
            <w:vAlign w:val="center"/>
          </w:tcPr>
          <w:p>
            <w:pPr>
              <w:pStyle w:val="63"/>
            </w:pPr>
            <w:r>
              <w:rPr>
                <w:szCs w:val="21"/>
              </w:rPr>
              <w:t>0.000024</w:t>
            </w:r>
          </w:p>
        </w:tc>
        <w:tc>
          <w:tcPr>
            <w:tcW w:w="415" w:type="pct"/>
            <w:vAlign w:val="center"/>
          </w:tcPr>
          <w:p>
            <w:pPr>
              <w:pStyle w:val="63"/>
            </w:pPr>
            <w:r>
              <w:t>0.05</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Co</w:t>
            </w:r>
          </w:p>
        </w:tc>
        <w:tc>
          <w:tcPr>
            <w:tcW w:w="416" w:type="pct"/>
            <w:vAlign w:val="center"/>
          </w:tcPr>
          <w:p>
            <w:pPr>
              <w:pStyle w:val="63"/>
            </w:pPr>
            <w:r>
              <w:t>0.8</w:t>
            </w:r>
          </w:p>
        </w:tc>
        <w:tc>
          <w:tcPr>
            <w:tcW w:w="481" w:type="pct"/>
            <w:vAlign w:val="center"/>
          </w:tcPr>
          <w:p>
            <w:pPr>
              <w:pStyle w:val="63"/>
            </w:pPr>
            <w:r>
              <w:rPr>
                <w:szCs w:val="21"/>
              </w:rPr>
              <w:t>0.00128</w:t>
            </w:r>
          </w:p>
        </w:tc>
        <w:tc>
          <w:tcPr>
            <w:tcW w:w="648" w:type="pct"/>
            <w:vMerge w:val="continue"/>
            <w:vAlign w:val="center"/>
          </w:tcPr>
          <w:p>
            <w:pPr>
              <w:pStyle w:val="63"/>
            </w:pPr>
          </w:p>
        </w:tc>
        <w:tc>
          <w:tcPr>
            <w:tcW w:w="602" w:type="pct"/>
            <w:vAlign w:val="center"/>
          </w:tcPr>
          <w:p>
            <w:pPr>
              <w:pStyle w:val="63"/>
            </w:pPr>
            <w:r>
              <w:t>99</w:t>
            </w:r>
          </w:p>
        </w:tc>
        <w:tc>
          <w:tcPr>
            <w:tcW w:w="416" w:type="pct"/>
            <w:vAlign w:val="center"/>
          </w:tcPr>
          <w:p>
            <w:pPr>
              <w:pStyle w:val="63"/>
            </w:pPr>
            <w:r>
              <w:t>0.008</w:t>
            </w:r>
          </w:p>
        </w:tc>
        <w:tc>
          <w:tcPr>
            <w:tcW w:w="415" w:type="pct"/>
            <w:vAlign w:val="center"/>
          </w:tcPr>
          <w:p>
            <w:pPr>
              <w:pStyle w:val="63"/>
            </w:pPr>
            <w:r>
              <w:rPr>
                <w:szCs w:val="21"/>
              </w:rPr>
              <w:t>0.0000128</w:t>
            </w:r>
          </w:p>
        </w:tc>
        <w:tc>
          <w:tcPr>
            <w:tcW w:w="415" w:type="pct"/>
            <w:vAlign w:val="center"/>
          </w:tcPr>
          <w:p>
            <w:pPr>
              <w:pStyle w:val="63"/>
            </w:pPr>
            <w:r>
              <w:t>/</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Mn</w:t>
            </w:r>
          </w:p>
        </w:tc>
        <w:tc>
          <w:tcPr>
            <w:tcW w:w="416" w:type="pct"/>
            <w:vAlign w:val="center"/>
          </w:tcPr>
          <w:p>
            <w:pPr>
              <w:pStyle w:val="63"/>
            </w:pPr>
            <w:r>
              <w:t>0.6</w:t>
            </w:r>
          </w:p>
        </w:tc>
        <w:tc>
          <w:tcPr>
            <w:tcW w:w="481" w:type="pct"/>
            <w:vAlign w:val="center"/>
          </w:tcPr>
          <w:p>
            <w:pPr>
              <w:pStyle w:val="63"/>
            </w:pPr>
            <w:r>
              <w:rPr>
                <w:szCs w:val="21"/>
              </w:rPr>
              <w:t>0.00096</w:t>
            </w:r>
          </w:p>
        </w:tc>
        <w:tc>
          <w:tcPr>
            <w:tcW w:w="648" w:type="pct"/>
            <w:vMerge w:val="continue"/>
            <w:vAlign w:val="center"/>
          </w:tcPr>
          <w:p>
            <w:pPr>
              <w:pStyle w:val="63"/>
            </w:pPr>
          </w:p>
        </w:tc>
        <w:tc>
          <w:tcPr>
            <w:tcW w:w="602" w:type="pct"/>
            <w:vAlign w:val="center"/>
          </w:tcPr>
          <w:p>
            <w:pPr>
              <w:pStyle w:val="63"/>
            </w:pPr>
            <w:r>
              <w:t>99</w:t>
            </w:r>
          </w:p>
        </w:tc>
        <w:tc>
          <w:tcPr>
            <w:tcW w:w="416" w:type="pct"/>
            <w:vAlign w:val="center"/>
          </w:tcPr>
          <w:p>
            <w:pPr>
              <w:pStyle w:val="63"/>
            </w:pPr>
            <w:r>
              <w:t>0.006</w:t>
            </w:r>
          </w:p>
        </w:tc>
        <w:tc>
          <w:tcPr>
            <w:tcW w:w="415" w:type="pct"/>
            <w:vAlign w:val="center"/>
          </w:tcPr>
          <w:p>
            <w:pPr>
              <w:pStyle w:val="63"/>
            </w:pPr>
            <w:r>
              <w:rPr>
                <w:szCs w:val="21"/>
              </w:rPr>
              <w:t>0.0000096</w:t>
            </w:r>
          </w:p>
        </w:tc>
        <w:tc>
          <w:tcPr>
            <w:tcW w:w="415" w:type="pct"/>
            <w:vAlign w:val="center"/>
          </w:tcPr>
          <w:p>
            <w:pPr>
              <w:pStyle w:val="63"/>
            </w:pPr>
            <w:r>
              <w:t>0.1</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pct"/>
            <w:vMerge w:val="restart"/>
            <w:vAlign w:val="center"/>
          </w:tcPr>
          <w:p>
            <w:pPr>
              <w:pStyle w:val="63"/>
            </w:pPr>
            <w:r>
              <w:rPr>
                <w:rFonts w:hint="eastAsia"/>
              </w:rPr>
              <w:t>冷凝水</w:t>
            </w:r>
          </w:p>
        </w:tc>
        <w:tc>
          <w:tcPr>
            <w:tcW w:w="486" w:type="pct"/>
            <w:vMerge w:val="restart"/>
            <w:vAlign w:val="center"/>
          </w:tcPr>
          <w:p>
            <w:pPr>
              <w:pStyle w:val="63"/>
            </w:pPr>
            <w:r>
              <w:t>29930</w:t>
            </w:r>
          </w:p>
        </w:tc>
        <w:tc>
          <w:tcPr>
            <w:tcW w:w="417" w:type="pct"/>
            <w:vAlign w:val="center"/>
          </w:tcPr>
          <w:p>
            <w:pPr>
              <w:pStyle w:val="63"/>
            </w:pPr>
            <w:r>
              <w:t>COD</w:t>
            </w:r>
          </w:p>
        </w:tc>
        <w:tc>
          <w:tcPr>
            <w:tcW w:w="416" w:type="pct"/>
            <w:vAlign w:val="center"/>
          </w:tcPr>
          <w:p>
            <w:pPr>
              <w:pStyle w:val="63"/>
            </w:pPr>
            <w:r>
              <w:t>30</w:t>
            </w:r>
          </w:p>
        </w:tc>
        <w:tc>
          <w:tcPr>
            <w:tcW w:w="481" w:type="pct"/>
            <w:vAlign w:val="center"/>
          </w:tcPr>
          <w:p>
            <w:pPr>
              <w:pStyle w:val="63"/>
              <w:rPr>
                <w:szCs w:val="21"/>
              </w:rPr>
            </w:pPr>
            <w:r>
              <w:rPr>
                <w:szCs w:val="21"/>
              </w:rPr>
              <w:t>0.</w:t>
            </w:r>
            <w:r>
              <w:rPr>
                <w:rFonts w:hint="eastAsia"/>
                <w:szCs w:val="21"/>
              </w:rPr>
              <w:t>90</w:t>
            </w:r>
          </w:p>
        </w:tc>
        <w:tc>
          <w:tcPr>
            <w:tcW w:w="648" w:type="pct"/>
            <w:vMerge w:val="restart"/>
            <w:vAlign w:val="center"/>
          </w:tcPr>
          <w:p>
            <w:pPr>
              <w:pStyle w:val="63"/>
            </w:pPr>
            <w:r>
              <w:rPr>
                <w:rFonts w:hint="eastAsia"/>
              </w:rPr>
              <w:t>/</w:t>
            </w:r>
          </w:p>
        </w:tc>
        <w:tc>
          <w:tcPr>
            <w:tcW w:w="602" w:type="pct"/>
            <w:vAlign w:val="center"/>
          </w:tcPr>
          <w:p>
            <w:pPr>
              <w:pStyle w:val="63"/>
            </w:pPr>
            <w:r>
              <w:t>/</w:t>
            </w:r>
          </w:p>
        </w:tc>
        <w:tc>
          <w:tcPr>
            <w:tcW w:w="416" w:type="pct"/>
            <w:vAlign w:val="center"/>
          </w:tcPr>
          <w:p>
            <w:pPr>
              <w:pStyle w:val="63"/>
            </w:pPr>
            <w:r>
              <w:t>30</w:t>
            </w:r>
          </w:p>
        </w:tc>
        <w:tc>
          <w:tcPr>
            <w:tcW w:w="415" w:type="pct"/>
            <w:vAlign w:val="center"/>
          </w:tcPr>
          <w:p>
            <w:pPr>
              <w:pStyle w:val="63"/>
              <w:rPr>
                <w:szCs w:val="21"/>
              </w:rPr>
            </w:pPr>
            <w:r>
              <w:rPr>
                <w:szCs w:val="21"/>
              </w:rPr>
              <w:t>0.</w:t>
            </w:r>
            <w:r>
              <w:rPr>
                <w:rFonts w:hint="eastAsia"/>
                <w:szCs w:val="21"/>
              </w:rPr>
              <w:t>90</w:t>
            </w:r>
          </w:p>
        </w:tc>
        <w:tc>
          <w:tcPr>
            <w:tcW w:w="415" w:type="pct"/>
            <w:vAlign w:val="center"/>
          </w:tcPr>
          <w:p>
            <w:pPr>
              <w:pStyle w:val="63"/>
            </w:pPr>
            <w:r>
              <w:t>200</w:t>
            </w:r>
          </w:p>
        </w:tc>
        <w:tc>
          <w:tcPr>
            <w:tcW w:w="373" w:type="pct"/>
            <w:vMerge w:val="restart"/>
            <w:vAlign w:val="center"/>
          </w:tcPr>
          <w:p>
            <w:pPr>
              <w:pStyle w:val="63"/>
            </w:pPr>
            <w:r>
              <w:t>排入园区污水处理厂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SS</w:t>
            </w:r>
          </w:p>
        </w:tc>
        <w:tc>
          <w:tcPr>
            <w:tcW w:w="416" w:type="pct"/>
            <w:vAlign w:val="center"/>
          </w:tcPr>
          <w:p>
            <w:pPr>
              <w:pStyle w:val="63"/>
            </w:pPr>
            <w:r>
              <w:rPr>
                <w:rFonts w:hint="eastAsia"/>
              </w:rPr>
              <w:t>10</w:t>
            </w:r>
          </w:p>
        </w:tc>
        <w:tc>
          <w:tcPr>
            <w:tcW w:w="481" w:type="pct"/>
            <w:vAlign w:val="center"/>
          </w:tcPr>
          <w:p>
            <w:pPr>
              <w:pStyle w:val="63"/>
              <w:rPr>
                <w:szCs w:val="21"/>
              </w:rPr>
            </w:pPr>
            <w:r>
              <w:rPr>
                <w:rFonts w:hint="eastAsia"/>
                <w:szCs w:val="21"/>
              </w:rPr>
              <w:t>0.30</w:t>
            </w:r>
          </w:p>
        </w:tc>
        <w:tc>
          <w:tcPr>
            <w:tcW w:w="648" w:type="pct"/>
            <w:vMerge w:val="continue"/>
            <w:vAlign w:val="center"/>
          </w:tcPr>
          <w:p>
            <w:pPr>
              <w:pStyle w:val="63"/>
            </w:pPr>
          </w:p>
        </w:tc>
        <w:tc>
          <w:tcPr>
            <w:tcW w:w="602" w:type="pct"/>
            <w:vAlign w:val="center"/>
          </w:tcPr>
          <w:p>
            <w:pPr>
              <w:pStyle w:val="63"/>
            </w:pPr>
            <w:r>
              <w:t>/</w:t>
            </w:r>
          </w:p>
        </w:tc>
        <w:tc>
          <w:tcPr>
            <w:tcW w:w="416" w:type="pct"/>
            <w:vAlign w:val="center"/>
          </w:tcPr>
          <w:p>
            <w:pPr>
              <w:pStyle w:val="63"/>
            </w:pPr>
            <w:r>
              <w:rPr>
                <w:rFonts w:hint="eastAsia"/>
              </w:rPr>
              <w:t>10</w:t>
            </w:r>
          </w:p>
        </w:tc>
        <w:tc>
          <w:tcPr>
            <w:tcW w:w="415" w:type="pct"/>
            <w:vAlign w:val="center"/>
          </w:tcPr>
          <w:p>
            <w:pPr>
              <w:pStyle w:val="63"/>
              <w:rPr>
                <w:szCs w:val="21"/>
              </w:rPr>
            </w:pPr>
            <w:r>
              <w:rPr>
                <w:rFonts w:hint="eastAsia"/>
                <w:szCs w:val="21"/>
              </w:rPr>
              <w:t>0.30</w:t>
            </w:r>
          </w:p>
        </w:tc>
        <w:tc>
          <w:tcPr>
            <w:tcW w:w="415" w:type="pct"/>
            <w:vAlign w:val="center"/>
          </w:tcPr>
          <w:p>
            <w:pPr>
              <w:pStyle w:val="63"/>
            </w:pPr>
            <w:r>
              <w:t>100</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rPr>
                <w:rFonts w:hint="eastAsia"/>
              </w:rPr>
              <w:t>氨氮</w:t>
            </w:r>
          </w:p>
        </w:tc>
        <w:tc>
          <w:tcPr>
            <w:tcW w:w="416" w:type="pct"/>
            <w:vAlign w:val="center"/>
          </w:tcPr>
          <w:p>
            <w:pPr>
              <w:pStyle w:val="63"/>
            </w:pPr>
            <w:r>
              <w:rPr>
                <w:rFonts w:hint="eastAsia"/>
              </w:rPr>
              <w:t>10</w:t>
            </w:r>
          </w:p>
        </w:tc>
        <w:tc>
          <w:tcPr>
            <w:tcW w:w="481" w:type="pct"/>
            <w:vAlign w:val="center"/>
          </w:tcPr>
          <w:p>
            <w:pPr>
              <w:pStyle w:val="63"/>
              <w:rPr>
                <w:szCs w:val="21"/>
              </w:rPr>
            </w:pPr>
            <w:r>
              <w:rPr>
                <w:szCs w:val="21"/>
              </w:rPr>
              <w:t>0.2993</w:t>
            </w:r>
          </w:p>
        </w:tc>
        <w:tc>
          <w:tcPr>
            <w:tcW w:w="648" w:type="pct"/>
            <w:vMerge w:val="continue"/>
            <w:vAlign w:val="center"/>
          </w:tcPr>
          <w:p>
            <w:pPr>
              <w:pStyle w:val="63"/>
            </w:pPr>
          </w:p>
        </w:tc>
        <w:tc>
          <w:tcPr>
            <w:tcW w:w="602" w:type="pct"/>
            <w:vAlign w:val="center"/>
          </w:tcPr>
          <w:p>
            <w:pPr>
              <w:pStyle w:val="63"/>
            </w:pPr>
            <w:r>
              <w:t>/</w:t>
            </w:r>
          </w:p>
        </w:tc>
        <w:tc>
          <w:tcPr>
            <w:tcW w:w="416" w:type="pct"/>
            <w:vAlign w:val="center"/>
          </w:tcPr>
          <w:p>
            <w:pPr>
              <w:pStyle w:val="63"/>
            </w:pPr>
            <w:r>
              <w:rPr>
                <w:rFonts w:hint="eastAsia"/>
              </w:rPr>
              <w:t>10</w:t>
            </w:r>
          </w:p>
        </w:tc>
        <w:tc>
          <w:tcPr>
            <w:tcW w:w="415" w:type="pct"/>
            <w:vAlign w:val="center"/>
          </w:tcPr>
          <w:p>
            <w:pPr>
              <w:pStyle w:val="63"/>
              <w:rPr>
                <w:szCs w:val="21"/>
              </w:rPr>
            </w:pPr>
            <w:r>
              <w:rPr>
                <w:szCs w:val="21"/>
              </w:rPr>
              <w:t>0.2993</w:t>
            </w:r>
          </w:p>
        </w:tc>
        <w:tc>
          <w:tcPr>
            <w:tcW w:w="415" w:type="pct"/>
            <w:vAlign w:val="center"/>
          </w:tcPr>
          <w:p>
            <w:pPr>
              <w:pStyle w:val="63"/>
            </w:pPr>
            <w:r>
              <w:t>--</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restart"/>
            <w:vAlign w:val="center"/>
          </w:tcPr>
          <w:p>
            <w:pPr>
              <w:pStyle w:val="63"/>
            </w:pPr>
            <w:r>
              <w:t>生活污水</w:t>
            </w:r>
          </w:p>
        </w:tc>
        <w:tc>
          <w:tcPr>
            <w:tcW w:w="486" w:type="pct"/>
            <w:vMerge w:val="restart"/>
            <w:vAlign w:val="center"/>
          </w:tcPr>
          <w:p>
            <w:pPr>
              <w:pStyle w:val="63"/>
            </w:pPr>
            <w:r>
              <w:rPr>
                <w:rFonts w:hint="eastAsia"/>
              </w:rPr>
              <w:t>综合利用厂区6408</w:t>
            </w:r>
            <w:r>
              <w:t>m</w:t>
            </w:r>
            <w:r>
              <w:rPr>
                <w:vertAlign w:val="superscript"/>
              </w:rPr>
              <w:t>3</w:t>
            </w:r>
            <w:r>
              <w:t>/a</w:t>
            </w:r>
          </w:p>
          <w:p>
            <w:pPr>
              <w:rPr>
                <w:rFonts w:ascii="Times New Roman" w:hAnsi="Times New Roman" w:cs="Times New Roman"/>
                <w:sz w:val="21"/>
              </w:rPr>
            </w:pPr>
            <w:r>
              <w:rPr>
                <w:rFonts w:hint="eastAsia" w:ascii="Times New Roman" w:hAnsi="Times New Roman" w:cs="Times New Roman"/>
                <w:sz w:val="21"/>
              </w:rPr>
              <w:t>梯次利用厂360</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/a</w:t>
            </w:r>
            <w:r>
              <w:rPr>
                <w:rFonts w:hint="eastAsia" w:ascii="Times New Roman" w:hAnsi="Times New Roman" w:cs="Times New Roman"/>
                <w:sz w:val="21"/>
              </w:rPr>
              <w:t>，</w:t>
            </w:r>
          </w:p>
          <w:p>
            <w:pPr>
              <w:jc w:val="left"/>
              <w:rPr>
                <w:rFonts w:ascii="Times New Roman" w:hAnsi="Times New Roman" w:cs="Times New Roman"/>
                <w:sz w:val="21"/>
              </w:rPr>
            </w:pPr>
            <w:r>
              <w:rPr>
                <w:rFonts w:hint="eastAsia" w:ascii="Times New Roman" w:hAnsi="Times New Roman" w:cs="Times New Roman"/>
                <w:sz w:val="21"/>
              </w:rPr>
              <w:t>总计</w:t>
            </w:r>
            <w:r>
              <w:rPr>
                <w:rFonts w:ascii="Times New Roman" w:hAnsi="Times New Roman" w:cs="Times New Roman"/>
                <w:sz w:val="21"/>
              </w:rPr>
              <w:t>6768</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/a</w:t>
            </w:r>
          </w:p>
        </w:tc>
        <w:tc>
          <w:tcPr>
            <w:tcW w:w="417" w:type="pct"/>
            <w:vAlign w:val="center"/>
          </w:tcPr>
          <w:p>
            <w:pPr>
              <w:pStyle w:val="63"/>
            </w:pPr>
            <w:r>
              <w:t>COD</w:t>
            </w:r>
          </w:p>
        </w:tc>
        <w:tc>
          <w:tcPr>
            <w:tcW w:w="416" w:type="pct"/>
            <w:vAlign w:val="center"/>
          </w:tcPr>
          <w:p>
            <w:pPr>
              <w:pStyle w:val="63"/>
            </w:pPr>
            <w:r>
              <w:t>300</w:t>
            </w:r>
          </w:p>
        </w:tc>
        <w:tc>
          <w:tcPr>
            <w:tcW w:w="481" w:type="pct"/>
            <w:vAlign w:val="center"/>
          </w:tcPr>
          <w:p>
            <w:pPr>
              <w:pStyle w:val="63"/>
            </w:pPr>
            <w:r>
              <w:rPr>
                <w:szCs w:val="21"/>
              </w:rPr>
              <w:t>2.0304</w:t>
            </w:r>
          </w:p>
        </w:tc>
        <w:tc>
          <w:tcPr>
            <w:tcW w:w="648" w:type="pct"/>
            <w:vMerge w:val="restart"/>
            <w:vAlign w:val="center"/>
          </w:tcPr>
          <w:p>
            <w:pPr>
              <w:pStyle w:val="63"/>
            </w:pPr>
            <w:r>
              <w:t>化粪池</w:t>
            </w:r>
          </w:p>
        </w:tc>
        <w:tc>
          <w:tcPr>
            <w:tcW w:w="602" w:type="pct"/>
            <w:vAlign w:val="center"/>
          </w:tcPr>
          <w:p>
            <w:pPr>
              <w:pStyle w:val="63"/>
            </w:pPr>
            <w:r>
              <w:t>15</w:t>
            </w:r>
          </w:p>
        </w:tc>
        <w:tc>
          <w:tcPr>
            <w:tcW w:w="416" w:type="pct"/>
            <w:vAlign w:val="center"/>
          </w:tcPr>
          <w:p>
            <w:pPr>
              <w:pStyle w:val="63"/>
            </w:pPr>
            <w:r>
              <w:t>255</w:t>
            </w:r>
          </w:p>
        </w:tc>
        <w:tc>
          <w:tcPr>
            <w:tcW w:w="415" w:type="pct"/>
            <w:vAlign w:val="center"/>
          </w:tcPr>
          <w:p>
            <w:pPr>
              <w:pStyle w:val="63"/>
            </w:pPr>
            <w:r>
              <w:rPr>
                <w:szCs w:val="21"/>
              </w:rPr>
              <w:t>1.72584</w:t>
            </w:r>
          </w:p>
        </w:tc>
        <w:tc>
          <w:tcPr>
            <w:tcW w:w="415" w:type="pct"/>
            <w:vAlign w:val="center"/>
          </w:tcPr>
          <w:p>
            <w:pPr>
              <w:pStyle w:val="63"/>
            </w:pPr>
            <w:r>
              <w:t>500</w:t>
            </w:r>
          </w:p>
        </w:tc>
        <w:tc>
          <w:tcPr>
            <w:tcW w:w="373" w:type="pct"/>
            <w:vMerge w:val="restart"/>
            <w:vAlign w:val="center"/>
          </w:tcPr>
          <w:p>
            <w:pPr>
              <w:pStyle w:val="63"/>
            </w:pPr>
            <w:r>
              <w:t>排入园区污水处理厂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BOD</w:t>
            </w:r>
            <w:r>
              <w:rPr>
                <w:vertAlign w:val="subscript"/>
              </w:rPr>
              <w:t>5</w:t>
            </w:r>
          </w:p>
        </w:tc>
        <w:tc>
          <w:tcPr>
            <w:tcW w:w="416" w:type="pct"/>
            <w:vAlign w:val="center"/>
          </w:tcPr>
          <w:p>
            <w:pPr>
              <w:pStyle w:val="63"/>
            </w:pPr>
            <w:r>
              <w:t>150</w:t>
            </w:r>
          </w:p>
        </w:tc>
        <w:tc>
          <w:tcPr>
            <w:tcW w:w="481" w:type="pct"/>
            <w:vAlign w:val="center"/>
          </w:tcPr>
          <w:p>
            <w:pPr>
              <w:pStyle w:val="63"/>
            </w:pPr>
            <w:r>
              <w:rPr>
                <w:szCs w:val="21"/>
              </w:rPr>
              <w:t>1.0152</w:t>
            </w:r>
          </w:p>
        </w:tc>
        <w:tc>
          <w:tcPr>
            <w:tcW w:w="648" w:type="pct"/>
            <w:vMerge w:val="continue"/>
            <w:vAlign w:val="center"/>
          </w:tcPr>
          <w:p>
            <w:pPr>
              <w:pStyle w:val="63"/>
            </w:pPr>
          </w:p>
        </w:tc>
        <w:tc>
          <w:tcPr>
            <w:tcW w:w="602" w:type="pct"/>
            <w:vAlign w:val="center"/>
          </w:tcPr>
          <w:p>
            <w:pPr>
              <w:pStyle w:val="63"/>
            </w:pPr>
            <w:r>
              <w:t>9</w:t>
            </w:r>
          </w:p>
        </w:tc>
        <w:tc>
          <w:tcPr>
            <w:tcW w:w="416" w:type="pct"/>
            <w:vAlign w:val="center"/>
          </w:tcPr>
          <w:p>
            <w:pPr>
              <w:pStyle w:val="63"/>
            </w:pPr>
            <w:r>
              <w:t>136.5</w:t>
            </w:r>
          </w:p>
        </w:tc>
        <w:tc>
          <w:tcPr>
            <w:tcW w:w="415" w:type="pct"/>
            <w:vAlign w:val="center"/>
          </w:tcPr>
          <w:p>
            <w:pPr>
              <w:pStyle w:val="63"/>
            </w:pPr>
            <w:r>
              <w:rPr>
                <w:szCs w:val="21"/>
              </w:rPr>
              <w:t>0.923832</w:t>
            </w:r>
          </w:p>
        </w:tc>
        <w:tc>
          <w:tcPr>
            <w:tcW w:w="415" w:type="pct"/>
            <w:vAlign w:val="center"/>
          </w:tcPr>
          <w:p>
            <w:pPr>
              <w:pStyle w:val="63"/>
            </w:pPr>
            <w:r>
              <w:t>300</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SS</w:t>
            </w:r>
          </w:p>
        </w:tc>
        <w:tc>
          <w:tcPr>
            <w:tcW w:w="416" w:type="pct"/>
            <w:vAlign w:val="center"/>
          </w:tcPr>
          <w:p>
            <w:pPr>
              <w:pStyle w:val="63"/>
            </w:pPr>
            <w:r>
              <w:t>200</w:t>
            </w:r>
          </w:p>
        </w:tc>
        <w:tc>
          <w:tcPr>
            <w:tcW w:w="481" w:type="pct"/>
            <w:vAlign w:val="center"/>
          </w:tcPr>
          <w:p>
            <w:pPr>
              <w:pStyle w:val="63"/>
            </w:pPr>
            <w:r>
              <w:rPr>
                <w:szCs w:val="21"/>
              </w:rPr>
              <w:t>1.3536</w:t>
            </w:r>
          </w:p>
        </w:tc>
        <w:tc>
          <w:tcPr>
            <w:tcW w:w="648" w:type="pct"/>
            <w:vMerge w:val="continue"/>
            <w:vAlign w:val="center"/>
          </w:tcPr>
          <w:p>
            <w:pPr>
              <w:pStyle w:val="63"/>
            </w:pPr>
          </w:p>
        </w:tc>
        <w:tc>
          <w:tcPr>
            <w:tcW w:w="602" w:type="pct"/>
            <w:vAlign w:val="center"/>
          </w:tcPr>
          <w:p>
            <w:pPr>
              <w:pStyle w:val="63"/>
            </w:pPr>
            <w:r>
              <w:t>30</w:t>
            </w:r>
          </w:p>
        </w:tc>
        <w:tc>
          <w:tcPr>
            <w:tcW w:w="416" w:type="pct"/>
            <w:vAlign w:val="center"/>
          </w:tcPr>
          <w:p>
            <w:pPr>
              <w:pStyle w:val="63"/>
            </w:pPr>
            <w:r>
              <w:t>140</w:t>
            </w:r>
          </w:p>
        </w:tc>
        <w:tc>
          <w:tcPr>
            <w:tcW w:w="415" w:type="pct"/>
            <w:vAlign w:val="center"/>
          </w:tcPr>
          <w:p>
            <w:pPr>
              <w:pStyle w:val="63"/>
            </w:pPr>
            <w:r>
              <w:rPr>
                <w:szCs w:val="21"/>
              </w:rPr>
              <w:t>0.94752</w:t>
            </w:r>
          </w:p>
        </w:tc>
        <w:tc>
          <w:tcPr>
            <w:tcW w:w="415" w:type="pct"/>
            <w:vAlign w:val="center"/>
          </w:tcPr>
          <w:p>
            <w:pPr>
              <w:pStyle w:val="63"/>
            </w:pPr>
            <w:r>
              <w:t>400</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氨氮</w:t>
            </w:r>
          </w:p>
        </w:tc>
        <w:tc>
          <w:tcPr>
            <w:tcW w:w="416" w:type="pct"/>
            <w:vAlign w:val="center"/>
          </w:tcPr>
          <w:p>
            <w:pPr>
              <w:pStyle w:val="63"/>
            </w:pPr>
            <w:r>
              <w:t>40</w:t>
            </w:r>
          </w:p>
        </w:tc>
        <w:tc>
          <w:tcPr>
            <w:tcW w:w="481" w:type="pct"/>
            <w:vAlign w:val="center"/>
          </w:tcPr>
          <w:p>
            <w:pPr>
              <w:pStyle w:val="63"/>
            </w:pPr>
            <w:r>
              <w:rPr>
                <w:szCs w:val="21"/>
              </w:rPr>
              <w:t>0.27072</w:t>
            </w:r>
          </w:p>
        </w:tc>
        <w:tc>
          <w:tcPr>
            <w:tcW w:w="648" w:type="pct"/>
            <w:vMerge w:val="continue"/>
            <w:vAlign w:val="center"/>
          </w:tcPr>
          <w:p>
            <w:pPr>
              <w:pStyle w:val="63"/>
            </w:pPr>
          </w:p>
        </w:tc>
        <w:tc>
          <w:tcPr>
            <w:tcW w:w="602" w:type="pct"/>
            <w:vAlign w:val="center"/>
          </w:tcPr>
          <w:p>
            <w:pPr>
              <w:pStyle w:val="63"/>
            </w:pPr>
            <w:r>
              <w:t>3</w:t>
            </w:r>
          </w:p>
        </w:tc>
        <w:tc>
          <w:tcPr>
            <w:tcW w:w="416" w:type="pct"/>
            <w:vAlign w:val="center"/>
          </w:tcPr>
          <w:p>
            <w:pPr>
              <w:pStyle w:val="63"/>
            </w:pPr>
            <w:r>
              <w:t>38.8</w:t>
            </w:r>
          </w:p>
        </w:tc>
        <w:tc>
          <w:tcPr>
            <w:tcW w:w="415" w:type="pct"/>
            <w:vAlign w:val="center"/>
          </w:tcPr>
          <w:p>
            <w:pPr>
              <w:pStyle w:val="63"/>
            </w:pPr>
            <w:r>
              <w:rPr>
                <w:szCs w:val="21"/>
              </w:rPr>
              <w:t>0.2625984</w:t>
            </w:r>
          </w:p>
        </w:tc>
        <w:tc>
          <w:tcPr>
            <w:tcW w:w="415" w:type="pct"/>
            <w:vAlign w:val="center"/>
          </w:tcPr>
          <w:p>
            <w:pPr>
              <w:pStyle w:val="63"/>
            </w:pPr>
            <w:r>
              <w:t>--</w:t>
            </w:r>
          </w:p>
        </w:tc>
        <w:tc>
          <w:tcPr>
            <w:tcW w:w="37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1" w:type="pct"/>
            <w:vMerge w:val="continue"/>
            <w:vAlign w:val="center"/>
          </w:tcPr>
          <w:p>
            <w:pPr>
              <w:pStyle w:val="63"/>
            </w:pPr>
          </w:p>
        </w:tc>
        <w:tc>
          <w:tcPr>
            <w:tcW w:w="486" w:type="pct"/>
            <w:vMerge w:val="continue"/>
            <w:vAlign w:val="center"/>
          </w:tcPr>
          <w:p>
            <w:pPr>
              <w:pStyle w:val="63"/>
            </w:pPr>
          </w:p>
        </w:tc>
        <w:tc>
          <w:tcPr>
            <w:tcW w:w="417" w:type="pct"/>
            <w:vAlign w:val="center"/>
          </w:tcPr>
          <w:p>
            <w:pPr>
              <w:pStyle w:val="63"/>
            </w:pPr>
            <w:r>
              <w:t>动植物油</w:t>
            </w:r>
          </w:p>
        </w:tc>
        <w:tc>
          <w:tcPr>
            <w:tcW w:w="416" w:type="pct"/>
            <w:vAlign w:val="center"/>
          </w:tcPr>
          <w:p>
            <w:pPr>
              <w:pStyle w:val="63"/>
            </w:pPr>
            <w:r>
              <w:t>100</w:t>
            </w:r>
          </w:p>
        </w:tc>
        <w:tc>
          <w:tcPr>
            <w:tcW w:w="481" w:type="pct"/>
            <w:vAlign w:val="center"/>
          </w:tcPr>
          <w:p>
            <w:pPr>
              <w:pStyle w:val="63"/>
            </w:pPr>
            <w:r>
              <w:rPr>
                <w:szCs w:val="21"/>
              </w:rPr>
              <w:t>0.6768</w:t>
            </w:r>
          </w:p>
        </w:tc>
        <w:tc>
          <w:tcPr>
            <w:tcW w:w="648" w:type="pct"/>
            <w:vMerge w:val="continue"/>
            <w:vAlign w:val="center"/>
          </w:tcPr>
          <w:p>
            <w:pPr>
              <w:pStyle w:val="63"/>
            </w:pPr>
          </w:p>
        </w:tc>
        <w:tc>
          <w:tcPr>
            <w:tcW w:w="602" w:type="pct"/>
            <w:vAlign w:val="center"/>
          </w:tcPr>
          <w:p>
            <w:pPr>
              <w:pStyle w:val="63"/>
            </w:pPr>
            <w:r>
              <w:t>15</w:t>
            </w:r>
          </w:p>
        </w:tc>
        <w:tc>
          <w:tcPr>
            <w:tcW w:w="416" w:type="pct"/>
            <w:vAlign w:val="center"/>
          </w:tcPr>
          <w:p>
            <w:pPr>
              <w:pStyle w:val="63"/>
            </w:pPr>
            <w:r>
              <w:t>85</w:t>
            </w:r>
          </w:p>
        </w:tc>
        <w:tc>
          <w:tcPr>
            <w:tcW w:w="415" w:type="pct"/>
            <w:vAlign w:val="center"/>
          </w:tcPr>
          <w:p>
            <w:pPr>
              <w:pStyle w:val="63"/>
            </w:pPr>
            <w:r>
              <w:rPr>
                <w:szCs w:val="21"/>
              </w:rPr>
              <w:t>0.57528</w:t>
            </w:r>
          </w:p>
        </w:tc>
        <w:tc>
          <w:tcPr>
            <w:tcW w:w="415" w:type="pct"/>
            <w:vAlign w:val="center"/>
          </w:tcPr>
          <w:p>
            <w:pPr>
              <w:pStyle w:val="63"/>
            </w:pPr>
            <w:r>
              <w:t>100</w:t>
            </w:r>
          </w:p>
        </w:tc>
        <w:tc>
          <w:tcPr>
            <w:tcW w:w="373" w:type="pct"/>
            <w:vMerge w:val="continue"/>
            <w:vAlign w:val="center"/>
          </w:tcPr>
          <w:p>
            <w:pPr>
              <w:pStyle w:val="63"/>
            </w:pPr>
          </w:p>
        </w:tc>
      </w:tr>
    </w:tbl>
    <w:p>
      <w:pPr>
        <w:spacing w:line="360" w:lineRule="auto"/>
        <w:ind w:firstLine="480" w:firstLineChars="200"/>
        <w:rPr>
          <w:rFonts w:ascii="Times New Roman" w:hAnsi="Times New Roman" w:cs="Times New Roman"/>
        </w:rPr>
        <w:sectPr>
          <w:pgSz w:w="16840" w:h="11907" w:orient="landscape"/>
          <w:pgMar w:top="1701" w:right="1418" w:bottom="1701" w:left="1418" w:header="851" w:footer="851" w:gutter="0"/>
          <w:cols w:space="720" w:num="1"/>
          <w:docGrid w:linePitch="312" w:charSpace="0"/>
        </w:sectPr>
      </w:pPr>
    </w:p>
    <w:p>
      <w:pPr>
        <w:pStyle w:val="5"/>
        <w:ind w:firstLine="482"/>
        <w:rPr>
          <w:rFonts w:ascii="Times New Roman" w:hAnsi="Times New Roman" w:cs="Times New Roman" w:eastAsiaTheme="minorEastAsia"/>
        </w:rPr>
      </w:pPr>
      <w:r>
        <w:rPr>
          <w:rFonts w:ascii="Times New Roman" w:hAnsi="Times New Roman" w:cs="Times New Roman" w:eastAsiaTheme="minorEastAsia"/>
        </w:rPr>
        <w:t>3.2.5.</w:t>
      </w:r>
      <w:r>
        <w:rPr>
          <w:rFonts w:hint="eastAsia" w:ascii="Times New Roman" w:hAnsi="Times New Roman" w:cs="Times New Roman" w:eastAsiaTheme="minorEastAsia"/>
        </w:rPr>
        <w:t>4</w:t>
      </w:r>
      <w:r>
        <w:rPr>
          <w:rFonts w:ascii="Times New Roman" w:hAnsi="Times New Roman" w:cs="Times New Roman" w:eastAsiaTheme="minorEastAsia"/>
        </w:rPr>
        <w:t xml:space="preserve"> </w:t>
      </w:r>
      <w:r>
        <w:rPr>
          <w:rFonts w:hint="eastAsia" w:ascii="Times New Roman" w:hAnsi="Times New Roman" w:cs="Times New Roman" w:eastAsiaTheme="minorEastAsia"/>
        </w:rPr>
        <w:t>综合利用厂区</w:t>
      </w:r>
      <w:r>
        <w:rPr>
          <w:rFonts w:ascii="Times New Roman" w:hAnsi="Times New Roman" w:cs="Times New Roman" w:eastAsiaTheme="minorEastAsia"/>
        </w:rPr>
        <w:t>噪声</w:t>
      </w:r>
    </w:p>
    <w:p>
      <w:pPr>
        <w:spacing w:line="360" w:lineRule="auto"/>
        <w:ind w:firstLine="480" w:firstLineChars="200"/>
        <w:rPr>
          <w:rFonts w:ascii="Times New Roman" w:hAnsi="Times New Roman" w:cs="Times New Roman"/>
        </w:rPr>
      </w:pPr>
      <w:r>
        <w:rPr>
          <w:rFonts w:ascii="Times New Roman" w:hAnsi="Times New Roman" w:cs="Times New Roman"/>
        </w:rPr>
        <w:t>（1）综合回收利用厂区</w:t>
      </w:r>
    </w:p>
    <w:p>
      <w:pPr>
        <w:spacing w:line="360" w:lineRule="auto"/>
        <w:ind w:firstLine="480" w:firstLineChars="200"/>
        <w:rPr>
          <w:rFonts w:ascii="Times New Roman" w:hAnsi="Times New Roman" w:cs="Times New Roman"/>
        </w:rPr>
      </w:pPr>
      <w:r>
        <w:rPr>
          <w:rFonts w:ascii="Times New Roman" w:hAnsi="Times New Roman" w:cs="Times New Roman"/>
        </w:rPr>
        <w:t>本项目产生噪声的主要设备是风机、水泵、电池破碎机等，噪声声级超过85 dB（A）。此外，还有搅拌器及各类泵机、车辆等运行噪声，其噪声源强在70~90 dB（A）。</w:t>
      </w:r>
    </w:p>
    <w:p>
      <w:pPr>
        <w:spacing w:line="360" w:lineRule="auto"/>
        <w:ind w:firstLine="480" w:firstLineChars="200"/>
        <w:rPr>
          <w:rFonts w:ascii="Times New Roman" w:hAnsi="Times New Roman" w:cs="Times New Roman"/>
        </w:rPr>
      </w:pPr>
      <w:r>
        <w:rPr>
          <w:rFonts w:ascii="Times New Roman" w:hAnsi="Times New Roman" w:cs="Times New Roman"/>
        </w:rPr>
        <w:t>对高噪声设备，除采取设置减震基础、安装消声装置等降噪措施外，还利用建筑隔声来减轻设备噪声对外部环境的影响。</w:t>
      </w:r>
    </w:p>
    <w:p>
      <w:pPr>
        <w:pStyle w:val="6"/>
        <w:rPr>
          <w:rFonts w:ascii="Times New Roman" w:hAnsi="Times New Roman" w:cs="Times New Roman"/>
        </w:rPr>
      </w:pPr>
      <w:r>
        <w:rPr>
          <w:rFonts w:ascii="Times New Roman" w:hAnsi="Times New Roman" w:cs="Times New Roman"/>
        </w:rPr>
        <w:t>表3.2-</w:t>
      </w:r>
      <w:r>
        <w:rPr>
          <w:rFonts w:hint="eastAsia" w:ascii="Times New Roman" w:hAnsi="Times New Roman" w:cs="Times New Roman"/>
        </w:rPr>
        <w:t>26</w:t>
      </w:r>
      <w:r>
        <w:rPr>
          <w:rFonts w:ascii="Times New Roman" w:hAnsi="Times New Roman" w:cs="Times New Roman"/>
        </w:rPr>
        <w:t xml:space="preserve">  主要新增噪声源统计结果表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0" w:type="dxa"/>
          <w:bottom w:w="0" w:type="dxa"/>
          <w:right w:w="0" w:type="dxa"/>
        </w:tblCellMar>
      </w:tblPr>
      <w:tblGrid>
        <w:gridCol w:w="602"/>
        <w:gridCol w:w="1422"/>
        <w:gridCol w:w="1422"/>
        <w:gridCol w:w="1001"/>
        <w:gridCol w:w="1994"/>
        <w:gridCol w:w="1004"/>
        <w:gridCol w:w="898"/>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序号</w:t>
            </w:r>
          </w:p>
        </w:tc>
        <w:tc>
          <w:tcPr>
            <w:tcW w:w="852" w:type="pct"/>
            <w:vAlign w:val="center"/>
          </w:tcPr>
          <w:p>
            <w:pPr>
              <w:pStyle w:val="63"/>
            </w:pPr>
            <w:r>
              <w:t>建筑物名称</w:t>
            </w:r>
          </w:p>
        </w:tc>
        <w:tc>
          <w:tcPr>
            <w:tcW w:w="852" w:type="pct"/>
            <w:vAlign w:val="center"/>
          </w:tcPr>
          <w:p>
            <w:pPr>
              <w:pStyle w:val="63"/>
            </w:pPr>
            <w:r>
              <w:t>噪声源</w:t>
            </w:r>
          </w:p>
        </w:tc>
        <w:tc>
          <w:tcPr>
            <w:tcW w:w="600" w:type="pct"/>
            <w:vAlign w:val="center"/>
          </w:tcPr>
          <w:p>
            <w:pPr>
              <w:pStyle w:val="63"/>
            </w:pPr>
            <w:r>
              <w:t>噪声强度</w:t>
            </w:r>
          </w:p>
        </w:tc>
        <w:tc>
          <w:tcPr>
            <w:tcW w:w="1195" w:type="pct"/>
            <w:vAlign w:val="center"/>
          </w:tcPr>
          <w:p>
            <w:pPr>
              <w:pStyle w:val="63"/>
            </w:pPr>
            <w:r>
              <w:t>声源控制措施</w:t>
            </w:r>
          </w:p>
        </w:tc>
        <w:tc>
          <w:tcPr>
            <w:tcW w:w="602" w:type="pct"/>
            <w:vAlign w:val="center"/>
          </w:tcPr>
          <w:p>
            <w:pPr>
              <w:pStyle w:val="63"/>
            </w:pPr>
            <w:r>
              <w:t>降噪量</w:t>
            </w:r>
          </w:p>
        </w:tc>
        <w:tc>
          <w:tcPr>
            <w:tcW w:w="538" w:type="pct"/>
            <w:vAlign w:val="center"/>
          </w:tcPr>
          <w:p>
            <w:pPr>
              <w:pStyle w:val="63"/>
            </w:pPr>
            <w:r>
              <w:t>排放噪声</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1</w:t>
            </w:r>
          </w:p>
        </w:tc>
        <w:tc>
          <w:tcPr>
            <w:tcW w:w="852" w:type="pct"/>
            <w:vMerge w:val="restart"/>
            <w:vAlign w:val="center"/>
          </w:tcPr>
          <w:p>
            <w:pPr>
              <w:pStyle w:val="63"/>
            </w:pPr>
            <w:r>
              <w:t>预处理车间</w:t>
            </w:r>
          </w:p>
        </w:tc>
        <w:tc>
          <w:tcPr>
            <w:tcW w:w="852" w:type="pct"/>
            <w:vAlign w:val="center"/>
          </w:tcPr>
          <w:p>
            <w:pPr>
              <w:pStyle w:val="63"/>
            </w:pPr>
            <w:r>
              <w:t>输送线</w:t>
            </w:r>
          </w:p>
        </w:tc>
        <w:tc>
          <w:tcPr>
            <w:tcW w:w="600" w:type="pct"/>
            <w:vAlign w:val="center"/>
          </w:tcPr>
          <w:p>
            <w:pPr>
              <w:pStyle w:val="63"/>
            </w:pPr>
            <w:r>
              <w:t>75~85</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2</w:t>
            </w:r>
          </w:p>
        </w:tc>
        <w:tc>
          <w:tcPr>
            <w:tcW w:w="852" w:type="pct"/>
            <w:vMerge w:val="continue"/>
            <w:vAlign w:val="center"/>
          </w:tcPr>
          <w:p>
            <w:pPr>
              <w:pStyle w:val="63"/>
            </w:pPr>
          </w:p>
        </w:tc>
        <w:tc>
          <w:tcPr>
            <w:tcW w:w="852" w:type="pct"/>
            <w:vAlign w:val="center"/>
          </w:tcPr>
          <w:p>
            <w:pPr>
              <w:pStyle w:val="63"/>
            </w:pPr>
            <w:r>
              <w:t>多功能破碎拆解设备</w:t>
            </w:r>
          </w:p>
        </w:tc>
        <w:tc>
          <w:tcPr>
            <w:tcW w:w="600" w:type="pct"/>
            <w:vAlign w:val="center"/>
          </w:tcPr>
          <w:p>
            <w:pPr>
              <w:pStyle w:val="63"/>
            </w:pPr>
            <w:r>
              <w:t>80～90</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65~75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3</w:t>
            </w:r>
          </w:p>
        </w:tc>
        <w:tc>
          <w:tcPr>
            <w:tcW w:w="852" w:type="pct"/>
            <w:vMerge w:val="continue"/>
            <w:vAlign w:val="center"/>
          </w:tcPr>
          <w:p>
            <w:pPr>
              <w:pStyle w:val="63"/>
            </w:pPr>
          </w:p>
        </w:tc>
        <w:tc>
          <w:tcPr>
            <w:tcW w:w="852" w:type="pct"/>
            <w:vAlign w:val="center"/>
          </w:tcPr>
          <w:p>
            <w:pPr>
              <w:pStyle w:val="63"/>
            </w:pPr>
            <w:r>
              <w:t>引风机</w:t>
            </w:r>
          </w:p>
        </w:tc>
        <w:tc>
          <w:tcPr>
            <w:tcW w:w="600" w:type="pct"/>
            <w:vAlign w:val="center"/>
          </w:tcPr>
          <w:p>
            <w:pPr>
              <w:pStyle w:val="63"/>
            </w:pPr>
            <w:r>
              <w:t>85~95</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70~80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4</w:t>
            </w:r>
          </w:p>
        </w:tc>
        <w:tc>
          <w:tcPr>
            <w:tcW w:w="852" w:type="pct"/>
            <w:vMerge w:val="continue"/>
            <w:vAlign w:val="center"/>
          </w:tcPr>
          <w:p>
            <w:pPr>
              <w:pStyle w:val="63"/>
            </w:pPr>
          </w:p>
        </w:tc>
        <w:tc>
          <w:tcPr>
            <w:tcW w:w="852" w:type="pct"/>
            <w:vAlign w:val="center"/>
          </w:tcPr>
          <w:p>
            <w:pPr>
              <w:pStyle w:val="63"/>
            </w:pPr>
            <w:r>
              <w:t>压滤机</w:t>
            </w:r>
          </w:p>
        </w:tc>
        <w:tc>
          <w:tcPr>
            <w:tcW w:w="600" w:type="pct"/>
            <w:vAlign w:val="center"/>
          </w:tcPr>
          <w:p>
            <w:pPr>
              <w:pStyle w:val="63"/>
            </w:pPr>
            <w:r>
              <w:t>80~90</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65~75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5</w:t>
            </w:r>
          </w:p>
        </w:tc>
        <w:tc>
          <w:tcPr>
            <w:tcW w:w="852" w:type="pct"/>
            <w:vMerge w:val="continue"/>
            <w:vAlign w:val="center"/>
          </w:tcPr>
          <w:p>
            <w:pPr>
              <w:pStyle w:val="63"/>
            </w:pPr>
          </w:p>
        </w:tc>
        <w:tc>
          <w:tcPr>
            <w:tcW w:w="852" w:type="pct"/>
            <w:vAlign w:val="center"/>
          </w:tcPr>
          <w:p>
            <w:pPr>
              <w:pStyle w:val="63"/>
            </w:pPr>
            <w:r>
              <w:t>工程塑料泵</w:t>
            </w:r>
          </w:p>
        </w:tc>
        <w:tc>
          <w:tcPr>
            <w:tcW w:w="600" w:type="pct"/>
            <w:vAlign w:val="center"/>
          </w:tcPr>
          <w:p>
            <w:pPr>
              <w:pStyle w:val="63"/>
            </w:pPr>
            <w:r>
              <w:t>85~95</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70~80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6</w:t>
            </w:r>
          </w:p>
        </w:tc>
        <w:tc>
          <w:tcPr>
            <w:tcW w:w="852" w:type="pct"/>
            <w:vMerge w:val="continue"/>
            <w:vAlign w:val="center"/>
          </w:tcPr>
          <w:p>
            <w:pPr>
              <w:pStyle w:val="63"/>
            </w:pPr>
          </w:p>
        </w:tc>
        <w:tc>
          <w:tcPr>
            <w:tcW w:w="852" w:type="pct"/>
            <w:vAlign w:val="center"/>
          </w:tcPr>
          <w:p>
            <w:pPr>
              <w:pStyle w:val="63"/>
            </w:pPr>
            <w:r>
              <w:t>叉车</w:t>
            </w:r>
          </w:p>
        </w:tc>
        <w:tc>
          <w:tcPr>
            <w:tcW w:w="600" w:type="pct"/>
            <w:vAlign w:val="center"/>
          </w:tcPr>
          <w:p>
            <w:pPr>
              <w:pStyle w:val="63"/>
            </w:pPr>
            <w:r>
              <w:t>75~85</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55~65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7</w:t>
            </w:r>
          </w:p>
        </w:tc>
        <w:tc>
          <w:tcPr>
            <w:tcW w:w="852" w:type="pct"/>
            <w:vMerge w:val="continue"/>
            <w:vAlign w:val="center"/>
          </w:tcPr>
          <w:p>
            <w:pPr>
              <w:pStyle w:val="63"/>
            </w:pPr>
          </w:p>
        </w:tc>
        <w:tc>
          <w:tcPr>
            <w:tcW w:w="852" w:type="pct"/>
            <w:vAlign w:val="center"/>
          </w:tcPr>
          <w:p>
            <w:pPr>
              <w:pStyle w:val="63"/>
            </w:pPr>
            <w:r>
              <w:t>废气处理设施</w:t>
            </w:r>
          </w:p>
        </w:tc>
        <w:tc>
          <w:tcPr>
            <w:tcW w:w="600" w:type="pct"/>
            <w:vAlign w:val="center"/>
          </w:tcPr>
          <w:p>
            <w:pPr>
              <w:pStyle w:val="63"/>
            </w:pPr>
            <w:r>
              <w:t>70~80</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55~65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8</w:t>
            </w:r>
          </w:p>
        </w:tc>
        <w:tc>
          <w:tcPr>
            <w:tcW w:w="852" w:type="pct"/>
            <w:vMerge w:val="restart"/>
            <w:vAlign w:val="center"/>
          </w:tcPr>
          <w:p>
            <w:pPr>
              <w:pStyle w:val="63"/>
            </w:pPr>
            <w:r>
              <w:t>浸出车间</w:t>
            </w:r>
          </w:p>
        </w:tc>
        <w:tc>
          <w:tcPr>
            <w:tcW w:w="852" w:type="pct"/>
            <w:vAlign w:val="center"/>
          </w:tcPr>
          <w:p>
            <w:pPr>
              <w:pStyle w:val="63"/>
            </w:pPr>
            <w:r>
              <w:t>输送线</w:t>
            </w:r>
          </w:p>
        </w:tc>
        <w:tc>
          <w:tcPr>
            <w:tcW w:w="600" w:type="pct"/>
            <w:vAlign w:val="center"/>
          </w:tcPr>
          <w:p>
            <w:pPr>
              <w:pStyle w:val="63"/>
            </w:pPr>
            <w:r>
              <w:t>75~85</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9</w:t>
            </w:r>
          </w:p>
        </w:tc>
        <w:tc>
          <w:tcPr>
            <w:tcW w:w="852" w:type="pct"/>
            <w:vMerge w:val="continue"/>
            <w:vAlign w:val="center"/>
          </w:tcPr>
          <w:p>
            <w:pPr>
              <w:pStyle w:val="63"/>
            </w:pPr>
          </w:p>
        </w:tc>
        <w:tc>
          <w:tcPr>
            <w:tcW w:w="852" w:type="pct"/>
            <w:vAlign w:val="center"/>
          </w:tcPr>
          <w:p>
            <w:pPr>
              <w:pStyle w:val="63"/>
            </w:pPr>
            <w:r>
              <w:t>电动葫芦</w:t>
            </w:r>
          </w:p>
        </w:tc>
        <w:tc>
          <w:tcPr>
            <w:tcW w:w="600" w:type="pct"/>
            <w:vAlign w:val="center"/>
          </w:tcPr>
          <w:p>
            <w:pPr>
              <w:pStyle w:val="63"/>
            </w:pPr>
            <w:r>
              <w:t>75~85</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10</w:t>
            </w:r>
          </w:p>
        </w:tc>
        <w:tc>
          <w:tcPr>
            <w:tcW w:w="852" w:type="pct"/>
            <w:vMerge w:val="continue"/>
            <w:vAlign w:val="center"/>
          </w:tcPr>
          <w:p>
            <w:pPr>
              <w:pStyle w:val="63"/>
            </w:pPr>
          </w:p>
        </w:tc>
        <w:tc>
          <w:tcPr>
            <w:tcW w:w="852" w:type="pct"/>
            <w:vAlign w:val="center"/>
          </w:tcPr>
          <w:p>
            <w:pPr>
              <w:pStyle w:val="63"/>
            </w:pPr>
            <w:r>
              <w:t>离心机</w:t>
            </w:r>
          </w:p>
        </w:tc>
        <w:tc>
          <w:tcPr>
            <w:tcW w:w="600" w:type="pct"/>
            <w:vAlign w:val="center"/>
          </w:tcPr>
          <w:p>
            <w:pPr>
              <w:pStyle w:val="63"/>
            </w:pPr>
            <w:r>
              <w:t>80~85</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65~70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11</w:t>
            </w:r>
          </w:p>
        </w:tc>
        <w:tc>
          <w:tcPr>
            <w:tcW w:w="852" w:type="pct"/>
            <w:vMerge w:val="continue"/>
            <w:vAlign w:val="center"/>
          </w:tcPr>
          <w:p>
            <w:pPr>
              <w:pStyle w:val="63"/>
            </w:pPr>
          </w:p>
        </w:tc>
        <w:tc>
          <w:tcPr>
            <w:tcW w:w="852" w:type="pct"/>
            <w:vAlign w:val="center"/>
          </w:tcPr>
          <w:p>
            <w:pPr>
              <w:pStyle w:val="63"/>
            </w:pPr>
            <w:r>
              <w:t>板框压滤机</w:t>
            </w:r>
          </w:p>
        </w:tc>
        <w:tc>
          <w:tcPr>
            <w:tcW w:w="600" w:type="pct"/>
            <w:vAlign w:val="center"/>
          </w:tcPr>
          <w:p>
            <w:pPr>
              <w:pStyle w:val="63"/>
            </w:pPr>
            <w:r>
              <w:t>75~85</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12</w:t>
            </w:r>
          </w:p>
        </w:tc>
        <w:tc>
          <w:tcPr>
            <w:tcW w:w="852" w:type="pct"/>
            <w:vMerge w:val="continue"/>
            <w:vAlign w:val="center"/>
          </w:tcPr>
          <w:p>
            <w:pPr>
              <w:pStyle w:val="63"/>
            </w:pPr>
          </w:p>
        </w:tc>
        <w:tc>
          <w:tcPr>
            <w:tcW w:w="852" w:type="pct"/>
            <w:vAlign w:val="center"/>
          </w:tcPr>
          <w:p>
            <w:pPr>
              <w:pStyle w:val="63"/>
            </w:pPr>
            <w:r>
              <w:t>浸出搅拌槽</w:t>
            </w:r>
          </w:p>
        </w:tc>
        <w:tc>
          <w:tcPr>
            <w:tcW w:w="600" w:type="pct"/>
            <w:vAlign w:val="center"/>
          </w:tcPr>
          <w:p>
            <w:pPr>
              <w:pStyle w:val="63"/>
            </w:pPr>
            <w:r>
              <w:t>75~85</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13</w:t>
            </w:r>
          </w:p>
        </w:tc>
        <w:tc>
          <w:tcPr>
            <w:tcW w:w="852" w:type="pct"/>
            <w:vMerge w:val="continue"/>
            <w:vAlign w:val="center"/>
          </w:tcPr>
          <w:p>
            <w:pPr>
              <w:pStyle w:val="63"/>
            </w:pPr>
          </w:p>
        </w:tc>
        <w:tc>
          <w:tcPr>
            <w:tcW w:w="852" w:type="pct"/>
            <w:vAlign w:val="center"/>
          </w:tcPr>
          <w:p>
            <w:pPr>
              <w:pStyle w:val="63"/>
            </w:pPr>
            <w:r>
              <w:t>洗槽搅拌</w:t>
            </w:r>
          </w:p>
        </w:tc>
        <w:tc>
          <w:tcPr>
            <w:tcW w:w="600" w:type="pct"/>
            <w:vAlign w:val="center"/>
          </w:tcPr>
          <w:p>
            <w:pPr>
              <w:pStyle w:val="63"/>
            </w:pPr>
            <w:r>
              <w:t>75~85</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14</w:t>
            </w:r>
          </w:p>
        </w:tc>
        <w:tc>
          <w:tcPr>
            <w:tcW w:w="852" w:type="pct"/>
            <w:vMerge w:val="restart"/>
            <w:vAlign w:val="center"/>
          </w:tcPr>
          <w:p>
            <w:pPr>
              <w:pStyle w:val="63"/>
            </w:pPr>
            <w:r>
              <w:t>萃取车间</w:t>
            </w:r>
          </w:p>
        </w:tc>
        <w:tc>
          <w:tcPr>
            <w:tcW w:w="852" w:type="pct"/>
            <w:vAlign w:val="center"/>
          </w:tcPr>
          <w:p>
            <w:pPr>
              <w:pStyle w:val="63"/>
            </w:pPr>
            <w:r>
              <w:t>输送线</w:t>
            </w:r>
          </w:p>
        </w:tc>
        <w:tc>
          <w:tcPr>
            <w:tcW w:w="600" w:type="pct"/>
            <w:vAlign w:val="center"/>
          </w:tcPr>
          <w:p>
            <w:pPr>
              <w:pStyle w:val="63"/>
            </w:pPr>
            <w:r>
              <w:t>75~85</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15</w:t>
            </w:r>
          </w:p>
        </w:tc>
        <w:tc>
          <w:tcPr>
            <w:tcW w:w="852" w:type="pct"/>
            <w:vMerge w:val="continue"/>
            <w:vAlign w:val="center"/>
          </w:tcPr>
          <w:p>
            <w:pPr>
              <w:pStyle w:val="63"/>
            </w:pPr>
          </w:p>
        </w:tc>
        <w:tc>
          <w:tcPr>
            <w:tcW w:w="852" w:type="pct"/>
            <w:vAlign w:val="center"/>
          </w:tcPr>
          <w:p>
            <w:pPr>
              <w:pStyle w:val="63"/>
            </w:pPr>
            <w:r>
              <w:t>真空上料系统</w:t>
            </w:r>
          </w:p>
        </w:tc>
        <w:tc>
          <w:tcPr>
            <w:tcW w:w="600" w:type="pct"/>
            <w:vAlign w:val="center"/>
          </w:tcPr>
          <w:p>
            <w:pPr>
              <w:pStyle w:val="63"/>
            </w:pPr>
            <w:r>
              <w:t>85~95</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70~80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16</w:t>
            </w:r>
          </w:p>
        </w:tc>
        <w:tc>
          <w:tcPr>
            <w:tcW w:w="852" w:type="pct"/>
            <w:vMerge w:val="continue"/>
            <w:vAlign w:val="center"/>
          </w:tcPr>
          <w:p>
            <w:pPr>
              <w:pStyle w:val="63"/>
            </w:pPr>
          </w:p>
        </w:tc>
        <w:tc>
          <w:tcPr>
            <w:tcW w:w="852" w:type="pct"/>
            <w:vAlign w:val="center"/>
          </w:tcPr>
          <w:p>
            <w:pPr>
              <w:pStyle w:val="63"/>
            </w:pPr>
            <w:r>
              <w:t>浆化搅拌槽</w:t>
            </w:r>
          </w:p>
        </w:tc>
        <w:tc>
          <w:tcPr>
            <w:tcW w:w="600" w:type="pct"/>
            <w:vAlign w:val="center"/>
          </w:tcPr>
          <w:p>
            <w:pPr>
              <w:pStyle w:val="63"/>
            </w:pPr>
            <w:r>
              <w:t>75~85</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17</w:t>
            </w:r>
          </w:p>
        </w:tc>
        <w:tc>
          <w:tcPr>
            <w:tcW w:w="852" w:type="pct"/>
            <w:vMerge w:val="continue"/>
            <w:vAlign w:val="center"/>
          </w:tcPr>
          <w:p>
            <w:pPr>
              <w:pStyle w:val="63"/>
            </w:pPr>
          </w:p>
        </w:tc>
        <w:tc>
          <w:tcPr>
            <w:tcW w:w="852" w:type="pct"/>
            <w:vAlign w:val="center"/>
          </w:tcPr>
          <w:p>
            <w:pPr>
              <w:pStyle w:val="63"/>
            </w:pPr>
            <w:r>
              <w:t>萃取线</w:t>
            </w:r>
          </w:p>
        </w:tc>
        <w:tc>
          <w:tcPr>
            <w:tcW w:w="600" w:type="pct"/>
            <w:vAlign w:val="center"/>
          </w:tcPr>
          <w:p>
            <w:pPr>
              <w:pStyle w:val="63"/>
            </w:pPr>
            <w:r>
              <w:t>75~85</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18</w:t>
            </w:r>
          </w:p>
        </w:tc>
        <w:tc>
          <w:tcPr>
            <w:tcW w:w="852" w:type="pct"/>
            <w:vMerge w:val="restart"/>
            <w:vAlign w:val="center"/>
          </w:tcPr>
          <w:p>
            <w:pPr>
              <w:pStyle w:val="63"/>
            </w:pPr>
            <w:r>
              <w:t>结晶车间</w:t>
            </w:r>
          </w:p>
        </w:tc>
        <w:tc>
          <w:tcPr>
            <w:tcW w:w="852" w:type="pct"/>
            <w:vAlign w:val="center"/>
          </w:tcPr>
          <w:p>
            <w:pPr>
              <w:pStyle w:val="63"/>
            </w:pPr>
            <w:r>
              <w:t>沉锂反应</w:t>
            </w:r>
          </w:p>
        </w:tc>
        <w:tc>
          <w:tcPr>
            <w:tcW w:w="600" w:type="pct"/>
            <w:vAlign w:val="center"/>
          </w:tcPr>
          <w:p>
            <w:pPr>
              <w:pStyle w:val="63"/>
            </w:pPr>
            <w:r>
              <w:t>75~85</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19</w:t>
            </w:r>
          </w:p>
        </w:tc>
        <w:tc>
          <w:tcPr>
            <w:tcW w:w="852" w:type="pct"/>
            <w:vMerge w:val="continue"/>
            <w:vAlign w:val="center"/>
          </w:tcPr>
          <w:p>
            <w:pPr>
              <w:pStyle w:val="63"/>
            </w:pPr>
          </w:p>
        </w:tc>
        <w:tc>
          <w:tcPr>
            <w:tcW w:w="852" w:type="pct"/>
            <w:vAlign w:val="center"/>
          </w:tcPr>
          <w:p>
            <w:pPr>
              <w:pStyle w:val="63"/>
            </w:pPr>
            <w:r>
              <w:t>包装机</w:t>
            </w:r>
          </w:p>
        </w:tc>
        <w:tc>
          <w:tcPr>
            <w:tcW w:w="600" w:type="pct"/>
            <w:vAlign w:val="center"/>
          </w:tcPr>
          <w:p>
            <w:pPr>
              <w:pStyle w:val="63"/>
            </w:pPr>
            <w:r>
              <w:t>75~85</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pPr>
            <w:r>
              <w:t>20</w:t>
            </w:r>
          </w:p>
        </w:tc>
        <w:tc>
          <w:tcPr>
            <w:tcW w:w="852" w:type="pct"/>
            <w:vAlign w:val="center"/>
          </w:tcPr>
          <w:p>
            <w:pPr>
              <w:pStyle w:val="63"/>
            </w:pPr>
            <w:r>
              <w:t>MVR车间</w:t>
            </w:r>
          </w:p>
        </w:tc>
        <w:tc>
          <w:tcPr>
            <w:tcW w:w="852" w:type="pct"/>
            <w:vAlign w:val="center"/>
          </w:tcPr>
          <w:p>
            <w:pPr>
              <w:pStyle w:val="63"/>
            </w:pPr>
            <w:r>
              <w:t>MVR</w:t>
            </w:r>
          </w:p>
        </w:tc>
        <w:tc>
          <w:tcPr>
            <w:tcW w:w="600" w:type="pct"/>
            <w:vAlign w:val="center"/>
          </w:tcPr>
          <w:p>
            <w:pPr>
              <w:pStyle w:val="63"/>
            </w:pPr>
            <w:r>
              <w:t>75~85</w:t>
            </w:r>
          </w:p>
        </w:tc>
        <w:tc>
          <w:tcPr>
            <w:tcW w:w="1195" w:type="pct"/>
            <w:vAlign w:val="center"/>
          </w:tcPr>
          <w:p>
            <w:pPr>
              <w:pStyle w:val="63"/>
            </w:pPr>
            <w:r>
              <w:t>基础减振、厂房隔声</w:t>
            </w:r>
          </w:p>
        </w:tc>
        <w:tc>
          <w:tcPr>
            <w:tcW w:w="602" w:type="pct"/>
            <w:vAlign w:val="center"/>
          </w:tcPr>
          <w:p>
            <w:pPr>
              <w:pStyle w:val="63"/>
            </w:pPr>
            <w:r>
              <w:t>15</w:t>
            </w:r>
          </w:p>
        </w:tc>
        <w:tc>
          <w:tcPr>
            <w:tcW w:w="538" w:type="pct"/>
            <w:vAlign w:val="center"/>
          </w:tcPr>
          <w:p>
            <w:pPr>
              <w:pStyle w:val="63"/>
            </w:pPr>
            <w:r>
              <w:t>60~70</w:t>
            </w:r>
          </w:p>
        </w:tc>
      </w:tr>
    </w:tbl>
    <w:p>
      <w:pPr>
        <w:pStyle w:val="5"/>
        <w:ind w:firstLine="482"/>
        <w:rPr>
          <w:rFonts w:ascii="Times New Roman" w:hAnsi="Times New Roman" w:cs="Times New Roman" w:eastAsiaTheme="minorEastAsia"/>
        </w:rPr>
      </w:pPr>
      <w:r>
        <w:rPr>
          <w:rFonts w:ascii="Times New Roman" w:hAnsi="Times New Roman" w:cs="Times New Roman" w:eastAsiaTheme="minorEastAsia"/>
        </w:rPr>
        <w:t>3.2.5.</w:t>
      </w:r>
      <w:r>
        <w:rPr>
          <w:rFonts w:hint="eastAsia" w:ascii="Times New Roman" w:hAnsi="Times New Roman" w:cs="Times New Roman" w:eastAsiaTheme="minorEastAsia"/>
        </w:rPr>
        <w:t>5</w:t>
      </w:r>
      <w:r>
        <w:rPr>
          <w:rFonts w:ascii="Times New Roman" w:hAnsi="Times New Roman" w:cs="Times New Roman" w:eastAsiaTheme="minorEastAsia"/>
        </w:rPr>
        <w:t xml:space="preserve"> </w:t>
      </w:r>
      <w:r>
        <w:rPr>
          <w:rFonts w:hint="eastAsia" w:ascii="Times New Roman" w:hAnsi="Times New Roman" w:cs="Times New Roman" w:eastAsiaTheme="minorEastAsia"/>
        </w:rPr>
        <w:t>综合利用厂区</w:t>
      </w:r>
      <w:r>
        <w:rPr>
          <w:rFonts w:ascii="Times New Roman" w:hAnsi="Times New Roman" w:cs="Times New Roman" w:eastAsiaTheme="minorEastAsia"/>
        </w:rPr>
        <w:t>固体废物</w:t>
      </w:r>
    </w:p>
    <w:p>
      <w:pPr>
        <w:spacing w:line="360" w:lineRule="auto"/>
        <w:ind w:firstLine="480" w:firstLineChars="200"/>
        <w:rPr>
          <w:rFonts w:ascii="Times New Roman" w:hAnsi="Times New Roman" w:cs="Times New Roman"/>
        </w:rPr>
      </w:pPr>
      <w:r>
        <w:rPr>
          <w:rFonts w:ascii="Times New Roman" w:hAnsi="Times New Roman" w:cs="Times New Roman"/>
        </w:rPr>
        <w:t>（1）预处理部分固废产生情况</w:t>
      </w:r>
    </w:p>
    <w:p>
      <w:pPr>
        <w:spacing w:line="360" w:lineRule="auto"/>
        <w:ind w:firstLine="480" w:firstLineChars="200"/>
        <w:rPr>
          <w:rFonts w:ascii="Times New Roman" w:hAnsi="Times New Roman" w:cs="Times New Roman"/>
        </w:rPr>
      </w:pPr>
      <w:r>
        <w:rPr>
          <w:rFonts w:ascii="Times New Roman" w:hAnsi="Times New Roman" w:cs="Times New Roman"/>
        </w:rPr>
        <w:t>1）根据建设单位提供的资料，废旧锂电池预处理过程产生铜、铝、铁（桩头）、塑料外壳等总计13230t/a，属于一般固废，外售至废旧物资回收市场。</w:t>
      </w:r>
    </w:p>
    <w:p>
      <w:pPr>
        <w:spacing w:line="360" w:lineRule="auto"/>
        <w:ind w:firstLine="480" w:firstLineChars="200"/>
        <w:rPr>
          <w:rFonts w:ascii="Times New Roman" w:hAnsi="Times New Roman" w:cs="Times New Roman"/>
          <w:color w:val="FF0000"/>
          <w:u w:val="single"/>
        </w:rPr>
      </w:pPr>
      <w:r>
        <w:rPr>
          <w:rFonts w:ascii="Times New Roman" w:hAnsi="Times New Roman" w:cs="Times New Roman"/>
          <w:color w:val="FF0000"/>
          <w:u w:val="single"/>
        </w:rPr>
        <w:t>2）氟化钙污泥</w:t>
      </w:r>
    </w:p>
    <w:p>
      <w:pPr>
        <w:spacing w:line="360" w:lineRule="auto"/>
        <w:ind w:firstLine="480" w:firstLineChars="200"/>
        <w:rPr>
          <w:rFonts w:ascii="Times New Roman" w:hAnsi="Times New Roman" w:cs="Times New Roman"/>
          <w:color w:val="FF0000"/>
          <w:u w:val="single"/>
        </w:rPr>
      </w:pPr>
      <w:r>
        <w:rPr>
          <w:rFonts w:ascii="Times New Roman" w:hAnsi="Times New Roman" w:cs="Times New Roman"/>
          <w:color w:val="FF0000"/>
          <w:u w:val="single"/>
        </w:rPr>
        <w:t>氟化钙污泥是由吸收预处烟气中的氟化物和磷酸产生的氟化钙和磷酸钙，经计算，其产生量</w:t>
      </w:r>
      <w:r>
        <w:rPr>
          <w:rFonts w:hint="eastAsia" w:ascii="Times New Roman" w:hAnsi="Times New Roman" w:cs="Times New Roman"/>
          <w:color w:val="FF0000"/>
          <w:u w:val="single"/>
        </w:rPr>
        <w:t>约</w:t>
      </w:r>
      <w:r>
        <w:rPr>
          <w:rFonts w:ascii="Times New Roman" w:hAnsi="Times New Roman" w:cs="Times New Roman"/>
          <w:color w:val="FF0000"/>
          <w:u w:val="single"/>
        </w:rPr>
        <w:t>为607.56</w:t>
      </w:r>
      <w:r>
        <w:rPr>
          <w:rFonts w:hint="eastAsia" w:ascii="Times New Roman" w:hAnsi="Times New Roman" w:cs="Times New Roman"/>
          <w:color w:val="FF0000"/>
          <w:u w:val="single"/>
        </w:rPr>
        <w:t>t</w:t>
      </w:r>
      <w:r>
        <w:rPr>
          <w:rFonts w:ascii="Times New Roman" w:hAnsi="Times New Roman" w:cs="Times New Roman"/>
          <w:color w:val="FF0000"/>
          <w:u w:val="single"/>
        </w:rPr>
        <w:t>/a。</w:t>
      </w:r>
    </w:p>
    <w:p>
      <w:pPr>
        <w:spacing w:line="360" w:lineRule="auto"/>
        <w:ind w:firstLine="480" w:firstLineChars="200"/>
        <w:rPr>
          <w:rFonts w:ascii="Times New Roman" w:hAnsi="Times New Roman" w:cs="Times New Roman"/>
          <w:color w:val="FF0000"/>
          <w:u w:val="single"/>
        </w:rPr>
      </w:pPr>
      <w:r>
        <w:rPr>
          <w:rFonts w:hint="eastAsia" w:ascii="Times New Roman" w:hAnsi="Times New Roman" w:cs="Times New Roman"/>
          <w:color w:val="FF0000"/>
          <w:u w:val="single"/>
        </w:rPr>
        <w:t>该固废应进行危险废物鉴定，若鉴别结果判定为危险废物，则需交由有危险废物处理资质的单位处置；若鉴定为一般固废，则交由相应的单位进行资源化、无害化处置。</w:t>
      </w:r>
    </w:p>
    <w:p>
      <w:pPr>
        <w:spacing w:line="360" w:lineRule="auto"/>
        <w:ind w:firstLine="480" w:firstLineChars="200"/>
        <w:rPr>
          <w:rFonts w:ascii="Times New Roman" w:hAnsi="Times New Roman" w:cs="Times New Roman"/>
          <w:color w:val="FF0000"/>
          <w:u w:val="single"/>
        </w:rPr>
      </w:pPr>
      <w:r>
        <w:rPr>
          <w:rFonts w:ascii="Times New Roman" w:hAnsi="Times New Roman" w:cs="Times New Roman"/>
          <w:color w:val="FF0000"/>
          <w:u w:val="single"/>
        </w:rPr>
        <w:t>（2）浸出部分固废产生情况</w:t>
      </w:r>
    </w:p>
    <w:p>
      <w:pPr>
        <w:spacing w:line="360" w:lineRule="auto"/>
        <w:ind w:firstLine="480" w:firstLineChars="200"/>
        <w:rPr>
          <w:rFonts w:ascii="Times New Roman" w:hAnsi="Times New Roman" w:cs="Times New Roman"/>
          <w:color w:val="FF0000"/>
          <w:u w:val="single"/>
        </w:rPr>
      </w:pPr>
      <w:r>
        <w:rPr>
          <w:rFonts w:ascii="Times New Roman" w:hAnsi="Times New Roman" w:cs="Times New Roman"/>
          <w:color w:val="FF0000"/>
          <w:u w:val="single"/>
        </w:rPr>
        <w:t>1）石墨</w:t>
      </w:r>
    </w:p>
    <w:p>
      <w:pPr>
        <w:spacing w:line="360" w:lineRule="auto"/>
        <w:ind w:firstLine="480" w:firstLineChars="200"/>
        <w:rPr>
          <w:rFonts w:ascii="Times New Roman" w:hAnsi="Times New Roman" w:cs="Times New Roman"/>
          <w:color w:val="FF0000"/>
          <w:u w:val="single"/>
        </w:rPr>
      </w:pPr>
      <w:r>
        <w:rPr>
          <w:rFonts w:ascii="Times New Roman" w:hAnsi="Times New Roman" w:cs="Times New Roman"/>
          <w:color w:val="FF0000"/>
          <w:u w:val="single"/>
        </w:rPr>
        <w:t>电极粉料经酸性浸出后会产生石墨。根据建设单位提供的资料，三元黑粉浸出车间石墨产生量约2162t/a，磷酸黑粉浸出车间石墨产生量约4432t/a。石墨主要成分为负极碳粉，还含有少量的镍、CaF2。</w:t>
      </w:r>
    </w:p>
    <w:p>
      <w:pPr>
        <w:spacing w:line="360" w:lineRule="auto"/>
        <w:ind w:firstLine="480" w:firstLineChars="200"/>
        <w:rPr>
          <w:rFonts w:ascii="Times New Roman" w:hAnsi="Times New Roman" w:cs="Times New Roman"/>
          <w:color w:val="FF0000"/>
          <w:u w:val="single"/>
        </w:rPr>
      </w:pPr>
      <w:r>
        <w:rPr>
          <w:rFonts w:hint="eastAsia" w:ascii="Times New Roman" w:hAnsi="Times New Roman" w:cs="Times New Roman"/>
          <w:color w:val="FF0000"/>
          <w:u w:val="single"/>
        </w:rPr>
        <w:t>该固废应进行危险废物鉴定，若鉴别结果判定为危险废物，则需交由有危险废物处理资质的单位处置；若鉴定为一般固废，则交由相应的单位进行资源化、无害化处置。</w:t>
      </w:r>
    </w:p>
    <w:p>
      <w:pPr>
        <w:spacing w:line="360" w:lineRule="auto"/>
        <w:ind w:firstLine="480" w:firstLineChars="200"/>
        <w:rPr>
          <w:rFonts w:ascii="Times New Roman" w:hAnsi="Times New Roman" w:cs="Times New Roman"/>
          <w:color w:val="FF0000"/>
          <w:u w:val="single"/>
        </w:rPr>
      </w:pPr>
      <w:r>
        <w:rPr>
          <w:rFonts w:ascii="Times New Roman" w:hAnsi="Times New Roman" w:cs="Times New Roman"/>
          <w:color w:val="FF0000"/>
          <w:u w:val="single"/>
        </w:rPr>
        <w:t>2）铁铝渣</w:t>
      </w:r>
    </w:p>
    <w:p>
      <w:pPr>
        <w:spacing w:line="360" w:lineRule="auto"/>
        <w:ind w:firstLine="480" w:firstLineChars="200"/>
        <w:rPr>
          <w:rFonts w:ascii="Times New Roman" w:hAnsi="Times New Roman" w:cs="Times New Roman"/>
          <w:color w:val="FF0000"/>
          <w:u w:val="single"/>
        </w:rPr>
      </w:pPr>
      <w:r>
        <w:rPr>
          <w:rFonts w:ascii="Times New Roman" w:hAnsi="Times New Roman" w:cs="Times New Roman"/>
          <w:color w:val="FF0000"/>
          <w:u w:val="single"/>
        </w:rPr>
        <w:t>除铁铝后产出的铁铝渣经水洗后产出铁铝渣4154t/a。铁铝渣是铁铝渣、CaF2的混合物，主要成分为铁和铝的氢氧化物，还含有少量的镍、CaF2。</w:t>
      </w:r>
    </w:p>
    <w:p>
      <w:pPr>
        <w:spacing w:line="360" w:lineRule="auto"/>
        <w:ind w:firstLine="480" w:firstLineChars="200"/>
        <w:rPr>
          <w:rFonts w:ascii="Times New Roman" w:hAnsi="Times New Roman" w:cs="Times New Roman"/>
          <w:color w:val="FF0000"/>
          <w:u w:val="single"/>
        </w:rPr>
      </w:pPr>
      <w:r>
        <w:rPr>
          <w:rFonts w:hint="eastAsia" w:ascii="Times New Roman" w:hAnsi="Times New Roman" w:cs="Times New Roman"/>
          <w:color w:val="FF0000"/>
          <w:u w:val="single"/>
        </w:rPr>
        <w:t>该固废应进行危险废物鉴定，若鉴别结果判定为危险废物，则需交由有危险废物处理资质的单位处置；若鉴定为一般固废，则交由相应的单位进行资源化、无害化处置。</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3）</w:t>
      </w:r>
      <w:r>
        <w:rPr>
          <w:rFonts w:hint="eastAsia" w:ascii="Times New Roman" w:hAnsi="Times New Roman" w:cs="Times New Roman"/>
          <w:u w:val="single"/>
        </w:rPr>
        <w:t>钠</w:t>
      </w:r>
      <w:r>
        <w:rPr>
          <w:rFonts w:ascii="Times New Roman" w:hAnsi="Times New Roman" w:cs="Times New Roman"/>
          <w:u w:val="single"/>
        </w:rPr>
        <w:t>盐类物质</w:t>
      </w:r>
      <w:r>
        <w:rPr>
          <w:rFonts w:hint="eastAsia" w:ascii="Times New Roman" w:hAnsi="Times New Roman" w:cs="Times New Roman"/>
          <w:u w:val="single"/>
        </w:rPr>
        <w:t>副产品</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本项目废水采用MVR蒸发处理后将</w:t>
      </w:r>
      <w:r>
        <w:rPr>
          <w:rFonts w:hint="eastAsia" w:ascii="Times New Roman" w:hAnsi="Times New Roman" w:cs="Times New Roman"/>
          <w:u w:val="single"/>
        </w:rPr>
        <w:t>产生</w:t>
      </w:r>
      <w:r>
        <w:rPr>
          <w:u w:val="single"/>
        </w:rPr>
        <w:t>钠</w:t>
      </w:r>
      <w:r>
        <w:rPr>
          <w:rFonts w:ascii="Times New Roman" w:hAnsi="Times New Roman" w:cs="Times New Roman"/>
          <w:u w:val="single"/>
        </w:rPr>
        <w:t>盐类物质，主要为硫酸钠，可作为</w:t>
      </w:r>
      <w:r>
        <w:rPr>
          <w:rFonts w:hint="eastAsia" w:ascii="Times New Roman" w:hAnsi="Times New Roman" w:cs="Times New Roman"/>
          <w:u w:val="single"/>
        </w:rPr>
        <w:t>副产品外售</w:t>
      </w:r>
      <w:r>
        <w:rPr>
          <w:rFonts w:ascii="Times New Roman" w:hAnsi="Times New Roman" w:cs="Times New Roman"/>
          <w:u w:val="single"/>
        </w:rPr>
        <w:t>，每年产生</w:t>
      </w:r>
      <w:r>
        <w:rPr>
          <w:rFonts w:hint="eastAsia" w:ascii="Times New Roman" w:hAnsi="Times New Roman" w:cs="Times New Roman"/>
          <w:u w:val="single"/>
        </w:rPr>
        <w:t>量为</w:t>
      </w:r>
      <w:r>
        <w:rPr>
          <w:rFonts w:ascii="Times New Roman" w:hAnsi="Times New Roman" w:cs="Times New Roman"/>
          <w:u w:val="single"/>
        </w:rPr>
        <w:t>22381.6吨。由于且暂未找到同类型</w:t>
      </w:r>
      <w:r>
        <w:rPr>
          <w:rFonts w:hint="eastAsia" w:ascii="Times New Roman" w:hAnsi="Times New Roman" w:cs="Times New Roman"/>
          <w:u w:val="single"/>
        </w:rPr>
        <w:t>项目</w:t>
      </w:r>
      <w:r>
        <w:rPr>
          <w:rFonts w:ascii="Times New Roman" w:hAnsi="Times New Roman" w:cs="Times New Roman"/>
          <w:u w:val="single"/>
        </w:rPr>
        <w:t>进行对照，无法定性。</w:t>
      </w:r>
      <w:r>
        <w:rPr>
          <w:rFonts w:hint="eastAsia" w:ascii="Times New Roman" w:hAnsi="Times New Roman" w:cs="Times New Roman"/>
          <w:u w:val="single"/>
        </w:rPr>
        <w:t>待该硫酸钠</w:t>
      </w:r>
      <w:r>
        <w:rPr>
          <w:rFonts w:ascii="Times New Roman" w:hAnsi="Times New Roman" w:cs="Times New Roman"/>
          <w:u w:val="single"/>
        </w:rPr>
        <w:t>盐类物质</w:t>
      </w:r>
      <w:r>
        <w:rPr>
          <w:rFonts w:hint="eastAsia" w:ascii="Times New Roman" w:hAnsi="Times New Roman" w:cs="Times New Roman"/>
          <w:u w:val="single"/>
        </w:rPr>
        <w:t>副产品产生后，</w:t>
      </w:r>
      <w:r>
        <w:rPr>
          <w:rFonts w:ascii="Times New Roman" w:hAnsi="Times New Roman" w:cs="Times New Roman"/>
          <w:u w:val="single"/>
        </w:rPr>
        <w:t>应</w:t>
      </w:r>
      <w:r>
        <w:rPr>
          <w:rFonts w:hint="eastAsia" w:ascii="Times New Roman" w:hAnsi="Times New Roman" w:cs="Times New Roman"/>
          <w:u w:val="single"/>
        </w:rPr>
        <w:t>进行产品鉴定</w:t>
      </w:r>
      <w:r>
        <w:rPr>
          <w:rFonts w:ascii="Times New Roman" w:hAnsi="Times New Roman" w:cs="Times New Roman"/>
          <w:u w:val="single"/>
        </w:rPr>
        <w:t>，若鉴别结果</w:t>
      </w:r>
      <w:r>
        <w:rPr>
          <w:rFonts w:hint="eastAsia" w:ascii="Times New Roman" w:hAnsi="Times New Roman" w:cs="Times New Roman"/>
          <w:u w:val="single"/>
        </w:rPr>
        <w:t>符合相关要求，可作为副产品外售。</w:t>
      </w:r>
    </w:p>
    <w:p>
      <w:pPr>
        <w:spacing w:line="360" w:lineRule="auto"/>
        <w:ind w:firstLine="480" w:firstLineChars="200"/>
        <w:rPr>
          <w:rFonts w:ascii="Times New Roman" w:hAnsi="Times New Roman" w:cs="Times New Roman"/>
        </w:rPr>
      </w:pPr>
      <w:r>
        <w:rPr>
          <w:rFonts w:ascii="Times New Roman" w:hAnsi="Times New Roman" w:cs="Times New Roman"/>
        </w:rPr>
        <w:t>（3）其他工序固废产生情况</w:t>
      </w:r>
    </w:p>
    <w:p>
      <w:pPr>
        <w:spacing w:line="360" w:lineRule="auto"/>
        <w:ind w:firstLine="480" w:firstLineChars="200"/>
        <w:rPr>
          <w:rFonts w:ascii="Times New Roman" w:hAnsi="Times New Roman" w:cs="Times New Roman"/>
        </w:rPr>
      </w:pPr>
      <w:r>
        <w:rPr>
          <w:rFonts w:ascii="Times New Roman" w:hAnsi="Times New Roman" w:cs="Times New Roman"/>
        </w:rPr>
        <w:t>1）纯水制备废弃离子交换树脂</w:t>
      </w:r>
    </w:p>
    <w:p>
      <w:pPr>
        <w:spacing w:line="360" w:lineRule="auto"/>
        <w:ind w:firstLine="480" w:firstLineChars="200"/>
        <w:rPr>
          <w:rFonts w:ascii="Times New Roman" w:hAnsi="Times New Roman" w:cs="Times New Roman"/>
        </w:rPr>
      </w:pPr>
      <w:r>
        <w:rPr>
          <w:rFonts w:ascii="Times New Roman" w:hAnsi="Times New Roman" w:cs="Times New Roman"/>
        </w:rPr>
        <w:t>纯水系统采用“砂滤+活性炭过滤+二级反渗透装置”工艺制备，该过程中会产生废弃的离子交换树脂、废活性炭。RO膜年更换1套。类比同类型项目，本项目废弃的离子交换树脂产生量约为1.5t/a。属于一般固废，由当地环卫部门负责清运处置；废活性炭产生量约为1t/a。属于一般固废，由当地环卫部门负责清运处置。</w:t>
      </w:r>
    </w:p>
    <w:p>
      <w:pPr>
        <w:spacing w:line="360" w:lineRule="auto"/>
        <w:ind w:firstLine="480" w:firstLineChars="200"/>
        <w:rPr>
          <w:rFonts w:ascii="Times New Roman" w:hAnsi="Times New Roman" w:cs="Times New Roman"/>
        </w:rPr>
      </w:pPr>
      <w:r>
        <w:rPr>
          <w:rFonts w:ascii="Times New Roman" w:hAnsi="Times New Roman" w:cs="Times New Roman"/>
        </w:rPr>
        <w:t>2）废过滤棉、废活性炭</w:t>
      </w:r>
    </w:p>
    <w:p>
      <w:pPr>
        <w:spacing w:line="360" w:lineRule="auto"/>
        <w:ind w:firstLine="480" w:firstLineChars="200"/>
        <w:rPr>
          <w:rFonts w:ascii="Times New Roman" w:hAnsi="Times New Roman" w:cs="Times New Roman"/>
        </w:rPr>
      </w:pPr>
      <w:r>
        <w:rPr>
          <w:rFonts w:ascii="Times New Roman" w:hAnsi="Times New Roman" w:cs="Times New Roman"/>
        </w:rPr>
        <w:t>萃取车间有机废气采用“干式过滤+活性炭吸附”处理，将产生废过滤棉、废活性炭，干式过滤器材料类型为G4初效过滤棉；更换周期视粉尘杂质和工作时间、生产量的大小而定；防堵措施主要是人工及时清理和更换滤材。活性炭的装填量为0.52m</w:t>
      </w:r>
      <w:r>
        <w:rPr>
          <w:rFonts w:ascii="Times New Roman" w:hAnsi="Times New Roman" w:cs="Times New Roman"/>
          <w:vertAlign w:val="superscript"/>
        </w:rPr>
        <w:t>3</w:t>
      </w:r>
      <w:r>
        <w:rPr>
          <w:rFonts w:ascii="Times New Roman" w:hAnsi="Times New Roman" w:cs="Times New Roman"/>
        </w:rPr>
        <w:t>，颗粒粒径为4mm，吸附效率为CTC-35，更换周期应根据工作时间、生产量而定，一般情况为1～3个月更换一次。废过滤棉废活性炭产生量约为1.2t/a，根据《国家危险废物名录》（2021年版），活性炭吸附有害物质后属于危险废物，危废代码为HW49，900-041-49，统一收集后暂存于企业危废暂存间，后交由相关资质单位进行处理。</w:t>
      </w:r>
    </w:p>
    <w:p>
      <w:pPr>
        <w:spacing w:line="360" w:lineRule="auto"/>
        <w:ind w:firstLine="480" w:firstLineChars="200"/>
        <w:rPr>
          <w:rFonts w:ascii="Times New Roman" w:hAnsi="Times New Roman" w:cs="Times New Roman"/>
        </w:rPr>
      </w:pPr>
      <w:r>
        <w:rPr>
          <w:rFonts w:ascii="Times New Roman" w:hAnsi="Times New Roman" w:cs="Times New Roman"/>
        </w:rPr>
        <w:t>3）废布袋</w:t>
      </w:r>
    </w:p>
    <w:p>
      <w:pPr>
        <w:spacing w:line="360" w:lineRule="auto"/>
        <w:ind w:firstLine="480" w:firstLineChars="200"/>
        <w:rPr>
          <w:rFonts w:ascii="Times New Roman" w:hAnsi="Times New Roman" w:cs="Times New Roman"/>
        </w:rPr>
      </w:pPr>
      <w:r>
        <w:rPr>
          <w:rFonts w:ascii="Times New Roman" w:hAnsi="Times New Roman" w:cs="Times New Roman"/>
        </w:rPr>
        <w:t>极片破碎过程产生的粉尘采用布袋除尘装置进行处理，用于烟气处理的布袋除尘器平均更换周期约为2～3年，经计算，本项目废布袋产生量为0.2t/a，由于粉尘含镍，根据《国家危险废物名录》（2021年版），因此产生的废布袋属于HW49，危废代码为900-041-49，统一收集后暂存于企业危废暂存间，后交由相关资质单位进行处理。</w:t>
      </w:r>
    </w:p>
    <w:p>
      <w:pPr>
        <w:spacing w:line="360" w:lineRule="auto"/>
        <w:ind w:firstLine="480" w:firstLineChars="200"/>
        <w:rPr>
          <w:rFonts w:ascii="Times New Roman" w:hAnsi="Times New Roman" w:cs="Times New Roman"/>
        </w:rPr>
      </w:pPr>
      <w:r>
        <w:rPr>
          <w:rFonts w:ascii="Times New Roman" w:hAnsi="Times New Roman" w:cs="Times New Roman"/>
        </w:rPr>
        <w:t>4）设备检修过程产生的废机油</w:t>
      </w:r>
    </w:p>
    <w:p>
      <w:pPr>
        <w:spacing w:line="360" w:lineRule="auto"/>
        <w:ind w:firstLine="480" w:firstLineChars="200"/>
        <w:rPr>
          <w:rFonts w:ascii="Times New Roman" w:hAnsi="Times New Roman" w:cs="Times New Roman"/>
        </w:rPr>
      </w:pPr>
      <w:r>
        <w:rPr>
          <w:rFonts w:ascii="Times New Roman" w:hAnsi="Times New Roman" w:cs="Times New Roman"/>
        </w:rPr>
        <w:t>机械、设备检修过程产生将产生机械废油（产生量约为0.1t/a）、含油抹布等（产生量约为0.2t/a）。根据《国家危险废物名录》（2021版），机械维修和拆解过程产生的废发动机油等属于危废，代码为HW08，900-214-08，需统一收集后交由相关资质单位进行处理。含油抹布属于危险废物，危废代码为HW49，900-041-49，其收集后交由有资质的单位处理。</w:t>
      </w:r>
    </w:p>
    <w:p>
      <w:pPr>
        <w:spacing w:line="360" w:lineRule="auto"/>
        <w:ind w:firstLine="480" w:firstLineChars="200"/>
        <w:rPr>
          <w:rFonts w:ascii="Times New Roman" w:hAnsi="Times New Roman" w:cs="Times New Roman"/>
        </w:rPr>
      </w:pPr>
      <w:r>
        <w:rPr>
          <w:rFonts w:ascii="Times New Roman" w:hAnsi="Times New Roman" w:cs="Times New Roman"/>
        </w:rPr>
        <w:t>（4）</w:t>
      </w:r>
      <w:r>
        <w:rPr>
          <w:rFonts w:hint="eastAsia" w:ascii="Times New Roman" w:hAnsi="Times New Roman" w:cs="Times New Roman"/>
        </w:rPr>
        <w:t>锅炉燃烧</w:t>
      </w:r>
    </w:p>
    <w:p>
      <w:pPr>
        <w:spacing w:line="360" w:lineRule="auto"/>
        <w:ind w:firstLine="480" w:firstLineChars="200"/>
        <w:rPr>
          <w:rFonts w:ascii="Times New Roman" w:hAnsi="Times New Roman" w:cs="Times New Roman"/>
        </w:rPr>
      </w:pPr>
      <w:r>
        <w:rPr>
          <w:rFonts w:hint="eastAsia" w:ascii="Times New Roman" w:hAnsi="Times New Roman" w:cs="Times New Roman"/>
        </w:rPr>
        <w:t>类比同类型项目，每吨生物质颗粒燃烧将产生23.6kg的炉渣，故本项目炉渣年产生量约为458.784t，收集后暂存于一般固废暂存间，布袋除尘产生的粉尘产生量约为723.63t/a，收集后暂存于一般固废暂存间，定期清运。</w:t>
      </w:r>
    </w:p>
    <w:p>
      <w:pPr>
        <w:spacing w:line="360" w:lineRule="auto"/>
        <w:ind w:firstLine="480" w:firstLineChars="200"/>
        <w:rPr>
          <w:rFonts w:ascii="Times New Roman" w:hAnsi="Times New Roman" w:cs="Times New Roman"/>
        </w:rPr>
      </w:pPr>
      <w:r>
        <w:rPr>
          <w:rFonts w:ascii="Times New Roman" w:hAnsi="Times New Roman" w:cs="Times New Roman"/>
        </w:rPr>
        <w:t>（5）员工生活垃圾</w:t>
      </w:r>
    </w:p>
    <w:p>
      <w:pPr>
        <w:spacing w:line="360" w:lineRule="auto"/>
        <w:ind w:firstLine="480" w:firstLineChars="200"/>
        <w:rPr>
          <w:rFonts w:ascii="Times New Roman" w:hAnsi="Times New Roman" w:cs="Times New Roman"/>
        </w:rPr>
      </w:pPr>
      <w:r>
        <w:rPr>
          <w:rFonts w:ascii="Times New Roman" w:hAnsi="Times New Roman" w:cs="Times New Roman"/>
        </w:rPr>
        <w:t>本项目厂区劳动定员188人，每人每天生活垃圾产生量以0.5 kg计。因此，项目厂区生活垃圾产生量为28.2t/a。厂区生活垃圾交由环卫部门及时清运处理。</w:t>
      </w:r>
    </w:p>
    <w:p>
      <w:pPr>
        <w:spacing w:line="360" w:lineRule="auto"/>
        <w:ind w:firstLine="480" w:firstLineChars="200"/>
        <w:rPr>
          <w:rFonts w:ascii="Times New Roman" w:hAnsi="Times New Roman" w:eastAsia="宋体" w:cs="Times New Roman"/>
          <w:szCs w:val="24"/>
          <w:u w:val="single"/>
        </w:rPr>
      </w:pPr>
      <w:r>
        <w:rPr>
          <w:rFonts w:ascii="Times New Roman" w:hAnsi="Times New Roman" w:cs="Times New Roman"/>
          <w:u w:val="single"/>
        </w:rPr>
        <w:t>（</w:t>
      </w:r>
      <w:r>
        <w:rPr>
          <w:rFonts w:hint="eastAsia" w:ascii="Times New Roman" w:hAnsi="Times New Roman" w:cs="Times New Roman"/>
          <w:u w:val="single"/>
        </w:rPr>
        <w:t>6</w:t>
      </w:r>
      <w:r>
        <w:rPr>
          <w:rFonts w:ascii="Times New Roman" w:hAnsi="Times New Roman" w:cs="Times New Roman"/>
          <w:u w:val="single"/>
        </w:rPr>
        <w:t>）</w:t>
      </w:r>
      <w:r>
        <w:rPr>
          <w:rFonts w:hint="eastAsia" w:ascii="Times New Roman" w:hAnsi="Times New Roman" w:cs="Times New Roman"/>
          <w:u w:val="single"/>
        </w:rPr>
        <w:t>危险废物</w:t>
      </w:r>
      <w:r>
        <w:rPr>
          <w:rFonts w:ascii="Times New Roman" w:hAnsi="Times New Roman" w:cs="Times New Roman"/>
          <w:u w:val="single"/>
        </w:rPr>
        <w:t>暂存间</w:t>
      </w:r>
    </w:p>
    <w:p>
      <w:pPr>
        <w:spacing w:line="360" w:lineRule="auto"/>
        <w:ind w:firstLine="480" w:firstLineChars="200"/>
        <w:rPr>
          <w:rFonts w:ascii="Times New Roman" w:hAnsi="Times New Roman" w:eastAsia="宋体" w:cs="Times New Roman"/>
          <w:szCs w:val="24"/>
          <w:u w:val="single"/>
        </w:rPr>
      </w:pPr>
      <w:r>
        <w:rPr>
          <w:rFonts w:ascii="Times New Roman" w:hAnsi="Times New Roman" w:eastAsia="宋体" w:cs="Times New Roman"/>
          <w:szCs w:val="24"/>
          <w:u w:val="single"/>
        </w:rPr>
        <w:t>危废暂存间须严格按《危险废物贮存污染控制标准》（GB18597-2023）中要求建设，</w:t>
      </w:r>
      <w:r>
        <w:rPr>
          <w:rFonts w:hint="eastAsia" w:ascii="Times New Roman" w:hAnsi="Times New Roman" w:eastAsia="宋体" w:cs="Times New Roman"/>
          <w:szCs w:val="24"/>
          <w:u w:val="single"/>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ascii="Times New Roman" w:hAnsi="Times New Roman" w:eastAsia="宋体" w:cs="Times New Roman"/>
          <w:szCs w:val="24"/>
          <w:u w:val="single"/>
          <w:vertAlign w:val="superscript"/>
        </w:rPr>
        <w:t>-7</w:t>
      </w:r>
      <w:r>
        <w:rPr>
          <w:rFonts w:hint="eastAsia" w:ascii="Times New Roman" w:hAnsi="Times New Roman" w:eastAsia="宋体" w:cs="Times New Roman"/>
          <w:szCs w:val="24"/>
          <w:u w:val="single"/>
        </w:rPr>
        <w:t>cm/s），或至少2 mm厚高密度聚乙烯膜等人工防渗材料（渗透系数不大于10</w:t>
      </w:r>
      <w:r>
        <w:rPr>
          <w:rFonts w:hint="eastAsia" w:ascii="Times New Roman" w:hAnsi="Times New Roman" w:eastAsia="宋体" w:cs="Times New Roman"/>
          <w:szCs w:val="24"/>
          <w:u w:val="single"/>
          <w:vertAlign w:val="superscript"/>
        </w:rPr>
        <w:t>-10</w:t>
      </w:r>
      <w:r>
        <w:rPr>
          <w:rFonts w:hint="eastAsia" w:ascii="Times New Roman" w:hAnsi="Times New Roman" w:eastAsia="宋体" w:cs="Times New Roman"/>
          <w:szCs w:val="24"/>
          <w:u w:val="single"/>
        </w:rPr>
        <w:t>cm/s），或其他防渗性能等效的材料。</w:t>
      </w:r>
    </w:p>
    <w:p>
      <w:pPr>
        <w:spacing w:line="360" w:lineRule="auto"/>
        <w:ind w:firstLine="480" w:firstLineChars="200"/>
        <w:rPr>
          <w:rFonts w:ascii="Times New Roman" w:hAnsi="Times New Roman" w:cs="Times New Roman"/>
          <w:u w:val="single"/>
        </w:rPr>
        <w:sectPr>
          <w:pgSz w:w="11907" w:h="16840"/>
          <w:pgMar w:top="1440" w:right="1797" w:bottom="1440" w:left="1797" w:header="964" w:footer="851" w:gutter="0"/>
          <w:cols w:space="720" w:num="1"/>
          <w:docGrid w:linePitch="297" w:charSpace="200"/>
        </w:sectPr>
      </w:pPr>
      <w:r>
        <w:rPr>
          <w:rFonts w:ascii="Times New Roman" w:hAnsi="Times New Roman" w:eastAsia="宋体" w:cs="Times New Roman"/>
          <w:szCs w:val="24"/>
          <w:u w:val="single"/>
        </w:rPr>
        <w:t>该危废暂存库建成后可满足项目危废贮存需求。</w:t>
      </w:r>
      <w:r>
        <w:rPr>
          <w:rFonts w:hint="eastAsia" w:ascii="Times New Roman" w:hAnsi="Times New Roman" w:eastAsia="宋体" w:cs="Times New Roman"/>
          <w:szCs w:val="24"/>
          <w:u w:val="single"/>
        </w:rPr>
        <w:t>项目产生的各类</w:t>
      </w:r>
      <w:r>
        <w:rPr>
          <w:rFonts w:ascii="Times New Roman" w:hAnsi="Times New Roman" w:eastAsia="宋体" w:cs="Times New Roman"/>
          <w:szCs w:val="24"/>
          <w:u w:val="single"/>
        </w:rPr>
        <w:t>危险废物</w:t>
      </w:r>
      <w:r>
        <w:rPr>
          <w:rFonts w:hint="eastAsia" w:ascii="Times New Roman" w:hAnsi="Times New Roman" w:eastAsia="宋体" w:cs="Times New Roman"/>
          <w:szCs w:val="24"/>
          <w:u w:val="single"/>
        </w:rPr>
        <w:t>分类暂存。</w:t>
      </w:r>
    </w:p>
    <w:p>
      <w:pPr>
        <w:pStyle w:val="6"/>
        <w:rPr>
          <w:rFonts w:ascii="Times New Roman" w:hAnsi="Times New Roman" w:cs="Times New Roman"/>
        </w:rPr>
      </w:pPr>
      <w:r>
        <w:rPr>
          <w:rFonts w:ascii="Times New Roman" w:hAnsi="Times New Roman" w:cs="Times New Roman"/>
        </w:rPr>
        <w:t>表3.2-</w:t>
      </w:r>
      <w:r>
        <w:rPr>
          <w:rFonts w:hint="eastAsia" w:ascii="Times New Roman" w:hAnsi="Times New Roman" w:cs="Times New Roman"/>
        </w:rPr>
        <w:t>27</w:t>
      </w:r>
      <w:r>
        <w:rPr>
          <w:rFonts w:ascii="Times New Roman" w:hAnsi="Times New Roman" w:cs="Times New Roman"/>
        </w:rPr>
        <w:t xml:space="preserve">  项目营运期固体废物产生及处置情况汇总表</w:t>
      </w:r>
    </w:p>
    <w:tbl>
      <w:tblPr>
        <w:tblStyle w:val="3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98"/>
        <w:gridCol w:w="1645"/>
        <w:gridCol w:w="1362"/>
        <w:gridCol w:w="1648"/>
        <w:gridCol w:w="1702"/>
        <w:gridCol w:w="1701"/>
        <w:gridCol w:w="2125"/>
        <w:gridCol w:w="32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98" w:type="dxa"/>
            <w:vAlign w:val="center"/>
          </w:tcPr>
          <w:p>
            <w:pPr>
              <w:pStyle w:val="63"/>
              <w:rPr>
                <w:color w:val="FF0000"/>
                <w:u w:val="single"/>
              </w:rPr>
            </w:pPr>
            <w:r>
              <w:rPr>
                <w:color w:val="FF0000"/>
                <w:u w:val="single"/>
              </w:rPr>
              <w:t>序号</w:t>
            </w:r>
          </w:p>
        </w:tc>
        <w:tc>
          <w:tcPr>
            <w:tcW w:w="1645" w:type="dxa"/>
            <w:vAlign w:val="center"/>
          </w:tcPr>
          <w:p>
            <w:pPr>
              <w:pStyle w:val="63"/>
              <w:rPr>
                <w:color w:val="FF0000"/>
                <w:u w:val="single"/>
              </w:rPr>
            </w:pPr>
            <w:r>
              <w:rPr>
                <w:color w:val="FF0000"/>
                <w:u w:val="single"/>
              </w:rPr>
              <w:t>固废名称</w:t>
            </w:r>
          </w:p>
        </w:tc>
        <w:tc>
          <w:tcPr>
            <w:tcW w:w="1362" w:type="dxa"/>
            <w:vAlign w:val="center"/>
          </w:tcPr>
          <w:p>
            <w:pPr>
              <w:pStyle w:val="63"/>
              <w:rPr>
                <w:color w:val="FF0000"/>
                <w:u w:val="single"/>
              </w:rPr>
            </w:pPr>
            <w:r>
              <w:rPr>
                <w:color w:val="FF0000"/>
                <w:u w:val="single"/>
              </w:rPr>
              <w:t>属性</w:t>
            </w:r>
          </w:p>
        </w:tc>
        <w:tc>
          <w:tcPr>
            <w:tcW w:w="1648" w:type="dxa"/>
            <w:vAlign w:val="center"/>
          </w:tcPr>
          <w:p>
            <w:pPr>
              <w:pStyle w:val="63"/>
              <w:rPr>
                <w:color w:val="FF0000"/>
                <w:u w:val="single"/>
              </w:rPr>
            </w:pPr>
            <w:r>
              <w:rPr>
                <w:color w:val="FF0000"/>
                <w:u w:val="single"/>
              </w:rPr>
              <w:t>废物类别</w:t>
            </w:r>
          </w:p>
        </w:tc>
        <w:tc>
          <w:tcPr>
            <w:tcW w:w="1702" w:type="dxa"/>
            <w:vAlign w:val="center"/>
          </w:tcPr>
          <w:p>
            <w:pPr>
              <w:pStyle w:val="63"/>
              <w:rPr>
                <w:color w:val="FF0000"/>
                <w:u w:val="single"/>
              </w:rPr>
            </w:pPr>
            <w:r>
              <w:rPr>
                <w:color w:val="FF0000"/>
                <w:u w:val="single"/>
              </w:rPr>
              <w:t>产生工序</w:t>
            </w:r>
          </w:p>
        </w:tc>
        <w:tc>
          <w:tcPr>
            <w:tcW w:w="1701" w:type="dxa"/>
            <w:vAlign w:val="center"/>
          </w:tcPr>
          <w:p>
            <w:pPr>
              <w:pStyle w:val="63"/>
              <w:rPr>
                <w:color w:val="FF0000"/>
                <w:u w:val="single"/>
              </w:rPr>
            </w:pPr>
            <w:r>
              <w:rPr>
                <w:color w:val="FF0000"/>
                <w:u w:val="single"/>
              </w:rPr>
              <w:t>主要成分</w:t>
            </w:r>
          </w:p>
        </w:tc>
        <w:tc>
          <w:tcPr>
            <w:tcW w:w="2125" w:type="dxa"/>
            <w:vAlign w:val="center"/>
          </w:tcPr>
          <w:p>
            <w:pPr>
              <w:pStyle w:val="63"/>
              <w:rPr>
                <w:color w:val="FF0000"/>
                <w:u w:val="single"/>
              </w:rPr>
            </w:pPr>
            <w:r>
              <w:rPr>
                <w:color w:val="FF0000"/>
                <w:u w:val="single"/>
              </w:rPr>
              <w:t>产生量（t/a）</w:t>
            </w:r>
          </w:p>
        </w:tc>
        <w:tc>
          <w:tcPr>
            <w:tcW w:w="3294" w:type="dxa"/>
            <w:vAlign w:val="center"/>
          </w:tcPr>
          <w:p>
            <w:pPr>
              <w:pStyle w:val="63"/>
              <w:rPr>
                <w:color w:val="FF0000"/>
                <w:u w:val="single"/>
              </w:rPr>
            </w:pPr>
            <w:r>
              <w:rPr>
                <w:color w:val="FF0000"/>
                <w:u w:val="single"/>
              </w:rPr>
              <w:t>处置方法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8" w:type="dxa"/>
            <w:vMerge w:val="restart"/>
            <w:vAlign w:val="center"/>
          </w:tcPr>
          <w:p>
            <w:pPr>
              <w:pStyle w:val="63"/>
              <w:rPr>
                <w:color w:val="FF0000"/>
                <w:u w:val="single"/>
              </w:rPr>
            </w:pPr>
            <w:r>
              <w:rPr>
                <w:color w:val="FF0000"/>
                <w:u w:val="single"/>
              </w:rPr>
              <w:t>1</w:t>
            </w:r>
          </w:p>
        </w:tc>
        <w:tc>
          <w:tcPr>
            <w:tcW w:w="1645" w:type="dxa"/>
            <w:vAlign w:val="center"/>
          </w:tcPr>
          <w:p>
            <w:pPr>
              <w:pStyle w:val="63"/>
              <w:rPr>
                <w:color w:val="FF0000"/>
                <w:u w:val="single"/>
              </w:rPr>
            </w:pPr>
            <w:r>
              <w:rPr>
                <w:color w:val="FF0000"/>
                <w:sz w:val="22"/>
                <w:u w:val="single"/>
              </w:rPr>
              <w:t>铜</w:t>
            </w:r>
          </w:p>
        </w:tc>
        <w:tc>
          <w:tcPr>
            <w:tcW w:w="1362" w:type="dxa"/>
            <w:vAlign w:val="center"/>
          </w:tcPr>
          <w:p>
            <w:pPr>
              <w:pStyle w:val="63"/>
              <w:rPr>
                <w:color w:val="FF0000"/>
                <w:u w:val="single"/>
              </w:rPr>
            </w:pPr>
            <w:r>
              <w:rPr>
                <w:color w:val="FF0000"/>
                <w:u w:val="single"/>
              </w:rPr>
              <w:t>一般固废</w:t>
            </w:r>
          </w:p>
        </w:tc>
        <w:tc>
          <w:tcPr>
            <w:tcW w:w="1648" w:type="dxa"/>
            <w:vAlign w:val="center"/>
          </w:tcPr>
          <w:p>
            <w:pPr>
              <w:pStyle w:val="63"/>
              <w:rPr>
                <w:color w:val="FF0000"/>
                <w:u w:val="single"/>
              </w:rPr>
            </w:pPr>
            <w:r>
              <w:rPr>
                <w:color w:val="FF0000"/>
                <w:u w:val="single"/>
              </w:rPr>
              <w:t>—</w:t>
            </w:r>
          </w:p>
        </w:tc>
        <w:tc>
          <w:tcPr>
            <w:tcW w:w="1702" w:type="dxa"/>
            <w:vMerge w:val="restart"/>
            <w:vAlign w:val="center"/>
          </w:tcPr>
          <w:p>
            <w:pPr>
              <w:pStyle w:val="63"/>
              <w:rPr>
                <w:color w:val="FF0000"/>
                <w:u w:val="single"/>
              </w:rPr>
            </w:pPr>
            <w:r>
              <w:rPr>
                <w:color w:val="FF0000"/>
                <w:u w:val="single"/>
              </w:rPr>
              <w:t>电池预处理工序</w:t>
            </w:r>
          </w:p>
        </w:tc>
        <w:tc>
          <w:tcPr>
            <w:tcW w:w="1701" w:type="dxa"/>
            <w:vAlign w:val="center"/>
          </w:tcPr>
          <w:p>
            <w:pPr>
              <w:pStyle w:val="63"/>
              <w:rPr>
                <w:color w:val="FF0000"/>
                <w:u w:val="single"/>
              </w:rPr>
            </w:pPr>
            <w:r>
              <w:rPr>
                <w:color w:val="FF0000"/>
                <w:sz w:val="22"/>
                <w:u w:val="single"/>
              </w:rPr>
              <w:t>铜</w:t>
            </w:r>
          </w:p>
        </w:tc>
        <w:tc>
          <w:tcPr>
            <w:tcW w:w="2125" w:type="dxa"/>
            <w:vAlign w:val="center"/>
          </w:tcPr>
          <w:p>
            <w:pPr>
              <w:pStyle w:val="63"/>
              <w:rPr>
                <w:color w:val="FF0000"/>
                <w:u w:val="single"/>
              </w:rPr>
            </w:pPr>
            <w:r>
              <w:rPr>
                <w:color w:val="FF0000"/>
                <w:sz w:val="22"/>
                <w:u w:val="single"/>
              </w:rPr>
              <w:t>2000</w:t>
            </w:r>
          </w:p>
        </w:tc>
        <w:tc>
          <w:tcPr>
            <w:tcW w:w="3294" w:type="dxa"/>
            <w:vAlign w:val="center"/>
          </w:tcPr>
          <w:p>
            <w:pPr>
              <w:pStyle w:val="63"/>
              <w:rPr>
                <w:color w:val="FF0000"/>
                <w:u w:val="single"/>
              </w:rPr>
            </w:pPr>
            <w:r>
              <w:rPr>
                <w:color w:val="FF0000"/>
                <w:u w:val="single"/>
              </w:rPr>
              <w:t>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8" w:type="dxa"/>
            <w:vMerge w:val="continue"/>
            <w:vAlign w:val="center"/>
          </w:tcPr>
          <w:p>
            <w:pPr>
              <w:pStyle w:val="63"/>
              <w:rPr>
                <w:color w:val="FF0000"/>
                <w:u w:val="single"/>
              </w:rPr>
            </w:pPr>
          </w:p>
        </w:tc>
        <w:tc>
          <w:tcPr>
            <w:tcW w:w="1645" w:type="dxa"/>
            <w:vAlign w:val="center"/>
          </w:tcPr>
          <w:p>
            <w:pPr>
              <w:pStyle w:val="63"/>
              <w:rPr>
                <w:color w:val="FF0000"/>
                <w:u w:val="single"/>
              </w:rPr>
            </w:pPr>
            <w:r>
              <w:rPr>
                <w:color w:val="FF0000"/>
                <w:sz w:val="22"/>
                <w:u w:val="single"/>
              </w:rPr>
              <w:t>铝</w:t>
            </w:r>
          </w:p>
        </w:tc>
        <w:tc>
          <w:tcPr>
            <w:tcW w:w="1362" w:type="dxa"/>
            <w:vAlign w:val="center"/>
          </w:tcPr>
          <w:p>
            <w:pPr>
              <w:pStyle w:val="63"/>
              <w:rPr>
                <w:color w:val="FF0000"/>
                <w:u w:val="single"/>
              </w:rPr>
            </w:pPr>
            <w:r>
              <w:rPr>
                <w:color w:val="FF0000"/>
                <w:u w:val="single"/>
              </w:rPr>
              <w:t>一般固废</w:t>
            </w:r>
          </w:p>
        </w:tc>
        <w:tc>
          <w:tcPr>
            <w:tcW w:w="1648" w:type="dxa"/>
            <w:vAlign w:val="center"/>
          </w:tcPr>
          <w:p>
            <w:pPr>
              <w:pStyle w:val="63"/>
              <w:rPr>
                <w:color w:val="FF0000"/>
                <w:u w:val="single"/>
              </w:rPr>
            </w:pPr>
            <w:r>
              <w:rPr>
                <w:color w:val="FF0000"/>
                <w:u w:val="single"/>
              </w:rPr>
              <w:t>—</w:t>
            </w:r>
          </w:p>
        </w:tc>
        <w:tc>
          <w:tcPr>
            <w:tcW w:w="1702" w:type="dxa"/>
            <w:vMerge w:val="continue"/>
            <w:vAlign w:val="center"/>
          </w:tcPr>
          <w:p>
            <w:pPr>
              <w:pStyle w:val="63"/>
              <w:rPr>
                <w:color w:val="FF0000"/>
                <w:u w:val="single"/>
              </w:rPr>
            </w:pPr>
          </w:p>
        </w:tc>
        <w:tc>
          <w:tcPr>
            <w:tcW w:w="1701" w:type="dxa"/>
            <w:vAlign w:val="center"/>
          </w:tcPr>
          <w:p>
            <w:pPr>
              <w:pStyle w:val="63"/>
              <w:rPr>
                <w:color w:val="FF0000"/>
                <w:u w:val="single"/>
              </w:rPr>
            </w:pPr>
            <w:r>
              <w:rPr>
                <w:color w:val="FF0000"/>
                <w:sz w:val="22"/>
                <w:u w:val="single"/>
              </w:rPr>
              <w:t>铝</w:t>
            </w:r>
          </w:p>
        </w:tc>
        <w:tc>
          <w:tcPr>
            <w:tcW w:w="2125" w:type="dxa"/>
            <w:vAlign w:val="center"/>
          </w:tcPr>
          <w:p>
            <w:pPr>
              <w:pStyle w:val="63"/>
              <w:rPr>
                <w:color w:val="FF0000"/>
                <w:u w:val="single"/>
              </w:rPr>
            </w:pPr>
            <w:r>
              <w:rPr>
                <w:color w:val="FF0000"/>
                <w:sz w:val="22"/>
                <w:u w:val="single"/>
              </w:rPr>
              <w:t>4900</w:t>
            </w:r>
          </w:p>
        </w:tc>
        <w:tc>
          <w:tcPr>
            <w:tcW w:w="3294" w:type="dxa"/>
            <w:vAlign w:val="center"/>
          </w:tcPr>
          <w:p>
            <w:pPr>
              <w:pStyle w:val="63"/>
              <w:rPr>
                <w:color w:val="FF0000"/>
                <w:u w:val="single"/>
              </w:rPr>
            </w:pPr>
            <w:r>
              <w:rPr>
                <w:color w:val="FF0000"/>
                <w:u w:val="single"/>
              </w:rPr>
              <w:t>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8" w:type="dxa"/>
            <w:vMerge w:val="continue"/>
            <w:vAlign w:val="center"/>
          </w:tcPr>
          <w:p>
            <w:pPr>
              <w:pStyle w:val="63"/>
              <w:rPr>
                <w:color w:val="FF0000"/>
                <w:u w:val="single"/>
              </w:rPr>
            </w:pPr>
          </w:p>
        </w:tc>
        <w:tc>
          <w:tcPr>
            <w:tcW w:w="1645" w:type="dxa"/>
            <w:vAlign w:val="center"/>
          </w:tcPr>
          <w:p>
            <w:pPr>
              <w:pStyle w:val="63"/>
              <w:rPr>
                <w:color w:val="FF0000"/>
                <w:u w:val="single"/>
              </w:rPr>
            </w:pPr>
            <w:r>
              <w:rPr>
                <w:color w:val="FF0000"/>
                <w:sz w:val="22"/>
                <w:u w:val="single"/>
              </w:rPr>
              <w:t>铁（桩头）</w:t>
            </w:r>
          </w:p>
        </w:tc>
        <w:tc>
          <w:tcPr>
            <w:tcW w:w="1362" w:type="dxa"/>
            <w:vAlign w:val="center"/>
          </w:tcPr>
          <w:p>
            <w:pPr>
              <w:pStyle w:val="63"/>
              <w:rPr>
                <w:color w:val="FF0000"/>
                <w:u w:val="single"/>
              </w:rPr>
            </w:pPr>
            <w:r>
              <w:rPr>
                <w:color w:val="FF0000"/>
                <w:u w:val="single"/>
              </w:rPr>
              <w:t>一般固废</w:t>
            </w:r>
          </w:p>
        </w:tc>
        <w:tc>
          <w:tcPr>
            <w:tcW w:w="1648" w:type="dxa"/>
            <w:vAlign w:val="center"/>
          </w:tcPr>
          <w:p>
            <w:pPr>
              <w:pStyle w:val="63"/>
              <w:rPr>
                <w:color w:val="FF0000"/>
                <w:u w:val="single"/>
              </w:rPr>
            </w:pPr>
            <w:r>
              <w:rPr>
                <w:color w:val="FF0000"/>
                <w:u w:val="single"/>
              </w:rPr>
              <w:t>—</w:t>
            </w:r>
          </w:p>
        </w:tc>
        <w:tc>
          <w:tcPr>
            <w:tcW w:w="1702" w:type="dxa"/>
            <w:vMerge w:val="continue"/>
            <w:vAlign w:val="center"/>
          </w:tcPr>
          <w:p>
            <w:pPr>
              <w:pStyle w:val="63"/>
              <w:rPr>
                <w:color w:val="FF0000"/>
                <w:u w:val="single"/>
              </w:rPr>
            </w:pPr>
          </w:p>
        </w:tc>
        <w:tc>
          <w:tcPr>
            <w:tcW w:w="1701" w:type="dxa"/>
            <w:vAlign w:val="center"/>
          </w:tcPr>
          <w:p>
            <w:pPr>
              <w:pStyle w:val="63"/>
              <w:rPr>
                <w:color w:val="FF0000"/>
                <w:u w:val="single"/>
              </w:rPr>
            </w:pPr>
            <w:r>
              <w:rPr>
                <w:color w:val="FF0000"/>
                <w:sz w:val="22"/>
                <w:u w:val="single"/>
              </w:rPr>
              <w:t>铁</w:t>
            </w:r>
          </w:p>
        </w:tc>
        <w:tc>
          <w:tcPr>
            <w:tcW w:w="2125" w:type="dxa"/>
            <w:vAlign w:val="center"/>
          </w:tcPr>
          <w:p>
            <w:pPr>
              <w:pStyle w:val="63"/>
              <w:rPr>
                <w:color w:val="FF0000"/>
                <w:u w:val="single"/>
              </w:rPr>
            </w:pPr>
            <w:r>
              <w:rPr>
                <w:color w:val="FF0000"/>
                <w:sz w:val="22"/>
                <w:u w:val="single"/>
              </w:rPr>
              <w:t>4200</w:t>
            </w:r>
          </w:p>
        </w:tc>
        <w:tc>
          <w:tcPr>
            <w:tcW w:w="3294" w:type="dxa"/>
            <w:vAlign w:val="center"/>
          </w:tcPr>
          <w:p>
            <w:pPr>
              <w:pStyle w:val="63"/>
              <w:rPr>
                <w:color w:val="FF0000"/>
                <w:u w:val="single"/>
              </w:rPr>
            </w:pPr>
            <w:r>
              <w:rPr>
                <w:color w:val="FF0000"/>
                <w:u w:val="single"/>
              </w:rPr>
              <w:t>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8" w:type="dxa"/>
            <w:vMerge w:val="continue"/>
            <w:vAlign w:val="center"/>
          </w:tcPr>
          <w:p>
            <w:pPr>
              <w:pStyle w:val="63"/>
              <w:rPr>
                <w:color w:val="FF0000"/>
                <w:u w:val="single"/>
              </w:rPr>
            </w:pPr>
          </w:p>
        </w:tc>
        <w:tc>
          <w:tcPr>
            <w:tcW w:w="1645" w:type="dxa"/>
            <w:vAlign w:val="center"/>
          </w:tcPr>
          <w:p>
            <w:pPr>
              <w:pStyle w:val="63"/>
              <w:rPr>
                <w:color w:val="FF0000"/>
                <w:u w:val="single"/>
              </w:rPr>
            </w:pPr>
            <w:r>
              <w:rPr>
                <w:color w:val="FF0000"/>
                <w:sz w:val="22"/>
                <w:u w:val="single"/>
              </w:rPr>
              <w:t>塑料外壳</w:t>
            </w:r>
          </w:p>
        </w:tc>
        <w:tc>
          <w:tcPr>
            <w:tcW w:w="1362" w:type="dxa"/>
            <w:vAlign w:val="center"/>
          </w:tcPr>
          <w:p>
            <w:pPr>
              <w:pStyle w:val="63"/>
              <w:rPr>
                <w:color w:val="FF0000"/>
                <w:u w:val="single"/>
              </w:rPr>
            </w:pPr>
            <w:r>
              <w:rPr>
                <w:color w:val="FF0000"/>
                <w:u w:val="single"/>
              </w:rPr>
              <w:t>一般固废</w:t>
            </w:r>
          </w:p>
        </w:tc>
        <w:tc>
          <w:tcPr>
            <w:tcW w:w="1648" w:type="dxa"/>
            <w:vAlign w:val="center"/>
          </w:tcPr>
          <w:p>
            <w:pPr>
              <w:pStyle w:val="63"/>
              <w:rPr>
                <w:color w:val="FF0000"/>
                <w:u w:val="single"/>
              </w:rPr>
            </w:pPr>
            <w:r>
              <w:rPr>
                <w:color w:val="FF0000"/>
                <w:u w:val="single"/>
              </w:rPr>
              <w:t>—</w:t>
            </w:r>
          </w:p>
        </w:tc>
        <w:tc>
          <w:tcPr>
            <w:tcW w:w="1702" w:type="dxa"/>
            <w:vMerge w:val="continue"/>
            <w:vAlign w:val="center"/>
          </w:tcPr>
          <w:p>
            <w:pPr>
              <w:pStyle w:val="63"/>
              <w:rPr>
                <w:color w:val="FF0000"/>
                <w:u w:val="single"/>
              </w:rPr>
            </w:pPr>
          </w:p>
        </w:tc>
        <w:tc>
          <w:tcPr>
            <w:tcW w:w="1701" w:type="dxa"/>
            <w:vAlign w:val="center"/>
          </w:tcPr>
          <w:p>
            <w:pPr>
              <w:pStyle w:val="63"/>
              <w:rPr>
                <w:color w:val="FF0000"/>
                <w:u w:val="single"/>
              </w:rPr>
            </w:pPr>
            <w:r>
              <w:rPr>
                <w:color w:val="FF0000"/>
                <w:u w:val="single"/>
              </w:rPr>
              <w:t>塑料</w:t>
            </w:r>
          </w:p>
        </w:tc>
        <w:tc>
          <w:tcPr>
            <w:tcW w:w="2125" w:type="dxa"/>
            <w:vAlign w:val="center"/>
          </w:tcPr>
          <w:p>
            <w:pPr>
              <w:pStyle w:val="63"/>
              <w:rPr>
                <w:color w:val="FF0000"/>
                <w:u w:val="single"/>
              </w:rPr>
            </w:pPr>
            <w:r>
              <w:rPr>
                <w:color w:val="FF0000"/>
                <w:sz w:val="22"/>
                <w:u w:val="single"/>
              </w:rPr>
              <w:t>2130</w:t>
            </w:r>
          </w:p>
        </w:tc>
        <w:tc>
          <w:tcPr>
            <w:tcW w:w="3294" w:type="dxa"/>
            <w:vAlign w:val="center"/>
          </w:tcPr>
          <w:p>
            <w:pPr>
              <w:pStyle w:val="63"/>
              <w:rPr>
                <w:color w:val="FF0000"/>
                <w:u w:val="single"/>
              </w:rPr>
            </w:pPr>
            <w:r>
              <w:rPr>
                <w:color w:val="FF0000"/>
                <w:u w:val="single"/>
              </w:rPr>
              <w:t>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8" w:type="dxa"/>
            <w:vMerge w:val="restart"/>
            <w:vAlign w:val="center"/>
          </w:tcPr>
          <w:p>
            <w:pPr>
              <w:pStyle w:val="63"/>
              <w:rPr>
                <w:color w:val="FF0000"/>
                <w:u w:val="single"/>
              </w:rPr>
            </w:pPr>
            <w:r>
              <w:rPr>
                <w:color w:val="FF0000"/>
                <w:u w:val="single"/>
              </w:rPr>
              <w:t>2</w:t>
            </w:r>
          </w:p>
        </w:tc>
        <w:tc>
          <w:tcPr>
            <w:tcW w:w="1645" w:type="dxa"/>
            <w:vAlign w:val="center"/>
          </w:tcPr>
          <w:p>
            <w:pPr>
              <w:pStyle w:val="63"/>
              <w:rPr>
                <w:color w:val="FF0000"/>
                <w:u w:val="single"/>
              </w:rPr>
            </w:pPr>
            <w:r>
              <w:rPr>
                <w:color w:val="FF0000"/>
                <w:u w:val="single"/>
              </w:rPr>
              <w:t>石墨</w:t>
            </w:r>
          </w:p>
        </w:tc>
        <w:tc>
          <w:tcPr>
            <w:tcW w:w="1362" w:type="dxa"/>
            <w:vMerge w:val="restart"/>
            <w:vAlign w:val="center"/>
          </w:tcPr>
          <w:p>
            <w:pPr>
              <w:pStyle w:val="63"/>
              <w:rPr>
                <w:color w:val="FF0000"/>
                <w:u w:val="single"/>
              </w:rPr>
            </w:pPr>
            <w:r>
              <w:rPr>
                <w:color w:val="FF0000"/>
                <w:u w:val="single"/>
              </w:rPr>
              <w:t>一般固废</w:t>
            </w:r>
            <w:r>
              <w:rPr>
                <w:rFonts w:hint="eastAsia"/>
                <w:color w:val="FF0000"/>
                <w:u w:val="single"/>
              </w:rPr>
              <w:t>/</w:t>
            </w:r>
            <w:r>
              <w:rPr>
                <w:color w:val="FF0000"/>
                <w:u w:val="single"/>
              </w:rPr>
              <w:t>危险废物</w:t>
            </w:r>
          </w:p>
        </w:tc>
        <w:tc>
          <w:tcPr>
            <w:tcW w:w="1648" w:type="dxa"/>
            <w:vAlign w:val="center"/>
          </w:tcPr>
          <w:p>
            <w:pPr>
              <w:pStyle w:val="63"/>
              <w:rPr>
                <w:color w:val="FF0000"/>
                <w:u w:val="single"/>
              </w:rPr>
            </w:pPr>
            <w:r>
              <w:rPr>
                <w:color w:val="FF0000"/>
                <w:u w:val="single"/>
              </w:rPr>
              <w:t>—</w:t>
            </w:r>
          </w:p>
        </w:tc>
        <w:tc>
          <w:tcPr>
            <w:tcW w:w="1702" w:type="dxa"/>
            <w:vMerge w:val="restart"/>
            <w:vAlign w:val="center"/>
          </w:tcPr>
          <w:p>
            <w:pPr>
              <w:pStyle w:val="63"/>
              <w:rPr>
                <w:color w:val="FF0000"/>
                <w:u w:val="single"/>
              </w:rPr>
            </w:pPr>
            <w:r>
              <w:rPr>
                <w:color w:val="FF0000"/>
                <w:u w:val="single"/>
              </w:rPr>
              <w:t>浸出工序</w:t>
            </w:r>
          </w:p>
        </w:tc>
        <w:tc>
          <w:tcPr>
            <w:tcW w:w="1701" w:type="dxa"/>
            <w:vAlign w:val="center"/>
          </w:tcPr>
          <w:p>
            <w:pPr>
              <w:pStyle w:val="63"/>
              <w:rPr>
                <w:color w:val="FF0000"/>
                <w:u w:val="single"/>
              </w:rPr>
            </w:pPr>
            <w:r>
              <w:rPr>
                <w:color w:val="FF0000"/>
                <w:u w:val="single"/>
              </w:rPr>
              <w:t>石墨</w:t>
            </w:r>
          </w:p>
        </w:tc>
        <w:tc>
          <w:tcPr>
            <w:tcW w:w="2125" w:type="dxa"/>
            <w:vAlign w:val="center"/>
          </w:tcPr>
          <w:p>
            <w:pPr>
              <w:pStyle w:val="63"/>
              <w:rPr>
                <w:color w:val="FF0000"/>
                <w:u w:val="single"/>
              </w:rPr>
            </w:pPr>
            <w:r>
              <w:rPr>
                <w:color w:val="FF0000"/>
                <w:u w:val="single"/>
              </w:rPr>
              <w:t>6594</w:t>
            </w:r>
          </w:p>
        </w:tc>
        <w:tc>
          <w:tcPr>
            <w:tcW w:w="3294" w:type="dxa"/>
            <w:vMerge w:val="restart"/>
            <w:vAlign w:val="center"/>
          </w:tcPr>
          <w:p>
            <w:pPr>
              <w:pStyle w:val="63"/>
              <w:rPr>
                <w:color w:val="FF0000"/>
                <w:u w:val="single"/>
              </w:rPr>
            </w:pPr>
            <w:r>
              <w:rPr>
                <w:rFonts w:hint="eastAsia"/>
                <w:color w:val="FF0000"/>
                <w:u w:val="single"/>
              </w:rPr>
              <w:t>投产后进行危险废物鉴定，根据鉴定结果进行处置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8" w:type="dxa"/>
            <w:vMerge w:val="continue"/>
            <w:vAlign w:val="center"/>
          </w:tcPr>
          <w:p>
            <w:pPr>
              <w:pStyle w:val="63"/>
              <w:rPr>
                <w:color w:val="FF0000"/>
                <w:u w:val="single"/>
              </w:rPr>
            </w:pPr>
          </w:p>
        </w:tc>
        <w:tc>
          <w:tcPr>
            <w:tcW w:w="1645" w:type="dxa"/>
            <w:vAlign w:val="center"/>
          </w:tcPr>
          <w:p>
            <w:pPr>
              <w:pStyle w:val="63"/>
              <w:rPr>
                <w:color w:val="FF0000"/>
                <w:u w:val="single"/>
              </w:rPr>
            </w:pPr>
            <w:r>
              <w:rPr>
                <w:color w:val="FF0000"/>
                <w:u w:val="single"/>
              </w:rPr>
              <w:t>铁铝渣</w:t>
            </w:r>
          </w:p>
        </w:tc>
        <w:tc>
          <w:tcPr>
            <w:tcW w:w="1362" w:type="dxa"/>
            <w:vMerge w:val="continue"/>
            <w:vAlign w:val="center"/>
          </w:tcPr>
          <w:p>
            <w:pPr>
              <w:pStyle w:val="63"/>
              <w:rPr>
                <w:color w:val="FF0000"/>
                <w:u w:val="single"/>
              </w:rPr>
            </w:pPr>
          </w:p>
        </w:tc>
        <w:tc>
          <w:tcPr>
            <w:tcW w:w="1648" w:type="dxa"/>
            <w:vAlign w:val="center"/>
          </w:tcPr>
          <w:p>
            <w:pPr>
              <w:pStyle w:val="63"/>
              <w:rPr>
                <w:color w:val="FF0000"/>
                <w:u w:val="single"/>
              </w:rPr>
            </w:pPr>
            <w:r>
              <w:rPr>
                <w:color w:val="FF0000"/>
                <w:u w:val="single"/>
              </w:rPr>
              <w:t>—</w:t>
            </w:r>
          </w:p>
        </w:tc>
        <w:tc>
          <w:tcPr>
            <w:tcW w:w="1702" w:type="dxa"/>
            <w:vMerge w:val="continue"/>
            <w:vAlign w:val="center"/>
          </w:tcPr>
          <w:p>
            <w:pPr>
              <w:pStyle w:val="63"/>
              <w:rPr>
                <w:color w:val="FF0000"/>
                <w:u w:val="single"/>
              </w:rPr>
            </w:pPr>
          </w:p>
        </w:tc>
        <w:tc>
          <w:tcPr>
            <w:tcW w:w="1701" w:type="dxa"/>
            <w:vAlign w:val="center"/>
          </w:tcPr>
          <w:p>
            <w:pPr>
              <w:pStyle w:val="63"/>
              <w:rPr>
                <w:color w:val="FF0000"/>
                <w:u w:val="single"/>
              </w:rPr>
            </w:pPr>
            <w:r>
              <w:rPr>
                <w:color w:val="FF0000"/>
                <w:u w:val="single"/>
              </w:rPr>
              <w:t>铁、铝等</w:t>
            </w:r>
          </w:p>
        </w:tc>
        <w:tc>
          <w:tcPr>
            <w:tcW w:w="2125" w:type="dxa"/>
            <w:vAlign w:val="center"/>
          </w:tcPr>
          <w:p>
            <w:pPr>
              <w:pStyle w:val="63"/>
              <w:rPr>
                <w:color w:val="FF0000"/>
                <w:u w:val="single"/>
              </w:rPr>
            </w:pPr>
            <w:r>
              <w:rPr>
                <w:color w:val="FF0000"/>
                <w:u w:val="single"/>
              </w:rPr>
              <w:t>4154</w:t>
            </w:r>
          </w:p>
        </w:tc>
        <w:tc>
          <w:tcPr>
            <w:tcW w:w="3294" w:type="dxa"/>
            <w:vMerge w:val="continue"/>
            <w:vAlign w:val="center"/>
          </w:tcPr>
          <w:p>
            <w:pPr>
              <w:pStyle w:val="63"/>
              <w:rPr>
                <w:color w:val="FF0000"/>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8" w:type="dxa"/>
            <w:vAlign w:val="center"/>
          </w:tcPr>
          <w:p>
            <w:pPr>
              <w:pStyle w:val="63"/>
              <w:rPr>
                <w:color w:val="FF0000"/>
                <w:u w:val="single"/>
              </w:rPr>
            </w:pPr>
            <w:r>
              <w:rPr>
                <w:color w:val="FF0000"/>
                <w:u w:val="single"/>
              </w:rPr>
              <w:t>3</w:t>
            </w:r>
          </w:p>
        </w:tc>
        <w:tc>
          <w:tcPr>
            <w:tcW w:w="1645" w:type="dxa"/>
            <w:vAlign w:val="center"/>
          </w:tcPr>
          <w:p>
            <w:pPr>
              <w:pStyle w:val="63"/>
              <w:rPr>
                <w:color w:val="FF0000"/>
                <w:u w:val="single"/>
              </w:rPr>
            </w:pPr>
            <w:r>
              <w:rPr>
                <w:color w:val="FF0000"/>
                <w:u w:val="single"/>
              </w:rPr>
              <w:t>硫酸钠盐类物质</w:t>
            </w:r>
            <w:r>
              <w:rPr>
                <w:rFonts w:hint="eastAsia"/>
                <w:color w:val="FF0000"/>
                <w:u w:val="single"/>
              </w:rPr>
              <w:t>副产品</w:t>
            </w:r>
          </w:p>
        </w:tc>
        <w:tc>
          <w:tcPr>
            <w:tcW w:w="1362" w:type="dxa"/>
            <w:vAlign w:val="center"/>
          </w:tcPr>
          <w:p>
            <w:pPr>
              <w:pStyle w:val="63"/>
              <w:rPr>
                <w:color w:val="FF0000"/>
                <w:u w:val="single"/>
              </w:rPr>
            </w:pPr>
            <w:r>
              <w:rPr>
                <w:color w:val="FF0000"/>
                <w:u w:val="single"/>
              </w:rPr>
              <w:t>一般固废</w:t>
            </w:r>
          </w:p>
          <w:p>
            <w:pPr>
              <w:pStyle w:val="63"/>
              <w:rPr>
                <w:color w:val="FF0000"/>
                <w:u w:val="single"/>
              </w:rPr>
            </w:pPr>
            <w:r>
              <w:rPr>
                <w:color w:val="FF0000"/>
                <w:u w:val="single"/>
              </w:rPr>
              <w:t>危险废物</w:t>
            </w:r>
          </w:p>
        </w:tc>
        <w:tc>
          <w:tcPr>
            <w:tcW w:w="1648" w:type="dxa"/>
            <w:vAlign w:val="center"/>
          </w:tcPr>
          <w:p>
            <w:pPr>
              <w:pStyle w:val="63"/>
              <w:rPr>
                <w:color w:val="FF0000"/>
                <w:u w:val="single"/>
              </w:rPr>
            </w:pPr>
            <w:r>
              <w:rPr>
                <w:color w:val="FF0000"/>
                <w:u w:val="single"/>
              </w:rPr>
              <w:t>—</w:t>
            </w:r>
          </w:p>
        </w:tc>
        <w:tc>
          <w:tcPr>
            <w:tcW w:w="1702" w:type="dxa"/>
            <w:vAlign w:val="center"/>
          </w:tcPr>
          <w:p>
            <w:pPr>
              <w:pStyle w:val="63"/>
              <w:rPr>
                <w:color w:val="FF0000"/>
                <w:u w:val="single"/>
              </w:rPr>
            </w:pPr>
            <w:r>
              <w:rPr>
                <w:color w:val="FF0000"/>
                <w:u w:val="single"/>
              </w:rPr>
              <w:t>MVR高效蒸发</w:t>
            </w:r>
          </w:p>
        </w:tc>
        <w:tc>
          <w:tcPr>
            <w:tcW w:w="1701" w:type="dxa"/>
            <w:vAlign w:val="center"/>
          </w:tcPr>
          <w:p>
            <w:pPr>
              <w:pStyle w:val="63"/>
              <w:rPr>
                <w:color w:val="FF0000"/>
                <w:u w:val="single"/>
              </w:rPr>
            </w:pPr>
            <w:r>
              <w:rPr>
                <w:color w:val="FF0000"/>
                <w:u w:val="single"/>
              </w:rPr>
              <w:t>硫酸钠</w:t>
            </w:r>
          </w:p>
        </w:tc>
        <w:tc>
          <w:tcPr>
            <w:tcW w:w="2125" w:type="dxa"/>
            <w:vAlign w:val="center"/>
          </w:tcPr>
          <w:p>
            <w:pPr>
              <w:pStyle w:val="63"/>
              <w:rPr>
                <w:color w:val="FF0000"/>
                <w:u w:val="single"/>
              </w:rPr>
            </w:pPr>
            <w:r>
              <w:rPr>
                <w:color w:val="FF0000"/>
                <w:u w:val="single"/>
              </w:rPr>
              <w:t>22381.6</w:t>
            </w:r>
          </w:p>
        </w:tc>
        <w:tc>
          <w:tcPr>
            <w:tcW w:w="3294" w:type="dxa"/>
            <w:vAlign w:val="center"/>
          </w:tcPr>
          <w:p>
            <w:pPr>
              <w:pStyle w:val="63"/>
              <w:rPr>
                <w:color w:val="FF0000"/>
                <w:u w:val="single"/>
              </w:rPr>
            </w:pPr>
            <w:r>
              <w:rPr>
                <w:rFonts w:hint="eastAsia"/>
                <w:color w:val="FF0000"/>
                <w:u w:val="single"/>
              </w:rPr>
              <w:t>待该硫酸钠盐类物质副产品产生后，应进行产品质量鉴定，若鉴别结果符合相关要求，可作为副产品外售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8" w:type="dxa"/>
            <w:vAlign w:val="center"/>
          </w:tcPr>
          <w:p>
            <w:pPr>
              <w:pStyle w:val="63"/>
              <w:rPr>
                <w:color w:val="FF0000"/>
                <w:u w:val="single"/>
              </w:rPr>
            </w:pPr>
            <w:r>
              <w:rPr>
                <w:color w:val="FF0000"/>
                <w:u w:val="single"/>
              </w:rPr>
              <w:t>4</w:t>
            </w:r>
          </w:p>
        </w:tc>
        <w:tc>
          <w:tcPr>
            <w:tcW w:w="1645" w:type="dxa"/>
            <w:vAlign w:val="center"/>
          </w:tcPr>
          <w:p>
            <w:pPr>
              <w:pStyle w:val="63"/>
              <w:rPr>
                <w:color w:val="FF0000"/>
                <w:u w:val="single"/>
              </w:rPr>
            </w:pPr>
            <w:r>
              <w:rPr>
                <w:color w:val="FF0000"/>
                <w:u w:val="single"/>
              </w:rPr>
              <w:t>氟化钙</w:t>
            </w:r>
          </w:p>
        </w:tc>
        <w:tc>
          <w:tcPr>
            <w:tcW w:w="1362" w:type="dxa"/>
            <w:vAlign w:val="center"/>
          </w:tcPr>
          <w:p>
            <w:pPr>
              <w:pStyle w:val="63"/>
              <w:rPr>
                <w:color w:val="FF0000"/>
                <w:u w:val="single"/>
              </w:rPr>
            </w:pPr>
            <w:r>
              <w:rPr>
                <w:color w:val="FF0000"/>
                <w:u w:val="single"/>
              </w:rPr>
              <w:t>一般固废</w:t>
            </w:r>
            <w:r>
              <w:rPr>
                <w:rFonts w:hint="eastAsia"/>
                <w:color w:val="FF0000"/>
                <w:u w:val="single"/>
              </w:rPr>
              <w:t>/</w:t>
            </w:r>
            <w:r>
              <w:rPr>
                <w:color w:val="FF0000"/>
                <w:u w:val="single"/>
              </w:rPr>
              <w:t>危险废物</w:t>
            </w:r>
          </w:p>
        </w:tc>
        <w:tc>
          <w:tcPr>
            <w:tcW w:w="1648" w:type="dxa"/>
            <w:vAlign w:val="center"/>
          </w:tcPr>
          <w:p>
            <w:pPr>
              <w:pStyle w:val="63"/>
              <w:rPr>
                <w:color w:val="FF0000"/>
                <w:u w:val="single"/>
              </w:rPr>
            </w:pPr>
            <w:r>
              <w:rPr>
                <w:color w:val="FF0000"/>
                <w:u w:val="single"/>
              </w:rPr>
              <w:t>—</w:t>
            </w:r>
          </w:p>
        </w:tc>
        <w:tc>
          <w:tcPr>
            <w:tcW w:w="1702" w:type="dxa"/>
            <w:vAlign w:val="center"/>
          </w:tcPr>
          <w:p>
            <w:pPr>
              <w:pStyle w:val="63"/>
              <w:rPr>
                <w:color w:val="FF0000"/>
                <w:u w:val="single"/>
              </w:rPr>
            </w:pPr>
            <w:r>
              <w:rPr>
                <w:color w:val="FF0000"/>
                <w:u w:val="single"/>
              </w:rPr>
              <w:t>废水处理</w:t>
            </w:r>
          </w:p>
        </w:tc>
        <w:tc>
          <w:tcPr>
            <w:tcW w:w="1701" w:type="dxa"/>
            <w:vAlign w:val="center"/>
          </w:tcPr>
          <w:p>
            <w:pPr>
              <w:pStyle w:val="63"/>
              <w:rPr>
                <w:color w:val="FF0000"/>
                <w:u w:val="single"/>
              </w:rPr>
            </w:pPr>
            <w:r>
              <w:rPr>
                <w:color w:val="FF0000"/>
                <w:u w:val="single"/>
              </w:rPr>
              <w:t>镍、锰、氟化钙</w:t>
            </w:r>
          </w:p>
        </w:tc>
        <w:tc>
          <w:tcPr>
            <w:tcW w:w="2125" w:type="dxa"/>
            <w:vAlign w:val="center"/>
          </w:tcPr>
          <w:p>
            <w:pPr>
              <w:pStyle w:val="63"/>
              <w:rPr>
                <w:color w:val="FF0000"/>
                <w:u w:val="single"/>
              </w:rPr>
            </w:pPr>
            <w:r>
              <w:rPr>
                <w:color w:val="FF0000"/>
                <w:u w:val="single"/>
              </w:rPr>
              <w:t>607.56</w:t>
            </w:r>
          </w:p>
        </w:tc>
        <w:tc>
          <w:tcPr>
            <w:tcW w:w="3294" w:type="dxa"/>
            <w:vAlign w:val="center"/>
          </w:tcPr>
          <w:p>
            <w:pPr>
              <w:pStyle w:val="63"/>
              <w:rPr>
                <w:color w:val="FF0000"/>
                <w:u w:val="single"/>
              </w:rPr>
            </w:pPr>
            <w:r>
              <w:rPr>
                <w:rFonts w:hint="eastAsia"/>
                <w:color w:val="FF0000"/>
                <w:u w:val="single"/>
              </w:rPr>
              <w:t>投产后进行危险废物鉴定，根据鉴定结果进行处置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8" w:type="dxa"/>
            <w:vAlign w:val="center"/>
          </w:tcPr>
          <w:p>
            <w:pPr>
              <w:pStyle w:val="63"/>
              <w:rPr>
                <w:color w:val="FF0000"/>
                <w:u w:val="single"/>
              </w:rPr>
            </w:pPr>
            <w:r>
              <w:rPr>
                <w:color w:val="FF0000"/>
                <w:u w:val="single"/>
              </w:rPr>
              <w:t>5</w:t>
            </w:r>
          </w:p>
        </w:tc>
        <w:tc>
          <w:tcPr>
            <w:tcW w:w="1645" w:type="dxa"/>
            <w:vAlign w:val="center"/>
          </w:tcPr>
          <w:p>
            <w:pPr>
              <w:pStyle w:val="63"/>
              <w:rPr>
                <w:color w:val="FF0000"/>
                <w:u w:val="single"/>
              </w:rPr>
            </w:pPr>
            <w:r>
              <w:rPr>
                <w:color w:val="FF0000"/>
                <w:u w:val="single"/>
              </w:rPr>
              <w:t>废弃离子交换树脂</w:t>
            </w:r>
          </w:p>
        </w:tc>
        <w:tc>
          <w:tcPr>
            <w:tcW w:w="1362" w:type="dxa"/>
            <w:vAlign w:val="center"/>
          </w:tcPr>
          <w:p>
            <w:pPr>
              <w:pStyle w:val="63"/>
              <w:rPr>
                <w:color w:val="FF0000"/>
                <w:u w:val="single"/>
              </w:rPr>
            </w:pPr>
            <w:r>
              <w:rPr>
                <w:color w:val="FF0000"/>
                <w:u w:val="single"/>
              </w:rPr>
              <w:t>一般固废</w:t>
            </w:r>
          </w:p>
        </w:tc>
        <w:tc>
          <w:tcPr>
            <w:tcW w:w="1648" w:type="dxa"/>
            <w:vAlign w:val="center"/>
          </w:tcPr>
          <w:p>
            <w:pPr>
              <w:pStyle w:val="63"/>
              <w:rPr>
                <w:color w:val="FF0000"/>
                <w:u w:val="single"/>
              </w:rPr>
            </w:pPr>
            <w:r>
              <w:rPr>
                <w:color w:val="FF0000"/>
                <w:u w:val="single"/>
              </w:rPr>
              <w:t>—</w:t>
            </w:r>
          </w:p>
        </w:tc>
        <w:tc>
          <w:tcPr>
            <w:tcW w:w="1702" w:type="dxa"/>
            <w:vMerge w:val="restart"/>
            <w:vAlign w:val="center"/>
          </w:tcPr>
          <w:p>
            <w:pPr>
              <w:pStyle w:val="63"/>
              <w:rPr>
                <w:color w:val="FF0000"/>
                <w:u w:val="single"/>
              </w:rPr>
            </w:pPr>
            <w:r>
              <w:rPr>
                <w:color w:val="FF0000"/>
                <w:u w:val="single"/>
              </w:rPr>
              <w:t>纯水制备</w:t>
            </w:r>
          </w:p>
        </w:tc>
        <w:tc>
          <w:tcPr>
            <w:tcW w:w="1701" w:type="dxa"/>
            <w:vAlign w:val="center"/>
          </w:tcPr>
          <w:p>
            <w:pPr>
              <w:pStyle w:val="63"/>
              <w:rPr>
                <w:color w:val="FF0000"/>
                <w:u w:val="single"/>
              </w:rPr>
            </w:pPr>
            <w:r>
              <w:rPr>
                <w:color w:val="FF0000"/>
                <w:u w:val="single"/>
              </w:rPr>
              <w:t>树脂</w:t>
            </w:r>
          </w:p>
        </w:tc>
        <w:tc>
          <w:tcPr>
            <w:tcW w:w="2125" w:type="dxa"/>
            <w:vAlign w:val="center"/>
          </w:tcPr>
          <w:p>
            <w:pPr>
              <w:pStyle w:val="63"/>
              <w:rPr>
                <w:color w:val="FF0000"/>
                <w:u w:val="single"/>
              </w:rPr>
            </w:pPr>
            <w:r>
              <w:rPr>
                <w:color w:val="FF0000"/>
                <w:u w:val="single"/>
              </w:rPr>
              <w:t>1.5</w:t>
            </w:r>
          </w:p>
        </w:tc>
        <w:tc>
          <w:tcPr>
            <w:tcW w:w="3294" w:type="dxa"/>
            <w:vAlign w:val="center"/>
          </w:tcPr>
          <w:p>
            <w:pPr>
              <w:pStyle w:val="63"/>
              <w:rPr>
                <w:color w:val="FF0000"/>
                <w:u w:val="single"/>
              </w:rPr>
            </w:pPr>
            <w:r>
              <w:rPr>
                <w:color w:val="FF0000"/>
                <w:u w:val="single"/>
              </w:rPr>
              <w:t>交由环卫部门处理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8" w:type="dxa"/>
            <w:vAlign w:val="center"/>
          </w:tcPr>
          <w:p>
            <w:pPr>
              <w:pStyle w:val="63"/>
              <w:rPr>
                <w:color w:val="FF0000"/>
                <w:u w:val="single"/>
              </w:rPr>
            </w:pPr>
            <w:r>
              <w:rPr>
                <w:color w:val="FF0000"/>
                <w:u w:val="single"/>
              </w:rPr>
              <w:t>6</w:t>
            </w:r>
          </w:p>
        </w:tc>
        <w:tc>
          <w:tcPr>
            <w:tcW w:w="1645" w:type="dxa"/>
            <w:vAlign w:val="center"/>
          </w:tcPr>
          <w:p>
            <w:pPr>
              <w:pStyle w:val="63"/>
              <w:rPr>
                <w:color w:val="FF0000"/>
                <w:u w:val="single"/>
              </w:rPr>
            </w:pPr>
            <w:r>
              <w:rPr>
                <w:color w:val="FF0000"/>
                <w:u w:val="single"/>
              </w:rPr>
              <w:t>废活性炭</w:t>
            </w:r>
          </w:p>
        </w:tc>
        <w:tc>
          <w:tcPr>
            <w:tcW w:w="1362" w:type="dxa"/>
            <w:vAlign w:val="center"/>
          </w:tcPr>
          <w:p>
            <w:pPr>
              <w:pStyle w:val="63"/>
              <w:rPr>
                <w:color w:val="FF0000"/>
                <w:u w:val="single"/>
              </w:rPr>
            </w:pPr>
            <w:r>
              <w:rPr>
                <w:color w:val="FF0000"/>
                <w:u w:val="single"/>
              </w:rPr>
              <w:t>一般固废</w:t>
            </w:r>
          </w:p>
        </w:tc>
        <w:tc>
          <w:tcPr>
            <w:tcW w:w="1648" w:type="dxa"/>
            <w:vAlign w:val="center"/>
          </w:tcPr>
          <w:p>
            <w:pPr>
              <w:pStyle w:val="63"/>
              <w:rPr>
                <w:color w:val="FF0000"/>
                <w:u w:val="single"/>
              </w:rPr>
            </w:pPr>
            <w:r>
              <w:rPr>
                <w:color w:val="FF0000"/>
                <w:u w:val="single"/>
              </w:rPr>
              <w:t>—</w:t>
            </w:r>
          </w:p>
        </w:tc>
        <w:tc>
          <w:tcPr>
            <w:tcW w:w="1702" w:type="dxa"/>
            <w:vMerge w:val="continue"/>
            <w:vAlign w:val="center"/>
          </w:tcPr>
          <w:p>
            <w:pPr>
              <w:pStyle w:val="63"/>
              <w:rPr>
                <w:color w:val="FF0000"/>
                <w:u w:val="single"/>
              </w:rPr>
            </w:pPr>
          </w:p>
        </w:tc>
        <w:tc>
          <w:tcPr>
            <w:tcW w:w="1701" w:type="dxa"/>
            <w:vAlign w:val="center"/>
          </w:tcPr>
          <w:p>
            <w:pPr>
              <w:pStyle w:val="63"/>
              <w:rPr>
                <w:color w:val="FF0000"/>
                <w:u w:val="single"/>
              </w:rPr>
            </w:pPr>
            <w:r>
              <w:rPr>
                <w:color w:val="FF0000"/>
                <w:u w:val="single"/>
              </w:rPr>
              <w:t>活性炭</w:t>
            </w:r>
          </w:p>
        </w:tc>
        <w:tc>
          <w:tcPr>
            <w:tcW w:w="2125" w:type="dxa"/>
            <w:vAlign w:val="center"/>
          </w:tcPr>
          <w:p>
            <w:pPr>
              <w:pStyle w:val="63"/>
              <w:rPr>
                <w:color w:val="FF0000"/>
                <w:u w:val="single"/>
              </w:rPr>
            </w:pPr>
            <w:r>
              <w:rPr>
                <w:color w:val="FF0000"/>
                <w:u w:val="single"/>
              </w:rPr>
              <w:t>1</w:t>
            </w:r>
          </w:p>
        </w:tc>
        <w:tc>
          <w:tcPr>
            <w:tcW w:w="3294" w:type="dxa"/>
            <w:vAlign w:val="center"/>
          </w:tcPr>
          <w:p>
            <w:pPr>
              <w:pStyle w:val="63"/>
              <w:rPr>
                <w:color w:val="FF0000"/>
                <w:u w:val="single"/>
              </w:rPr>
            </w:pPr>
            <w:r>
              <w:rPr>
                <w:color w:val="FF0000"/>
                <w:u w:val="single"/>
              </w:rPr>
              <w:t>交由环卫部门处理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8" w:type="dxa"/>
            <w:vAlign w:val="center"/>
          </w:tcPr>
          <w:p>
            <w:pPr>
              <w:pStyle w:val="63"/>
              <w:rPr>
                <w:color w:val="FF0000"/>
                <w:u w:val="single"/>
              </w:rPr>
            </w:pPr>
            <w:r>
              <w:rPr>
                <w:color w:val="FF0000"/>
                <w:u w:val="single"/>
              </w:rPr>
              <w:t>7</w:t>
            </w:r>
          </w:p>
        </w:tc>
        <w:tc>
          <w:tcPr>
            <w:tcW w:w="1645" w:type="dxa"/>
            <w:vAlign w:val="center"/>
          </w:tcPr>
          <w:p>
            <w:pPr>
              <w:pStyle w:val="63"/>
              <w:rPr>
                <w:color w:val="FF0000"/>
                <w:u w:val="single"/>
              </w:rPr>
            </w:pPr>
            <w:r>
              <w:rPr>
                <w:rFonts w:hint="eastAsia"/>
                <w:color w:val="FF0000"/>
                <w:u w:val="single"/>
              </w:rPr>
              <w:t>炉渣</w:t>
            </w:r>
          </w:p>
        </w:tc>
        <w:tc>
          <w:tcPr>
            <w:tcW w:w="1362" w:type="dxa"/>
            <w:vAlign w:val="center"/>
          </w:tcPr>
          <w:p>
            <w:pPr>
              <w:pStyle w:val="63"/>
              <w:rPr>
                <w:color w:val="FF0000"/>
                <w:u w:val="single"/>
              </w:rPr>
            </w:pPr>
            <w:r>
              <w:rPr>
                <w:color w:val="FF0000"/>
                <w:u w:val="single"/>
              </w:rPr>
              <w:t>一般固废</w:t>
            </w:r>
          </w:p>
        </w:tc>
        <w:tc>
          <w:tcPr>
            <w:tcW w:w="1648" w:type="dxa"/>
            <w:vAlign w:val="center"/>
          </w:tcPr>
          <w:p>
            <w:pPr>
              <w:pStyle w:val="63"/>
              <w:rPr>
                <w:color w:val="FF0000"/>
                <w:u w:val="single"/>
              </w:rPr>
            </w:pPr>
            <w:r>
              <w:rPr>
                <w:color w:val="FF0000"/>
                <w:u w:val="single"/>
              </w:rPr>
              <w:t>—</w:t>
            </w:r>
          </w:p>
        </w:tc>
        <w:tc>
          <w:tcPr>
            <w:tcW w:w="1702" w:type="dxa"/>
            <w:vMerge w:val="restart"/>
            <w:vAlign w:val="center"/>
          </w:tcPr>
          <w:p>
            <w:pPr>
              <w:pStyle w:val="63"/>
              <w:rPr>
                <w:color w:val="FF0000"/>
                <w:u w:val="single"/>
              </w:rPr>
            </w:pPr>
            <w:r>
              <w:rPr>
                <w:rFonts w:hint="eastAsia"/>
                <w:color w:val="FF0000"/>
                <w:u w:val="single"/>
              </w:rPr>
              <w:t>锅炉燃烧</w:t>
            </w:r>
          </w:p>
        </w:tc>
        <w:tc>
          <w:tcPr>
            <w:tcW w:w="1701" w:type="dxa"/>
            <w:vAlign w:val="center"/>
          </w:tcPr>
          <w:p>
            <w:pPr>
              <w:pStyle w:val="63"/>
              <w:rPr>
                <w:color w:val="FF0000"/>
                <w:u w:val="single"/>
              </w:rPr>
            </w:pPr>
            <w:r>
              <w:rPr>
                <w:rFonts w:hint="eastAsia"/>
                <w:color w:val="FF0000"/>
                <w:u w:val="single"/>
              </w:rPr>
              <w:t>/</w:t>
            </w:r>
          </w:p>
        </w:tc>
        <w:tc>
          <w:tcPr>
            <w:tcW w:w="2125" w:type="dxa"/>
            <w:vAlign w:val="center"/>
          </w:tcPr>
          <w:p>
            <w:pPr>
              <w:pStyle w:val="63"/>
              <w:rPr>
                <w:color w:val="FF0000"/>
                <w:u w:val="single"/>
              </w:rPr>
            </w:pPr>
            <w:r>
              <w:rPr>
                <w:color w:val="FF0000"/>
                <w:u w:val="single"/>
              </w:rPr>
              <w:t>458.784</w:t>
            </w:r>
          </w:p>
        </w:tc>
        <w:tc>
          <w:tcPr>
            <w:tcW w:w="3294" w:type="dxa"/>
            <w:vMerge w:val="restart"/>
            <w:vAlign w:val="center"/>
          </w:tcPr>
          <w:p>
            <w:pPr>
              <w:pStyle w:val="63"/>
              <w:rPr>
                <w:color w:val="FF0000"/>
                <w:u w:val="single"/>
              </w:rPr>
            </w:pPr>
            <w:r>
              <w:rPr>
                <w:rFonts w:hint="eastAsia"/>
                <w:color w:val="FF0000"/>
                <w:u w:val="single"/>
              </w:rPr>
              <w:t>分类暂存，定期清运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8" w:type="dxa"/>
            <w:vAlign w:val="center"/>
          </w:tcPr>
          <w:p>
            <w:pPr>
              <w:pStyle w:val="63"/>
              <w:rPr>
                <w:color w:val="FF0000"/>
                <w:u w:val="single"/>
              </w:rPr>
            </w:pPr>
            <w:r>
              <w:rPr>
                <w:color w:val="FF0000"/>
                <w:u w:val="single"/>
              </w:rPr>
              <w:t>8</w:t>
            </w:r>
          </w:p>
        </w:tc>
        <w:tc>
          <w:tcPr>
            <w:tcW w:w="1645" w:type="dxa"/>
            <w:vAlign w:val="center"/>
          </w:tcPr>
          <w:p>
            <w:pPr>
              <w:pStyle w:val="63"/>
              <w:rPr>
                <w:color w:val="FF0000"/>
                <w:u w:val="single"/>
              </w:rPr>
            </w:pPr>
            <w:r>
              <w:rPr>
                <w:rFonts w:hint="eastAsia"/>
                <w:color w:val="FF0000"/>
                <w:u w:val="single"/>
              </w:rPr>
              <w:t>除尘粉尘</w:t>
            </w:r>
          </w:p>
        </w:tc>
        <w:tc>
          <w:tcPr>
            <w:tcW w:w="1362" w:type="dxa"/>
            <w:vAlign w:val="center"/>
          </w:tcPr>
          <w:p>
            <w:pPr>
              <w:pStyle w:val="63"/>
              <w:rPr>
                <w:color w:val="FF0000"/>
                <w:u w:val="single"/>
              </w:rPr>
            </w:pPr>
            <w:r>
              <w:rPr>
                <w:color w:val="FF0000"/>
                <w:u w:val="single"/>
              </w:rPr>
              <w:t>一般固废</w:t>
            </w:r>
          </w:p>
        </w:tc>
        <w:tc>
          <w:tcPr>
            <w:tcW w:w="1648" w:type="dxa"/>
            <w:vAlign w:val="center"/>
          </w:tcPr>
          <w:p>
            <w:pPr>
              <w:pStyle w:val="63"/>
              <w:rPr>
                <w:color w:val="FF0000"/>
                <w:u w:val="single"/>
              </w:rPr>
            </w:pPr>
            <w:r>
              <w:rPr>
                <w:color w:val="FF0000"/>
                <w:u w:val="single"/>
              </w:rPr>
              <w:t>—</w:t>
            </w:r>
          </w:p>
        </w:tc>
        <w:tc>
          <w:tcPr>
            <w:tcW w:w="1702" w:type="dxa"/>
            <w:vMerge w:val="continue"/>
            <w:vAlign w:val="center"/>
          </w:tcPr>
          <w:p>
            <w:pPr>
              <w:pStyle w:val="63"/>
              <w:rPr>
                <w:color w:val="FF0000"/>
                <w:u w:val="single"/>
              </w:rPr>
            </w:pPr>
          </w:p>
        </w:tc>
        <w:tc>
          <w:tcPr>
            <w:tcW w:w="1701" w:type="dxa"/>
            <w:vAlign w:val="center"/>
          </w:tcPr>
          <w:p>
            <w:pPr>
              <w:pStyle w:val="63"/>
              <w:rPr>
                <w:color w:val="FF0000"/>
                <w:u w:val="single"/>
              </w:rPr>
            </w:pPr>
            <w:r>
              <w:rPr>
                <w:rFonts w:hint="eastAsia"/>
                <w:color w:val="FF0000"/>
                <w:u w:val="single"/>
              </w:rPr>
              <w:t>/</w:t>
            </w:r>
          </w:p>
        </w:tc>
        <w:tc>
          <w:tcPr>
            <w:tcW w:w="2125" w:type="dxa"/>
            <w:vAlign w:val="center"/>
          </w:tcPr>
          <w:p>
            <w:pPr>
              <w:pStyle w:val="63"/>
              <w:rPr>
                <w:color w:val="FF0000"/>
                <w:u w:val="single"/>
              </w:rPr>
            </w:pPr>
            <w:r>
              <w:rPr>
                <w:color w:val="FF0000"/>
                <w:u w:val="single"/>
              </w:rPr>
              <w:t>723.63</w:t>
            </w:r>
          </w:p>
        </w:tc>
        <w:tc>
          <w:tcPr>
            <w:tcW w:w="3294" w:type="dxa"/>
            <w:vMerge w:val="continue"/>
            <w:vAlign w:val="center"/>
          </w:tcPr>
          <w:p>
            <w:pPr>
              <w:pStyle w:val="63"/>
              <w:rPr>
                <w:color w:val="FF0000"/>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8" w:type="dxa"/>
            <w:vAlign w:val="center"/>
          </w:tcPr>
          <w:p>
            <w:pPr>
              <w:pStyle w:val="63"/>
              <w:rPr>
                <w:color w:val="FF0000"/>
                <w:u w:val="single"/>
              </w:rPr>
            </w:pPr>
            <w:r>
              <w:rPr>
                <w:color w:val="FF0000"/>
                <w:u w:val="single"/>
              </w:rPr>
              <w:t>9</w:t>
            </w:r>
          </w:p>
        </w:tc>
        <w:tc>
          <w:tcPr>
            <w:tcW w:w="1645" w:type="dxa"/>
            <w:vAlign w:val="center"/>
          </w:tcPr>
          <w:p>
            <w:pPr>
              <w:pStyle w:val="63"/>
              <w:rPr>
                <w:color w:val="FF0000"/>
                <w:u w:val="single"/>
              </w:rPr>
            </w:pPr>
            <w:r>
              <w:rPr>
                <w:color w:val="FF0000"/>
                <w:u w:val="single"/>
              </w:rPr>
              <w:t>废过滤棉、废活性炭</w:t>
            </w:r>
          </w:p>
        </w:tc>
        <w:tc>
          <w:tcPr>
            <w:tcW w:w="1362" w:type="dxa"/>
            <w:vAlign w:val="center"/>
          </w:tcPr>
          <w:p>
            <w:pPr>
              <w:pStyle w:val="63"/>
              <w:rPr>
                <w:color w:val="FF0000"/>
                <w:u w:val="single"/>
              </w:rPr>
            </w:pPr>
            <w:r>
              <w:rPr>
                <w:color w:val="FF0000"/>
                <w:u w:val="single"/>
              </w:rPr>
              <w:t>危险废物</w:t>
            </w:r>
          </w:p>
        </w:tc>
        <w:tc>
          <w:tcPr>
            <w:tcW w:w="1648" w:type="dxa"/>
            <w:vAlign w:val="center"/>
          </w:tcPr>
          <w:p>
            <w:pPr>
              <w:pStyle w:val="63"/>
              <w:rPr>
                <w:color w:val="FF0000"/>
                <w:u w:val="single"/>
              </w:rPr>
            </w:pPr>
            <w:r>
              <w:rPr>
                <w:color w:val="FF0000"/>
                <w:u w:val="single"/>
              </w:rPr>
              <w:t>HW49</w:t>
            </w:r>
          </w:p>
          <w:p>
            <w:pPr>
              <w:pStyle w:val="63"/>
              <w:rPr>
                <w:color w:val="FF0000"/>
                <w:u w:val="single"/>
              </w:rPr>
            </w:pPr>
            <w:r>
              <w:rPr>
                <w:color w:val="FF0000"/>
                <w:u w:val="single"/>
              </w:rPr>
              <w:t>（900-041-49）</w:t>
            </w:r>
          </w:p>
        </w:tc>
        <w:tc>
          <w:tcPr>
            <w:tcW w:w="1702" w:type="dxa"/>
            <w:vAlign w:val="center"/>
          </w:tcPr>
          <w:p>
            <w:pPr>
              <w:pStyle w:val="63"/>
              <w:rPr>
                <w:color w:val="FF0000"/>
                <w:u w:val="single"/>
              </w:rPr>
            </w:pPr>
            <w:r>
              <w:rPr>
                <w:color w:val="FF0000"/>
                <w:u w:val="single"/>
              </w:rPr>
              <w:t>废气处理</w:t>
            </w:r>
          </w:p>
        </w:tc>
        <w:tc>
          <w:tcPr>
            <w:tcW w:w="1701" w:type="dxa"/>
            <w:vAlign w:val="center"/>
          </w:tcPr>
          <w:p>
            <w:pPr>
              <w:pStyle w:val="63"/>
              <w:rPr>
                <w:color w:val="FF0000"/>
                <w:u w:val="single"/>
              </w:rPr>
            </w:pPr>
            <w:r>
              <w:rPr>
                <w:color w:val="FF0000"/>
                <w:u w:val="single"/>
              </w:rPr>
              <w:t>活性炭、有机物</w:t>
            </w:r>
          </w:p>
        </w:tc>
        <w:tc>
          <w:tcPr>
            <w:tcW w:w="2125" w:type="dxa"/>
            <w:vAlign w:val="center"/>
          </w:tcPr>
          <w:p>
            <w:pPr>
              <w:pStyle w:val="63"/>
              <w:rPr>
                <w:color w:val="FF0000"/>
                <w:u w:val="single"/>
              </w:rPr>
            </w:pPr>
            <w:r>
              <w:rPr>
                <w:color w:val="FF0000"/>
                <w:u w:val="single"/>
              </w:rPr>
              <w:t>1.2</w:t>
            </w:r>
          </w:p>
        </w:tc>
        <w:tc>
          <w:tcPr>
            <w:tcW w:w="3294" w:type="dxa"/>
            <w:vAlign w:val="center"/>
          </w:tcPr>
          <w:p>
            <w:pPr>
              <w:pStyle w:val="63"/>
              <w:rPr>
                <w:color w:val="FF0000"/>
                <w:u w:val="single"/>
              </w:rPr>
            </w:pPr>
            <w:r>
              <w:rPr>
                <w:color w:val="FF0000"/>
                <w:u w:val="single"/>
              </w:rPr>
              <w:t>交由有资质的单位处理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8" w:type="dxa"/>
            <w:vAlign w:val="center"/>
          </w:tcPr>
          <w:p>
            <w:pPr>
              <w:pStyle w:val="63"/>
              <w:rPr>
                <w:color w:val="FF0000"/>
                <w:u w:val="single"/>
              </w:rPr>
            </w:pPr>
            <w:r>
              <w:rPr>
                <w:rFonts w:hint="eastAsia"/>
                <w:color w:val="FF0000"/>
                <w:u w:val="single"/>
              </w:rPr>
              <w:t>1</w:t>
            </w:r>
            <w:r>
              <w:rPr>
                <w:color w:val="FF0000"/>
                <w:u w:val="single"/>
              </w:rPr>
              <w:t>0</w:t>
            </w:r>
          </w:p>
        </w:tc>
        <w:tc>
          <w:tcPr>
            <w:tcW w:w="1645" w:type="dxa"/>
            <w:vAlign w:val="center"/>
          </w:tcPr>
          <w:p>
            <w:pPr>
              <w:pStyle w:val="63"/>
              <w:rPr>
                <w:color w:val="FF0000"/>
                <w:u w:val="single"/>
              </w:rPr>
            </w:pPr>
            <w:r>
              <w:rPr>
                <w:color w:val="FF0000"/>
                <w:u w:val="single"/>
              </w:rPr>
              <w:t>废布袋</w:t>
            </w:r>
          </w:p>
        </w:tc>
        <w:tc>
          <w:tcPr>
            <w:tcW w:w="1362" w:type="dxa"/>
            <w:vAlign w:val="center"/>
          </w:tcPr>
          <w:p>
            <w:pPr>
              <w:pStyle w:val="63"/>
              <w:rPr>
                <w:color w:val="FF0000"/>
                <w:u w:val="single"/>
              </w:rPr>
            </w:pPr>
            <w:r>
              <w:rPr>
                <w:color w:val="FF0000"/>
                <w:u w:val="single"/>
              </w:rPr>
              <w:t>危险废物</w:t>
            </w:r>
          </w:p>
        </w:tc>
        <w:tc>
          <w:tcPr>
            <w:tcW w:w="1648" w:type="dxa"/>
            <w:vAlign w:val="center"/>
          </w:tcPr>
          <w:p>
            <w:pPr>
              <w:pStyle w:val="63"/>
              <w:rPr>
                <w:color w:val="FF0000"/>
                <w:u w:val="single"/>
              </w:rPr>
            </w:pPr>
            <w:r>
              <w:rPr>
                <w:color w:val="FF0000"/>
                <w:u w:val="single"/>
              </w:rPr>
              <w:t>HW49</w:t>
            </w:r>
          </w:p>
          <w:p>
            <w:pPr>
              <w:pStyle w:val="63"/>
              <w:rPr>
                <w:color w:val="FF0000"/>
                <w:u w:val="single"/>
              </w:rPr>
            </w:pPr>
            <w:r>
              <w:rPr>
                <w:color w:val="FF0000"/>
                <w:u w:val="single"/>
              </w:rPr>
              <w:t>（900-041-49）</w:t>
            </w:r>
          </w:p>
        </w:tc>
        <w:tc>
          <w:tcPr>
            <w:tcW w:w="1702" w:type="dxa"/>
            <w:vAlign w:val="center"/>
          </w:tcPr>
          <w:p>
            <w:pPr>
              <w:pStyle w:val="63"/>
              <w:rPr>
                <w:color w:val="FF0000"/>
                <w:u w:val="single"/>
              </w:rPr>
            </w:pPr>
            <w:r>
              <w:rPr>
                <w:color w:val="FF0000"/>
                <w:u w:val="single"/>
              </w:rPr>
              <w:t>废气处理</w:t>
            </w:r>
          </w:p>
        </w:tc>
        <w:tc>
          <w:tcPr>
            <w:tcW w:w="1701" w:type="dxa"/>
            <w:vAlign w:val="center"/>
          </w:tcPr>
          <w:p>
            <w:pPr>
              <w:pStyle w:val="63"/>
              <w:rPr>
                <w:color w:val="FF0000"/>
                <w:u w:val="single"/>
              </w:rPr>
            </w:pPr>
            <w:r>
              <w:rPr>
                <w:color w:val="FF0000"/>
                <w:u w:val="single"/>
              </w:rPr>
              <w:t>颗粒物及重金属</w:t>
            </w:r>
          </w:p>
        </w:tc>
        <w:tc>
          <w:tcPr>
            <w:tcW w:w="2125" w:type="dxa"/>
            <w:vAlign w:val="center"/>
          </w:tcPr>
          <w:p>
            <w:pPr>
              <w:pStyle w:val="63"/>
              <w:rPr>
                <w:color w:val="FF0000"/>
                <w:u w:val="single"/>
              </w:rPr>
            </w:pPr>
            <w:r>
              <w:rPr>
                <w:color w:val="FF0000"/>
                <w:u w:val="single"/>
              </w:rPr>
              <w:t>0.2</w:t>
            </w:r>
          </w:p>
        </w:tc>
        <w:tc>
          <w:tcPr>
            <w:tcW w:w="3294" w:type="dxa"/>
            <w:vAlign w:val="center"/>
          </w:tcPr>
          <w:p>
            <w:pPr>
              <w:pStyle w:val="63"/>
              <w:rPr>
                <w:color w:val="FF0000"/>
                <w:u w:val="single"/>
              </w:rPr>
            </w:pPr>
            <w:r>
              <w:rPr>
                <w:color w:val="FF0000"/>
                <w:u w:val="single"/>
              </w:rPr>
              <w:t>交由有资质的单位处理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8" w:type="dxa"/>
            <w:vMerge w:val="restart"/>
            <w:vAlign w:val="center"/>
          </w:tcPr>
          <w:p>
            <w:pPr>
              <w:pStyle w:val="63"/>
              <w:rPr>
                <w:color w:val="FF0000"/>
                <w:u w:val="single"/>
              </w:rPr>
            </w:pPr>
            <w:r>
              <w:rPr>
                <w:color w:val="FF0000"/>
                <w:u w:val="single"/>
              </w:rPr>
              <w:t>11</w:t>
            </w:r>
          </w:p>
        </w:tc>
        <w:tc>
          <w:tcPr>
            <w:tcW w:w="1645" w:type="dxa"/>
            <w:vAlign w:val="center"/>
          </w:tcPr>
          <w:p>
            <w:pPr>
              <w:pStyle w:val="63"/>
              <w:rPr>
                <w:color w:val="FF0000"/>
                <w:u w:val="single"/>
              </w:rPr>
            </w:pPr>
            <w:r>
              <w:rPr>
                <w:color w:val="FF0000"/>
                <w:u w:val="single"/>
              </w:rPr>
              <w:t>废机油</w:t>
            </w:r>
          </w:p>
        </w:tc>
        <w:tc>
          <w:tcPr>
            <w:tcW w:w="1362" w:type="dxa"/>
            <w:vAlign w:val="center"/>
          </w:tcPr>
          <w:p>
            <w:pPr>
              <w:pStyle w:val="63"/>
              <w:rPr>
                <w:color w:val="FF0000"/>
                <w:u w:val="single"/>
              </w:rPr>
            </w:pPr>
            <w:r>
              <w:rPr>
                <w:color w:val="FF0000"/>
                <w:u w:val="single"/>
              </w:rPr>
              <w:t>危险废物</w:t>
            </w:r>
          </w:p>
        </w:tc>
        <w:tc>
          <w:tcPr>
            <w:tcW w:w="1648" w:type="dxa"/>
            <w:vAlign w:val="center"/>
          </w:tcPr>
          <w:p>
            <w:pPr>
              <w:pStyle w:val="63"/>
              <w:rPr>
                <w:color w:val="FF0000"/>
                <w:u w:val="single"/>
              </w:rPr>
            </w:pPr>
            <w:r>
              <w:rPr>
                <w:color w:val="FF0000"/>
                <w:u w:val="single"/>
              </w:rPr>
              <w:t>HW08</w:t>
            </w:r>
          </w:p>
          <w:p>
            <w:pPr>
              <w:pStyle w:val="63"/>
              <w:rPr>
                <w:color w:val="FF0000"/>
                <w:u w:val="single"/>
              </w:rPr>
            </w:pPr>
            <w:r>
              <w:rPr>
                <w:color w:val="FF0000"/>
                <w:u w:val="single"/>
              </w:rPr>
              <w:t>（900-214-08）</w:t>
            </w:r>
          </w:p>
        </w:tc>
        <w:tc>
          <w:tcPr>
            <w:tcW w:w="1702" w:type="dxa"/>
            <w:vMerge w:val="restart"/>
            <w:vAlign w:val="center"/>
          </w:tcPr>
          <w:p>
            <w:pPr>
              <w:pStyle w:val="63"/>
              <w:rPr>
                <w:color w:val="FF0000"/>
                <w:u w:val="single"/>
              </w:rPr>
            </w:pPr>
            <w:r>
              <w:rPr>
                <w:color w:val="FF0000"/>
                <w:u w:val="single"/>
              </w:rPr>
              <w:t>设备检修过程</w:t>
            </w:r>
          </w:p>
        </w:tc>
        <w:tc>
          <w:tcPr>
            <w:tcW w:w="1701" w:type="dxa"/>
            <w:vAlign w:val="center"/>
          </w:tcPr>
          <w:p>
            <w:pPr>
              <w:pStyle w:val="63"/>
              <w:rPr>
                <w:color w:val="FF0000"/>
                <w:u w:val="single"/>
              </w:rPr>
            </w:pPr>
            <w:r>
              <w:rPr>
                <w:color w:val="FF0000"/>
                <w:u w:val="single"/>
              </w:rPr>
              <w:t>废矿物油</w:t>
            </w:r>
          </w:p>
        </w:tc>
        <w:tc>
          <w:tcPr>
            <w:tcW w:w="2125" w:type="dxa"/>
            <w:vAlign w:val="center"/>
          </w:tcPr>
          <w:p>
            <w:pPr>
              <w:pStyle w:val="63"/>
              <w:rPr>
                <w:color w:val="FF0000"/>
                <w:u w:val="single"/>
              </w:rPr>
            </w:pPr>
            <w:r>
              <w:rPr>
                <w:color w:val="FF0000"/>
                <w:u w:val="single"/>
              </w:rPr>
              <w:t>0.1</w:t>
            </w:r>
          </w:p>
        </w:tc>
        <w:tc>
          <w:tcPr>
            <w:tcW w:w="3294" w:type="dxa"/>
            <w:vMerge w:val="restart"/>
            <w:vAlign w:val="center"/>
          </w:tcPr>
          <w:p>
            <w:pPr>
              <w:pStyle w:val="63"/>
              <w:rPr>
                <w:color w:val="FF0000"/>
                <w:u w:val="single"/>
              </w:rPr>
            </w:pPr>
            <w:r>
              <w:rPr>
                <w:color w:val="FF0000"/>
                <w:u w:val="single"/>
              </w:rPr>
              <w:t>交由有资质单位进行处理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8" w:type="dxa"/>
            <w:vMerge w:val="continue"/>
            <w:vAlign w:val="center"/>
          </w:tcPr>
          <w:p>
            <w:pPr>
              <w:pStyle w:val="63"/>
              <w:rPr>
                <w:color w:val="FF0000"/>
                <w:u w:val="single"/>
              </w:rPr>
            </w:pPr>
          </w:p>
        </w:tc>
        <w:tc>
          <w:tcPr>
            <w:tcW w:w="1645" w:type="dxa"/>
            <w:vAlign w:val="center"/>
          </w:tcPr>
          <w:p>
            <w:pPr>
              <w:pStyle w:val="63"/>
              <w:rPr>
                <w:color w:val="FF0000"/>
                <w:u w:val="single"/>
              </w:rPr>
            </w:pPr>
            <w:r>
              <w:rPr>
                <w:color w:val="FF0000"/>
                <w:u w:val="single"/>
              </w:rPr>
              <w:t>含油抹布</w:t>
            </w:r>
          </w:p>
        </w:tc>
        <w:tc>
          <w:tcPr>
            <w:tcW w:w="1362" w:type="dxa"/>
            <w:vAlign w:val="center"/>
          </w:tcPr>
          <w:p>
            <w:pPr>
              <w:pStyle w:val="63"/>
              <w:rPr>
                <w:color w:val="FF0000"/>
                <w:u w:val="single"/>
              </w:rPr>
            </w:pPr>
            <w:r>
              <w:rPr>
                <w:color w:val="FF0000"/>
                <w:u w:val="single"/>
              </w:rPr>
              <w:t>危险废物</w:t>
            </w:r>
          </w:p>
        </w:tc>
        <w:tc>
          <w:tcPr>
            <w:tcW w:w="1648" w:type="dxa"/>
            <w:vAlign w:val="center"/>
          </w:tcPr>
          <w:p>
            <w:pPr>
              <w:pStyle w:val="63"/>
              <w:rPr>
                <w:color w:val="FF0000"/>
                <w:u w:val="single"/>
              </w:rPr>
            </w:pPr>
            <w:r>
              <w:rPr>
                <w:color w:val="FF0000"/>
                <w:u w:val="single"/>
              </w:rPr>
              <w:t>HW49</w:t>
            </w:r>
          </w:p>
          <w:p>
            <w:pPr>
              <w:pStyle w:val="63"/>
              <w:rPr>
                <w:color w:val="FF0000"/>
                <w:u w:val="single"/>
              </w:rPr>
            </w:pPr>
            <w:r>
              <w:rPr>
                <w:color w:val="FF0000"/>
                <w:u w:val="single"/>
              </w:rPr>
              <w:t>（900-041-49）</w:t>
            </w:r>
          </w:p>
        </w:tc>
        <w:tc>
          <w:tcPr>
            <w:tcW w:w="1702" w:type="dxa"/>
            <w:vMerge w:val="continue"/>
            <w:vAlign w:val="center"/>
          </w:tcPr>
          <w:p>
            <w:pPr>
              <w:pStyle w:val="63"/>
              <w:rPr>
                <w:color w:val="FF0000"/>
                <w:u w:val="single"/>
              </w:rPr>
            </w:pPr>
          </w:p>
        </w:tc>
        <w:tc>
          <w:tcPr>
            <w:tcW w:w="1701" w:type="dxa"/>
            <w:vAlign w:val="center"/>
          </w:tcPr>
          <w:p>
            <w:pPr>
              <w:pStyle w:val="63"/>
              <w:rPr>
                <w:color w:val="FF0000"/>
                <w:u w:val="single"/>
              </w:rPr>
            </w:pPr>
            <w:r>
              <w:rPr>
                <w:color w:val="FF0000"/>
                <w:u w:val="single"/>
              </w:rPr>
              <w:t>抹布</w:t>
            </w:r>
          </w:p>
        </w:tc>
        <w:tc>
          <w:tcPr>
            <w:tcW w:w="2125" w:type="dxa"/>
            <w:vAlign w:val="center"/>
          </w:tcPr>
          <w:p>
            <w:pPr>
              <w:pStyle w:val="63"/>
              <w:rPr>
                <w:color w:val="FF0000"/>
                <w:u w:val="single"/>
              </w:rPr>
            </w:pPr>
            <w:r>
              <w:rPr>
                <w:color w:val="FF0000"/>
                <w:u w:val="single"/>
              </w:rPr>
              <w:t>0.2</w:t>
            </w:r>
          </w:p>
        </w:tc>
        <w:tc>
          <w:tcPr>
            <w:tcW w:w="3294" w:type="dxa"/>
            <w:vMerge w:val="continue"/>
            <w:vAlign w:val="center"/>
          </w:tcPr>
          <w:p>
            <w:pPr>
              <w:pStyle w:val="63"/>
              <w:rPr>
                <w:color w:val="FF0000"/>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8" w:type="dxa"/>
            <w:vAlign w:val="center"/>
          </w:tcPr>
          <w:p>
            <w:pPr>
              <w:pStyle w:val="63"/>
              <w:rPr>
                <w:color w:val="FF0000"/>
                <w:u w:val="single"/>
              </w:rPr>
            </w:pPr>
            <w:r>
              <w:rPr>
                <w:color w:val="FF0000"/>
                <w:u w:val="single"/>
              </w:rPr>
              <w:t>12</w:t>
            </w:r>
          </w:p>
        </w:tc>
        <w:tc>
          <w:tcPr>
            <w:tcW w:w="1645" w:type="dxa"/>
            <w:vAlign w:val="center"/>
          </w:tcPr>
          <w:p>
            <w:pPr>
              <w:pStyle w:val="63"/>
              <w:rPr>
                <w:color w:val="FF0000"/>
                <w:u w:val="single"/>
              </w:rPr>
            </w:pPr>
            <w:r>
              <w:rPr>
                <w:color w:val="FF0000"/>
                <w:u w:val="single"/>
              </w:rPr>
              <w:t>生活垃圾</w:t>
            </w:r>
          </w:p>
        </w:tc>
        <w:tc>
          <w:tcPr>
            <w:tcW w:w="1362" w:type="dxa"/>
            <w:vAlign w:val="center"/>
          </w:tcPr>
          <w:p>
            <w:pPr>
              <w:pStyle w:val="63"/>
              <w:rPr>
                <w:color w:val="FF0000"/>
                <w:u w:val="single"/>
              </w:rPr>
            </w:pPr>
            <w:r>
              <w:rPr>
                <w:color w:val="FF0000"/>
                <w:u w:val="single"/>
              </w:rPr>
              <w:t>--</w:t>
            </w:r>
          </w:p>
        </w:tc>
        <w:tc>
          <w:tcPr>
            <w:tcW w:w="1648" w:type="dxa"/>
            <w:vAlign w:val="center"/>
          </w:tcPr>
          <w:p>
            <w:pPr>
              <w:pStyle w:val="63"/>
              <w:rPr>
                <w:color w:val="FF0000"/>
                <w:u w:val="single"/>
              </w:rPr>
            </w:pPr>
            <w:r>
              <w:rPr>
                <w:color w:val="FF0000"/>
                <w:u w:val="single"/>
              </w:rPr>
              <w:t>--</w:t>
            </w:r>
          </w:p>
        </w:tc>
        <w:tc>
          <w:tcPr>
            <w:tcW w:w="1702" w:type="dxa"/>
            <w:vAlign w:val="center"/>
          </w:tcPr>
          <w:p>
            <w:pPr>
              <w:pStyle w:val="63"/>
              <w:rPr>
                <w:color w:val="FF0000"/>
                <w:u w:val="single"/>
              </w:rPr>
            </w:pPr>
            <w:r>
              <w:rPr>
                <w:color w:val="FF0000"/>
                <w:u w:val="single"/>
              </w:rPr>
              <w:t>厂区办公生活</w:t>
            </w:r>
          </w:p>
        </w:tc>
        <w:tc>
          <w:tcPr>
            <w:tcW w:w="1701" w:type="dxa"/>
            <w:vAlign w:val="center"/>
          </w:tcPr>
          <w:p>
            <w:pPr>
              <w:pStyle w:val="63"/>
              <w:rPr>
                <w:color w:val="FF0000"/>
                <w:u w:val="single"/>
              </w:rPr>
            </w:pPr>
            <w:r>
              <w:rPr>
                <w:color w:val="FF0000"/>
                <w:u w:val="single"/>
              </w:rPr>
              <w:t>食品废物、纸、纺织物等</w:t>
            </w:r>
          </w:p>
        </w:tc>
        <w:tc>
          <w:tcPr>
            <w:tcW w:w="2125" w:type="dxa"/>
            <w:vAlign w:val="center"/>
          </w:tcPr>
          <w:p>
            <w:pPr>
              <w:pStyle w:val="63"/>
              <w:rPr>
                <w:color w:val="FF0000"/>
                <w:u w:val="single"/>
              </w:rPr>
            </w:pPr>
            <w:r>
              <w:rPr>
                <w:color w:val="FF0000"/>
                <w:u w:val="single"/>
              </w:rPr>
              <w:t>28.2</w:t>
            </w:r>
          </w:p>
        </w:tc>
        <w:tc>
          <w:tcPr>
            <w:tcW w:w="3294" w:type="dxa"/>
            <w:vAlign w:val="center"/>
          </w:tcPr>
          <w:p>
            <w:pPr>
              <w:pStyle w:val="63"/>
              <w:rPr>
                <w:color w:val="FF0000"/>
                <w:u w:val="single"/>
              </w:rPr>
            </w:pPr>
            <w:r>
              <w:rPr>
                <w:color w:val="FF0000"/>
                <w:u w:val="single"/>
              </w:rPr>
              <w:t>交由环卫 部门处理</w:t>
            </w:r>
          </w:p>
        </w:tc>
      </w:tr>
    </w:tbl>
    <w:p>
      <w:pPr>
        <w:pStyle w:val="6"/>
        <w:rPr>
          <w:rFonts w:ascii="Times New Roman" w:hAnsi="Times New Roman" w:cs="Times New Roman"/>
        </w:rPr>
      </w:pPr>
      <w:r>
        <w:rPr>
          <w:rFonts w:ascii="Times New Roman" w:hAnsi="Times New Roman" w:cs="Times New Roman"/>
        </w:rPr>
        <w:t>表3.2-</w:t>
      </w:r>
      <w:r>
        <w:rPr>
          <w:rFonts w:hint="eastAsia" w:ascii="Times New Roman" w:hAnsi="Times New Roman" w:cs="Times New Roman"/>
        </w:rPr>
        <w:t>28</w:t>
      </w:r>
      <w:r>
        <w:rPr>
          <w:rFonts w:ascii="Times New Roman" w:hAnsi="Times New Roman" w:cs="Times New Roman"/>
        </w:rPr>
        <w:t xml:space="preserve">  危险废物汇总表</w:t>
      </w:r>
    </w:p>
    <w:tbl>
      <w:tblPr>
        <w:tblStyle w:val="3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6"/>
        <w:gridCol w:w="1134"/>
        <w:gridCol w:w="1395"/>
        <w:gridCol w:w="1134"/>
        <w:gridCol w:w="1134"/>
        <w:gridCol w:w="1865"/>
        <w:gridCol w:w="850"/>
        <w:gridCol w:w="1277"/>
        <w:gridCol w:w="1133"/>
        <w:gridCol w:w="1135"/>
        <w:gridCol w:w="991"/>
        <w:gridCol w:w="14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76" w:type="dxa"/>
            <w:vAlign w:val="center"/>
          </w:tcPr>
          <w:p>
            <w:pPr>
              <w:pStyle w:val="63"/>
            </w:pPr>
            <w:r>
              <w:t>序号</w:t>
            </w:r>
          </w:p>
        </w:tc>
        <w:tc>
          <w:tcPr>
            <w:tcW w:w="1134" w:type="dxa"/>
            <w:vAlign w:val="center"/>
          </w:tcPr>
          <w:p>
            <w:pPr>
              <w:pStyle w:val="63"/>
            </w:pPr>
            <w:r>
              <w:t>危险废物名称</w:t>
            </w:r>
          </w:p>
        </w:tc>
        <w:tc>
          <w:tcPr>
            <w:tcW w:w="1395" w:type="dxa"/>
            <w:vAlign w:val="center"/>
          </w:tcPr>
          <w:p>
            <w:pPr>
              <w:pStyle w:val="63"/>
            </w:pPr>
            <w:r>
              <w:t>危险废物类别</w:t>
            </w:r>
          </w:p>
        </w:tc>
        <w:tc>
          <w:tcPr>
            <w:tcW w:w="1134" w:type="dxa"/>
            <w:vAlign w:val="center"/>
          </w:tcPr>
          <w:p>
            <w:pPr>
              <w:pStyle w:val="63"/>
            </w:pPr>
            <w:r>
              <w:t>危险废物代码</w:t>
            </w:r>
          </w:p>
        </w:tc>
        <w:tc>
          <w:tcPr>
            <w:tcW w:w="1134" w:type="dxa"/>
            <w:vAlign w:val="center"/>
          </w:tcPr>
          <w:p>
            <w:pPr>
              <w:pStyle w:val="63"/>
            </w:pPr>
            <w:r>
              <w:t>产生量（吨/年）</w:t>
            </w:r>
          </w:p>
        </w:tc>
        <w:tc>
          <w:tcPr>
            <w:tcW w:w="1865" w:type="dxa"/>
            <w:vAlign w:val="center"/>
          </w:tcPr>
          <w:p>
            <w:pPr>
              <w:pStyle w:val="63"/>
            </w:pPr>
            <w:r>
              <w:t>产生工序及装置</w:t>
            </w:r>
          </w:p>
        </w:tc>
        <w:tc>
          <w:tcPr>
            <w:tcW w:w="850" w:type="dxa"/>
            <w:vAlign w:val="center"/>
          </w:tcPr>
          <w:p>
            <w:pPr>
              <w:pStyle w:val="63"/>
            </w:pPr>
            <w:r>
              <w:t>形态</w:t>
            </w:r>
          </w:p>
        </w:tc>
        <w:tc>
          <w:tcPr>
            <w:tcW w:w="1277" w:type="dxa"/>
            <w:vAlign w:val="center"/>
          </w:tcPr>
          <w:p>
            <w:pPr>
              <w:pStyle w:val="63"/>
            </w:pPr>
            <w:r>
              <w:t>主要成分</w:t>
            </w:r>
          </w:p>
        </w:tc>
        <w:tc>
          <w:tcPr>
            <w:tcW w:w="1133" w:type="dxa"/>
            <w:vAlign w:val="center"/>
          </w:tcPr>
          <w:p>
            <w:pPr>
              <w:pStyle w:val="63"/>
            </w:pPr>
            <w:r>
              <w:t>有害成分</w:t>
            </w:r>
          </w:p>
        </w:tc>
        <w:tc>
          <w:tcPr>
            <w:tcW w:w="1135" w:type="dxa"/>
            <w:vAlign w:val="center"/>
          </w:tcPr>
          <w:p>
            <w:pPr>
              <w:pStyle w:val="63"/>
            </w:pPr>
            <w:r>
              <w:t>产废周期</w:t>
            </w:r>
          </w:p>
        </w:tc>
        <w:tc>
          <w:tcPr>
            <w:tcW w:w="991" w:type="dxa"/>
            <w:vAlign w:val="center"/>
          </w:tcPr>
          <w:p>
            <w:pPr>
              <w:pStyle w:val="63"/>
            </w:pPr>
            <w:r>
              <w:t>危险特性</w:t>
            </w:r>
          </w:p>
        </w:tc>
        <w:tc>
          <w:tcPr>
            <w:tcW w:w="1451" w:type="dxa"/>
            <w:vAlign w:val="center"/>
          </w:tcPr>
          <w:p>
            <w:pPr>
              <w:pStyle w:val="63"/>
            </w:pPr>
            <w:r>
              <w:t>污染防治措施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76" w:type="dxa"/>
            <w:vAlign w:val="center"/>
          </w:tcPr>
          <w:p>
            <w:pPr>
              <w:pStyle w:val="63"/>
            </w:pPr>
            <w:r>
              <w:rPr>
                <w:rFonts w:hint="eastAsia"/>
              </w:rPr>
              <w:t>1</w:t>
            </w:r>
          </w:p>
        </w:tc>
        <w:tc>
          <w:tcPr>
            <w:tcW w:w="1134" w:type="dxa"/>
            <w:vAlign w:val="center"/>
          </w:tcPr>
          <w:p>
            <w:pPr>
              <w:pStyle w:val="63"/>
            </w:pPr>
            <w:r>
              <w:t>废过滤棉、废活性炭</w:t>
            </w:r>
          </w:p>
        </w:tc>
        <w:tc>
          <w:tcPr>
            <w:tcW w:w="1395" w:type="dxa"/>
            <w:vAlign w:val="center"/>
          </w:tcPr>
          <w:p>
            <w:pPr>
              <w:pStyle w:val="63"/>
            </w:pPr>
            <w:r>
              <w:t>HW49其他废物</w:t>
            </w:r>
          </w:p>
        </w:tc>
        <w:tc>
          <w:tcPr>
            <w:tcW w:w="1134" w:type="dxa"/>
            <w:vAlign w:val="center"/>
          </w:tcPr>
          <w:p>
            <w:pPr>
              <w:pStyle w:val="63"/>
            </w:pPr>
            <w:r>
              <w:t>900-041-49</w:t>
            </w:r>
          </w:p>
        </w:tc>
        <w:tc>
          <w:tcPr>
            <w:tcW w:w="1134" w:type="dxa"/>
            <w:vAlign w:val="center"/>
          </w:tcPr>
          <w:p>
            <w:pPr>
              <w:pStyle w:val="63"/>
            </w:pPr>
            <w:r>
              <w:t>1.2</w:t>
            </w:r>
          </w:p>
        </w:tc>
        <w:tc>
          <w:tcPr>
            <w:tcW w:w="1865" w:type="dxa"/>
            <w:vAlign w:val="center"/>
          </w:tcPr>
          <w:p>
            <w:pPr>
              <w:pStyle w:val="63"/>
            </w:pPr>
            <w:r>
              <w:t>有机废气处理/废气处理装置</w:t>
            </w:r>
          </w:p>
        </w:tc>
        <w:tc>
          <w:tcPr>
            <w:tcW w:w="850" w:type="dxa"/>
            <w:vAlign w:val="center"/>
          </w:tcPr>
          <w:p>
            <w:pPr>
              <w:pStyle w:val="63"/>
            </w:pPr>
            <w:r>
              <w:t>固体</w:t>
            </w:r>
          </w:p>
        </w:tc>
        <w:tc>
          <w:tcPr>
            <w:tcW w:w="1277" w:type="dxa"/>
            <w:vAlign w:val="center"/>
          </w:tcPr>
          <w:p>
            <w:pPr>
              <w:pStyle w:val="63"/>
            </w:pPr>
            <w:r>
              <w:t>活性炭、有机物等</w:t>
            </w:r>
          </w:p>
        </w:tc>
        <w:tc>
          <w:tcPr>
            <w:tcW w:w="1133" w:type="dxa"/>
            <w:vAlign w:val="center"/>
          </w:tcPr>
          <w:p>
            <w:pPr>
              <w:pStyle w:val="63"/>
            </w:pPr>
            <w:r>
              <w:t>有机废物</w:t>
            </w:r>
          </w:p>
        </w:tc>
        <w:tc>
          <w:tcPr>
            <w:tcW w:w="1135" w:type="dxa"/>
            <w:vAlign w:val="center"/>
          </w:tcPr>
          <w:p>
            <w:pPr>
              <w:pStyle w:val="63"/>
            </w:pPr>
            <w:r>
              <w:t>1～3个月</w:t>
            </w:r>
          </w:p>
        </w:tc>
        <w:tc>
          <w:tcPr>
            <w:tcW w:w="991" w:type="dxa"/>
            <w:vAlign w:val="center"/>
          </w:tcPr>
          <w:p>
            <w:pPr>
              <w:pStyle w:val="63"/>
            </w:pPr>
            <w:r>
              <w:t>T/In</w:t>
            </w:r>
          </w:p>
        </w:tc>
        <w:tc>
          <w:tcPr>
            <w:tcW w:w="1451" w:type="dxa"/>
            <w:vMerge w:val="restart"/>
            <w:vAlign w:val="center"/>
          </w:tcPr>
          <w:p>
            <w:pPr>
              <w:pStyle w:val="63"/>
            </w:pPr>
            <w:r>
              <w:t>暂存于危废暂存间，后交由相关资质单位处置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76" w:type="dxa"/>
            <w:vAlign w:val="center"/>
          </w:tcPr>
          <w:p>
            <w:pPr>
              <w:pStyle w:val="63"/>
            </w:pPr>
            <w:r>
              <w:rPr>
                <w:rFonts w:hint="eastAsia"/>
              </w:rPr>
              <w:t>2</w:t>
            </w:r>
          </w:p>
        </w:tc>
        <w:tc>
          <w:tcPr>
            <w:tcW w:w="1134" w:type="dxa"/>
            <w:vAlign w:val="center"/>
          </w:tcPr>
          <w:p>
            <w:pPr>
              <w:pStyle w:val="63"/>
            </w:pPr>
            <w:r>
              <w:t>废布袋</w:t>
            </w:r>
          </w:p>
        </w:tc>
        <w:tc>
          <w:tcPr>
            <w:tcW w:w="1395" w:type="dxa"/>
            <w:vAlign w:val="center"/>
          </w:tcPr>
          <w:p>
            <w:pPr>
              <w:pStyle w:val="63"/>
            </w:pPr>
            <w:r>
              <w:t>HW49其他废物</w:t>
            </w:r>
          </w:p>
        </w:tc>
        <w:tc>
          <w:tcPr>
            <w:tcW w:w="1134" w:type="dxa"/>
            <w:vAlign w:val="center"/>
          </w:tcPr>
          <w:p>
            <w:pPr>
              <w:pStyle w:val="63"/>
            </w:pPr>
            <w:r>
              <w:t>900-041-49</w:t>
            </w:r>
          </w:p>
        </w:tc>
        <w:tc>
          <w:tcPr>
            <w:tcW w:w="1134" w:type="dxa"/>
            <w:vAlign w:val="center"/>
          </w:tcPr>
          <w:p>
            <w:pPr>
              <w:pStyle w:val="63"/>
            </w:pPr>
            <w:r>
              <w:t>0.2</w:t>
            </w:r>
          </w:p>
        </w:tc>
        <w:tc>
          <w:tcPr>
            <w:tcW w:w="1865" w:type="dxa"/>
            <w:vAlign w:val="center"/>
          </w:tcPr>
          <w:p>
            <w:pPr>
              <w:pStyle w:val="63"/>
            </w:pPr>
            <w:r>
              <w:t>破碎粉尘处理/布袋除尘器</w:t>
            </w:r>
          </w:p>
        </w:tc>
        <w:tc>
          <w:tcPr>
            <w:tcW w:w="850" w:type="dxa"/>
            <w:vAlign w:val="center"/>
          </w:tcPr>
          <w:p>
            <w:pPr>
              <w:pStyle w:val="63"/>
            </w:pPr>
            <w:r>
              <w:t>固态</w:t>
            </w:r>
          </w:p>
        </w:tc>
        <w:tc>
          <w:tcPr>
            <w:tcW w:w="1277" w:type="dxa"/>
            <w:vAlign w:val="center"/>
          </w:tcPr>
          <w:p>
            <w:pPr>
              <w:pStyle w:val="63"/>
            </w:pPr>
            <w:r>
              <w:t>布袋、粘附重金属</w:t>
            </w:r>
          </w:p>
        </w:tc>
        <w:tc>
          <w:tcPr>
            <w:tcW w:w="1133" w:type="dxa"/>
            <w:vAlign w:val="center"/>
          </w:tcPr>
          <w:p>
            <w:pPr>
              <w:pStyle w:val="63"/>
            </w:pPr>
            <w:r>
              <w:t>重金属</w:t>
            </w:r>
          </w:p>
        </w:tc>
        <w:tc>
          <w:tcPr>
            <w:tcW w:w="1135" w:type="dxa"/>
            <w:vAlign w:val="center"/>
          </w:tcPr>
          <w:p>
            <w:pPr>
              <w:pStyle w:val="63"/>
            </w:pPr>
            <w:r>
              <w:t>每2年</w:t>
            </w:r>
          </w:p>
        </w:tc>
        <w:tc>
          <w:tcPr>
            <w:tcW w:w="991" w:type="dxa"/>
            <w:vAlign w:val="center"/>
          </w:tcPr>
          <w:p>
            <w:pPr>
              <w:pStyle w:val="63"/>
            </w:pPr>
            <w:r>
              <w:t>T/In</w:t>
            </w:r>
          </w:p>
        </w:tc>
        <w:tc>
          <w:tcPr>
            <w:tcW w:w="1451" w:type="dxa"/>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76" w:type="dxa"/>
            <w:vMerge w:val="restart"/>
            <w:vAlign w:val="center"/>
          </w:tcPr>
          <w:p>
            <w:pPr>
              <w:pStyle w:val="63"/>
            </w:pPr>
            <w:r>
              <w:rPr>
                <w:rFonts w:hint="eastAsia"/>
              </w:rPr>
              <w:t>3</w:t>
            </w:r>
          </w:p>
        </w:tc>
        <w:tc>
          <w:tcPr>
            <w:tcW w:w="1134" w:type="dxa"/>
            <w:vAlign w:val="center"/>
          </w:tcPr>
          <w:p>
            <w:pPr>
              <w:pStyle w:val="63"/>
            </w:pPr>
            <w:r>
              <w:t>废机油</w:t>
            </w:r>
          </w:p>
        </w:tc>
        <w:tc>
          <w:tcPr>
            <w:tcW w:w="1395" w:type="dxa"/>
            <w:vAlign w:val="center"/>
          </w:tcPr>
          <w:p>
            <w:pPr>
              <w:pStyle w:val="63"/>
            </w:pPr>
            <w:r>
              <w:t>HW08废矿物油与含矿物油废物</w:t>
            </w:r>
          </w:p>
        </w:tc>
        <w:tc>
          <w:tcPr>
            <w:tcW w:w="1134" w:type="dxa"/>
            <w:vAlign w:val="center"/>
          </w:tcPr>
          <w:p>
            <w:pPr>
              <w:pStyle w:val="63"/>
            </w:pPr>
            <w:r>
              <w:t>900-214-08</w:t>
            </w:r>
          </w:p>
        </w:tc>
        <w:tc>
          <w:tcPr>
            <w:tcW w:w="1134" w:type="dxa"/>
            <w:vAlign w:val="center"/>
          </w:tcPr>
          <w:p>
            <w:pPr>
              <w:pStyle w:val="63"/>
            </w:pPr>
            <w:r>
              <w:t>0.1</w:t>
            </w:r>
          </w:p>
        </w:tc>
        <w:tc>
          <w:tcPr>
            <w:tcW w:w="1865" w:type="dxa"/>
            <w:vMerge w:val="restart"/>
            <w:vAlign w:val="center"/>
          </w:tcPr>
          <w:p>
            <w:pPr>
              <w:pStyle w:val="63"/>
            </w:pPr>
            <w:r>
              <w:t>设备维护、检修/设备</w:t>
            </w:r>
          </w:p>
        </w:tc>
        <w:tc>
          <w:tcPr>
            <w:tcW w:w="850" w:type="dxa"/>
            <w:vAlign w:val="center"/>
          </w:tcPr>
          <w:p>
            <w:pPr>
              <w:pStyle w:val="63"/>
            </w:pPr>
            <w:r>
              <w:t>液态</w:t>
            </w:r>
          </w:p>
        </w:tc>
        <w:tc>
          <w:tcPr>
            <w:tcW w:w="1277" w:type="dxa"/>
            <w:vAlign w:val="center"/>
          </w:tcPr>
          <w:p>
            <w:pPr>
              <w:pStyle w:val="63"/>
            </w:pPr>
            <w:r>
              <w:t>矿物油</w:t>
            </w:r>
          </w:p>
        </w:tc>
        <w:tc>
          <w:tcPr>
            <w:tcW w:w="1133" w:type="dxa"/>
            <w:vAlign w:val="center"/>
          </w:tcPr>
          <w:p>
            <w:pPr>
              <w:pStyle w:val="63"/>
            </w:pPr>
            <w:r>
              <w:t>矿物油</w:t>
            </w:r>
          </w:p>
        </w:tc>
        <w:tc>
          <w:tcPr>
            <w:tcW w:w="1135" w:type="dxa"/>
            <w:vAlign w:val="center"/>
          </w:tcPr>
          <w:p>
            <w:pPr>
              <w:pStyle w:val="63"/>
            </w:pPr>
            <w:r>
              <w:t>每半年</w:t>
            </w:r>
          </w:p>
        </w:tc>
        <w:tc>
          <w:tcPr>
            <w:tcW w:w="991" w:type="dxa"/>
            <w:vAlign w:val="center"/>
          </w:tcPr>
          <w:p>
            <w:pPr>
              <w:pStyle w:val="63"/>
            </w:pPr>
            <w:r>
              <w:t>T，I</w:t>
            </w:r>
          </w:p>
        </w:tc>
        <w:tc>
          <w:tcPr>
            <w:tcW w:w="1451" w:type="dxa"/>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76" w:type="dxa"/>
            <w:vMerge w:val="continue"/>
            <w:vAlign w:val="center"/>
          </w:tcPr>
          <w:p>
            <w:pPr>
              <w:pStyle w:val="63"/>
            </w:pPr>
          </w:p>
        </w:tc>
        <w:tc>
          <w:tcPr>
            <w:tcW w:w="1134" w:type="dxa"/>
            <w:vAlign w:val="center"/>
          </w:tcPr>
          <w:p>
            <w:pPr>
              <w:pStyle w:val="63"/>
            </w:pPr>
            <w:r>
              <w:t>含油抹布</w:t>
            </w:r>
          </w:p>
        </w:tc>
        <w:tc>
          <w:tcPr>
            <w:tcW w:w="1395" w:type="dxa"/>
            <w:vAlign w:val="center"/>
          </w:tcPr>
          <w:p>
            <w:pPr>
              <w:pStyle w:val="63"/>
            </w:pPr>
            <w:r>
              <w:t>HW49其他废物</w:t>
            </w:r>
          </w:p>
        </w:tc>
        <w:tc>
          <w:tcPr>
            <w:tcW w:w="1134" w:type="dxa"/>
            <w:vAlign w:val="center"/>
          </w:tcPr>
          <w:p>
            <w:pPr>
              <w:pStyle w:val="63"/>
            </w:pPr>
            <w:r>
              <w:t>900-041-49</w:t>
            </w:r>
          </w:p>
        </w:tc>
        <w:tc>
          <w:tcPr>
            <w:tcW w:w="1134" w:type="dxa"/>
            <w:vAlign w:val="center"/>
          </w:tcPr>
          <w:p>
            <w:pPr>
              <w:pStyle w:val="63"/>
            </w:pPr>
            <w:r>
              <w:t>0.2</w:t>
            </w:r>
          </w:p>
        </w:tc>
        <w:tc>
          <w:tcPr>
            <w:tcW w:w="1865" w:type="dxa"/>
            <w:vMerge w:val="continue"/>
            <w:vAlign w:val="center"/>
          </w:tcPr>
          <w:p>
            <w:pPr>
              <w:pStyle w:val="63"/>
            </w:pPr>
          </w:p>
        </w:tc>
        <w:tc>
          <w:tcPr>
            <w:tcW w:w="850" w:type="dxa"/>
            <w:vAlign w:val="center"/>
          </w:tcPr>
          <w:p>
            <w:pPr>
              <w:pStyle w:val="63"/>
            </w:pPr>
            <w:r>
              <w:t>固态</w:t>
            </w:r>
          </w:p>
        </w:tc>
        <w:tc>
          <w:tcPr>
            <w:tcW w:w="1277" w:type="dxa"/>
            <w:vAlign w:val="center"/>
          </w:tcPr>
          <w:p>
            <w:pPr>
              <w:pStyle w:val="63"/>
            </w:pPr>
            <w:r>
              <w:t>矿物油</w:t>
            </w:r>
          </w:p>
        </w:tc>
        <w:tc>
          <w:tcPr>
            <w:tcW w:w="1133" w:type="dxa"/>
            <w:vAlign w:val="center"/>
          </w:tcPr>
          <w:p>
            <w:pPr>
              <w:pStyle w:val="63"/>
            </w:pPr>
            <w:r>
              <w:t>矿物油</w:t>
            </w:r>
          </w:p>
        </w:tc>
        <w:tc>
          <w:tcPr>
            <w:tcW w:w="1135" w:type="dxa"/>
            <w:vAlign w:val="center"/>
          </w:tcPr>
          <w:p>
            <w:pPr>
              <w:pStyle w:val="63"/>
            </w:pPr>
            <w:r>
              <w:t>每半年</w:t>
            </w:r>
          </w:p>
        </w:tc>
        <w:tc>
          <w:tcPr>
            <w:tcW w:w="991" w:type="dxa"/>
            <w:vAlign w:val="center"/>
          </w:tcPr>
          <w:p>
            <w:pPr>
              <w:pStyle w:val="63"/>
            </w:pPr>
            <w:r>
              <w:t>T，I</w:t>
            </w:r>
          </w:p>
        </w:tc>
        <w:tc>
          <w:tcPr>
            <w:tcW w:w="1451" w:type="dxa"/>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76" w:type="dxa"/>
            <w:vAlign w:val="center"/>
          </w:tcPr>
          <w:p>
            <w:pPr>
              <w:pStyle w:val="63"/>
            </w:pPr>
            <w:r>
              <w:rPr>
                <w:rFonts w:hint="eastAsia"/>
              </w:rPr>
              <w:t>4</w:t>
            </w:r>
          </w:p>
        </w:tc>
        <w:tc>
          <w:tcPr>
            <w:tcW w:w="1134" w:type="dxa"/>
            <w:vAlign w:val="center"/>
          </w:tcPr>
          <w:p>
            <w:pPr>
              <w:pStyle w:val="63"/>
            </w:pPr>
            <w:r>
              <w:t>废BMS模块</w:t>
            </w:r>
          </w:p>
        </w:tc>
        <w:tc>
          <w:tcPr>
            <w:tcW w:w="1395" w:type="dxa"/>
            <w:vAlign w:val="center"/>
          </w:tcPr>
          <w:p>
            <w:pPr>
              <w:pStyle w:val="63"/>
            </w:pPr>
            <w:r>
              <w:t>HW49其他废物</w:t>
            </w:r>
          </w:p>
        </w:tc>
        <w:tc>
          <w:tcPr>
            <w:tcW w:w="1134" w:type="dxa"/>
            <w:vAlign w:val="center"/>
          </w:tcPr>
          <w:p>
            <w:pPr>
              <w:pStyle w:val="63"/>
            </w:pPr>
            <w:r>
              <w:t>900-045-49</w:t>
            </w:r>
          </w:p>
        </w:tc>
        <w:tc>
          <w:tcPr>
            <w:tcW w:w="1134" w:type="dxa"/>
            <w:vAlign w:val="center"/>
          </w:tcPr>
          <w:p>
            <w:pPr>
              <w:pStyle w:val="63"/>
            </w:pPr>
            <w:r>
              <w:t>31.25</w:t>
            </w:r>
          </w:p>
        </w:tc>
        <w:tc>
          <w:tcPr>
            <w:tcW w:w="1865" w:type="dxa"/>
            <w:vAlign w:val="center"/>
          </w:tcPr>
          <w:p>
            <w:pPr>
              <w:pStyle w:val="63"/>
            </w:pPr>
            <w:r>
              <w:t>厂区梯次利用</w:t>
            </w:r>
          </w:p>
        </w:tc>
        <w:tc>
          <w:tcPr>
            <w:tcW w:w="850" w:type="dxa"/>
            <w:vAlign w:val="center"/>
          </w:tcPr>
          <w:p>
            <w:pPr>
              <w:pStyle w:val="63"/>
            </w:pPr>
            <w:r>
              <w:t>固态</w:t>
            </w:r>
          </w:p>
        </w:tc>
        <w:tc>
          <w:tcPr>
            <w:tcW w:w="1277" w:type="dxa"/>
            <w:vAlign w:val="center"/>
          </w:tcPr>
          <w:p>
            <w:pPr>
              <w:pStyle w:val="63"/>
            </w:pPr>
            <w:r>
              <w:t>重金属</w:t>
            </w:r>
          </w:p>
        </w:tc>
        <w:tc>
          <w:tcPr>
            <w:tcW w:w="1133" w:type="dxa"/>
            <w:vAlign w:val="center"/>
          </w:tcPr>
          <w:p>
            <w:pPr>
              <w:pStyle w:val="63"/>
            </w:pPr>
            <w:r>
              <w:t>重金属</w:t>
            </w:r>
          </w:p>
        </w:tc>
        <w:tc>
          <w:tcPr>
            <w:tcW w:w="1135" w:type="dxa"/>
            <w:vAlign w:val="center"/>
          </w:tcPr>
          <w:p>
            <w:pPr>
              <w:pStyle w:val="63"/>
            </w:pPr>
            <w:r>
              <w:t>连续产生</w:t>
            </w:r>
          </w:p>
        </w:tc>
        <w:tc>
          <w:tcPr>
            <w:tcW w:w="991" w:type="dxa"/>
            <w:vAlign w:val="center"/>
          </w:tcPr>
          <w:p>
            <w:pPr>
              <w:pStyle w:val="63"/>
            </w:pPr>
            <w:r>
              <w:t>T，I</w:t>
            </w:r>
          </w:p>
        </w:tc>
        <w:tc>
          <w:tcPr>
            <w:tcW w:w="1451" w:type="dxa"/>
            <w:vMerge w:val="continue"/>
            <w:vAlign w:val="center"/>
          </w:tcPr>
          <w:p>
            <w:pPr>
              <w:pStyle w:val="63"/>
            </w:pPr>
          </w:p>
        </w:tc>
      </w:tr>
    </w:tbl>
    <w:p>
      <w:pPr>
        <w:spacing w:line="360" w:lineRule="auto"/>
        <w:ind w:firstLine="480" w:firstLineChars="200"/>
        <w:rPr>
          <w:rFonts w:ascii="Times New Roman" w:hAnsi="Times New Roman" w:cs="Times New Roman"/>
        </w:rPr>
        <w:sectPr>
          <w:pgSz w:w="16840" w:h="11907" w:orient="landscape"/>
          <w:pgMar w:top="1797" w:right="1440" w:bottom="1797" w:left="1440" w:header="964" w:footer="851" w:gutter="0"/>
          <w:cols w:space="720" w:num="1"/>
          <w:docGrid w:linePitch="297" w:charSpace="200"/>
        </w:sectPr>
      </w:pPr>
    </w:p>
    <w:p>
      <w:pPr>
        <w:pStyle w:val="5"/>
        <w:ind w:firstLine="482"/>
      </w:pPr>
      <w:bookmarkStart w:id="185" w:name="_Toc144276896"/>
      <w:bookmarkStart w:id="186" w:name="_Toc144236766"/>
      <w:r>
        <w:rPr>
          <w:rFonts w:hint="eastAsia"/>
        </w:rPr>
        <w:t>3.5.5.6</w:t>
      </w:r>
      <w:r>
        <w:t xml:space="preserve"> 非正常排放</w:t>
      </w:r>
      <w:bookmarkEnd w:id="185"/>
      <w:bookmarkEnd w:id="186"/>
    </w:p>
    <w:p>
      <w:pPr>
        <w:adjustRightInd/>
        <w:snapToGrid/>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项目大气污染物非正常排放状况主要体现在当废气处理设施出现异常的情况时污染物的排放。本项目非正常工况取项目预处理车间各污染物处理效率为50%，其他车间废气处理效率为0%情况。本项目废气非正常排放情况见下表。</w:t>
      </w:r>
    </w:p>
    <w:p>
      <w:pPr>
        <w:adjustRightInd/>
        <w:snapToGrid/>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由上表可知，当废气处理设施发生故障时，排放浓度均超标。因此，建设单位应当加强对布袋除尘设施的保养和日常维护，定期更换滤袋。当发现布袋除尘器达不到治理效果时，立即停止生产，对布袋除尘器进行维修或更换。降低非正常排放对周围环境的影响。</w:t>
      </w:r>
    </w:p>
    <w:p>
      <w:pPr>
        <w:spacing w:line="360" w:lineRule="auto"/>
        <w:ind w:firstLine="480" w:firstLineChars="200"/>
        <w:rPr>
          <w:rFonts w:ascii="Times New Roman" w:hAnsi="Times New Roman" w:cs="Times New Roman"/>
        </w:rPr>
        <w:sectPr>
          <w:pgSz w:w="11907" w:h="16840"/>
          <w:pgMar w:top="1440" w:right="1797" w:bottom="1440" w:left="1797" w:header="964" w:footer="851" w:gutter="0"/>
          <w:cols w:space="720" w:num="1"/>
          <w:docGrid w:linePitch="326" w:charSpace="200"/>
        </w:sectPr>
      </w:pPr>
    </w:p>
    <w:p>
      <w:pPr>
        <w:pStyle w:val="6"/>
        <w:rPr>
          <w:rFonts w:ascii="Times New Roman" w:hAnsi="Times New Roman" w:cs="Times New Roman"/>
        </w:rPr>
      </w:pPr>
      <w:r>
        <w:rPr>
          <w:rFonts w:ascii="Times New Roman" w:hAnsi="Times New Roman" w:cs="Times New Roman"/>
        </w:rPr>
        <w:t>表3.2-</w:t>
      </w:r>
      <w:r>
        <w:rPr>
          <w:rFonts w:hint="eastAsia" w:ascii="Times New Roman" w:hAnsi="Times New Roman" w:cs="Times New Roman"/>
        </w:rPr>
        <w:t xml:space="preserve">29 </w:t>
      </w:r>
      <w:r>
        <w:rPr>
          <w:rFonts w:ascii="Times New Roman" w:hAnsi="Times New Roman" w:cs="Times New Roman"/>
        </w:rPr>
        <w:t xml:space="preserve"> 大气污染物非正常排放一览表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1278"/>
        <w:gridCol w:w="770"/>
        <w:gridCol w:w="766"/>
        <w:gridCol w:w="902"/>
        <w:gridCol w:w="814"/>
        <w:gridCol w:w="680"/>
        <w:gridCol w:w="680"/>
        <w:gridCol w:w="950"/>
        <w:gridCol w:w="1089"/>
        <w:gridCol w:w="678"/>
        <w:gridCol w:w="817"/>
        <w:gridCol w:w="814"/>
        <w:gridCol w:w="814"/>
        <w:gridCol w:w="814"/>
        <w:gridCol w:w="757"/>
        <w:gridCol w:w="8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60" w:type="pct"/>
            <w:vMerge w:val="restart"/>
            <w:vAlign w:val="center"/>
          </w:tcPr>
          <w:p>
            <w:pPr>
              <w:pStyle w:val="63"/>
            </w:pPr>
            <w:r>
              <w:t>排放</w:t>
            </w:r>
          </w:p>
          <w:p>
            <w:pPr>
              <w:pStyle w:val="63"/>
            </w:pPr>
            <w:r>
              <w:t>形式</w:t>
            </w:r>
          </w:p>
        </w:tc>
        <w:tc>
          <w:tcPr>
            <w:tcW w:w="451" w:type="pct"/>
            <w:vMerge w:val="restart"/>
            <w:vAlign w:val="center"/>
          </w:tcPr>
          <w:p>
            <w:pPr>
              <w:pStyle w:val="63"/>
            </w:pPr>
            <w:r>
              <w:t>污染物</w:t>
            </w:r>
          </w:p>
        </w:tc>
        <w:tc>
          <w:tcPr>
            <w:tcW w:w="860" w:type="pct"/>
            <w:gridSpan w:val="3"/>
            <w:vAlign w:val="center"/>
          </w:tcPr>
          <w:p>
            <w:pPr>
              <w:pStyle w:val="63"/>
            </w:pPr>
            <w:r>
              <w:t>产生情况</w:t>
            </w:r>
          </w:p>
        </w:tc>
        <w:tc>
          <w:tcPr>
            <w:tcW w:w="287" w:type="pct"/>
            <w:vMerge w:val="restart"/>
            <w:vAlign w:val="center"/>
          </w:tcPr>
          <w:p>
            <w:pPr>
              <w:pStyle w:val="63"/>
            </w:pPr>
            <w:r>
              <w:t>治理措施</w:t>
            </w:r>
          </w:p>
        </w:tc>
        <w:tc>
          <w:tcPr>
            <w:tcW w:w="240" w:type="pct"/>
            <w:vMerge w:val="restart"/>
            <w:vAlign w:val="center"/>
          </w:tcPr>
          <w:p>
            <w:pPr>
              <w:pStyle w:val="63"/>
            </w:pPr>
            <w:r>
              <w:t>治理效率</w:t>
            </w:r>
          </w:p>
        </w:tc>
        <w:tc>
          <w:tcPr>
            <w:tcW w:w="959" w:type="pct"/>
            <w:gridSpan w:val="3"/>
            <w:vAlign w:val="center"/>
          </w:tcPr>
          <w:p>
            <w:pPr>
              <w:pStyle w:val="63"/>
            </w:pPr>
            <w:r>
              <w:t>排放</w:t>
            </w:r>
          </w:p>
        </w:tc>
        <w:tc>
          <w:tcPr>
            <w:tcW w:w="527" w:type="pct"/>
            <w:gridSpan w:val="2"/>
            <w:vAlign w:val="center"/>
          </w:tcPr>
          <w:p>
            <w:pPr>
              <w:pStyle w:val="63"/>
            </w:pPr>
            <w:r>
              <w:t>标准</w:t>
            </w:r>
          </w:p>
        </w:tc>
        <w:tc>
          <w:tcPr>
            <w:tcW w:w="1128" w:type="pct"/>
            <w:gridSpan w:val="4"/>
            <w:vAlign w:val="center"/>
          </w:tcPr>
          <w:p>
            <w:pPr>
              <w:pStyle w:val="63"/>
            </w:pPr>
            <w:r>
              <w:t>排放参数</w:t>
            </w:r>
          </w:p>
        </w:tc>
        <w:tc>
          <w:tcPr>
            <w:tcW w:w="288" w:type="pct"/>
            <w:vMerge w:val="restart"/>
            <w:vAlign w:val="center"/>
          </w:tcPr>
          <w:p>
            <w:pPr>
              <w:pStyle w:val="63"/>
            </w:pPr>
            <w: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60" w:type="pct"/>
            <w:vMerge w:val="continue"/>
            <w:vAlign w:val="center"/>
          </w:tcPr>
          <w:p>
            <w:pPr>
              <w:pStyle w:val="63"/>
            </w:pPr>
          </w:p>
        </w:tc>
        <w:tc>
          <w:tcPr>
            <w:tcW w:w="451" w:type="pct"/>
            <w:vMerge w:val="continue"/>
            <w:vAlign w:val="center"/>
          </w:tcPr>
          <w:p>
            <w:pPr>
              <w:pStyle w:val="63"/>
            </w:pPr>
          </w:p>
        </w:tc>
        <w:tc>
          <w:tcPr>
            <w:tcW w:w="272" w:type="pct"/>
            <w:vAlign w:val="center"/>
          </w:tcPr>
          <w:p>
            <w:pPr>
              <w:pStyle w:val="63"/>
            </w:pPr>
            <w:r>
              <w:t>浓度mg/m3</w:t>
            </w:r>
          </w:p>
        </w:tc>
        <w:tc>
          <w:tcPr>
            <w:tcW w:w="270" w:type="pct"/>
            <w:vAlign w:val="center"/>
          </w:tcPr>
          <w:p>
            <w:pPr>
              <w:pStyle w:val="63"/>
            </w:pPr>
            <w:r>
              <w:t>速率kg/h</w:t>
            </w:r>
          </w:p>
        </w:tc>
        <w:tc>
          <w:tcPr>
            <w:tcW w:w="318" w:type="pct"/>
            <w:vAlign w:val="center"/>
          </w:tcPr>
          <w:p>
            <w:pPr>
              <w:pStyle w:val="63"/>
            </w:pPr>
            <w:r>
              <w:t>量</w:t>
            </w:r>
          </w:p>
          <w:p>
            <w:pPr>
              <w:pStyle w:val="63"/>
            </w:pPr>
            <w:r>
              <w:t>t/a</w:t>
            </w:r>
          </w:p>
        </w:tc>
        <w:tc>
          <w:tcPr>
            <w:tcW w:w="287" w:type="pct"/>
            <w:vMerge w:val="continue"/>
            <w:vAlign w:val="center"/>
          </w:tcPr>
          <w:p>
            <w:pPr>
              <w:pStyle w:val="63"/>
            </w:pPr>
          </w:p>
        </w:tc>
        <w:tc>
          <w:tcPr>
            <w:tcW w:w="240" w:type="pct"/>
            <w:vMerge w:val="continue"/>
            <w:vAlign w:val="center"/>
          </w:tcPr>
          <w:p>
            <w:pPr>
              <w:pStyle w:val="63"/>
            </w:pPr>
          </w:p>
        </w:tc>
        <w:tc>
          <w:tcPr>
            <w:tcW w:w="240" w:type="pct"/>
            <w:vAlign w:val="center"/>
          </w:tcPr>
          <w:p>
            <w:pPr>
              <w:pStyle w:val="63"/>
            </w:pPr>
            <w:r>
              <w:t>浓度mg/m3</w:t>
            </w:r>
          </w:p>
        </w:tc>
        <w:tc>
          <w:tcPr>
            <w:tcW w:w="335" w:type="pct"/>
            <w:vAlign w:val="center"/>
          </w:tcPr>
          <w:p>
            <w:pPr>
              <w:pStyle w:val="63"/>
            </w:pPr>
            <w:r>
              <w:t>速率kg/h</w:t>
            </w:r>
          </w:p>
        </w:tc>
        <w:tc>
          <w:tcPr>
            <w:tcW w:w="384" w:type="pct"/>
            <w:vAlign w:val="center"/>
          </w:tcPr>
          <w:p>
            <w:pPr>
              <w:pStyle w:val="63"/>
            </w:pPr>
            <w:r>
              <w:t>量</w:t>
            </w:r>
          </w:p>
          <w:p>
            <w:pPr>
              <w:pStyle w:val="63"/>
            </w:pPr>
            <w:r>
              <w:t>t/a</w:t>
            </w:r>
          </w:p>
        </w:tc>
        <w:tc>
          <w:tcPr>
            <w:tcW w:w="239" w:type="pct"/>
            <w:vAlign w:val="center"/>
          </w:tcPr>
          <w:p>
            <w:pPr>
              <w:pStyle w:val="63"/>
            </w:pPr>
            <w:r>
              <w:t>浓度mg/m3</w:t>
            </w:r>
          </w:p>
        </w:tc>
        <w:tc>
          <w:tcPr>
            <w:tcW w:w="288" w:type="pct"/>
            <w:vAlign w:val="center"/>
          </w:tcPr>
          <w:p>
            <w:pPr>
              <w:pStyle w:val="63"/>
            </w:pPr>
            <w:r>
              <w:t>速率</w:t>
            </w:r>
          </w:p>
          <w:p>
            <w:pPr>
              <w:pStyle w:val="63"/>
            </w:pPr>
            <w:r>
              <w:t>kg/h</w:t>
            </w:r>
          </w:p>
        </w:tc>
        <w:tc>
          <w:tcPr>
            <w:tcW w:w="287" w:type="pct"/>
            <w:vAlign w:val="center"/>
          </w:tcPr>
          <w:p>
            <w:pPr>
              <w:pStyle w:val="63"/>
            </w:pPr>
            <w:r>
              <w:t>排放温度</w:t>
            </w:r>
            <w:r>
              <w:rPr>
                <w:rFonts w:hint="eastAsia" w:ascii="宋体" w:hAnsi="宋体" w:eastAsia="宋体" w:cs="宋体"/>
              </w:rPr>
              <w:t>℃</w:t>
            </w:r>
          </w:p>
        </w:tc>
        <w:tc>
          <w:tcPr>
            <w:tcW w:w="287" w:type="pct"/>
            <w:vAlign w:val="center"/>
          </w:tcPr>
          <w:p>
            <w:pPr>
              <w:pStyle w:val="63"/>
            </w:pPr>
            <w:r>
              <w:t>排气筒高度/m</w:t>
            </w:r>
          </w:p>
        </w:tc>
        <w:tc>
          <w:tcPr>
            <w:tcW w:w="287" w:type="pct"/>
            <w:vAlign w:val="center"/>
          </w:tcPr>
          <w:p>
            <w:pPr>
              <w:pStyle w:val="63"/>
            </w:pPr>
            <w:r>
              <w:t>排气筒内径/m</w:t>
            </w:r>
          </w:p>
        </w:tc>
        <w:tc>
          <w:tcPr>
            <w:tcW w:w="267" w:type="pct"/>
            <w:vAlign w:val="center"/>
          </w:tcPr>
          <w:p>
            <w:pPr>
              <w:pStyle w:val="63"/>
            </w:pPr>
            <w:r>
              <w:t>烟气量m3/h</w:t>
            </w:r>
          </w:p>
        </w:tc>
        <w:tc>
          <w:tcPr>
            <w:tcW w:w="288"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restart"/>
            <w:vAlign w:val="center"/>
          </w:tcPr>
          <w:p>
            <w:pPr>
              <w:pStyle w:val="63"/>
            </w:pPr>
            <w:r>
              <w:t>P1预处理车间</w:t>
            </w:r>
          </w:p>
        </w:tc>
        <w:tc>
          <w:tcPr>
            <w:tcW w:w="451" w:type="pct"/>
            <w:vAlign w:val="center"/>
          </w:tcPr>
          <w:p>
            <w:pPr>
              <w:pStyle w:val="63"/>
            </w:pPr>
            <w:r>
              <w:t>颗粒物</w:t>
            </w:r>
          </w:p>
        </w:tc>
        <w:tc>
          <w:tcPr>
            <w:tcW w:w="272" w:type="pct"/>
            <w:vAlign w:val="center"/>
          </w:tcPr>
          <w:p>
            <w:pPr>
              <w:pStyle w:val="63"/>
              <w:rPr>
                <w:sz w:val="22"/>
              </w:rPr>
            </w:pPr>
            <w:r>
              <w:rPr>
                <w:sz w:val="22"/>
              </w:rPr>
              <w:t>3.844</w:t>
            </w:r>
          </w:p>
        </w:tc>
        <w:tc>
          <w:tcPr>
            <w:tcW w:w="270" w:type="pct"/>
            <w:vAlign w:val="center"/>
          </w:tcPr>
          <w:p>
            <w:pPr>
              <w:pStyle w:val="63"/>
              <w:rPr>
                <w:sz w:val="22"/>
              </w:rPr>
            </w:pPr>
            <w:r>
              <w:rPr>
                <w:sz w:val="22"/>
              </w:rPr>
              <w:t>0.173</w:t>
            </w:r>
          </w:p>
        </w:tc>
        <w:tc>
          <w:tcPr>
            <w:tcW w:w="318" w:type="pct"/>
            <w:vAlign w:val="center"/>
          </w:tcPr>
          <w:p>
            <w:pPr>
              <w:pStyle w:val="63"/>
            </w:pPr>
            <w:r>
              <w:t>1.371</w:t>
            </w:r>
          </w:p>
        </w:tc>
        <w:tc>
          <w:tcPr>
            <w:tcW w:w="287" w:type="pct"/>
            <w:vMerge w:val="restart"/>
            <w:vAlign w:val="center"/>
          </w:tcPr>
          <w:p>
            <w:pPr>
              <w:pStyle w:val="63"/>
            </w:pPr>
            <w:r>
              <w:t>废气焚烧+急冷+布袋除尘+三级水洗+碱液喷淋</w:t>
            </w:r>
          </w:p>
        </w:tc>
        <w:tc>
          <w:tcPr>
            <w:tcW w:w="240" w:type="pct"/>
            <w:vAlign w:val="center"/>
          </w:tcPr>
          <w:p>
            <w:pPr>
              <w:pStyle w:val="63"/>
            </w:pPr>
            <w:r>
              <w:t>50</w:t>
            </w:r>
          </w:p>
        </w:tc>
        <w:tc>
          <w:tcPr>
            <w:tcW w:w="240" w:type="pct"/>
            <w:vAlign w:val="center"/>
          </w:tcPr>
          <w:p>
            <w:pPr>
              <w:pStyle w:val="63"/>
            </w:pPr>
            <w:r>
              <w:t>1.92</w:t>
            </w:r>
          </w:p>
        </w:tc>
        <w:tc>
          <w:tcPr>
            <w:tcW w:w="335" w:type="pct"/>
            <w:vAlign w:val="center"/>
          </w:tcPr>
          <w:p>
            <w:pPr>
              <w:pStyle w:val="63"/>
            </w:pPr>
            <w:r>
              <w:t>0.09</w:t>
            </w:r>
          </w:p>
        </w:tc>
        <w:tc>
          <w:tcPr>
            <w:tcW w:w="384" w:type="pct"/>
            <w:vAlign w:val="center"/>
          </w:tcPr>
          <w:p>
            <w:pPr>
              <w:pStyle w:val="63"/>
            </w:pPr>
            <w:r>
              <w:t>0.69</w:t>
            </w:r>
          </w:p>
        </w:tc>
        <w:tc>
          <w:tcPr>
            <w:tcW w:w="239" w:type="pct"/>
            <w:vAlign w:val="center"/>
          </w:tcPr>
          <w:p>
            <w:pPr>
              <w:pStyle w:val="63"/>
            </w:pPr>
            <w:r>
              <w:t>120</w:t>
            </w:r>
          </w:p>
        </w:tc>
        <w:tc>
          <w:tcPr>
            <w:tcW w:w="288" w:type="pct"/>
            <w:vAlign w:val="center"/>
          </w:tcPr>
          <w:p>
            <w:pPr>
              <w:pStyle w:val="63"/>
            </w:pPr>
            <w:r>
              <w:t>23</w:t>
            </w:r>
          </w:p>
        </w:tc>
        <w:tc>
          <w:tcPr>
            <w:tcW w:w="287" w:type="pct"/>
            <w:vMerge w:val="restart"/>
            <w:vAlign w:val="center"/>
          </w:tcPr>
          <w:p>
            <w:pPr>
              <w:pStyle w:val="63"/>
            </w:pPr>
            <w:r>
              <w:t>25</w:t>
            </w:r>
          </w:p>
        </w:tc>
        <w:tc>
          <w:tcPr>
            <w:tcW w:w="287" w:type="pct"/>
            <w:vMerge w:val="restart"/>
            <w:vAlign w:val="center"/>
          </w:tcPr>
          <w:p>
            <w:pPr>
              <w:pStyle w:val="63"/>
            </w:pPr>
            <w:r>
              <w:t>30</w:t>
            </w:r>
          </w:p>
        </w:tc>
        <w:tc>
          <w:tcPr>
            <w:tcW w:w="287" w:type="pct"/>
            <w:vMerge w:val="restart"/>
            <w:vAlign w:val="center"/>
          </w:tcPr>
          <w:p>
            <w:pPr>
              <w:pStyle w:val="63"/>
            </w:pPr>
            <w:r>
              <w:t>1.2</w:t>
            </w:r>
          </w:p>
        </w:tc>
        <w:tc>
          <w:tcPr>
            <w:tcW w:w="267" w:type="pct"/>
            <w:vMerge w:val="restart"/>
            <w:vAlign w:val="center"/>
          </w:tcPr>
          <w:p>
            <w:pPr>
              <w:pStyle w:val="63"/>
            </w:pPr>
            <w:r>
              <w:t>45000</w:t>
            </w: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非甲烷总烃</w:t>
            </w:r>
          </w:p>
        </w:tc>
        <w:tc>
          <w:tcPr>
            <w:tcW w:w="272" w:type="pct"/>
            <w:vAlign w:val="center"/>
          </w:tcPr>
          <w:p>
            <w:pPr>
              <w:pStyle w:val="63"/>
              <w:rPr>
                <w:sz w:val="22"/>
              </w:rPr>
            </w:pPr>
            <w:r>
              <w:rPr>
                <w:sz w:val="22"/>
              </w:rPr>
              <w:t>6576.889</w:t>
            </w:r>
          </w:p>
        </w:tc>
        <w:tc>
          <w:tcPr>
            <w:tcW w:w="270" w:type="pct"/>
            <w:vAlign w:val="center"/>
          </w:tcPr>
          <w:p>
            <w:pPr>
              <w:pStyle w:val="63"/>
              <w:rPr>
                <w:sz w:val="22"/>
              </w:rPr>
            </w:pPr>
            <w:r>
              <w:rPr>
                <w:sz w:val="22"/>
              </w:rPr>
              <w:t>295.96</w:t>
            </w:r>
          </w:p>
        </w:tc>
        <w:tc>
          <w:tcPr>
            <w:tcW w:w="318" w:type="pct"/>
            <w:vAlign w:val="center"/>
          </w:tcPr>
          <w:p>
            <w:pPr>
              <w:pStyle w:val="63"/>
            </w:pPr>
            <w:r>
              <w:t>2344</w:t>
            </w:r>
          </w:p>
        </w:tc>
        <w:tc>
          <w:tcPr>
            <w:tcW w:w="287" w:type="pct"/>
            <w:vMerge w:val="continue"/>
            <w:vAlign w:val="center"/>
          </w:tcPr>
          <w:p>
            <w:pPr>
              <w:pStyle w:val="63"/>
            </w:pPr>
          </w:p>
        </w:tc>
        <w:tc>
          <w:tcPr>
            <w:tcW w:w="240" w:type="pct"/>
            <w:vAlign w:val="center"/>
          </w:tcPr>
          <w:p>
            <w:pPr>
              <w:pStyle w:val="63"/>
            </w:pPr>
            <w:r>
              <w:t>50</w:t>
            </w:r>
          </w:p>
        </w:tc>
        <w:tc>
          <w:tcPr>
            <w:tcW w:w="240" w:type="pct"/>
            <w:vAlign w:val="center"/>
          </w:tcPr>
          <w:p>
            <w:pPr>
              <w:pStyle w:val="63"/>
            </w:pPr>
            <w:r>
              <w:t>3288.44</w:t>
            </w:r>
          </w:p>
        </w:tc>
        <w:tc>
          <w:tcPr>
            <w:tcW w:w="335" w:type="pct"/>
            <w:vAlign w:val="center"/>
          </w:tcPr>
          <w:p>
            <w:pPr>
              <w:pStyle w:val="63"/>
            </w:pPr>
            <w:r>
              <w:t>147.98</w:t>
            </w:r>
          </w:p>
        </w:tc>
        <w:tc>
          <w:tcPr>
            <w:tcW w:w="384" w:type="pct"/>
            <w:vAlign w:val="center"/>
          </w:tcPr>
          <w:p>
            <w:pPr>
              <w:pStyle w:val="63"/>
            </w:pPr>
            <w:r>
              <w:t>1172.00</w:t>
            </w:r>
          </w:p>
        </w:tc>
        <w:tc>
          <w:tcPr>
            <w:tcW w:w="239" w:type="pct"/>
            <w:vAlign w:val="center"/>
          </w:tcPr>
          <w:p>
            <w:pPr>
              <w:pStyle w:val="63"/>
            </w:pPr>
            <w:r>
              <w:t>120</w:t>
            </w:r>
          </w:p>
        </w:tc>
        <w:tc>
          <w:tcPr>
            <w:tcW w:w="288" w:type="pct"/>
            <w:vAlign w:val="center"/>
          </w:tcPr>
          <w:p>
            <w:pPr>
              <w:pStyle w:val="63"/>
            </w:pPr>
            <w:r>
              <w:t>53</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氟化物</w:t>
            </w:r>
          </w:p>
        </w:tc>
        <w:tc>
          <w:tcPr>
            <w:tcW w:w="272" w:type="pct"/>
            <w:vAlign w:val="center"/>
          </w:tcPr>
          <w:p>
            <w:pPr>
              <w:pStyle w:val="63"/>
              <w:rPr>
                <w:sz w:val="22"/>
              </w:rPr>
            </w:pPr>
            <w:r>
              <w:rPr>
                <w:sz w:val="22"/>
              </w:rPr>
              <w:t>660.444</w:t>
            </w:r>
          </w:p>
        </w:tc>
        <w:tc>
          <w:tcPr>
            <w:tcW w:w="270" w:type="pct"/>
            <w:vAlign w:val="center"/>
          </w:tcPr>
          <w:p>
            <w:pPr>
              <w:pStyle w:val="63"/>
              <w:rPr>
                <w:sz w:val="22"/>
              </w:rPr>
            </w:pPr>
            <w:r>
              <w:rPr>
                <w:sz w:val="22"/>
              </w:rPr>
              <w:t>29.72</w:t>
            </w:r>
          </w:p>
        </w:tc>
        <w:tc>
          <w:tcPr>
            <w:tcW w:w="318" w:type="pct"/>
            <w:vAlign w:val="center"/>
          </w:tcPr>
          <w:p>
            <w:pPr>
              <w:pStyle w:val="63"/>
            </w:pPr>
            <w:r>
              <w:t>214</w:t>
            </w:r>
          </w:p>
        </w:tc>
        <w:tc>
          <w:tcPr>
            <w:tcW w:w="287" w:type="pct"/>
            <w:vMerge w:val="continue"/>
            <w:vAlign w:val="center"/>
          </w:tcPr>
          <w:p>
            <w:pPr>
              <w:pStyle w:val="63"/>
            </w:pPr>
          </w:p>
        </w:tc>
        <w:tc>
          <w:tcPr>
            <w:tcW w:w="240" w:type="pct"/>
            <w:vAlign w:val="center"/>
          </w:tcPr>
          <w:p>
            <w:pPr>
              <w:pStyle w:val="63"/>
            </w:pPr>
            <w:r>
              <w:t>50</w:t>
            </w:r>
          </w:p>
        </w:tc>
        <w:tc>
          <w:tcPr>
            <w:tcW w:w="240" w:type="pct"/>
            <w:vAlign w:val="center"/>
          </w:tcPr>
          <w:p>
            <w:pPr>
              <w:pStyle w:val="63"/>
            </w:pPr>
            <w:r>
              <w:t>330.22</w:t>
            </w:r>
          </w:p>
        </w:tc>
        <w:tc>
          <w:tcPr>
            <w:tcW w:w="335" w:type="pct"/>
            <w:vAlign w:val="center"/>
          </w:tcPr>
          <w:p>
            <w:pPr>
              <w:pStyle w:val="63"/>
            </w:pPr>
            <w:r>
              <w:t>14.86</w:t>
            </w:r>
          </w:p>
        </w:tc>
        <w:tc>
          <w:tcPr>
            <w:tcW w:w="384" w:type="pct"/>
            <w:vAlign w:val="center"/>
          </w:tcPr>
          <w:p>
            <w:pPr>
              <w:pStyle w:val="63"/>
            </w:pPr>
            <w:r>
              <w:t>107.00</w:t>
            </w:r>
          </w:p>
        </w:tc>
        <w:tc>
          <w:tcPr>
            <w:tcW w:w="239" w:type="pct"/>
            <w:vAlign w:val="center"/>
          </w:tcPr>
          <w:p>
            <w:pPr>
              <w:pStyle w:val="63"/>
            </w:pPr>
            <w:r>
              <w:t>9.0</w:t>
            </w:r>
          </w:p>
        </w:tc>
        <w:tc>
          <w:tcPr>
            <w:tcW w:w="288" w:type="pct"/>
            <w:vAlign w:val="center"/>
          </w:tcPr>
          <w:p>
            <w:pPr>
              <w:pStyle w:val="63"/>
            </w:pPr>
            <w:r>
              <w:t>0.59</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镍及其化合物</w:t>
            </w:r>
          </w:p>
        </w:tc>
        <w:tc>
          <w:tcPr>
            <w:tcW w:w="272" w:type="pct"/>
            <w:vAlign w:val="center"/>
          </w:tcPr>
          <w:p>
            <w:pPr>
              <w:pStyle w:val="63"/>
              <w:rPr>
                <w:sz w:val="22"/>
              </w:rPr>
            </w:pPr>
            <w:r>
              <w:rPr>
                <w:sz w:val="22"/>
              </w:rPr>
              <w:t>0.089</w:t>
            </w:r>
          </w:p>
        </w:tc>
        <w:tc>
          <w:tcPr>
            <w:tcW w:w="270" w:type="pct"/>
            <w:vAlign w:val="center"/>
          </w:tcPr>
          <w:p>
            <w:pPr>
              <w:pStyle w:val="63"/>
              <w:rPr>
                <w:sz w:val="22"/>
              </w:rPr>
            </w:pPr>
            <w:r>
              <w:rPr>
                <w:sz w:val="22"/>
              </w:rPr>
              <w:t>0.004</w:t>
            </w:r>
          </w:p>
        </w:tc>
        <w:tc>
          <w:tcPr>
            <w:tcW w:w="318" w:type="pct"/>
            <w:vAlign w:val="center"/>
          </w:tcPr>
          <w:p>
            <w:pPr>
              <w:pStyle w:val="63"/>
            </w:pPr>
            <w:r>
              <w:t>32.4 kg/a</w:t>
            </w:r>
          </w:p>
        </w:tc>
        <w:tc>
          <w:tcPr>
            <w:tcW w:w="287" w:type="pct"/>
            <w:vMerge w:val="continue"/>
            <w:vAlign w:val="center"/>
          </w:tcPr>
          <w:p>
            <w:pPr>
              <w:pStyle w:val="63"/>
            </w:pPr>
          </w:p>
        </w:tc>
        <w:tc>
          <w:tcPr>
            <w:tcW w:w="240" w:type="pct"/>
            <w:vAlign w:val="center"/>
          </w:tcPr>
          <w:p>
            <w:pPr>
              <w:pStyle w:val="63"/>
            </w:pPr>
            <w:r>
              <w:t>50</w:t>
            </w:r>
          </w:p>
        </w:tc>
        <w:tc>
          <w:tcPr>
            <w:tcW w:w="240" w:type="pct"/>
            <w:vAlign w:val="center"/>
          </w:tcPr>
          <w:p>
            <w:pPr>
              <w:pStyle w:val="63"/>
            </w:pPr>
            <w:r>
              <w:t>0.0445</w:t>
            </w:r>
          </w:p>
        </w:tc>
        <w:tc>
          <w:tcPr>
            <w:tcW w:w="335" w:type="pct"/>
            <w:vAlign w:val="center"/>
          </w:tcPr>
          <w:p>
            <w:pPr>
              <w:pStyle w:val="63"/>
            </w:pPr>
            <w:r>
              <w:t>0.0020</w:t>
            </w:r>
          </w:p>
        </w:tc>
        <w:tc>
          <w:tcPr>
            <w:tcW w:w="384" w:type="pct"/>
            <w:vAlign w:val="center"/>
          </w:tcPr>
          <w:p>
            <w:pPr>
              <w:pStyle w:val="63"/>
            </w:pPr>
            <w:r>
              <w:t>16.20 kg/a</w:t>
            </w:r>
          </w:p>
        </w:tc>
        <w:tc>
          <w:tcPr>
            <w:tcW w:w="239" w:type="pct"/>
            <w:vAlign w:val="center"/>
          </w:tcPr>
          <w:p>
            <w:pPr>
              <w:pStyle w:val="63"/>
            </w:pPr>
            <w:r>
              <w:t>4.32</w:t>
            </w:r>
          </w:p>
        </w:tc>
        <w:tc>
          <w:tcPr>
            <w:tcW w:w="288" w:type="pct"/>
            <w:vAlign w:val="center"/>
          </w:tcPr>
          <w:p>
            <w:pPr>
              <w:pStyle w:val="63"/>
            </w:pPr>
            <w:r>
              <w:t>0.88</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钴及其化合物</w:t>
            </w:r>
          </w:p>
        </w:tc>
        <w:tc>
          <w:tcPr>
            <w:tcW w:w="272" w:type="pct"/>
            <w:vAlign w:val="center"/>
          </w:tcPr>
          <w:p>
            <w:pPr>
              <w:pStyle w:val="63"/>
              <w:rPr>
                <w:sz w:val="22"/>
              </w:rPr>
            </w:pPr>
            <w:r>
              <w:rPr>
                <w:sz w:val="22"/>
              </w:rPr>
              <w:t>0.036</w:t>
            </w:r>
          </w:p>
        </w:tc>
        <w:tc>
          <w:tcPr>
            <w:tcW w:w="270" w:type="pct"/>
            <w:vAlign w:val="center"/>
          </w:tcPr>
          <w:p>
            <w:pPr>
              <w:pStyle w:val="63"/>
              <w:rPr>
                <w:sz w:val="22"/>
              </w:rPr>
            </w:pPr>
            <w:r>
              <w:rPr>
                <w:sz w:val="22"/>
              </w:rPr>
              <w:t>0.0016</w:t>
            </w:r>
          </w:p>
        </w:tc>
        <w:tc>
          <w:tcPr>
            <w:tcW w:w="318" w:type="pct"/>
            <w:vAlign w:val="center"/>
          </w:tcPr>
          <w:p>
            <w:pPr>
              <w:pStyle w:val="63"/>
            </w:pPr>
            <w:r>
              <w:t>12.8kg/a</w:t>
            </w:r>
          </w:p>
        </w:tc>
        <w:tc>
          <w:tcPr>
            <w:tcW w:w="287" w:type="pct"/>
            <w:vMerge w:val="continue"/>
            <w:vAlign w:val="center"/>
          </w:tcPr>
          <w:p>
            <w:pPr>
              <w:pStyle w:val="63"/>
            </w:pPr>
          </w:p>
        </w:tc>
        <w:tc>
          <w:tcPr>
            <w:tcW w:w="240" w:type="pct"/>
            <w:vAlign w:val="center"/>
          </w:tcPr>
          <w:p>
            <w:pPr>
              <w:pStyle w:val="63"/>
            </w:pPr>
            <w:r>
              <w:t>50</w:t>
            </w:r>
          </w:p>
        </w:tc>
        <w:tc>
          <w:tcPr>
            <w:tcW w:w="240" w:type="pct"/>
            <w:vAlign w:val="center"/>
          </w:tcPr>
          <w:p>
            <w:pPr>
              <w:pStyle w:val="63"/>
            </w:pPr>
            <w:r>
              <w:t>0.0180</w:t>
            </w:r>
          </w:p>
        </w:tc>
        <w:tc>
          <w:tcPr>
            <w:tcW w:w="335" w:type="pct"/>
            <w:vAlign w:val="center"/>
          </w:tcPr>
          <w:p>
            <w:pPr>
              <w:pStyle w:val="63"/>
            </w:pPr>
            <w:r>
              <w:t>0.0008</w:t>
            </w:r>
          </w:p>
        </w:tc>
        <w:tc>
          <w:tcPr>
            <w:tcW w:w="384" w:type="pct"/>
            <w:vAlign w:val="center"/>
          </w:tcPr>
          <w:p>
            <w:pPr>
              <w:pStyle w:val="63"/>
            </w:pPr>
            <w:r>
              <w:t>6.40 kg/a</w:t>
            </w:r>
          </w:p>
        </w:tc>
        <w:tc>
          <w:tcPr>
            <w:tcW w:w="239" w:type="pct"/>
            <w:vAlign w:val="center"/>
          </w:tcPr>
          <w:p>
            <w:pPr>
              <w:pStyle w:val="63"/>
            </w:pPr>
            <w:r>
              <w:t>--</w:t>
            </w:r>
          </w:p>
        </w:tc>
        <w:tc>
          <w:tcPr>
            <w:tcW w:w="288" w:type="pct"/>
            <w:vAlign w:val="center"/>
          </w:tcPr>
          <w:p>
            <w:pPr>
              <w:pStyle w:val="63"/>
            </w:pPr>
            <w:r>
              <w:t>--</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锰及其化合物</w:t>
            </w:r>
          </w:p>
        </w:tc>
        <w:tc>
          <w:tcPr>
            <w:tcW w:w="272" w:type="pct"/>
            <w:vAlign w:val="center"/>
          </w:tcPr>
          <w:p>
            <w:pPr>
              <w:pStyle w:val="63"/>
              <w:rPr>
                <w:sz w:val="22"/>
              </w:rPr>
            </w:pPr>
            <w:r>
              <w:rPr>
                <w:sz w:val="22"/>
              </w:rPr>
              <w:t>0.056</w:t>
            </w:r>
          </w:p>
        </w:tc>
        <w:tc>
          <w:tcPr>
            <w:tcW w:w="270" w:type="pct"/>
            <w:vAlign w:val="center"/>
          </w:tcPr>
          <w:p>
            <w:pPr>
              <w:pStyle w:val="63"/>
              <w:rPr>
                <w:sz w:val="22"/>
              </w:rPr>
            </w:pPr>
            <w:r>
              <w:rPr>
                <w:sz w:val="22"/>
              </w:rPr>
              <w:t>0.0025</w:t>
            </w:r>
          </w:p>
        </w:tc>
        <w:tc>
          <w:tcPr>
            <w:tcW w:w="318" w:type="pct"/>
            <w:vAlign w:val="center"/>
          </w:tcPr>
          <w:p>
            <w:pPr>
              <w:pStyle w:val="63"/>
            </w:pPr>
            <w:r>
              <w:t>19.6kg/a</w:t>
            </w:r>
          </w:p>
        </w:tc>
        <w:tc>
          <w:tcPr>
            <w:tcW w:w="287" w:type="pct"/>
            <w:vMerge w:val="continue"/>
            <w:vAlign w:val="center"/>
          </w:tcPr>
          <w:p>
            <w:pPr>
              <w:pStyle w:val="63"/>
            </w:pPr>
          </w:p>
        </w:tc>
        <w:tc>
          <w:tcPr>
            <w:tcW w:w="240" w:type="pct"/>
            <w:vAlign w:val="center"/>
          </w:tcPr>
          <w:p>
            <w:pPr>
              <w:pStyle w:val="63"/>
            </w:pPr>
            <w:r>
              <w:t>50</w:t>
            </w:r>
          </w:p>
        </w:tc>
        <w:tc>
          <w:tcPr>
            <w:tcW w:w="240" w:type="pct"/>
            <w:vAlign w:val="center"/>
          </w:tcPr>
          <w:p>
            <w:pPr>
              <w:pStyle w:val="63"/>
            </w:pPr>
            <w:r>
              <w:t>0.0280</w:t>
            </w:r>
          </w:p>
        </w:tc>
        <w:tc>
          <w:tcPr>
            <w:tcW w:w="335" w:type="pct"/>
            <w:vAlign w:val="center"/>
          </w:tcPr>
          <w:p>
            <w:pPr>
              <w:pStyle w:val="63"/>
            </w:pPr>
            <w:r>
              <w:t>0.0013</w:t>
            </w:r>
          </w:p>
        </w:tc>
        <w:tc>
          <w:tcPr>
            <w:tcW w:w="384" w:type="pct"/>
            <w:vAlign w:val="center"/>
          </w:tcPr>
          <w:p>
            <w:pPr>
              <w:pStyle w:val="63"/>
            </w:pPr>
            <w:r>
              <w:t>9.80 kg/a</w:t>
            </w:r>
          </w:p>
        </w:tc>
        <w:tc>
          <w:tcPr>
            <w:tcW w:w="239" w:type="pct"/>
            <w:vAlign w:val="center"/>
          </w:tcPr>
          <w:p>
            <w:pPr>
              <w:pStyle w:val="63"/>
            </w:pPr>
            <w:r>
              <w:t>--</w:t>
            </w:r>
          </w:p>
        </w:tc>
        <w:tc>
          <w:tcPr>
            <w:tcW w:w="288" w:type="pct"/>
            <w:vAlign w:val="center"/>
          </w:tcPr>
          <w:p>
            <w:pPr>
              <w:pStyle w:val="63"/>
            </w:pPr>
            <w:r>
              <w:t>--</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SO2</w:t>
            </w:r>
          </w:p>
        </w:tc>
        <w:tc>
          <w:tcPr>
            <w:tcW w:w="272" w:type="pct"/>
            <w:vAlign w:val="center"/>
          </w:tcPr>
          <w:p>
            <w:pPr>
              <w:pStyle w:val="63"/>
              <w:rPr>
                <w:sz w:val="22"/>
              </w:rPr>
            </w:pPr>
            <w:r>
              <w:rPr>
                <w:sz w:val="22"/>
              </w:rPr>
              <w:t>0.044</w:t>
            </w:r>
          </w:p>
        </w:tc>
        <w:tc>
          <w:tcPr>
            <w:tcW w:w="270" w:type="pct"/>
            <w:vAlign w:val="center"/>
          </w:tcPr>
          <w:p>
            <w:pPr>
              <w:pStyle w:val="63"/>
              <w:rPr>
                <w:sz w:val="22"/>
              </w:rPr>
            </w:pPr>
            <w:r>
              <w:rPr>
                <w:sz w:val="22"/>
              </w:rPr>
              <w:t>0.002</w:t>
            </w:r>
          </w:p>
        </w:tc>
        <w:tc>
          <w:tcPr>
            <w:tcW w:w="318" w:type="pct"/>
            <w:vAlign w:val="center"/>
          </w:tcPr>
          <w:p>
            <w:pPr>
              <w:pStyle w:val="63"/>
            </w:pPr>
            <w:r>
              <w:t>0.013</w:t>
            </w:r>
          </w:p>
        </w:tc>
        <w:tc>
          <w:tcPr>
            <w:tcW w:w="287" w:type="pct"/>
            <w:vMerge w:val="continue"/>
            <w:vAlign w:val="center"/>
          </w:tcPr>
          <w:p>
            <w:pPr>
              <w:pStyle w:val="63"/>
            </w:pPr>
          </w:p>
        </w:tc>
        <w:tc>
          <w:tcPr>
            <w:tcW w:w="240" w:type="pct"/>
            <w:vAlign w:val="center"/>
          </w:tcPr>
          <w:p>
            <w:pPr>
              <w:pStyle w:val="63"/>
            </w:pPr>
            <w:r>
              <w:t>0</w:t>
            </w:r>
          </w:p>
        </w:tc>
        <w:tc>
          <w:tcPr>
            <w:tcW w:w="240" w:type="pct"/>
            <w:vAlign w:val="center"/>
          </w:tcPr>
          <w:p>
            <w:pPr>
              <w:pStyle w:val="63"/>
              <w:rPr>
                <w:sz w:val="22"/>
              </w:rPr>
            </w:pPr>
            <w:r>
              <w:rPr>
                <w:sz w:val="22"/>
              </w:rPr>
              <w:t>0.044</w:t>
            </w:r>
          </w:p>
        </w:tc>
        <w:tc>
          <w:tcPr>
            <w:tcW w:w="335" w:type="pct"/>
            <w:vAlign w:val="center"/>
          </w:tcPr>
          <w:p>
            <w:pPr>
              <w:pStyle w:val="63"/>
              <w:rPr>
                <w:sz w:val="22"/>
              </w:rPr>
            </w:pPr>
            <w:r>
              <w:rPr>
                <w:sz w:val="22"/>
              </w:rPr>
              <w:t>0.002</w:t>
            </w:r>
          </w:p>
        </w:tc>
        <w:tc>
          <w:tcPr>
            <w:tcW w:w="384" w:type="pct"/>
            <w:vAlign w:val="center"/>
          </w:tcPr>
          <w:p>
            <w:pPr>
              <w:pStyle w:val="63"/>
            </w:pPr>
            <w:r>
              <w:t>0.013</w:t>
            </w:r>
          </w:p>
        </w:tc>
        <w:tc>
          <w:tcPr>
            <w:tcW w:w="239" w:type="pct"/>
            <w:vAlign w:val="center"/>
          </w:tcPr>
          <w:p>
            <w:pPr>
              <w:pStyle w:val="63"/>
            </w:pPr>
            <w:r>
              <w:t>550</w:t>
            </w:r>
          </w:p>
        </w:tc>
        <w:tc>
          <w:tcPr>
            <w:tcW w:w="288" w:type="pct"/>
            <w:vAlign w:val="center"/>
          </w:tcPr>
          <w:p>
            <w:pPr>
              <w:pStyle w:val="63"/>
            </w:pPr>
            <w:r>
              <w:t>15</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NOx</w:t>
            </w:r>
          </w:p>
        </w:tc>
        <w:tc>
          <w:tcPr>
            <w:tcW w:w="272" w:type="pct"/>
            <w:vAlign w:val="center"/>
          </w:tcPr>
          <w:p>
            <w:pPr>
              <w:pStyle w:val="63"/>
              <w:rPr>
                <w:sz w:val="22"/>
              </w:rPr>
            </w:pPr>
            <w:r>
              <w:rPr>
                <w:sz w:val="22"/>
              </w:rPr>
              <w:t>1.667</w:t>
            </w:r>
          </w:p>
        </w:tc>
        <w:tc>
          <w:tcPr>
            <w:tcW w:w="270" w:type="pct"/>
            <w:vAlign w:val="center"/>
          </w:tcPr>
          <w:p>
            <w:pPr>
              <w:pStyle w:val="63"/>
              <w:rPr>
                <w:sz w:val="22"/>
              </w:rPr>
            </w:pPr>
            <w:r>
              <w:rPr>
                <w:sz w:val="22"/>
              </w:rPr>
              <w:t>0.075</w:t>
            </w:r>
          </w:p>
        </w:tc>
        <w:tc>
          <w:tcPr>
            <w:tcW w:w="318" w:type="pct"/>
            <w:vAlign w:val="center"/>
          </w:tcPr>
          <w:p>
            <w:pPr>
              <w:pStyle w:val="63"/>
            </w:pPr>
            <w:r>
              <w:t>0.593</w:t>
            </w:r>
          </w:p>
        </w:tc>
        <w:tc>
          <w:tcPr>
            <w:tcW w:w="287" w:type="pct"/>
            <w:vMerge w:val="continue"/>
            <w:vAlign w:val="center"/>
          </w:tcPr>
          <w:p>
            <w:pPr>
              <w:pStyle w:val="63"/>
            </w:pPr>
          </w:p>
        </w:tc>
        <w:tc>
          <w:tcPr>
            <w:tcW w:w="240" w:type="pct"/>
            <w:vAlign w:val="center"/>
          </w:tcPr>
          <w:p>
            <w:pPr>
              <w:pStyle w:val="63"/>
            </w:pPr>
            <w:r>
              <w:t>0%</w:t>
            </w:r>
          </w:p>
        </w:tc>
        <w:tc>
          <w:tcPr>
            <w:tcW w:w="240" w:type="pct"/>
            <w:vAlign w:val="center"/>
          </w:tcPr>
          <w:p>
            <w:pPr>
              <w:pStyle w:val="63"/>
              <w:rPr>
                <w:sz w:val="22"/>
              </w:rPr>
            </w:pPr>
            <w:r>
              <w:rPr>
                <w:sz w:val="22"/>
              </w:rPr>
              <w:t>1.667</w:t>
            </w:r>
          </w:p>
        </w:tc>
        <w:tc>
          <w:tcPr>
            <w:tcW w:w="335" w:type="pct"/>
            <w:vAlign w:val="center"/>
          </w:tcPr>
          <w:p>
            <w:pPr>
              <w:pStyle w:val="63"/>
              <w:rPr>
                <w:sz w:val="22"/>
              </w:rPr>
            </w:pPr>
            <w:r>
              <w:rPr>
                <w:sz w:val="22"/>
              </w:rPr>
              <w:t>0.075</w:t>
            </w:r>
          </w:p>
        </w:tc>
        <w:tc>
          <w:tcPr>
            <w:tcW w:w="384" w:type="pct"/>
            <w:vAlign w:val="center"/>
          </w:tcPr>
          <w:p>
            <w:pPr>
              <w:pStyle w:val="63"/>
            </w:pPr>
            <w:r>
              <w:t>0.593</w:t>
            </w:r>
          </w:p>
        </w:tc>
        <w:tc>
          <w:tcPr>
            <w:tcW w:w="239" w:type="pct"/>
            <w:vAlign w:val="center"/>
          </w:tcPr>
          <w:p>
            <w:pPr>
              <w:pStyle w:val="63"/>
            </w:pPr>
            <w:r>
              <w:t>240</w:t>
            </w:r>
          </w:p>
        </w:tc>
        <w:tc>
          <w:tcPr>
            <w:tcW w:w="288" w:type="pct"/>
            <w:vAlign w:val="center"/>
          </w:tcPr>
          <w:p>
            <w:pPr>
              <w:pStyle w:val="63"/>
            </w:pPr>
            <w:r>
              <w:t>4.4</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Align w:val="center"/>
          </w:tcPr>
          <w:p>
            <w:pPr>
              <w:pStyle w:val="63"/>
            </w:pPr>
            <w:r>
              <w:t>P2浸出车间</w:t>
            </w:r>
          </w:p>
        </w:tc>
        <w:tc>
          <w:tcPr>
            <w:tcW w:w="451" w:type="pct"/>
            <w:vAlign w:val="center"/>
          </w:tcPr>
          <w:p>
            <w:pPr>
              <w:pStyle w:val="63"/>
            </w:pPr>
            <w:r>
              <w:t>硫酸雾</w:t>
            </w:r>
          </w:p>
        </w:tc>
        <w:tc>
          <w:tcPr>
            <w:tcW w:w="272" w:type="pct"/>
            <w:vAlign w:val="center"/>
          </w:tcPr>
          <w:p>
            <w:pPr>
              <w:pStyle w:val="63"/>
            </w:pPr>
            <w:r>
              <w:t>267.67</w:t>
            </w:r>
          </w:p>
        </w:tc>
        <w:tc>
          <w:tcPr>
            <w:tcW w:w="270" w:type="pct"/>
            <w:vAlign w:val="center"/>
          </w:tcPr>
          <w:p>
            <w:pPr>
              <w:pStyle w:val="63"/>
            </w:pPr>
            <w:r>
              <w:t>8.03</w:t>
            </w:r>
          </w:p>
        </w:tc>
        <w:tc>
          <w:tcPr>
            <w:tcW w:w="318" w:type="pct"/>
            <w:vAlign w:val="center"/>
          </w:tcPr>
          <w:p>
            <w:pPr>
              <w:pStyle w:val="63"/>
            </w:pPr>
            <w:r>
              <w:t>63.6</w:t>
            </w:r>
          </w:p>
        </w:tc>
        <w:tc>
          <w:tcPr>
            <w:tcW w:w="287" w:type="pct"/>
            <w:vAlign w:val="center"/>
          </w:tcPr>
          <w:p>
            <w:pPr>
              <w:pStyle w:val="63"/>
            </w:pPr>
            <w:r>
              <w:t>碱喷淋酸雾吸收塔</w:t>
            </w:r>
          </w:p>
        </w:tc>
        <w:tc>
          <w:tcPr>
            <w:tcW w:w="240" w:type="pct"/>
            <w:vAlign w:val="center"/>
          </w:tcPr>
          <w:p>
            <w:pPr>
              <w:pStyle w:val="63"/>
            </w:pPr>
            <w:r>
              <w:t>0</w:t>
            </w:r>
          </w:p>
        </w:tc>
        <w:tc>
          <w:tcPr>
            <w:tcW w:w="240" w:type="pct"/>
            <w:vAlign w:val="center"/>
          </w:tcPr>
          <w:p>
            <w:pPr>
              <w:pStyle w:val="63"/>
            </w:pPr>
            <w:r>
              <w:t>267.67</w:t>
            </w:r>
          </w:p>
        </w:tc>
        <w:tc>
          <w:tcPr>
            <w:tcW w:w="335" w:type="pct"/>
            <w:vAlign w:val="center"/>
          </w:tcPr>
          <w:p>
            <w:pPr>
              <w:pStyle w:val="63"/>
            </w:pPr>
            <w:r>
              <w:t>8.03</w:t>
            </w:r>
          </w:p>
        </w:tc>
        <w:tc>
          <w:tcPr>
            <w:tcW w:w="384" w:type="pct"/>
            <w:vAlign w:val="center"/>
          </w:tcPr>
          <w:p>
            <w:pPr>
              <w:pStyle w:val="63"/>
            </w:pPr>
            <w:r>
              <w:t>63.6</w:t>
            </w:r>
          </w:p>
        </w:tc>
        <w:tc>
          <w:tcPr>
            <w:tcW w:w="239" w:type="pct"/>
            <w:vAlign w:val="center"/>
          </w:tcPr>
          <w:p>
            <w:pPr>
              <w:pStyle w:val="63"/>
            </w:pPr>
            <w:r>
              <w:t>45</w:t>
            </w:r>
          </w:p>
        </w:tc>
        <w:tc>
          <w:tcPr>
            <w:tcW w:w="288" w:type="pct"/>
            <w:vAlign w:val="center"/>
          </w:tcPr>
          <w:p>
            <w:pPr>
              <w:pStyle w:val="63"/>
            </w:pPr>
            <w:r>
              <w:t>1.5</w:t>
            </w:r>
          </w:p>
        </w:tc>
        <w:tc>
          <w:tcPr>
            <w:tcW w:w="287" w:type="pct"/>
            <w:vAlign w:val="center"/>
          </w:tcPr>
          <w:p>
            <w:pPr>
              <w:pStyle w:val="63"/>
            </w:pPr>
            <w:r>
              <w:t>25</w:t>
            </w:r>
          </w:p>
        </w:tc>
        <w:tc>
          <w:tcPr>
            <w:tcW w:w="287" w:type="pct"/>
            <w:vAlign w:val="center"/>
          </w:tcPr>
          <w:p>
            <w:pPr>
              <w:pStyle w:val="63"/>
            </w:pPr>
            <w:r>
              <w:t>20</w:t>
            </w:r>
          </w:p>
        </w:tc>
        <w:tc>
          <w:tcPr>
            <w:tcW w:w="287" w:type="pct"/>
            <w:vAlign w:val="center"/>
          </w:tcPr>
          <w:p>
            <w:pPr>
              <w:pStyle w:val="63"/>
            </w:pPr>
            <w:r>
              <w:t>0.8</w:t>
            </w:r>
          </w:p>
        </w:tc>
        <w:tc>
          <w:tcPr>
            <w:tcW w:w="267" w:type="pct"/>
            <w:vAlign w:val="center"/>
          </w:tcPr>
          <w:p>
            <w:pPr>
              <w:pStyle w:val="63"/>
            </w:pPr>
            <w:r>
              <w:t>20000</w:t>
            </w: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43" w:hRule="atLeast"/>
          <w:jc w:val="center"/>
        </w:trPr>
        <w:tc>
          <w:tcPr>
            <w:tcW w:w="260" w:type="pct"/>
            <w:vMerge w:val="restart"/>
            <w:vAlign w:val="center"/>
          </w:tcPr>
          <w:p>
            <w:pPr>
              <w:pStyle w:val="63"/>
            </w:pPr>
            <w:r>
              <w:t>P3萃取车间</w:t>
            </w:r>
          </w:p>
        </w:tc>
        <w:tc>
          <w:tcPr>
            <w:tcW w:w="451" w:type="pct"/>
            <w:vAlign w:val="center"/>
          </w:tcPr>
          <w:p>
            <w:pPr>
              <w:pStyle w:val="63"/>
            </w:pPr>
            <w:r>
              <w:t>非甲烷总烃</w:t>
            </w:r>
          </w:p>
        </w:tc>
        <w:tc>
          <w:tcPr>
            <w:tcW w:w="272" w:type="pct"/>
            <w:vAlign w:val="center"/>
          </w:tcPr>
          <w:p>
            <w:pPr>
              <w:pStyle w:val="63"/>
            </w:pPr>
            <w:r>
              <w:t>52.5</w:t>
            </w:r>
          </w:p>
        </w:tc>
        <w:tc>
          <w:tcPr>
            <w:tcW w:w="270" w:type="pct"/>
            <w:vAlign w:val="center"/>
          </w:tcPr>
          <w:p>
            <w:pPr>
              <w:pStyle w:val="63"/>
            </w:pPr>
            <w:r>
              <w:t>1.05</w:t>
            </w:r>
          </w:p>
        </w:tc>
        <w:tc>
          <w:tcPr>
            <w:tcW w:w="318" w:type="pct"/>
            <w:vAlign w:val="center"/>
          </w:tcPr>
          <w:p>
            <w:pPr>
              <w:pStyle w:val="63"/>
            </w:pPr>
            <w:r>
              <w:t>7.56</w:t>
            </w:r>
          </w:p>
        </w:tc>
        <w:tc>
          <w:tcPr>
            <w:tcW w:w="287" w:type="pct"/>
            <w:vMerge w:val="restart"/>
            <w:vAlign w:val="center"/>
          </w:tcPr>
          <w:p>
            <w:pPr>
              <w:pStyle w:val="63"/>
            </w:pPr>
            <w:r>
              <w:t>酸雾净化+干式过滤器+活性炭吸附</w:t>
            </w:r>
          </w:p>
        </w:tc>
        <w:tc>
          <w:tcPr>
            <w:tcW w:w="240" w:type="pct"/>
            <w:vAlign w:val="center"/>
          </w:tcPr>
          <w:p>
            <w:pPr>
              <w:pStyle w:val="63"/>
            </w:pPr>
            <w:r>
              <w:t>0</w:t>
            </w:r>
          </w:p>
        </w:tc>
        <w:tc>
          <w:tcPr>
            <w:tcW w:w="240" w:type="pct"/>
            <w:vAlign w:val="center"/>
          </w:tcPr>
          <w:p>
            <w:pPr>
              <w:pStyle w:val="63"/>
            </w:pPr>
            <w:r>
              <w:t>52.5</w:t>
            </w:r>
          </w:p>
        </w:tc>
        <w:tc>
          <w:tcPr>
            <w:tcW w:w="335" w:type="pct"/>
            <w:vAlign w:val="center"/>
          </w:tcPr>
          <w:p>
            <w:pPr>
              <w:pStyle w:val="63"/>
            </w:pPr>
            <w:r>
              <w:t>1.05</w:t>
            </w:r>
          </w:p>
        </w:tc>
        <w:tc>
          <w:tcPr>
            <w:tcW w:w="384" w:type="pct"/>
            <w:vAlign w:val="center"/>
          </w:tcPr>
          <w:p>
            <w:pPr>
              <w:pStyle w:val="63"/>
            </w:pPr>
            <w:r>
              <w:t>7.56</w:t>
            </w:r>
          </w:p>
        </w:tc>
        <w:tc>
          <w:tcPr>
            <w:tcW w:w="239" w:type="pct"/>
            <w:vAlign w:val="center"/>
          </w:tcPr>
          <w:p>
            <w:pPr>
              <w:pStyle w:val="63"/>
            </w:pPr>
            <w:r>
              <w:t>120</w:t>
            </w:r>
          </w:p>
        </w:tc>
        <w:tc>
          <w:tcPr>
            <w:tcW w:w="288" w:type="pct"/>
            <w:vAlign w:val="center"/>
          </w:tcPr>
          <w:p>
            <w:pPr>
              <w:pStyle w:val="63"/>
            </w:pPr>
            <w:r>
              <w:t>10</w:t>
            </w:r>
          </w:p>
        </w:tc>
        <w:tc>
          <w:tcPr>
            <w:tcW w:w="287" w:type="pct"/>
            <w:vMerge w:val="restart"/>
            <w:vAlign w:val="center"/>
          </w:tcPr>
          <w:p>
            <w:pPr>
              <w:pStyle w:val="63"/>
            </w:pPr>
            <w:r>
              <w:t>25</w:t>
            </w:r>
          </w:p>
        </w:tc>
        <w:tc>
          <w:tcPr>
            <w:tcW w:w="287" w:type="pct"/>
            <w:vMerge w:val="restart"/>
            <w:vAlign w:val="center"/>
          </w:tcPr>
          <w:p>
            <w:pPr>
              <w:pStyle w:val="63"/>
            </w:pPr>
            <w:r>
              <w:t>15</w:t>
            </w:r>
          </w:p>
        </w:tc>
        <w:tc>
          <w:tcPr>
            <w:tcW w:w="287" w:type="pct"/>
            <w:vMerge w:val="restart"/>
            <w:vAlign w:val="center"/>
          </w:tcPr>
          <w:p>
            <w:pPr>
              <w:pStyle w:val="63"/>
            </w:pPr>
            <w:r>
              <w:t>0.8</w:t>
            </w:r>
          </w:p>
        </w:tc>
        <w:tc>
          <w:tcPr>
            <w:tcW w:w="267" w:type="pct"/>
            <w:vMerge w:val="restart"/>
            <w:vAlign w:val="center"/>
          </w:tcPr>
          <w:p>
            <w:pPr>
              <w:pStyle w:val="63"/>
            </w:pPr>
            <w:r>
              <w:t>20000</w:t>
            </w: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硫酸雾</w:t>
            </w:r>
          </w:p>
        </w:tc>
        <w:tc>
          <w:tcPr>
            <w:tcW w:w="272" w:type="pct"/>
            <w:vAlign w:val="center"/>
          </w:tcPr>
          <w:p>
            <w:pPr>
              <w:pStyle w:val="63"/>
            </w:pPr>
            <w:r>
              <w:t>47.9</w:t>
            </w:r>
          </w:p>
        </w:tc>
        <w:tc>
          <w:tcPr>
            <w:tcW w:w="270" w:type="pct"/>
            <w:vAlign w:val="center"/>
          </w:tcPr>
          <w:p>
            <w:pPr>
              <w:pStyle w:val="63"/>
            </w:pPr>
            <w:r>
              <w:t>0.958</w:t>
            </w:r>
          </w:p>
        </w:tc>
        <w:tc>
          <w:tcPr>
            <w:tcW w:w="318" w:type="pct"/>
            <w:vAlign w:val="center"/>
          </w:tcPr>
          <w:p>
            <w:pPr>
              <w:pStyle w:val="63"/>
            </w:pPr>
            <w:r>
              <w:t>6.899</w:t>
            </w:r>
          </w:p>
        </w:tc>
        <w:tc>
          <w:tcPr>
            <w:tcW w:w="287" w:type="pct"/>
            <w:vMerge w:val="continue"/>
            <w:vAlign w:val="center"/>
          </w:tcPr>
          <w:p>
            <w:pPr>
              <w:pStyle w:val="63"/>
            </w:pPr>
          </w:p>
        </w:tc>
        <w:tc>
          <w:tcPr>
            <w:tcW w:w="240" w:type="pct"/>
            <w:vAlign w:val="center"/>
          </w:tcPr>
          <w:p>
            <w:pPr>
              <w:pStyle w:val="63"/>
            </w:pPr>
            <w:r>
              <w:t>0</w:t>
            </w:r>
          </w:p>
        </w:tc>
        <w:tc>
          <w:tcPr>
            <w:tcW w:w="240" w:type="pct"/>
            <w:vAlign w:val="center"/>
          </w:tcPr>
          <w:p>
            <w:pPr>
              <w:pStyle w:val="63"/>
            </w:pPr>
            <w:r>
              <w:t>47.9</w:t>
            </w:r>
          </w:p>
        </w:tc>
        <w:tc>
          <w:tcPr>
            <w:tcW w:w="335" w:type="pct"/>
            <w:vAlign w:val="center"/>
          </w:tcPr>
          <w:p>
            <w:pPr>
              <w:pStyle w:val="63"/>
            </w:pPr>
            <w:r>
              <w:t>0.958</w:t>
            </w:r>
          </w:p>
        </w:tc>
        <w:tc>
          <w:tcPr>
            <w:tcW w:w="384" w:type="pct"/>
            <w:vAlign w:val="center"/>
          </w:tcPr>
          <w:p>
            <w:pPr>
              <w:pStyle w:val="63"/>
            </w:pPr>
            <w:r>
              <w:t>6.899</w:t>
            </w:r>
          </w:p>
        </w:tc>
        <w:tc>
          <w:tcPr>
            <w:tcW w:w="239" w:type="pct"/>
            <w:vAlign w:val="center"/>
          </w:tcPr>
          <w:p>
            <w:pPr>
              <w:pStyle w:val="63"/>
            </w:pPr>
            <w:r>
              <w:t>45</w:t>
            </w:r>
          </w:p>
        </w:tc>
        <w:tc>
          <w:tcPr>
            <w:tcW w:w="288" w:type="pct"/>
            <w:vAlign w:val="center"/>
          </w:tcPr>
          <w:p>
            <w:pPr>
              <w:pStyle w:val="63"/>
            </w:pPr>
            <w:r>
              <w:t>1.5</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restart"/>
            <w:vAlign w:val="center"/>
          </w:tcPr>
          <w:p>
            <w:pPr>
              <w:pStyle w:val="63"/>
            </w:pPr>
            <w:r>
              <w:t>P4锅炉</w:t>
            </w:r>
          </w:p>
        </w:tc>
        <w:tc>
          <w:tcPr>
            <w:tcW w:w="451" w:type="pct"/>
            <w:vAlign w:val="center"/>
          </w:tcPr>
          <w:p>
            <w:pPr>
              <w:pStyle w:val="63"/>
            </w:pPr>
            <w:r>
              <w:t>颗粒物</w:t>
            </w:r>
          </w:p>
        </w:tc>
        <w:tc>
          <w:tcPr>
            <w:tcW w:w="272" w:type="pct"/>
            <w:vAlign w:val="center"/>
          </w:tcPr>
          <w:p>
            <w:pPr>
              <w:pStyle w:val="63"/>
            </w:pPr>
            <w:r>
              <w:rPr>
                <w:szCs w:val="21"/>
              </w:rPr>
              <w:t>67.5</w:t>
            </w:r>
          </w:p>
        </w:tc>
        <w:tc>
          <w:tcPr>
            <w:tcW w:w="270" w:type="pct"/>
            <w:vAlign w:val="center"/>
          </w:tcPr>
          <w:p>
            <w:pPr>
              <w:pStyle w:val="63"/>
            </w:pPr>
            <w:r>
              <w:rPr>
                <w:szCs w:val="21"/>
              </w:rPr>
              <w:t>1.35</w:t>
            </w:r>
          </w:p>
        </w:tc>
        <w:tc>
          <w:tcPr>
            <w:tcW w:w="318" w:type="pct"/>
            <w:vAlign w:val="center"/>
          </w:tcPr>
          <w:p>
            <w:pPr>
              <w:pStyle w:val="63"/>
            </w:pPr>
            <w:r>
              <w:rPr>
                <w:szCs w:val="21"/>
              </w:rPr>
              <w:t>9.72</w:t>
            </w:r>
          </w:p>
        </w:tc>
        <w:tc>
          <w:tcPr>
            <w:tcW w:w="287" w:type="pct"/>
            <w:vMerge w:val="restart"/>
            <w:vAlign w:val="center"/>
          </w:tcPr>
          <w:p>
            <w:pPr>
              <w:pStyle w:val="63"/>
            </w:pPr>
            <w:r>
              <w:t>低氮燃烧</w:t>
            </w:r>
          </w:p>
        </w:tc>
        <w:tc>
          <w:tcPr>
            <w:tcW w:w="240" w:type="pct"/>
            <w:vAlign w:val="center"/>
          </w:tcPr>
          <w:p>
            <w:pPr>
              <w:pStyle w:val="63"/>
            </w:pPr>
            <w:r>
              <w:t>0</w:t>
            </w:r>
          </w:p>
        </w:tc>
        <w:tc>
          <w:tcPr>
            <w:tcW w:w="240" w:type="pct"/>
            <w:vAlign w:val="center"/>
          </w:tcPr>
          <w:p>
            <w:pPr>
              <w:pStyle w:val="63"/>
            </w:pPr>
            <w:r>
              <w:rPr>
                <w:szCs w:val="21"/>
              </w:rPr>
              <w:t>67.5</w:t>
            </w:r>
          </w:p>
        </w:tc>
        <w:tc>
          <w:tcPr>
            <w:tcW w:w="335" w:type="pct"/>
            <w:vAlign w:val="center"/>
          </w:tcPr>
          <w:p>
            <w:pPr>
              <w:pStyle w:val="63"/>
            </w:pPr>
            <w:r>
              <w:rPr>
                <w:szCs w:val="21"/>
              </w:rPr>
              <w:t>1.35</w:t>
            </w:r>
          </w:p>
        </w:tc>
        <w:tc>
          <w:tcPr>
            <w:tcW w:w="384" w:type="pct"/>
            <w:vAlign w:val="center"/>
          </w:tcPr>
          <w:p>
            <w:pPr>
              <w:pStyle w:val="63"/>
            </w:pPr>
            <w:r>
              <w:rPr>
                <w:szCs w:val="21"/>
              </w:rPr>
              <w:t>9.72</w:t>
            </w:r>
          </w:p>
        </w:tc>
        <w:tc>
          <w:tcPr>
            <w:tcW w:w="239" w:type="pct"/>
            <w:vAlign w:val="center"/>
          </w:tcPr>
          <w:p>
            <w:pPr>
              <w:pStyle w:val="63"/>
            </w:pPr>
            <w:r>
              <w:t>30</w:t>
            </w:r>
          </w:p>
        </w:tc>
        <w:tc>
          <w:tcPr>
            <w:tcW w:w="288" w:type="pct"/>
            <w:vAlign w:val="center"/>
          </w:tcPr>
          <w:p>
            <w:pPr>
              <w:pStyle w:val="63"/>
            </w:pPr>
            <w:r>
              <w:t>--</w:t>
            </w:r>
          </w:p>
        </w:tc>
        <w:tc>
          <w:tcPr>
            <w:tcW w:w="287" w:type="pct"/>
            <w:vMerge w:val="restart"/>
            <w:vAlign w:val="center"/>
          </w:tcPr>
          <w:p>
            <w:pPr>
              <w:pStyle w:val="63"/>
            </w:pPr>
            <w:r>
              <w:t>75</w:t>
            </w:r>
          </w:p>
        </w:tc>
        <w:tc>
          <w:tcPr>
            <w:tcW w:w="287" w:type="pct"/>
            <w:vMerge w:val="restart"/>
            <w:vAlign w:val="center"/>
          </w:tcPr>
          <w:p>
            <w:pPr>
              <w:pStyle w:val="63"/>
            </w:pPr>
            <w:r>
              <w:t>40</w:t>
            </w:r>
          </w:p>
        </w:tc>
        <w:tc>
          <w:tcPr>
            <w:tcW w:w="287" w:type="pct"/>
            <w:vMerge w:val="restart"/>
            <w:vAlign w:val="center"/>
          </w:tcPr>
          <w:p>
            <w:pPr>
              <w:pStyle w:val="63"/>
            </w:pPr>
            <w:r>
              <w:t>0.8</w:t>
            </w:r>
          </w:p>
        </w:tc>
        <w:tc>
          <w:tcPr>
            <w:tcW w:w="267" w:type="pct"/>
            <w:vMerge w:val="restart"/>
            <w:vAlign w:val="center"/>
          </w:tcPr>
          <w:p>
            <w:pPr>
              <w:pStyle w:val="63"/>
            </w:pPr>
            <w:r>
              <w:t>20000</w:t>
            </w: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SO</w:t>
            </w:r>
            <w:r>
              <w:rPr>
                <w:vertAlign w:val="subscript"/>
              </w:rPr>
              <w:t>2</w:t>
            </w:r>
          </w:p>
        </w:tc>
        <w:tc>
          <w:tcPr>
            <w:tcW w:w="272" w:type="pct"/>
            <w:vAlign w:val="center"/>
          </w:tcPr>
          <w:p>
            <w:pPr>
              <w:pStyle w:val="63"/>
            </w:pPr>
            <w:r>
              <w:rPr>
                <w:szCs w:val="21"/>
              </w:rPr>
              <w:t>7.35</w:t>
            </w:r>
          </w:p>
        </w:tc>
        <w:tc>
          <w:tcPr>
            <w:tcW w:w="270" w:type="pct"/>
            <w:vAlign w:val="center"/>
          </w:tcPr>
          <w:p>
            <w:pPr>
              <w:pStyle w:val="63"/>
            </w:pPr>
            <w:r>
              <w:rPr>
                <w:szCs w:val="21"/>
              </w:rPr>
              <w:t>0.147</w:t>
            </w:r>
          </w:p>
        </w:tc>
        <w:tc>
          <w:tcPr>
            <w:tcW w:w="318" w:type="pct"/>
            <w:vAlign w:val="center"/>
          </w:tcPr>
          <w:p>
            <w:pPr>
              <w:pStyle w:val="63"/>
            </w:pPr>
            <w:r>
              <w:rPr>
                <w:szCs w:val="21"/>
              </w:rPr>
              <w:t>1.0584</w:t>
            </w:r>
          </w:p>
        </w:tc>
        <w:tc>
          <w:tcPr>
            <w:tcW w:w="287" w:type="pct"/>
            <w:vMerge w:val="continue"/>
            <w:vAlign w:val="center"/>
          </w:tcPr>
          <w:p>
            <w:pPr>
              <w:pStyle w:val="63"/>
            </w:pPr>
          </w:p>
        </w:tc>
        <w:tc>
          <w:tcPr>
            <w:tcW w:w="240" w:type="pct"/>
            <w:vAlign w:val="center"/>
          </w:tcPr>
          <w:p>
            <w:pPr>
              <w:pStyle w:val="63"/>
            </w:pPr>
            <w:r>
              <w:t>/</w:t>
            </w:r>
          </w:p>
        </w:tc>
        <w:tc>
          <w:tcPr>
            <w:tcW w:w="240" w:type="pct"/>
            <w:vAlign w:val="center"/>
          </w:tcPr>
          <w:p>
            <w:pPr>
              <w:pStyle w:val="63"/>
            </w:pPr>
            <w:r>
              <w:rPr>
                <w:szCs w:val="21"/>
              </w:rPr>
              <w:t>7.35</w:t>
            </w:r>
          </w:p>
        </w:tc>
        <w:tc>
          <w:tcPr>
            <w:tcW w:w="335" w:type="pct"/>
            <w:vAlign w:val="center"/>
          </w:tcPr>
          <w:p>
            <w:pPr>
              <w:pStyle w:val="63"/>
            </w:pPr>
            <w:r>
              <w:rPr>
                <w:szCs w:val="21"/>
              </w:rPr>
              <w:t>0.147</w:t>
            </w:r>
          </w:p>
        </w:tc>
        <w:tc>
          <w:tcPr>
            <w:tcW w:w="384" w:type="pct"/>
            <w:vAlign w:val="center"/>
          </w:tcPr>
          <w:p>
            <w:pPr>
              <w:pStyle w:val="63"/>
            </w:pPr>
            <w:r>
              <w:rPr>
                <w:szCs w:val="21"/>
              </w:rPr>
              <w:t>1.0584</w:t>
            </w:r>
          </w:p>
        </w:tc>
        <w:tc>
          <w:tcPr>
            <w:tcW w:w="239" w:type="pct"/>
            <w:vAlign w:val="center"/>
          </w:tcPr>
          <w:p>
            <w:pPr>
              <w:pStyle w:val="63"/>
            </w:pPr>
            <w:r>
              <w:t>100</w:t>
            </w:r>
          </w:p>
        </w:tc>
        <w:tc>
          <w:tcPr>
            <w:tcW w:w="288" w:type="pct"/>
            <w:vAlign w:val="center"/>
          </w:tcPr>
          <w:p>
            <w:pPr>
              <w:pStyle w:val="63"/>
            </w:pPr>
            <w:r>
              <w:t>--</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Merge w:val="continue"/>
            <w:vAlign w:val="center"/>
          </w:tcPr>
          <w:p>
            <w:pPr>
              <w:pStyle w:val="63"/>
            </w:pPr>
          </w:p>
        </w:tc>
        <w:tc>
          <w:tcPr>
            <w:tcW w:w="451" w:type="pct"/>
            <w:vAlign w:val="center"/>
          </w:tcPr>
          <w:p>
            <w:pPr>
              <w:pStyle w:val="63"/>
            </w:pPr>
            <w:r>
              <w:t>NOx</w:t>
            </w:r>
          </w:p>
        </w:tc>
        <w:tc>
          <w:tcPr>
            <w:tcW w:w="272" w:type="pct"/>
            <w:vAlign w:val="center"/>
          </w:tcPr>
          <w:p>
            <w:pPr>
              <w:pStyle w:val="63"/>
            </w:pPr>
            <w:r>
              <w:rPr>
                <w:szCs w:val="21"/>
              </w:rPr>
              <w:t>137.62</w:t>
            </w:r>
          </w:p>
        </w:tc>
        <w:tc>
          <w:tcPr>
            <w:tcW w:w="270" w:type="pct"/>
            <w:vAlign w:val="center"/>
          </w:tcPr>
          <w:p>
            <w:pPr>
              <w:pStyle w:val="63"/>
            </w:pPr>
            <w:r>
              <w:rPr>
                <w:szCs w:val="21"/>
              </w:rPr>
              <w:t>2.75</w:t>
            </w:r>
          </w:p>
        </w:tc>
        <w:tc>
          <w:tcPr>
            <w:tcW w:w="318" w:type="pct"/>
            <w:vAlign w:val="center"/>
          </w:tcPr>
          <w:p>
            <w:pPr>
              <w:pStyle w:val="63"/>
            </w:pPr>
            <w:r>
              <w:rPr>
                <w:szCs w:val="21"/>
              </w:rPr>
              <w:t>19.818</w:t>
            </w:r>
          </w:p>
        </w:tc>
        <w:tc>
          <w:tcPr>
            <w:tcW w:w="287" w:type="pct"/>
            <w:vMerge w:val="continue"/>
            <w:vAlign w:val="center"/>
          </w:tcPr>
          <w:p>
            <w:pPr>
              <w:pStyle w:val="63"/>
            </w:pPr>
          </w:p>
        </w:tc>
        <w:tc>
          <w:tcPr>
            <w:tcW w:w="240" w:type="pct"/>
            <w:vAlign w:val="center"/>
          </w:tcPr>
          <w:p>
            <w:pPr>
              <w:pStyle w:val="63"/>
            </w:pPr>
            <w:r>
              <w:t>0</w:t>
            </w:r>
          </w:p>
        </w:tc>
        <w:tc>
          <w:tcPr>
            <w:tcW w:w="240" w:type="pct"/>
            <w:vAlign w:val="center"/>
          </w:tcPr>
          <w:p>
            <w:pPr>
              <w:pStyle w:val="63"/>
            </w:pPr>
            <w:r>
              <w:rPr>
                <w:szCs w:val="21"/>
              </w:rPr>
              <w:t>137.62</w:t>
            </w:r>
          </w:p>
        </w:tc>
        <w:tc>
          <w:tcPr>
            <w:tcW w:w="335" w:type="pct"/>
            <w:vAlign w:val="center"/>
          </w:tcPr>
          <w:p>
            <w:pPr>
              <w:pStyle w:val="63"/>
            </w:pPr>
            <w:r>
              <w:rPr>
                <w:szCs w:val="21"/>
              </w:rPr>
              <w:t>2.75</w:t>
            </w:r>
          </w:p>
        </w:tc>
        <w:tc>
          <w:tcPr>
            <w:tcW w:w="384" w:type="pct"/>
            <w:vAlign w:val="center"/>
          </w:tcPr>
          <w:p>
            <w:pPr>
              <w:pStyle w:val="63"/>
            </w:pPr>
            <w:r>
              <w:rPr>
                <w:szCs w:val="21"/>
              </w:rPr>
              <w:t>19.818</w:t>
            </w:r>
          </w:p>
        </w:tc>
        <w:tc>
          <w:tcPr>
            <w:tcW w:w="239" w:type="pct"/>
            <w:vAlign w:val="center"/>
          </w:tcPr>
          <w:p>
            <w:pPr>
              <w:pStyle w:val="63"/>
            </w:pPr>
            <w:r>
              <w:t>400</w:t>
            </w:r>
          </w:p>
        </w:tc>
        <w:tc>
          <w:tcPr>
            <w:tcW w:w="288" w:type="pct"/>
            <w:vAlign w:val="center"/>
          </w:tcPr>
          <w:p>
            <w:pPr>
              <w:pStyle w:val="63"/>
            </w:pPr>
            <w:r>
              <w:t>--</w:t>
            </w:r>
          </w:p>
        </w:tc>
        <w:tc>
          <w:tcPr>
            <w:tcW w:w="287" w:type="pct"/>
            <w:vMerge w:val="continue"/>
            <w:vAlign w:val="center"/>
          </w:tcPr>
          <w:p>
            <w:pPr>
              <w:pStyle w:val="63"/>
            </w:pPr>
          </w:p>
        </w:tc>
        <w:tc>
          <w:tcPr>
            <w:tcW w:w="287" w:type="pct"/>
            <w:vMerge w:val="continue"/>
            <w:vAlign w:val="center"/>
          </w:tcPr>
          <w:p>
            <w:pPr>
              <w:pStyle w:val="63"/>
            </w:pPr>
          </w:p>
        </w:tc>
        <w:tc>
          <w:tcPr>
            <w:tcW w:w="287" w:type="pct"/>
            <w:vMerge w:val="continue"/>
            <w:vAlign w:val="center"/>
          </w:tcPr>
          <w:p>
            <w:pPr>
              <w:pStyle w:val="63"/>
            </w:pPr>
          </w:p>
        </w:tc>
        <w:tc>
          <w:tcPr>
            <w:tcW w:w="267" w:type="pct"/>
            <w:vMerge w:val="continue"/>
            <w:vAlign w:val="center"/>
          </w:tcPr>
          <w:p>
            <w:pPr>
              <w:pStyle w:val="63"/>
            </w:pP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260" w:type="pct"/>
            <w:vAlign w:val="center"/>
          </w:tcPr>
          <w:p>
            <w:pPr>
              <w:pStyle w:val="63"/>
            </w:pPr>
            <w:r>
              <w:t>储罐废气</w:t>
            </w:r>
          </w:p>
        </w:tc>
        <w:tc>
          <w:tcPr>
            <w:tcW w:w="451" w:type="pct"/>
            <w:vAlign w:val="center"/>
          </w:tcPr>
          <w:p>
            <w:pPr>
              <w:pStyle w:val="63"/>
            </w:pPr>
            <w:r>
              <w:t>硫酸雾</w:t>
            </w:r>
          </w:p>
        </w:tc>
        <w:tc>
          <w:tcPr>
            <w:tcW w:w="272" w:type="pct"/>
            <w:vAlign w:val="center"/>
          </w:tcPr>
          <w:p>
            <w:pPr>
              <w:pStyle w:val="63"/>
            </w:pPr>
            <w:r>
              <w:t>--</w:t>
            </w:r>
          </w:p>
        </w:tc>
        <w:tc>
          <w:tcPr>
            <w:tcW w:w="270" w:type="pct"/>
            <w:vAlign w:val="center"/>
          </w:tcPr>
          <w:p>
            <w:pPr>
              <w:pStyle w:val="63"/>
            </w:pPr>
            <w:r>
              <w:t>0.08</w:t>
            </w:r>
          </w:p>
        </w:tc>
        <w:tc>
          <w:tcPr>
            <w:tcW w:w="318" w:type="pct"/>
            <w:vAlign w:val="center"/>
          </w:tcPr>
          <w:p>
            <w:pPr>
              <w:pStyle w:val="63"/>
            </w:pPr>
            <w:r>
              <w:t>0.57</w:t>
            </w:r>
          </w:p>
        </w:tc>
        <w:tc>
          <w:tcPr>
            <w:tcW w:w="287" w:type="pct"/>
            <w:vAlign w:val="center"/>
          </w:tcPr>
          <w:p>
            <w:pPr>
              <w:pStyle w:val="63"/>
            </w:pPr>
            <w:r>
              <w:t>--</w:t>
            </w:r>
          </w:p>
        </w:tc>
        <w:tc>
          <w:tcPr>
            <w:tcW w:w="240" w:type="pct"/>
            <w:vAlign w:val="center"/>
          </w:tcPr>
          <w:p>
            <w:pPr>
              <w:pStyle w:val="63"/>
            </w:pPr>
            <w:r>
              <w:t>--</w:t>
            </w:r>
          </w:p>
        </w:tc>
        <w:tc>
          <w:tcPr>
            <w:tcW w:w="240" w:type="pct"/>
            <w:vAlign w:val="center"/>
          </w:tcPr>
          <w:p>
            <w:pPr>
              <w:pStyle w:val="63"/>
            </w:pPr>
            <w:r>
              <w:t>--</w:t>
            </w:r>
          </w:p>
        </w:tc>
        <w:tc>
          <w:tcPr>
            <w:tcW w:w="335" w:type="pct"/>
            <w:vAlign w:val="center"/>
          </w:tcPr>
          <w:p>
            <w:pPr>
              <w:pStyle w:val="63"/>
            </w:pPr>
            <w:r>
              <w:t>0.08</w:t>
            </w:r>
          </w:p>
        </w:tc>
        <w:tc>
          <w:tcPr>
            <w:tcW w:w="384" w:type="pct"/>
            <w:vAlign w:val="center"/>
          </w:tcPr>
          <w:p>
            <w:pPr>
              <w:pStyle w:val="63"/>
            </w:pPr>
            <w:r>
              <w:t>0.57</w:t>
            </w:r>
          </w:p>
        </w:tc>
        <w:tc>
          <w:tcPr>
            <w:tcW w:w="239" w:type="pct"/>
            <w:vAlign w:val="center"/>
          </w:tcPr>
          <w:p>
            <w:pPr>
              <w:pStyle w:val="63"/>
            </w:pPr>
            <w:r>
              <w:t>1.2</w:t>
            </w:r>
          </w:p>
        </w:tc>
        <w:tc>
          <w:tcPr>
            <w:tcW w:w="288" w:type="pct"/>
            <w:vAlign w:val="center"/>
          </w:tcPr>
          <w:p>
            <w:pPr>
              <w:pStyle w:val="63"/>
            </w:pPr>
            <w:r>
              <w:t>--</w:t>
            </w:r>
          </w:p>
        </w:tc>
        <w:tc>
          <w:tcPr>
            <w:tcW w:w="287" w:type="pct"/>
            <w:vAlign w:val="center"/>
          </w:tcPr>
          <w:p>
            <w:pPr>
              <w:pStyle w:val="63"/>
            </w:pPr>
            <w:r>
              <w:t>--</w:t>
            </w:r>
          </w:p>
        </w:tc>
        <w:tc>
          <w:tcPr>
            <w:tcW w:w="287" w:type="pct"/>
            <w:vAlign w:val="center"/>
          </w:tcPr>
          <w:p>
            <w:pPr>
              <w:pStyle w:val="63"/>
            </w:pPr>
            <w:r>
              <w:t>--</w:t>
            </w:r>
          </w:p>
        </w:tc>
        <w:tc>
          <w:tcPr>
            <w:tcW w:w="287" w:type="pct"/>
            <w:vAlign w:val="center"/>
          </w:tcPr>
          <w:p>
            <w:pPr>
              <w:pStyle w:val="63"/>
            </w:pPr>
            <w:r>
              <w:t>--</w:t>
            </w:r>
          </w:p>
        </w:tc>
        <w:tc>
          <w:tcPr>
            <w:tcW w:w="267" w:type="pct"/>
            <w:vAlign w:val="center"/>
          </w:tcPr>
          <w:p>
            <w:pPr>
              <w:pStyle w:val="63"/>
            </w:pPr>
          </w:p>
        </w:tc>
        <w:tc>
          <w:tcPr>
            <w:tcW w:w="288" w:type="pct"/>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 w:type="pct"/>
            <w:vAlign w:val="center"/>
          </w:tcPr>
          <w:p>
            <w:pPr>
              <w:pStyle w:val="63"/>
            </w:pPr>
            <w:r>
              <w:t>车间废气</w:t>
            </w:r>
          </w:p>
        </w:tc>
        <w:tc>
          <w:tcPr>
            <w:tcW w:w="451" w:type="pct"/>
            <w:vAlign w:val="center"/>
          </w:tcPr>
          <w:p>
            <w:pPr>
              <w:pStyle w:val="63"/>
            </w:pPr>
            <w:r>
              <w:t>硫酸雾</w:t>
            </w:r>
          </w:p>
        </w:tc>
        <w:tc>
          <w:tcPr>
            <w:tcW w:w="272" w:type="pct"/>
            <w:vAlign w:val="center"/>
          </w:tcPr>
          <w:p>
            <w:pPr>
              <w:pStyle w:val="63"/>
            </w:pPr>
            <w:r>
              <w:t>--</w:t>
            </w:r>
          </w:p>
        </w:tc>
        <w:tc>
          <w:tcPr>
            <w:tcW w:w="270" w:type="pct"/>
            <w:vAlign w:val="center"/>
          </w:tcPr>
          <w:p>
            <w:pPr>
              <w:pStyle w:val="63"/>
            </w:pPr>
            <w:r>
              <w:t>0.01</w:t>
            </w:r>
          </w:p>
        </w:tc>
        <w:tc>
          <w:tcPr>
            <w:tcW w:w="318" w:type="pct"/>
            <w:vAlign w:val="center"/>
          </w:tcPr>
          <w:p>
            <w:pPr>
              <w:pStyle w:val="63"/>
            </w:pPr>
            <w:r>
              <w:t>0.1</w:t>
            </w:r>
          </w:p>
        </w:tc>
        <w:tc>
          <w:tcPr>
            <w:tcW w:w="287" w:type="pct"/>
            <w:vAlign w:val="center"/>
          </w:tcPr>
          <w:p>
            <w:pPr>
              <w:pStyle w:val="63"/>
            </w:pPr>
            <w:r>
              <w:t>--</w:t>
            </w:r>
          </w:p>
        </w:tc>
        <w:tc>
          <w:tcPr>
            <w:tcW w:w="240" w:type="pct"/>
            <w:vAlign w:val="center"/>
          </w:tcPr>
          <w:p>
            <w:pPr>
              <w:pStyle w:val="63"/>
            </w:pPr>
            <w:r>
              <w:t>--</w:t>
            </w:r>
          </w:p>
        </w:tc>
        <w:tc>
          <w:tcPr>
            <w:tcW w:w="240" w:type="pct"/>
            <w:vAlign w:val="center"/>
          </w:tcPr>
          <w:p>
            <w:pPr>
              <w:pStyle w:val="63"/>
            </w:pPr>
            <w:r>
              <w:t>--</w:t>
            </w:r>
          </w:p>
        </w:tc>
        <w:tc>
          <w:tcPr>
            <w:tcW w:w="335" w:type="pct"/>
            <w:vAlign w:val="center"/>
          </w:tcPr>
          <w:p>
            <w:pPr>
              <w:pStyle w:val="63"/>
            </w:pPr>
            <w:r>
              <w:t>0.01</w:t>
            </w:r>
          </w:p>
        </w:tc>
        <w:tc>
          <w:tcPr>
            <w:tcW w:w="384" w:type="pct"/>
            <w:vAlign w:val="center"/>
          </w:tcPr>
          <w:p>
            <w:pPr>
              <w:pStyle w:val="63"/>
            </w:pPr>
            <w:r>
              <w:t>0.1</w:t>
            </w:r>
          </w:p>
        </w:tc>
        <w:tc>
          <w:tcPr>
            <w:tcW w:w="239" w:type="pct"/>
            <w:vAlign w:val="center"/>
          </w:tcPr>
          <w:p>
            <w:pPr>
              <w:pStyle w:val="63"/>
            </w:pPr>
            <w:r>
              <w:t>1.2</w:t>
            </w:r>
          </w:p>
        </w:tc>
        <w:tc>
          <w:tcPr>
            <w:tcW w:w="288" w:type="pct"/>
            <w:vAlign w:val="center"/>
          </w:tcPr>
          <w:p>
            <w:pPr>
              <w:pStyle w:val="63"/>
            </w:pPr>
            <w:r>
              <w:t>--</w:t>
            </w:r>
          </w:p>
        </w:tc>
        <w:tc>
          <w:tcPr>
            <w:tcW w:w="287" w:type="pct"/>
            <w:vAlign w:val="center"/>
          </w:tcPr>
          <w:p>
            <w:pPr>
              <w:pStyle w:val="63"/>
            </w:pPr>
            <w:r>
              <w:t>--</w:t>
            </w:r>
          </w:p>
        </w:tc>
        <w:tc>
          <w:tcPr>
            <w:tcW w:w="287" w:type="pct"/>
            <w:vAlign w:val="center"/>
          </w:tcPr>
          <w:p>
            <w:pPr>
              <w:pStyle w:val="63"/>
            </w:pPr>
            <w:r>
              <w:t>--</w:t>
            </w:r>
          </w:p>
        </w:tc>
        <w:tc>
          <w:tcPr>
            <w:tcW w:w="287" w:type="pct"/>
            <w:vAlign w:val="center"/>
          </w:tcPr>
          <w:p>
            <w:pPr>
              <w:pStyle w:val="63"/>
            </w:pPr>
            <w:r>
              <w:t>--</w:t>
            </w:r>
          </w:p>
        </w:tc>
        <w:tc>
          <w:tcPr>
            <w:tcW w:w="267" w:type="pct"/>
            <w:vAlign w:val="center"/>
          </w:tcPr>
          <w:p>
            <w:pPr>
              <w:pStyle w:val="63"/>
            </w:pPr>
          </w:p>
        </w:tc>
        <w:tc>
          <w:tcPr>
            <w:tcW w:w="288" w:type="pct"/>
            <w:vAlign w:val="center"/>
          </w:tcPr>
          <w:p>
            <w:pPr>
              <w:pStyle w:val="63"/>
            </w:pPr>
            <w:r>
              <w:t>达标</w:t>
            </w:r>
          </w:p>
        </w:tc>
      </w:tr>
    </w:tbl>
    <w:p>
      <w:pPr>
        <w:spacing w:line="360" w:lineRule="auto"/>
        <w:ind w:firstLine="480" w:firstLineChars="200"/>
        <w:rPr>
          <w:rFonts w:ascii="Times New Roman" w:hAnsi="Times New Roman" w:cs="Times New Roman"/>
        </w:rPr>
      </w:pPr>
    </w:p>
    <w:p>
      <w:pPr>
        <w:spacing w:line="360" w:lineRule="auto"/>
        <w:ind w:firstLine="480" w:firstLineChars="200"/>
        <w:rPr>
          <w:rFonts w:ascii="Times New Roman" w:hAnsi="Times New Roman" w:cs="Times New Roman"/>
        </w:rPr>
        <w:sectPr>
          <w:pgSz w:w="16840" w:h="11907" w:orient="landscape"/>
          <w:pgMar w:top="1797" w:right="1440" w:bottom="1797" w:left="1440" w:header="964" w:footer="851" w:gutter="0"/>
          <w:cols w:space="720" w:num="1"/>
          <w:docGrid w:linePitch="326" w:charSpace="200"/>
        </w:sectPr>
      </w:pPr>
    </w:p>
    <w:p>
      <w:pPr>
        <w:pStyle w:val="2"/>
        <w:spacing w:before="156" w:after="156"/>
        <w:rPr>
          <w:rFonts w:ascii="Times New Roman" w:hAnsi="Times New Roman" w:cs="Times New Roman"/>
        </w:rPr>
      </w:pPr>
      <w:bookmarkStart w:id="187" w:name="_Toc144276898"/>
      <w:bookmarkStart w:id="188" w:name="_Toc144236768"/>
      <w:bookmarkStart w:id="189" w:name="_Toc147848016"/>
      <w:r>
        <w:rPr>
          <w:rFonts w:ascii="Times New Roman" w:hAnsi="Times New Roman" w:cs="Times New Roman"/>
        </w:rPr>
        <w:t>第4章 区域环境概况</w:t>
      </w:r>
      <w:bookmarkEnd w:id="187"/>
      <w:bookmarkEnd w:id="188"/>
      <w:bookmarkEnd w:id="189"/>
    </w:p>
    <w:p>
      <w:pPr>
        <w:pStyle w:val="3"/>
        <w:rPr>
          <w:rFonts w:ascii="Times New Roman" w:hAnsi="Times New Roman" w:cs="Times New Roman" w:eastAsiaTheme="minorEastAsia"/>
        </w:rPr>
      </w:pPr>
      <w:bookmarkStart w:id="190" w:name="_Toc147848017"/>
      <w:bookmarkStart w:id="191" w:name="_Toc144276899"/>
      <w:bookmarkStart w:id="192" w:name="_Toc144236769"/>
      <w:r>
        <w:rPr>
          <w:rFonts w:ascii="Times New Roman" w:hAnsi="Times New Roman" w:cs="Times New Roman" w:eastAsiaTheme="minorEastAsia"/>
        </w:rPr>
        <w:t>4.1 自然环境概况</w:t>
      </w:r>
      <w:bookmarkEnd w:id="190"/>
      <w:bookmarkEnd w:id="191"/>
      <w:bookmarkEnd w:id="192"/>
    </w:p>
    <w:p>
      <w:pPr>
        <w:pStyle w:val="4"/>
        <w:rPr>
          <w:rFonts w:ascii="Times New Roman" w:hAnsi="Times New Roman" w:cs="Times New Roman"/>
        </w:rPr>
      </w:pPr>
      <w:bookmarkStart w:id="193" w:name="_Toc147848018"/>
      <w:bookmarkStart w:id="194" w:name="_Toc144236770"/>
      <w:bookmarkStart w:id="195" w:name="_Toc144276900"/>
      <w:r>
        <w:rPr>
          <w:rFonts w:ascii="Times New Roman" w:hAnsi="Times New Roman" w:cs="Times New Roman"/>
        </w:rPr>
        <w:t>4.1.1 地理位置与交通</w:t>
      </w:r>
      <w:bookmarkEnd w:id="193"/>
      <w:bookmarkEnd w:id="194"/>
      <w:bookmarkEnd w:id="195"/>
    </w:p>
    <w:p>
      <w:pPr>
        <w:spacing w:line="360" w:lineRule="auto"/>
        <w:ind w:firstLine="480" w:firstLineChars="200"/>
        <w:rPr>
          <w:rFonts w:ascii="Times New Roman" w:hAnsi="Times New Roman" w:cs="Times New Roman"/>
        </w:rPr>
      </w:pPr>
      <w:r>
        <w:rPr>
          <w:rFonts w:ascii="Times New Roman" w:hAnsi="Times New Roman" w:cs="Times New Roman"/>
        </w:rPr>
        <w:t>衡东县位于湖南省中东部，衡阳盆地的东北边缘。地理坐标：东经112°45′～113°47′，北纬 26°47′～27°27′之间。东邻攸县，南抵安仁、衡南，西以湘江为界，与衡山、湘潭相望，北与株洲接壤。地域南北长72.9km，东西宽53.6km。</w:t>
      </w:r>
    </w:p>
    <w:p>
      <w:pPr>
        <w:spacing w:line="360" w:lineRule="auto"/>
        <w:ind w:firstLine="480" w:firstLineChars="200"/>
        <w:rPr>
          <w:rFonts w:ascii="Times New Roman" w:hAnsi="Times New Roman" w:cs="Times New Roman"/>
        </w:rPr>
      </w:pPr>
      <w:r>
        <w:rPr>
          <w:rFonts w:ascii="Times New Roman" w:hAnsi="Times New Roman" w:cs="Times New Roman"/>
        </w:rPr>
        <w:t>湖南衡东经济开发区位于衡东县西南部的大浦镇街道西北面，距衡阳市21km，距衡东县城22km，边界距离大浦镇街道约1km。大浦镇北与霞流镇毗邻，南接衡南咸鱼塘镇，西邻湘江，东连石滩乡，是衡东县的西大门，衡阳市的卫星城镇。湖南衡东经济开发区东到刘家下大屋，南邻衡炎高速，西北靠京 广铁路，规划范围总面积726公顷。</w:t>
      </w:r>
    </w:p>
    <w:p>
      <w:pPr>
        <w:pStyle w:val="4"/>
        <w:rPr>
          <w:rFonts w:ascii="Times New Roman" w:hAnsi="Times New Roman" w:cs="Times New Roman"/>
        </w:rPr>
      </w:pPr>
      <w:bookmarkStart w:id="196" w:name="_Toc144236771"/>
      <w:bookmarkStart w:id="197" w:name="_Toc144276901"/>
      <w:bookmarkStart w:id="198" w:name="_Toc147848019"/>
      <w:r>
        <w:rPr>
          <w:rFonts w:ascii="Times New Roman" w:hAnsi="Times New Roman" w:cs="Times New Roman"/>
        </w:rPr>
        <w:t>4.1.2 地形、地貌及地质</w:t>
      </w:r>
      <w:bookmarkEnd w:id="196"/>
      <w:bookmarkEnd w:id="197"/>
      <w:bookmarkEnd w:id="198"/>
    </w:p>
    <w:p>
      <w:pPr>
        <w:spacing w:line="360" w:lineRule="auto"/>
        <w:ind w:firstLine="480" w:firstLineChars="200"/>
        <w:rPr>
          <w:rFonts w:ascii="Times New Roman" w:hAnsi="Times New Roman" w:cs="Times New Roman"/>
        </w:rPr>
      </w:pPr>
      <w:r>
        <w:rPr>
          <w:rFonts w:ascii="Times New Roman" w:hAnsi="Times New Roman" w:cs="Times New Roman"/>
        </w:rPr>
        <w:t>衡东经济开发区处于新华夏第二沉降带南端，属衡阳盆地东北边缘和澧攸盆地西南边缘的桥接地带，各向西南、东南敞开，较大地影响着区域的地貌形态。除两盆地外，尚有一系列北北东~西西南的褶皱和压缩性断裂，其主体是金觉峰背斜，凤凰山单斜，吴集花岗岩体，栗木向斜及大清背斜，鹤（岭）~甘（溪）断层和吴（集）~江（滨）断层等深刻地塑造了丘陵地貌。园区地貌类型多样，以岗丘为主，且多为低丘垅岗，起伏不大，冲沟较为发达，地势较低，形成“指状”谷地。</w:t>
      </w:r>
    </w:p>
    <w:p>
      <w:pPr>
        <w:spacing w:line="360" w:lineRule="auto"/>
        <w:ind w:firstLine="480" w:firstLineChars="200"/>
        <w:rPr>
          <w:rFonts w:ascii="Times New Roman" w:hAnsi="Times New Roman" w:cs="Times New Roman"/>
        </w:rPr>
      </w:pPr>
      <w:r>
        <w:rPr>
          <w:rFonts w:ascii="Times New Roman" w:hAnsi="Times New Roman" w:cs="Times New Roman"/>
        </w:rPr>
        <w:t>区域丘陵多为土质或土石质，由于亚热带风化作用的红土化过程，导致组成丘陵的物质主要为红色，深红色残坡积的粘土、亚粘土及风化残余石块。地层为白垩纪、石灰系灰岩及燕山中期花岗闪长岩体，区域内岩层相对可划分为隔水层、弱充水层及强充水层，地下水的动态随季节和雨量变化，地下水的补给来源为大气降雨；地下水流向与地形一致，水质属良好，地下水对混凝土无腐蚀性。园区地质构造简单，未见滑坡、溶洞等不良地质现象。</w:t>
      </w:r>
    </w:p>
    <w:p>
      <w:pPr>
        <w:spacing w:line="360" w:lineRule="auto"/>
        <w:ind w:firstLine="480" w:firstLineChars="200"/>
        <w:rPr>
          <w:rFonts w:ascii="Times New Roman" w:hAnsi="Times New Roman" w:cs="Times New Roman"/>
        </w:rPr>
      </w:pPr>
      <w:r>
        <w:rPr>
          <w:rFonts w:ascii="Times New Roman" w:hAnsi="Times New Roman" w:cs="Times New Roman"/>
        </w:rPr>
        <w:t>根据</w:t>
      </w:r>
      <w:r>
        <w:rPr>
          <w:rFonts w:hint="eastAsia" w:ascii="Times New Roman" w:hAnsi="Times New Roman" w:cs="Times New Roman"/>
          <w:lang w:eastAsia="zh-CN"/>
        </w:rPr>
        <w:t>中国地震局</w:t>
      </w:r>
      <w:r>
        <w:rPr>
          <w:rFonts w:ascii="Times New Roman" w:hAnsi="Times New Roman" w:cs="Times New Roman"/>
        </w:rPr>
        <w:t>编制的《中国地震烈度区划分》，区域基本地震裂度为6度。</w:t>
      </w:r>
    </w:p>
    <w:p>
      <w:pPr>
        <w:pStyle w:val="4"/>
        <w:rPr>
          <w:rFonts w:ascii="Times New Roman" w:hAnsi="Times New Roman" w:cs="Times New Roman"/>
        </w:rPr>
      </w:pPr>
      <w:bookmarkStart w:id="199" w:name="_Toc144276902"/>
      <w:bookmarkStart w:id="200" w:name="_Toc144236772"/>
      <w:bookmarkStart w:id="201" w:name="_Toc147848020"/>
      <w:r>
        <w:rPr>
          <w:rFonts w:ascii="Times New Roman" w:hAnsi="Times New Roman" w:cs="Times New Roman"/>
        </w:rPr>
        <w:t>4.1.3 水文</w:t>
      </w:r>
      <w:bookmarkEnd w:id="199"/>
      <w:bookmarkEnd w:id="200"/>
      <w:bookmarkEnd w:id="201"/>
    </w:p>
    <w:p>
      <w:pPr>
        <w:spacing w:line="360" w:lineRule="auto"/>
        <w:ind w:firstLine="480" w:firstLineChars="200"/>
        <w:rPr>
          <w:rFonts w:ascii="Times New Roman" w:hAnsi="Times New Roman" w:cs="Times New Roman"/>
        </w:rPr>
      </w:pPr>
      <w:r>
        <w:rPr>
          <w:rFonts w:ascii="Times New Roman" w:hAnsi="Times New Roman" w:cs="Times New Roman"/>
        </w:rPr>
        <w:t>衡阳市属河网较稠密地区，地表水丰富。湘江水系发育成树枝型辐聚式，以湘江为中轴，较大一级支流有祁水、白水、宜水、春陵水、蒸水、耒水、洣水、涓水等。境内有河长5公里或流域面积10平方公里以上的大小河流、溪流共393条，总境长度8355公里，河网密度为每平方公里0.55公里。衡阳的河流属雨源河流，一遇暴雨，水位陡涨陡落。</w:t>
      </w:r>
    </w:p>
    <w:p>
      <w:pPr>
        <w:spacing w:line="360" w:lineRule="auto"/>
        <w:ind w:firstLine="480" w:firstLineChars="200"/>
        <w:rPr>
          <w:rFonts w:ascii="Times New Roman" w:hAnsi="Times New Roman" w:cs="Times New Roman"/>
        </w:rPr>
      </w:pPr>
      <w:r>
        <w:rPr>
          <w:rFonts w:ascii="Times New Roman" w:hAnsi="Times New Roman" w:cs="Times New Roman"/>
        </w:rPr>
        <w:t>衡东县境内有江河溪169条，长993.5km，其中湘江的一级支流17条；长199.5km，二级支流46条，长307.2km；三级支流69条，长268.5km，四级支流23条，长95.8km；五级支流11条，长33.8km；六级支流2条，长3.6km。</w:t>
      </w:r>
    </w:p>
    <w:p>
      <w:pPr>
        <w:spacing w:line="360" w:lineRule="auto"/>
        <w:ind w:firstLine="480" w:firstLineChars="200"/>
        <w:rPr>
          <w:rFonts w:ascii="Times New Roman" w:hAnsi="Times New Roman" w:cs="Times New Roman"/>
        </w:rPr>
      </w:pPr>
      <w:r>
        <w:rPr>
          <w:rFonts w:ascii="Times New Roman" w:hAnsi="Times New Roman" w:cs="Times New Roman"/>
        </w:rPr>
        <w:t>湘江、洣水、永乐江是流经衡东县的三条主要河流，河流系湘江水系洣水流域。湘江自大浦镇入境，沿县境西部由南至北到大桥乡彭陂港流出，境内长度85.1km；洣水自草市镇流入，横贯中部流至霞流镇洣河村汇入湘江，境内长72.5km，水量丰富，四季通航；永乐江自高塘乡流入，自南向北至草市镇注入洣水，境内长11.4km。</w:t>
      </w:r>
    </w:p>
    <w:p>
      <w:pPr>
        <w:spacing w:line="360" w:lineRule="auto"/>
        <w:ind w:firstLine="480" w:firstLineChars="200"/>
        <w:rPr>
          <w:rFonts w:ascii="Times New Roman" w:hAnsi="Times New Roman" w:cs="Times New Roman"/>
        </w:rPr>
      </w:pPr>
      <w:r>
        <w:rPr>
          <w:rFonts w:ascii="Times New Roman" w:hAnsi="Times New Roman" w:cs="Times New Roman"/>
        </w:rPr>
        <w:t>本工程直接纳污水体为湘江，园区西部距湘江约2km，东北有白衣港，西南有大浦港，有多条水沟和大小十几处山塘，其中最大的为毛鸡笼水库，面积3.13hm2，主要功能为灌溉，工业园区域水系分布图见附图3-2。</w:t>
      </w:r>
    </w:p>
    <w:p>
      <w:pPr>
        <w:pStyle w:val="4"/>
        <w:rPr>
          <w:rFonts w:ascii="Times New Roman" w:hAnsi="Times New Roman" w:cs="Times New Roman"/>
        </w:rPr>
      </w:pPr>
      <w:bookmarkStart w:id="202" w:name="_Toc144276903"/>
      <w:bookmarkStart w:id="203" w:name="_Toc144236773"/>
      <w:bookmarkStart w:id="204" w:name="_Toc147848021"/>
      <w:r>
        <w:rPr>
          <w:rFonts w:ascii="Times New Roman" w:hAnsi="Times New Roman" w:cs="Times New Roman"/>
        </w:rPr>
        <w:t>4.1.4 气象</w:t>
      </w:r>
      <w:bookmarkEnd w:id="202"/>
      <w:bookmarkEnd w:id="203"/>
      <w:bookmarkEnd w:id="204"/>
    </w:p>
    <w:p>
      <w:pPr>
        <w:spacing w:line="360" w:lineRule="auto"/>
        <w:ind w:firstLine="480" w:firstLineChars="200"/>
        <w:rPr>
          <w:rFonts w:ascii="Times New Roman" w:hAnsi="Times New Roman" w:cs="Times New Roman"/>
        </w:rPr>
      </w:pPr>
      <w:r>
        <w:rPr>
          <w:rFonts w:ascii="Times New Roman" w:hAnsi="Times New Roman" w:cs="Times New Roman"/>
        </w:rPr>
        <w:t>该区域属亚热带大陆性气候，热量充足、雨量较多、季节分明、春雨秋旱、冬冷夏热。全年主导风向为东北风，夏季主导风向为西南风；最大风速为20m/s，平均风速2.0m/s；年平均气温18.4</w:t>
      </w:r>
      <w:r>
        <w:rPr>
          <w:rFonts w:hint="eastAsia" w:ascii="宋体" w:hAnsi="宋体" w:eastAsia="宋体" w:cs="宋体"/>
        </w:rPr>
        <w:t>℃</w:t>
      </w:r>
      <w:r>
        <w:rPr>
          <w:rFonts w:ascii="Times New Roman" w:hAnsi="Times New Roman" w:cs="Times New Roman"/>
        </w:rPr>
        <w:t>，最冷月平均气温6.3</w:t>
      </w:r>
      <w:r>
        <w:rPr>
          <w:rFonts w:hint="eastAsia" w:ascii="宋体" w:hAnsi="宋体" w:eastAsia="宋体" w:cs="宋体"/>
        </w:rPr>
        <w:t>℃</w:t>
      </w:r>
      <w:r>
        <w:rPr>
          <w:rFonts w:ascii="Times New Roman" w:hAnsi="Times New Roman" w:cs="Times New Roman"/>
        </w:rPr>
        <w:t>，年度极端最高气温43.1</w:t>
      </w:r>
      <w:r>
        <w:rPr>
          <w:rFonts w:hint="eastAsia" w:ascii="宋体" w:hAnsi="宋体" w:eastAsia="宋体" w:cs="宋体"/>
        </w:rPr>
        <w:t>℃</w:t>
      </w:r>
      <w:r>
        <w:rPr>
          <w:rFonts w:ascii="Times New Roman" w:hAnsi="Times New Roman" w:cs="Times New Roman"/>
        </w:rPr>
        <w:t>，年最低气温-8.7</w:t>
      </w:r>
      <w:r>
        <w:rPr>
          <w:rFonts w:hint="eastAsia" w:ascii="宋体" w:hAnsi="宋体" w:eastAsia="宋体" w:cs="宋体"/>
        </w:rPr>
        <w:t>℃</w:t>
      </w:r>
      <w:r>
        <w:rPr>
          <w:rFonts w:ascii="Times New Roman" w:hAnsi="Times New Roman" w:cs="Times New Roman"/>
        </w:rPr>
        <w:t>；年平均降雨量1113.1mm，年最大降雨量1434.6mm；年平均气压为1010.1hpa；年平均日照为1577h，最冷月平均相对湿度82.0%，最热月平均相对湿度74.0%。</w:t>
      </w:r>
    </w:p>
    <w:p>
      <w:pPr>
        <w:pStyle w:val="4"/>
        <w:rPr>
          <w:rFonts w:ascii="Times New Roman" w:hAnsi="Times New Roman" w:cs="Times New Roman"/>
        </w:rPr>
      </w:pPr>
      <w:bookmarkStart w:id="205" w:name="_Toc147848022"/>
      <w:bookmarkStart w:id="206" w:name="_Toc144236774"/>
      <w:bookmarkStart w:id="207" w:name="_Toc144276904"/>
      <w:r>
        <w:rPr>
          <w:rFonts w:ascii="Times New Roman" w:hAnsi="Times New Roman" w:cs="Times New Roman"/>
        </w:rPr>
        <w:t>4.1.5 生态环境概况</w:t>
      </w:r>
      <w:bookmarkEnd w:id="205"/>
      <w:bookmarkEnd w:id="206"/>
      <w:bookmarkEnd w:id="207"/>
    </w:p>
    <w:p>
      <w:pPr>
        <w:spacing w:line="360" w:lineRule="auto"/>
        <w:ind w:firstLine="480" w:firstLineChars="200"/>
        <w:rPr>
          <w:rFonts w:ascii="Times New Roman" w:hAnsi="Times New Roman" w:cs="Times New Roman"/>
        </w:rPr>
      </w:pPr>
      <w:r>
        <w:rPr>
          <w:rFonts w:ascii="Times New Roman" w:hAnsi="Times New Roman" w:cs="Times New Roman"/>
        </w:rPr>
        <w:t>1、动植物资源</w:t>
      </w:r>
    </w:p>
    <w:p>
      <w:pPr>
        <w:spacing w:line="360" w:lineRule="auto"/>
        <w:ind w:firstLine="480" w:firstLineChars="200"/>
        <w:rPr>
          <w:rFonts w:ascii="Times New Roman" w:hAnsi="Times New Roman" w:cs="Times New Roman"/>
        </w:rPr>
      </w:pPr>
      <w:r>
        <w:rPr>
          <w:rFonts w:ascii="Times New Roman" w:hAnsi="Times New Roman" w:cs="Times New Roman"/>
        </w:rPr>
        <w:t>园区内人类活动频繁，野生动物失去适宜的栖息繁衍场所。区域内主要野生动物田间青蛙、鼠、蛇及麻雀、燕子等各种常见的鸟类，未发现珍稀野生动物。家畜以牛、羊、猪为主，家禽以鸡、鸭、鹅为主。水塘中水生鱼类以青、草、鲤、鲫四大鱼类为主。</w:t>
      </w:r>
    </w:p>
    <w:p>
      <w:pPr>
        <w:spacing w:line="360" w:lineRule="auto"/>
        <w:ind w:firstLine="480" w:firstLineChars="200"/>
        <w:rPr>
          <w:rFonts w:ascii="Times New Roman" w:hAnsi="Times New Roman" w:cs="Times New Roman"/>
        </w:rPr>
      </w:pPr>
      <w:r>
        <w:rPr>
          <w:rFonts w:ascii="Times New Roman" w:hAnsi="Times New Roman" w:cs="Times New Roman"/>
        </w:rPr>
        <w:t>工业园区属中亚热带常绿阔叶林地带，现有植被组成以人工植被为主，极小部分次生植被，山岗上多为灌木及低矮乔木，以落叶松为主，并有少量经果林。区域内分布有山坡林地、旱地、水田等，水田主要种植水稻，旱地为菜土主要种植冬瓜、丝瓜、四季豆等，供区内村民自食，园区内未见珍稀野生植物。</w:t>
      </w:r>
    </w:p>
    <w:p>
      <w:pPr>
        <w:spacing w:line="360" w:lineRule="auto"/>
        <w:ind w:firstLine="480" w:firstLineChars="200"/>
        <w:rPr>
          <w:rFonts w:ascii="Times New Roman" w:hAnsi="Times New Roman" w:cs="Times New Roman"/>
        </w:rPr>
      </w:pPr>
      <w:r>
        <w:rPr>
          <w:rFonts w:ascii="Times New Roman" w:hAnsi="Times New Roman" w:cs="Times New Roman"/>
        </w:rPr>
        <w:t>2、土壤</w:t>
      </w:r>
    </w:p>
    <w:p>
      <w:pPr>
        <w:spacing w:line="360" w:lineRule="auto"/>
        <w:ind w:firstLine="480" w:firstLineChars="200"/>
        <w:rPr>
          <w:rFonts w:ascii="Times New Roman" w:hAnsi="Times New Roman" w:cs="Times New Roman"/>
        </w:rPr>
      </w:pPr>
      <w:r>
        <w:rPr>
          <w:rFonts w:ascii="Times New Roman" w:hAnsi="Times New Roman" w:cs="Times New Roman"/>
        </w:rPr>
        <w:t>工业园区内成土母质以紫色砂页岩和第四纪红壤发育的紫色土为主，是一个以红壤、水稻土、紫色土为主的区域。</w:t>
      </w:r>
    </w:p>
    <w:p>
      <w:pPr>
        <w:spacing w:line="360" w:lineRule="auto"/>
        <w:ind w:firstLine="480" w:firstLineChars="200"/>
        <w:rPr>
          <w:rFonts w:ascii="Times New Roman" w:hAnsi="Times New Roman" w:cs="Times New Roman"/>
        </w:rPr>
      </w:pPr>
      <w:r>
        <w:rPr>
          <w:rFonts w:ascii="Times New Roman" w:hAnsi="Times New Roman" w:cs="Times New Roman"/>
        </w:rPr>
        <w:t>3、景观生态体系</w:t>
      </w:r>
    </w:p>
    <w:p>
      <w:pPr>
        <w:spacing w:line="360" w:lineRule="auto"/>
        <w:ind w:firstLine="480" w:firstLineChars="200"/>
        <w:rPr>
          <w:rFonts w:ascii="Times New Roman" w:hAnsi="Times New Roman" w:cs="Times New Roman"/>
        </w:rPr>
      </w:pPr>
      <w:r>
        <w:rPr>
          <w:rFonts w:ascii="Times New Roman" w:hAnsi="Times New Roman" w:cs="Times New Roman"/>
        </w:rPr>
        <w:t>评价区域景观生态体系由下列组分组成：</w:t>
      </w:r>
      <w:r>
        <w:rPr>
          <w:rFonts w:hint="eastAsia" w:ascii="宋体" w:hAnsi="宋体" w:eastAsia="宋体" w:cs="宋体"/>
        </w:rPr>
        <w:t>①</w:t>
      </w:r>
      <w:r>
        <w:rPr>
          <w:rFonts w:ascii="Times New Roman" w:hAnsi="Times New Roman" w:cs="Times New Roman"/>
        </w:rPr>
        <w:t>以针叶和针阔叶混交林为主的林地生态系统；</w:t>
      </w:r>
      <w:r>
        <w:rPr>
          <w:rFonts w:hint="eastAsia" w:ascii="宋体" w:hAnsi="宋体" w:eastAsia="宋体" w:cs="宋体"/>
        </w:rPr>
        <w:t>②</w:t>
      </w:r>
      <w:r>
        <w:rPr>
          <w:rFonts w:ascii="Times New Roman" w:hAnsi="Times New Roman" w:cs="Times New Roman"/>
        </w:rPr>
        <w:t>以灌、草丛为主的灌木、草丛生态系统；</w:t>
      </w:r>
      <w:r>
        <w:rPr>
          <w:rFonts w:hint="eastAsia" w:ascii="宋体" w:hAnsi="宋体" w:eastAsia="宋体" w:cs="宋体"/>
        </w:rPr>
        <w:t>③</w:t>
      </w:r>
      <w:r>
        <w:rPr>
          <w:rFonts w:ascii="Times New Roman" w:hAnsi="Times New Roman" w:cs="Times New Roman"/>
        </w:rPr>
        <w:t>以人工植被为主的农业生态系统，主要种植水稻、蔬菜及其他经济作物；</w:t>
      </w:r>
      <w:r>
        <w:rPr>
          <w:rFonts w:hint="eastAsia" w:ascii="宋体" w:hAnsi="宋体" w:eastAsia="宋体" w:cs="宋体"/>
        </w:rPr>
        <w:t>④</w:t>
      </w:r>
      <w:r>
        <w:rPr>
          <w:rFonts w:ascii="Times New Roman" w:hAnsi="Times New Roman" w:cs="Times New Roman"/>
        </w:rPr>
        <w:t>村镇等人工生态系统，受人类干扰最显著；</w:t>
      </w:r>
      <w:r>
        <w:rPr>
          <w:rFonts w:hint="eastAsia" w:ascii="宋体" w:hAnsi="宋体" w:eastAsia="宋体" w:cs="宋体"/>
        </w:rPr>
        <w:t>⑤</w:t>
      </w:r>
      <w:r>
        <w:rPr>
          <w:rFonts w:ascii="Times New Roman" w:hAnsi="Times New Roman" w:cs="Times New Roman"/>
        </w:rPr>
        <w:t>水生生态系统，水塘、水生动植物等组成的水生生态系统</w:t>
      </w:r>
      <w:r>
        <w:rPr>
          <w:rFonts w:hint="eastAsia" w:ascii="宋体" w:hAnsi="宋体" w:eastAsia="宋体" w:cs="宋体"/>
        </w:rPr>
        <w:t>⑥</w:t>
      </w:r>
      <w:r>
        <w:rPr>
          <w:rFonts w:ascii="Times New Roman" w:hAnsi="Times New Roman" w:cs="Times New Roman"/>
        </w:rPr>
        <w:t>湘江水域生态系统。</w:t>
      </w:r>
    </w:p>
    <w:p>
      <w:pPr>
        <w:spacing w:line="360" w:lineRule="auto"/>
        <w:ind w:firstLine="480" w:firstLineChars="200"/>
        <w:rPr>
          <w:rFonts w:ascii="Times New Roman" w:hAnsi="Times New Roman" w:cs="Times New Roman"/>
        </w:rPr>
      </w:pPr>
      <w:r>
        <w:rPr>
          <w:rFonts w:ascii="Times New Roman" w:hAnsi="Times New Roman" w:cs="Times New Roman"/>
        </w:rPr>
        <w:t>随着城镇化、工业化的进一步加快，评价区近年来景观系统在人为干扰作用下趋向于均质化，特别是园区基础设施开发及入园企业的建设，导致园区内整个景观生态系统多样性指数降低，系统优势度减少，总的来说，评价区域目前由于人为干扰，系统的生产力、稳定性、自我维持性正趋向于降低。</w:t>
      </w:r>
    </w:p>
    <w:p>
      <w:pPr>
        <w:pStyle w:val="3"/>
        <w:rPr>
          <w:rFonts w:ascii="Times New Roman" w:hAnsi="Times New Roman" w:cs="Times New Roman" w:eastAsiaTheme="minorEastAsia"/>
        </w:rPr>
      </w:pPr>
      <w:bookmarkStart w:id="208" w:name="_Toc144276905"/>
      <w:bookmarkStart w:id="209" w:name="_Toc147848023"/>
      <w:bookmarkStart w:id="210" w:name="_Toc144236775"/>
      <w:r>
        <w:rPr>
          <w:rFonts w:ascii="Times New Roman" w:hAnsi="Times New Roman" w:cs="Times New Roman" w:eastAsiaTheme="minorEastAsia"/>
        </w:rPr>
        <w:t>4.2 湖南衡东经济开发区概况及园区规划简介</w:t>
      </w:r>
      <w:bookmarkEnd w:id="208"/>
      <w:bookmarkEnd w:id="209"/>
      <w:bookmarkEnd w:id="210"/>
    </w:p>
    <w:p>
      <w:pPr>
        <w:pStyle w:val="4"/>
        <w:rPr>
          <w:rFonts w:ascii="Times New Roman" w:hAnsi="Times New Roman" w:cs="Times New Roman"/>
        </w:rPr>
      </w:pPr>
      <w:bookmarkStart w:id="211" w:name="_Toc147848024"/>
      <w:bookmarkStart w:id="212" w:name="_Toc144236776"/>
      <w:bookmarkStart w:id="213" w:name="_Toc144276906"/>
      <w:r>
        <w:rPr>
          <w:rFonts w:ascii="Times New Roman" w:hAnsi="Times New Roman" w:cs="Times New Roman"/>
        </w:rPr>
        <w:t>4.2.1 园区性质及规划规模</w:t>
      </w:r>
      <w:bookmarkEnd w:id="211"/>
      <w:bookmarkEnd w:id="212"/>
      <w:bookmarkEnd w:id="213"/>
    </w:p>
    <w:p>
      <w:pPr>
        <w:spacing w:line="360" w:lineRule="auto"/>
        <w:ind w:firstLine="480" w:firstLineChars="200"/>
        <w:rPr>
          <w:rFonts w:ascii="Times New Roman" w:hAnsi="Times New Roman" w:cs="Times New Roman"/>
        </w:rPr>
      </w:pPr>
      <w:r>
        <w:rPr>
          <w:rFonts w:ascii="Times New Roman" w:hAnsi="Times New Roman" w:cs="Times New Roman"/>
        </w:rPr>
        <w:t>湖南衡东经济开发区拟在强调经济活力和地域特设的前提下，有计划有步骤进行适度开发建设，把传统经济所蕴涵的资源优势转化为产业优势，把区位优势转化为经济优势，不仅使传统工业焕发新的活力，又通过园区建设提高整个工业园区的层次品位，带动地方经济发展，建设有地方特色的衡阳新型生态工业园区。</w:t>
      </w:r>
    </w:p>
    <w:p>
      <w:pPr>
        <w:spacing w:line="360" w:lineRule="auto"/>
        <w:ind w:firstLine="480" w:firstLineChars="200"/>
        <w:rPr>
          <w:rFonts w:ascii="Times New Roman" w:hAnsi="Times New Roman" w:cs="Times New Roman"/>
        </w:rPr>
      </w:pPr>
      <w:r>
        <w:rPr>
          <w:rFonts w:ascii="Times New Roman" w:hAnsi="Times New Roman" w:cs="Times New Roman"/>
        </w:rPr>
        <w:t>衡东工业园规划范围总面积416.73公顷，东到刘家下大屋，南邻衡炎高速，西北靠京广铁路。</w:t>
      </w:r>
    </w:p>
    <w:p>
      <w:pPr>
        <w:spacing w:line="360" w:lineRule="auto"/>
        <w:ind w:firstLine="480" w:firstLineChars="200"/>
        <w:rPr>
          <w:rFonts w:ascii="Times New Roman" w:hAnsi="Times New Roman" w:cs="Times New Roman"/>
        </w:rPr>
      </w:pPr>
      <w:r>
        <w:rPr>
          <w:rFonts w:ascii="Times New Roman" w:hAnsi="Times New Roman" w:cs="Times New Roman"/>
        </w:rPr>
        <w:t>2012年1月9日，湖南省环保厅对园区环境影响评价委托湖南有色金属研究院编制的环境影响报告书以湘环评[2012]13号文予以批复。</w:t>
      </w:r>
    </w:p>
    <w:p>
      <w:pPr>
        <w:spacing w:line="360" w:lineRule="auto"/>
        <w:ind w:firstLine="480" w:firstLineChars="200"/>
        <w:rPr>
          <w:rFonts w:ascii="Times New Roman" w:hAnsi="Times New Roman" w:cs="Times New Roman"/>
        </w:rPr>
      </w:pPr>
      <w:r>
        <w:rPr>
          <w:rFonts w:ascii="Times New Roman" w:hAnsi="Times New Roman" w:cs="Times New Roman"/>
        </w:rPr>
        <w:t>2022年5月24日，湖南省生态环境厅对湖南衡东经济开发区调区扩区规划环境影响报告书予以批复（湘环评函[2022]19号。</w:t>
      </w:r>
    </w:p>
    <w:p>
      <w:pPr>
        <w:spacing w:line="360" w:lineRule="auto"/>
        <w:ind w:firstLine="480" w:firstLineChars="200"/>
        <w:rPr>
          <w:rFonts w:ascii="Times New Roman" w:hAnsi="Times New Roman" w:cs="Times New Roman"/>
        </w:rPr>
      </w:pPr>
      <w:r>
        <w:rPr>
          <w:rFonts w:ascii="Times New Roman" w:hAnsi="Times New Roman" w:cs="Times New Roman"/>
        </w:rPr>
        <w:t>规划调整后范围包括泉南高速南北两片区，泉南高速以北片区北临京广铁路，西临京广铁路以及015县道，南至泉南高速，东至经八路，泉南高速以南区域主要包括原712矿区及氟化学公司用地，规划总用地面积为784.71公顷。调整后面积有所增加，在经开区南部、西南部和西北部新增发展用地，均为土地利用总体规划中的允许建设用地。</w:t>
      </w:r>
    </w:p>
    <w:p>
      <w:pPr>
        <w:pStyle w:val="4"/>
        <w:rPr>
          <w:rFonts w:ascii="Times New Roman" w:hAnsi="Times New Roman" w:cs="Times New Roman"/>
        </w:rPr>
      </w:pPr>
      <w:bookmarkStart w:id="214" w:name="_Toc144236777"/>
      <w:bookmarkStart w:id="215" w:name="_Toc144276907"/>
      <w:bookmarkStart w:id="216" w:name="_Toc147848025"/>
      <w:r>
        <w:rPr>
          <w:rFonts w:ascii="Times New Roman" w:hAnsi="Times New Roman" w:cs="Times New Roman"/>
        </w:rPr>
        <w:t>4.2.2 规划期限</w:t>
      </w:r>
      <w:bookmarkEnd w:id="214"/>
      <w:bookmarkEnd w:id="215"/>
      <w:bookmarkEnd w:id="216"/>
    </w:p>
    <w:p>
      <w:pPr>
        <w:spacing w:line="360" w:lineRule="auto"/>
        <w:ind w:firstLine="480" w:firstLineChars="200"/>
        <w:rPr>
          <w:rFonts w:ascii="Times New Roman" w:hAnsi="Times New Roman" w:cs="Times New Roman"/>
        </w:rPr>
      </w:pPr>
      <w:r>
        <w:rPr>
          <w:rFonts w:ascii="Times New Roman" w:hAnsi="Times New Roman" w:cs="Times New Roman"/>
        </w:rPr>
        <w:t>湖南衡东经济开发区规划期限为2010-2020年。近期规划：2010-2015年；远期规划2015-2020年。</w:t>
      </w:r>
    </w:p>
    <w:p>
      <w:pPr>
        <w:spacing w:line="360" w:lineRule="auto"/>
        <w:ind w:firstLine="480" w:firstLineChars="200"/>
        <w:rPr>
          <w:rFonts w:ascii="Times New Roman" w:hAnsi="Times New Roman" w:cs="Times New Roman"/>
        </w:rPr>
      </w:pPr>
      <w:r>
        <w:rPr>
          <w:rFonts w:ascii="Times New Roman" w:hAnsi="Times New Roman" w:cs="Times New Roman"/>
        </w:rPr>
        <w:t>扩区调规后，期限为2020-2030年。</w:t>
      </w:r>
    </w:p>
    <w:p>
      <w:pPr>
        <w:pStyle w:val="4"/>
        <w:rPr>
          <w:rFonts w:ascii="Times New Roman" w:hAnsi="Times New Roman" w:cs="Times New Roman"/>
        </w:rPr>
      </w:pPr>
      <w:bookmarkStart w:id="217" w:name="_Toc144236778"/>
      <w:bookmarkStart w:id="218" w:name="_Toc147848026"/>
      <w:bookmarkStart w:id="219" w:name="_Toc144276908"/>
      <w:r>
        <w:rPr>
          <w:rFonts w:ascii="Times New Roman" w:hAnsi="Times New Roman" w:cs="Times New Roman"/>
        </w:rPr>
        <w:t>4.2.3 规划区功能定位</w:t>
      </w:r>
      <w:bookmarkEnd w:id="217"/>
      <w:bookmarkEnd w:id="218"/>
      <w:bookmarkEnd w:id="219"/>
    </w:p>
    <w:p>
      <w:pPr>
        <w:spacing w:line="360" w:lineRule="auto"/>
        <w:ind w:firstLine="480" w:firstLineChars="200"/>
        <w:rPr>
          <w:rFonts w:ascii="Times New Roman" w:hAnsi="Times New Roman" w:cs="Times New Roman"/>
        </w:rPr>
      </w:pPr>
      <w:r>
        <w:rPr>
          <w:rFonts w:ascii="Times New Roman" w:hAnsi="Times New Roman" w:cs="Times New Roman"/>
        </w:rPr>
        <w:t>规划将构建衡阳市21世纪与自然和谐发展的标志性工业园区，环境优美的交通枢纽和物流中心。着重发展对环境污染较轻的机械制造业、轻纺、电子信息及高新技术产业。对园区的已有的冶金企业进行梳理整顿，对不符合产业政策和高污染企业实行限期退出，对符合产业政策、污染可控冶金企业予以保留，并加强管理。</w:t>
      </w:r>
    </w:p>
    <w:p>
      <w:pPr>
        <w:spacing w:line="360" w:lineRule="auto"/>
        <w:ind w:firstLine="480" w:firstLineChars="200"/>
        <w:rPr>
          <w:rFonts w:ascii="Times New Roman" w:hAnsi="Times New Roman" w:cs="Times New Roman"/>
        </w:rPr>
      </w:pPr>
      <w:r>
        <w:rPr>
          <w:rFonts w:ascii="Times New Roman" w:hAnsi="Times New Roman" w:cs="Times New Roman"/>
        </w:rPr>
        <w:t>扩区调规后，衡东经济开发区主导产业不变，依据园区现有的企业聚集情况对配套辅助产业进行了调整，即“以机械制造为主，配套精细化工、新材料、新能源、劳动密集型等产业为辅助产业。”</w:t>
      </w:r>
    </w:p>
    <w:p>
      <w:pPr>
        <w:pStyle w:val="4"/>
        <w:rPr>
          <w:rFonts w:ascii="Times New Roman" w:hAnsi="Times New Roman" w:cs="Times New Roman"/>
        </w:rPr>
      </w:pPr>
      <w:bookmarkStart w:id="220" w:name="_Toc144236779"/>
      <w:bookmarkStart w:id="221" w:name="_Toc144276909"/>
      <w:bookmarkStart w:id="222" w:name="_Toc147848027"/>
      <w:r>
        <w:rPr>
          <w:rFonts w:ascii="Times New Roman" w:hAnsi="Times New Roman" w:cs="Times New Roman"/>
        </w:rPr>
        <w:t>4.2.4 用地布局规划</w:t>
      </w:r>
      <w:bookmarkEnd w:id="220"/>
      <w:bookmarkEnd w:id="221"/>
      <w:bookmarkEnd w:id="222"/>
    </w:p>
    <w:p>
      <w:pPr>
        <w:spacing w:line="360" w:lineRule="auto"/>
        <w:ind w:firstLine="480" w:firstLineChars="200"/>
        <w:rPr>
          <w:rFonts w:ascii="Times New Roman" w:hAnsi="Times New Roman" w:cs="Times New Roman"/>
        </w:rPr>
      </w:pPr>
      <w:r>
        <w:rPr>
          <w:rFonts w:ascii="Times New Roman" w:hAnsi="Times New Roman" w:cs="Times New Roman"/>
        </w:rPr>
        <w:t>工业园用地规划布局图见附图。用地布局规划分述如下：</w:t>
      </w:r>
    </w:p>
    <w:p>
      <w:pPr>
        <w:spacing w:line="360" w:lineRule="auto"/>
        <w:ind w:firstLine="480" w:firstLineChars="200"/>
        <w:rPr>
          <w:rFonts w:ascii="Times New Roman" w:hAnsi="Times New Roman" w:cs="Times New Roman"/>
        </w:rPr>
      </w:pPr>
      <w:r>
        <w:rPr>
          <w:rFonts w:ascii="Times New Roman" w:hAnsi="Times New Roman" w:cs="Times New Roman"/>
        </w:rPr>
        <w:t>（1）公共服务设施用地</w:t>
      </w:r>
    </w:p>
    <w:p>
      <w:pPr>
        <w:spacing w:line="360" w:lineRule="auto"/>
        <w:ind w:firstLine="480" w:firstLineChars="200"/>
        <w:rPr>
          <w:rFonts w:ascii="Times New Roman" w:hAnsi="Times New Roman" w:cs="Times New Roman"/>
        </w:rPr>
      </w:pPr>
      <w:r>
        <w:rPr>
          <w:rFonts w:ascii="Times New Roman" w:hAnsi="Times New Roman" w:cs="Times New Roman"/>
        </w:rPr>
        <w:t>公共服务设施用地主要分布在省道315两侧，用地面积43.58公顷，占总土地面积6.6%，为湖南衡东经济开发区的全面发展提供坚强的后盾。</w:t>
      </w:r>
    </w:p>
    <w:p>
      <w:pPr>
        <w:spacing w:line="360" w:lineRule="auto"/>
        <w:ind w:firstLine="480" w:firstLineChars="200"/>
        <w:rPr>
          <w:rFonts w:ascii="Times New Roman" w:hAnsi="Times New Roman" w:cs="Times New Roman"/>
        </w:rPr>
      </w:pPr>
      <w:r>
        <w:rPr>
          <w:rFonts w:ascii="Times New Roman" w:hAnsi="Times New Roman" w:cs="Times New Roman"/>
        </w:rPr>
        <w:t>（2）居住用地</w:t>
      </w:r>
    </w:p>
    <w:p>
      <w:pPr>
        <w:spacing w:line="360" w:lineRule="auto"/>
        <w:ind w:firstLine="480" w:firstLineChars="200"/>
        <w:rPr>
          <w:rFonts w:ascii="Times New Roman" w:hAnsi="Times New Roman" w:cs="Times New Roman"/>
        </w:rPr>
      </w:pPr>
      <w:r>
        <w:rPr>
          <w:rFonts w:ascii="Times New Roman" w:hAnsi="Times New Roman" w:cs="Times New Roman"/>
        </w:rPr>
        <w:t>居住用地主要是考虑工业园的配套及拆迁户的安置，主要分布在规划区的东部，用地面积28.84公顷，占总用地的4.37%。</w:t>
      </w:r>
    </w:p>
    <w:p>
      <w:pPr>
        <w:spacing w:line="360" w:lineRule="auto"/>
        <w:ind w:firstLine="480" w:firstLineChars="200"/>
        <w:rPr>
          <w:rFonts w:ascii="Times New Roman" w:hAnsi="Times New Roman" w:cs="Times New Roman"/>
        </w:rPr>
      </w:pPr>
      <w:r>
        <w:rPr>
          <w:rFonts w:ascii="Times New Roman" w:hAnsi="Times New Roman" w:cs="Times New Roman"/>
        </w:rPr>
        <w:t>（3）综合性用地</w:t>
      </w:r>
    </w:p>
    <w:p>
      <w:pPr>
        <w:spacing w:line="360" w:lineRule="auto"/>
        <w:ind w:firstLine="480" w:firstLineChars="200"/>
        <w:rPr>
          <w:rFonts w:ascii="Times New Roman" w:hAnsi="Times New Roman" w:cs="Times New Roman"/>
        </w:rPr>
      </w:pPr>
      <w:r>
        <w:rPr>
          <w:rFonts w:ascii="Times New Roman" w:hAnsi="Times New Roman" w:cs="Times New Roman"/>
        </w:rPr>
        <w:t>规划综合性用地11.53公顷，便于滚动开发的特定要求，增加弹性和实用性，以满足不同时序，不同开发者的不同要求。</w:t>
      </w:r>
    </w:p>
    <w:p>
      <w:pPr>
        <w:spacing w:line="360" w:lineRule="auto"/>
        <w:ind w:firstLine="480" w:firstLineChars="200"/>
        <w:rPr>
          <w:rFonts w:ascii="Times New Roman" w:hAnsi="Times New Roman" w:cs="Times New Roman"/>
        </w:rPr>
      </w:pPr>
      <w:r>
        <w:rPr>
          <w:rFonts w:ascii="Times New Roman" w:hAnsi="Times New Roman" w:cs="Times New Roman"/>
        </w:rPr>
        <w:t>（4）道路广场用地</w:t>
      </w:r>
    </w:p>
    <w:p>
      <w:pPr>
        <w:spacing w:line="360" w:lineRule="auto"/>
        <w:ind w:firstLine="480" w:firstLineChars="200"/>
        <w:rPr>
          <w:rFonts w:ascii="Times New Roman" w:hAnsi="Times New Roman" w:cs="Times New Roman"/>
        </w:rPr>
      </w:pPr>
      <w:r>
        <w:rPr>
          <w:rFonts w:ascii="Times New Roman" w:hAnsi="Times New Roman" w:cs="Times New Roman"/>
        </w:rPr>
        <w:t>规划道路广场用地94.19公顷，占总用地的14.26%。</w:t>
      </w:r>
    </w:p>
    <w:p>
      <w:pPr>
        <w:spacing w:line="360" w:lineRule="auto"/>
        <w:ind w:firstLine="480" w:firstLineChars="200"/>
        <w:rPr>
          <w:rFonts w:ascii="Times New Roman" w:hAnsi="Times New Roman" w:cs="Times New Roman"/>
        </w:rPr>
      </w:pPr>
      <w:r>
        <w:rPr>
          <w:rFonts w:ascii="Times New Roman" w:hAnsi="Times New Roman" w:cs="Times New Roman"/>
        </w:rPr>
        <w:t>（5）工业用地</w:t>
      </w:r>
    </w:p>
    <w:p>
      <w:pPr>
        <w:spacing w:line="360" w:lineRule="auto"/>
        <w:ind w:firstLine="480" w:firstLineChars="200"/>
        <w:rPr>
          <w:rFonts w:ascii="Times New Roman" w:hAnsi="Times New Roman" w:cs="Times New Roman"/>
        </w:rPr>
      </w:pPr>
      <w:r>
        <w:rPr>
          <w:rFonts w:ascii="Times New Roman" w:hAnsi="Times New Roman" w:cs="Times New Roman"/>
        </w:rPr>
        <w:t>工业用地分为一、二、三类工业，其中一类工业用地176.67公顷，占总用地的26.74%，主要分布在规划区东南部位；二类工业用地118.81公顷，占总用地的17.98%，主要分布在规划区的中部；三类工业用地120.64公顷，占总用地的18.26%，主要分布在规划区的西北部。</w:t>
      </w:r>
    </w:p>
    <w:p>
      <w:pPr>
        <w:spacing w:line="360" w:lineRule="auto"/>
        <w:ind w:firstLine="480" w:firstLineChars="200"/>
        <w:rPr>
          <w:rFonts w:ascii="Times New Roman" w:hAnsi="Times New Roman" w:cs="Times New Roman"/>
        </w:rPr>
      </w:pPr>
      <w:r>
        <w:rPr>
          <w:rFonts w:ascii="Times New Roman" w:hAnsi="Times New Roman" w:cs="Times New Roman"/>
        </w:rPr>
        <w:t>（6）仓储用地</w:t>
      </w:r>
    </w:p>
    <w:p>
      <w:pPr>
        <w:spacing w:line="360" w:lineRule="auto"/>
        <w:ind w:firstLine="480" w:firstLineChars="200"/>
        <w:rPr>
          <w:rFonts w:ascii="Times New Roman" w:hAnsi="Times New Roman" w:cs="Times New Roman"/>
        </w:rPr>
      </w:pPr>
      <w:r>
        <w:rPr>
          <w:rFonts w:ascii="Times New Roman" w:hAnsi="Times New Roman" w:cs="Times New Roman"/>
        </w:rPr>
        <w:t>本次规划仓储用地29.82公顷，其中普通仓储用地5.34公顷，占总用地的0.81%，分布在宁国路与省道315交叉口的西北角。</w:t>
      </w:r>
    </w:p>
    <w:p>
      <w:pPr>
        <w:spacing w:line="360" w:lineRule="auto"/>
        <w:ind w:firstLine="480" w:firstLineChars="200"/>
        <w:rPr>
          <w:rFonts w:ascii="Times New Roman" w:hAnsi="Times New Roman" w:cs="Times New Roman"/>
        </w:rPr>
      </w:pPr>
      <w:r>
        <w:rPr>
          <w:rFonts w:ascii="Times New Roman" w:hAnsi="Times New Roman" w:cs="Times New Roman"/>
        </w:rPr>
        <w:t>（7）绿化用地</w:t>
      </w:r>
    </w:p>
    <w:p>
      <w:pPr>
        <w:spacing w:line="360" w:lineRule="auto"/>
        <w:ind w:firstLine="480" w:firstLineChars="200"/>
        <w:rPr>
          <w:rFonts w:ascii="Times New Roman" w:hAnsi="Times New Roman" w:cs="Times New Roman"/>
        </w:rPr>
      </w:pPr>
      <w:r>
        <w:rPr>
          <w:rFonts w:ascii="Times New Roman" w:hAnsi="Times New Roman" w:cs="Times New Roman"/>
        </w:rPr>
        <w:t>规划中绿化用地分为公共绿地，防护绿地二类，其中公共绿地22.26公顷，防护绿地15.33公顷。</w:t>
      </w:r>
    </w:p>
    <w:p>
      <w:pPr>
        <w:spacing w:line="360" w:lineRule="auto"/>
        <w:ind w:firstLine="480" w:firstLineChars="200"/>
        <w:rPr>
          <w:rFonts w:ascii="Times New Roman" w:hAnsi="Times New Roman" w:cs="Times New Roman"/>
        </w:rPr>
      </w:pPr>
      <w:r>
        <w:rPr>
          <w:rFonts w:ascii="Times New Roman" w:hAnsi="Times New Roman" w:cs="Times New Roman"/>
        </w:rPr>
        <w:t>（8）市政设施用地</w:t>
      </w:r>
    </w:p>
    <w:p>
      <w:pPr>
        <w:spacing w:line="360" w:lineRule="auto"/>
        <w:ind w:firstLine="480" w:firstLineChars="200"/>
        <w:rPr>
          <w:rFonts w:ascii="Times New Roman" w:hAnsi="Times New Roman" w:cs="Times New Roman"/>
        </w:rPr>
      </w:pPr>
      <w:r>
        <w:rPr>
          <w:rFonts w:ascii="Times New Roman" w:hAnsi="Times New Roman" w:cs="Times New Roman"/>
        </w:rPr>
        <w:t>市政设施用地主要分布在省道315沿线，用地面积7.7公顷，占总用地的1.17%。</w:t>
      </w:r>
    </w:p>
    <w:p>
      <w:pPr>
        <w:spacing w:line="360" w:lineRule="auto"/>
        <w:ind w:firstLine="480" w:firstLineChars="200"/>
        <w:rPr>
          <w:rFonts w:ascii="Times New Roman" w:hAnsi="Times New Roman" w:cs="Times New Roman"/>
        </w:rPr>
      </w:pPr>
      <w:r>
        <w:rPr>
          <w:rFonts w:ascii="Times New Roman" w:hAnsi="Times New Roman" w:cs="Times New Roman"/>
        </w:rPr>
        <w:t>扩区调规后工业用地（M）为 588.92 公顷，与调规前用地进行了调整，工业用地面积增加，一类工业用地减小、二类和三类工业用地增加。</w:t>
      </w:r>
    </w:p>
    <w:p>
      <w:pPr>
        <w:spacing w:line="360" w:lineRule="auto"/>
        <w:ind w:firstLine="480" w:firstLineChars="200"/>
        <w:rPr>
          <w:rFonts w:ascii="Times New Roman" w:hAnsi="Times New Roman" w:cs="Times New Roman"/>
        </w:rPr>
      </w:pPr>
      <w:r>
        <w:rPr>
          <w:rFonts w:ascii="Times New Roman" w:hAnsi="Times New Roman" w:cs="Times New Roman"/>
        </w:rPr>
        <w:t>本项目位于化工园区，属于三类工业用地。</w:t>
      </w:r>
    </w:p>
    <w:p>
      <w:pPr>
        <w:pStyle w:val="4"/>
        <w:rPr>
          <w:rFonts w:ascii="Times New Roman" w:hAnsi="Times New Roman" w:cs="Times New Roman"/>
        </w:rPr>
      </w:pPr>
      <w:bookmarkStart w:id="223" w:name="_Toc144276910"/>
      <w:bookmarkStart w:id="224" w:name="_Toc144236780"/>
      <w:bookmarkStart w:id="225" w:name="_Toc147848028"/>
      <w:r>
        <w:rPr>
          <w:rFonts w:ascii="Times New Roman" w:hAnsi="Times New Roman" w:cs="Times New Roman"/>
        </w:rPr>
        <w:t>4.2.5 园区给水现状</w:t>
      </w:r>
      <w:bookmarkEnd w:id="223"/>
      <w:bookmarkEnd w:id="224"/>
      <w:bookmarkEnd w:id="225"/>
    </w:p>
    <w:p>
      <w:pPr>
        <w:spacing w:line="360" w:lineRule="auto"/>
        <w:ind w:firstLine="480" w:firstLineChars="200"/>
        <w:rPr>
          <w:rFonts w:ascii="Times New Roman" w:hAnsi="Times New Roman" w:cs="Times New Roman"/>
        </w:rPr>
      </w:pPr>
      <w:r>
        <w:rPr>
          <w:rFonts w:ascii="Times New Roman" w:hAnsi="Times New Roman" w:cs="Times New Roman"/>
        </w:rPr>
        <w:t>工业园规划生产用水、生活用水取自大浦镇水厂，根据大浦镇总体规划（2004-2020），大浦镇水厂近期供水能力为4.2万m3/d，远期供水能力为12.8万m3/d，水源为湘江水。规划以环状供水为主，枝状供水为辅，并保证供水压力不小于3.5kg/c m2，给水干管成环布置，枝管采用树枝状管网，给水干管位于道路的东南侧，干管管径为D600～D1000。</w:t>
      </w:r>
    </w:p>
    <w:p>
      <w:pPr>
        <w:spacing w:line="360" w:lineRule="auto"/>
        <w:ind w:firstLine="480" w:firstLineChars="200"/>
        <w:rPr>
          <w:rFonts w:ascii="Times New Roman" w:hAnsi="Times New Roman" w:cs="Times New Roman"/>
        </w:rPr>
      </w:pPr>
      <w:r>
        <w:rPr>
          <w:rFonts w:ascii="Times New Roman" w:hAnsi="Times New Roman" w:cs="Times New Roman"/>
        </w:rPr>
        <w:t>扩区调规后拟在园区纬八路与浦宁路交叉口东北部建设新水厂，规模5.5万吨/日，水厂以湘江为水源，占地5公顷；同时在315国道与浦宁路交叉口西北面建设给水提升泵站，规模2万吨/日。</w:t>
      </w:r>
    </w:p>
    <w:p>
      <w:pPr>
        <w:pStyle w:val="4"/>
        <w:rPr>
          <w:rFonts w:ascii="Times New Roman" w:hAnsi="Times New Roman" w:cs="Times New Roman"/>
        </w:rPr>
      </w:pPr>
      <w:bookmarkStart w:id="226" w:name="_Toc144236781"/>
      <w:bookmarkStart w:id="227" w:name="_Toc147848029"/>
      <w:bookmarkStart w:id="228" w:name="_Toc144276911"/>
      <w:r>
        <w:rPr>
          <w:rFonts w:ascii="Times New Roman" w:hAnsi="Times New Roman" w:cs="Times New Roman"/>
        </w:rPr>
        <w:t>4.2.6 园区排水现状</w:t>
      </w:r>
      <w:bookmarkEnd w:id="226"/>
      <w:bookmarkEnd w:id="227"/>
      <w:bookmarkEnd w:id="228"/>
    </w:p>
    <w:p>
      <w:pPr>
        <w:spacing w:line="360" w:lineRule="auto"/>
        <w:ind w:firstLine="480" w:firstLineChars="200"/>
        <w:rPr>
          <w:rFonts w:ascii="Times New Roman" w:hAnsi="Times New Roman" w:cs="Times New Roman"/>
        </w:rPr>
      </w:pPr>
      <w:r>
        <w:rPr>
          <w:rFonts w:ascii="Times New Roman" w:hAnsi="Times New Roman" w:cs="Times New Roman"/>
        </w:rPr>
        <w:t>衡东经济开发区规划园区内各污水经企业污水处理设施预处理达到大浦污水处理厂接纳标准后由园区污水管网排入大浦镇污水处理厂进一步处理达到《城镇污水处理厂污染物排放标准》GB18918-2002中的一级A标准后外排湘江。</w:t>
      </w:r>
    </w:p>
    <w:p>
      <w:pPr>
        <w:spacing w:line="360" w:lineRule="auto"/>
        <w:ind w:firstLine="480" w:firstLineChars="200"/>
        <w:rPr>
          <w:rFonts w:ascii="Times New Roman" w:hAnsi="Times New Roman" w:cs="Times New Roman"/>
        </w:rPr>
      </w:pPr>
      <w:r>
        <w:rPr>
          <w:rFonts w:ascii="Times New Roman" w:hAnsi="Times New Roman" w:cs="Times New Roman"/>
        </w:rPr>
        <w:t>大浦镇污水处理厂（一期）位于大浦镇东北面的涌泉村和炉铺村地，主要集中处理大浦镇及衡东经开区内已建成片区的含重金属生产污水及衡东经开区及大浦镇的一般工业废水和生活污水，采用的处理工艺：涉重金属污水处理工艺为“生物制剂法+吸附过滤+水解酸化”；一般污水处理工艺为“预处理+水解酸化+CASS池+活性砂过滤池”，一期工程处理规模约为1万m</w:t>
      </w:r>
      <w:r>
        <w:rPr>
          <w:rFonts w:ascii="Times New Roman" w:hAnsi="Times New Roman" w:cs="Times New Roman"/>
          <w:vertAlign w:val="superscript"/>
        </w:rPr>
        <w:t>3</w:t>
      </w:r>
      <w:r>
        <w:rPr>
          <w:rFonts w:ascii="Times New Roman" w:hAnsi="Times New Roman" w:cs="Times New Roman"/>
        </w:rPr>
        <w:t>/d（其中含重金属污水处理设施处理规模为1000m</w:t>
      </w:r>
      <w:r>
        <w:rPr>
          <w:rFonts w:ascii="Times New Roman" w:hAnsi="Times New Roman" w:cs="Times New Roman"/>
          <w:vertAlign w:val="superscript"/>
        </w:rPr>
        <w:t>3</w:t>
      </w:r>
      <w:r>
        <w:rPr>
          <w:rFonts w:ascii="Times New Roman" w:hAnsi="Times New Roman" w:cs="Times New Roman"/>
        </w:rPr>
        <w:t>/d，一般工业废水和生活污水系统处理规模为9000m</w:t>
      </w:r>
      <w:r>
        <w:rPr>
          <w:rFonts w:ascii="Times New Roman" w:hAnsi="Times New Roman" w:cs="Times New Roman"/>
          <w:vertAlign w:val="superscript"/>
        </w:rPr>
        <w:t>3</w:t>
      </w:r>
      <w:r>
        <w:rPr>
          <w:rFonts w:ascii="Times New Roman" w:hAnsi="Times New Roman" w:cs="Times New Roman"/>
        </w:rPr>
        <w:t>/d）。</w:t>
      </w:r>
    </w:p>
    <w:p>
      <w:pPr>
        <w:spacing w:line="360" w:lineRule="auto"/>
        <w:ind w:firstLine="480" w:firstLineChars="200"/>
        <w:rPr>
          <w:rFonts w:ascii="Times New Roman" w:hAnsi="Times New Roman" w:cs="Times New Roman"/>
        </w:rPr>
      </w:pPr>
      <w:r>
        <w:rPr>
          <w:rFonts w:ascii="Times New Roman" w:hAnsi="Times New Roman" w:cs="Times New Roman"/>
        </w:rPr>
        <w:t>大浦镇污水处理厂及其管网系统（包括大浦镇街道、湖南衡东经济开发区的管网系统），目前已投入营运，出水水质执行《城镇污水处理厂污染物排放标准》（GB18918-2002）中一级A标准要求。</w:t>
      </w:r>
    </w:p>
    <w:p>
      <w:pPr>
        <w:spacing w:line="360" w:lineRule="auto"/>
        <w:ind w:firstLine="480" w:firstLineChars="200"/>
        <w:rPr>
          <w:rFonts w:ascii="Times New Roman" w:hAnsi="Times New Roman" w:cs="Times New Roman"/>
        </w:rPr>
      </w:pPr>
      <w:r>
        <w:rPr>
          <w:rFonts w:ascii="Times New Roman" w:hAnsi="Times New Roman" w:cs="Times New Roman"/>
        </w:rPr>
        <w:t>园区污水管网已接至现有厂区。</w:t>
      </w:r>
    </w:p>
    <w:p>
      <w:pPr>
        <w:pStyle w:val="4"/>
        <w:rPr>
          <w:rFonts w:ascii="Times New Roman" w:hAnsi="Times New Roman" w:cs="Times New Roman"/>
        </w:rPr>
      </w:pPr>
      <w:bookmarkStart w:id="229" w:name="_Toc144236782"/>
      <w:bookmarkStart w:id="230" w:name="_Toc144276912"/>
      <w:bookmarkStart w:id="231" w:name="_Toc147848030"/>
      <w:r>
        <w:rPr>
          <w:rFonts w:ascii="Times New Roman" w:hAnsi="Times New Roman" w:cs="Times New Roman"/>
        </w:rPr>
        <w:t>4.2.7 雨水工程</w:t>
      </w:r>
      <w:bookmarkEnd w:id="229"/>
      <w:bookmarkEnd w:id="230"/>
      <w:bookmarkEnd w:id="231"/>
    </w:p>
    <w:p>
      <w:pPr>
        <w:spacing w:line="360" w:lineRule="auto"/>
        <w:ind w:firstLine="480" w:firstLineChars="200"/>
        <w:rPr>
          <w:rFonts w:ascii="Times New Roman" w:hAnsi="Times New Roman" w:cs="Times New Roman"/>
        </w:rPr>
      </w:pPr>
      <w:r>
        <w:rPr>
          <w:rFonts w:ascii="Times New Roman" w:hAnsi="Times New Roman" w:cs="Times New Roman"/>
        </w:rPr>
        <w:t>根据衡东经济开发区现状排水及自然地形特点，雨水按照就近排放的原则直接排入湘江，根据大浦镇总体规划要求，园区采用雨污分流制，宽度24m以上道路下铺设雨水干管，并于园区内铺设雨水管，设置两条主排水渠道，将雨水收集排入附近沟渠河流，最终排往湘江。园区沿道路铺设雨水管道，雨水就近排入水体。同时在镇区北部、</w:t>
      </w:r>
      <w:r>
        <w:rPr>
          <w:rFonts w:hint="eastAsia" w:ascii="Times New Roman" w:hAnsi="Times New Roman" w:cs="Times New Roman"/>
          <w:lang w:eastAsia="zh-CN"/>
        </w:rPr>
        <w:t>污水处理厂</w:t>
      </w:r>
      <w:r>
        <w:rPr>
          <w:rFonts w:ascii="Times New Roman" w:hAnsi="Times New Roman" w:cs="Times New Roman"/>
        </w:rPr>
        <w:t>西部设置雨水排渍泵站，规模5m</w:t>
      </w:r>
      <w:r>
        <w:rPr>
          <w:rFonts w:ascii="Times New Roman" w:hAnsi="Times New Roman" w:cs="Times New Roman"/>
          <w:vertAlign w:val="superscript"/>
        </w:rPr>
        <w:t>3</w:t>
      </w:r>
      <w:r>
        <w:rPr>
          <w:rFonts w:ascii="Times New Roman" w:hAnsi="Times New Roman" w:cs="Times New Roman"/>
        </w:rPr>
        <w:t>/s。</w:t>
      </w:r>
    </w:p>
    <w:p>
      <w:pPr>
        <w:spacing w:line="360" w:lineRule="auto"/>
        <w:ind w:firstLine="480" w:firstLineChars="200"/>
        <w:rPr>
          <w:rFonts w:ascii="Times New Roman" w:hAnsi="Times New Roman" w:cs="Times New Roman"/>
        </w:rPr>
      </w:pPr>
      <w:r>
        <w:rPr>
          <w:rFonts w:ascii="Times New Roman" w:hAnsi="Times New Roman" w:cs="Times New Roman"/>
        </w:rPr>
        <w:t>园区雨水管网已接通至现有厂区。</w:t>
      </w:r>
    </w:p>
    <w:p>
      <w:pPr>
        <w:pStyle w:val="3"/>
        <w:rPr>
          <w:rFonts w:ascii="Times New Roman" w:hAnsi="Times New Roman" w:cs="Times New Roman" w:eastAsiaTheme="minorEastAsia"/>
        </w:rPr>
      </w:pPr>
      <w:bookmarkStart w:id="232" w:name="_Toc144236783"/>
      <w:bookmarkStart w:id="233" w:name="_Toc144276913"/>
      <w:bookmarkStart w:id="234" w:name="_Toc147848031"/>
      <w:r>
        <w:rPr>
          <w:rFonts w:ascii="Times New Roman" w:hAnsi="Times New Roman" w:cs="Times New Roman" w:eastAsiaTheme="minorEastAsia"/>
        </w:rPr>
        <w:t>4.3 区域污染源调查</w:t>
      </w:r>
      <w:bookmarkEnd w:id="232"/>
      <w:bookmarkEnd w:id="233"/>
      <w:bookmarkEnd w:id="234"/>
    </w:p>
    <w:p>
      <w:pPr>
        <w:spacing w:line="360" w:lineRule="auto"/>
        <w:ind w:firstLine="480" w:firstLineChars="200"/>
        <w:rPr>
          <w:rFonts w:ascii="Times New Roman" w:hAnsi="Times New Roman" w:cs="Times New Roman"/>
        </w:rPr>
      </w:pPr>
      <w:r>
        <w:rPr>
          <w:rFonts w:ascii="Times New Roman" w:hAnsi="Times New Roman" w:cs="Times New Roman"/>
        </w:rPr>
        <w:t>据经开区管委会提供的资料，拟建园区涉及区域工业污染源主要为经开区内现有已投产工业企业43家，主要产业类型为冶金、机械制造、建材等。根据衡东县环保局提供资料，经开区企业产排污和达标情况见下表</w:t>
      </w:r>
    </w:p>
    <w:p>
      <w:pPr>
        <w:spacing w:line="360" w:lineRule="auto"/>
        <w:ind w:firstLine="480" w:firstLineChars="200"/>
        <w:rPr>
          <w:rFonts w:ascii="Times New Roman" w:hAnsi="Times New Roman" w:cs="Times New Roman"/>
        </w:rPr>
        <w:sectPr>
          <w:pgSz w:w="11906" w:h="16838"/>
          <w:pgMar w:top="1440" w:right="1800" w:bottom="1440" w:left="1800" w:header="851" w:footer="992" w:gutter="0"/>
          <w:cols w:space="425" w:num="1"/>
          <w:docGrid w:type="lines" w:linePitch="312" w:charSpace="0"/>
        </w:sectPr>
      </w:pPr>
    </w:p>
    <w:p>
      <w:pPr>
        <w:pStyle w:val="6"/>
        <w:rPr>
          <w:rFonts w:ascii="Times New Roman" w:hAnsi="Times New Roman" w:cs="Times New Roman"/>
        </w:rPr>
      </w:pPr>
      <w:r>
        <w:rPr>
          <w:rFonts w:ascii="Times New Roman" w:hAnsi="Times New Roman" w:cs="Times New Roman"/>
        </w:rPr>
        <w:t>表4.3-1  工业园现有企业产排污情况一览表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53"/>
        <w:gridCol w:w="1624"/>
        <w:gridCol w:w="1690"/>
        <w:gridCol w:w="800"/>
        <w:gridCol w:w="1128"/>
        <w:gridCol w:w="950"/>
        <w:gridCol w:w="1293"/>
        <w:gridCol w:w="919"/>
        <w:gridCol w:w="1545"/>
        <w:gridCol w:w="1109"/>
        <w:gridCol w:w="2087"/>
        <w:gridCol w:w="57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blHeader/>
          <w:jc w:val="center"/>
        </w:trPr>
        <w:tc>
          <w:tcPr>
            <w:tcW w:w="160" w:type="pct"/>
            <w:vAlign w:val="center"/>
          </w:tcPr>
          <w:p>
            <w:pPr>
              <w:pStyle w:val="63"/>
            </w:pPr>
            <w:r>
              <w:t>序号</w:t>
            </w:r>
          </w:p>
        </w:tc>
        <w:tc>
          <w:tcPr>
            <w:tcW w:w="573" w:type="pct"/>
            <w:vAlign w:val="center"/>
          </w:tcPr>
          <w:p>
            <w:pPr>
              <w:pStyle w:val="63"/>
            </w:pPr>
            <w:r>
              <w:t>企业名称</w:t>
            </w:r>
          </w:p>
        </w:tc>
        <w:tc>
          <w:tcPr>
            <w:tcW w:w="596" w:type="pct"/>
            <w:vAlign w:val="center"/>
          </w:tcPr>
          <w:p>
            <w:pPr>
              <w:pStyle w:val="63"/>
            </w:pPr>
            <w:r>
              <w:t>建设内容及规模</w:t>
            </w:r>
          </w:p>
        </w:tc>
        <w:tc>
          <w:tcPr>
            <w:tcW w:w="282" w:type="pct"/>
            <w:vAlign w:val="center"/>
          </w:tcPr>
          <w:p>
            <w:pPr>
              <w:pStyle w:val="63"/>
            </w:pPr>
            <w:r>
              <w:t>所属行业</w:t>
            </w:r>
          </w:p>
        </w:tc>
        <w:tc>
          <w:tcPr>
            <w:tcW w:w="398" w:type="pct"/>
            <w:vAlign w:val="center"/>
          </w:tcPr>
          <w:p>
            <w:pPr>
              <w:pStyle w:val="63"/>
            </w:pPr>
            <w:r>
              <w:t>能源消耗</w:t>
            </w:r>
          </w:p>
        </w:tc>
        <w:tc>
          <w:tcPr>
            <w:tcW w:w="335" w:type="pct"/>
            <w:vAlign w:val="center"/>
          </w:tcPr>
          <w:p>
            <w:pPr>
              <w:pStyle w:val="63"/>
            </w:pPr>
            <w:r>
              <w:t>废水量</w:t>
            </w:r>
          </w:p>
          <w:p>
            <w:pPr>
              <w:pStyle w:val="63"/>
            </w:pPr>
            <w:r>
              <w:t>（万t/a）</w:t>
            </w:r>
          </w:p>
        </w:tc>
        <w:tc>
          <w:tcPr>
            <w:tcW w:w="456" w:type="pct"/>
            <w:vAlign w:val="center"/>
          </w:tcPr>
          <w:p>
            <w:pPr>
              <w:pStyle w:val="63"/>
            </w:pPr>
            <w:r>
              <w:t>污染物排放量（t/a）</w:t>
            </w:r>
          </w:p>
        </w:tc>
        <w:tc>
          <w:tcPr>
            <w:tcW w:w="324" w:type="pct"/>
            <w:vAlign w:val="center"/>
          </w:tcPr>
          <w:p>
            <w:pPr>
              <w:pStyle w:val="63"/>
            </w:pPr>
            <w:r>
              <w:t>废气量</w:t>
            </w:r>
          </w:p>
          <w:p>
            <w:pPr>
              <w:pStyle w:val="63"/>
            </w:pPr>
            <w:r>
              <w:t>（万m</w:t>
            </w:r>
            <w:r>
              <w:rPr>
                <w:vertAlign w:val="superscript"/>
              </w:rPr>
              <w:t>3</w:t>
            </w:r>
            <w:r>
              <w:t>/a）</w:t>
            </w:r>
          </w:p>
        </w:tc>
        <w:tc>
          <w:tcPr>
            <w:tcW w:w="545" w:type="pct"/>
            <w:vAlign w:val="center"/>
          </w:tcPr>
          <w:p>
            <w:pPr>
              <w:pStyle w:val="63"/>
            </w:pPr>
            <w:r>
              <w:t>污染物排放量（t/a）</w:t>
            </w:r>
          </w:p>
        </w:tc>
        <w:tc>
          <w:tcPr>
            <w:tcW w:w="391" w:type="pct"/>
            <w:vAlign w:val="center"/>
          </w:tcPr>
          <w:p>
            <w:pPr>
              <w:pStyle w:val="63"/>
            </w:pPr>
            <w:r>
              <w:t>工业固废产生量（t/a）</w:t>
            </w:r>
          </w:p>
        </w:tc>
        <w:tc>
          <w:tcPr>
            <w:tcW w:w="736" w:type="pct"/>
            <w:vAlign w:val="center"/>
          </w:tcPr>
          <w:p>
            <w:pPr>
              <w:pStyle w:val="63"/>
            </w:pPr>
            <w:r>
              <w:t>三废治理措施</w:t>
            </w:r>
          </w:p>
        </w:tc>
        <w:tc>
          <w:tcPr>
            <w:tcW w:w="203" w:type="pct"/>
            <w:vAlign w:val="center"/>
          </w:tcPr>
          <w:p>
            <w:pPr>
              <w:pStyle w:val="63"/>
            </w:pPr>
            <w:r>
              <w:t>运行状况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1</w:t>
            </w:r>
          </w:p>
        </w:tc>
        <w:tc>
          <w:tcPr>
            <w:tcW w:w="573" w:type="pct"/>
            <w:vAlign w:val="center"/>
          </w:tcPr>
          <w:p>
            <w:pPr>
              <w:pStyle w:val="63"/>
            </w:pPr>
            <w:r>
              <w:t>湖南省朝阳重工科技集团有限公司</w:t>
            </w:r>
          </w:p>
        </w:tc>
        <w:tc>
          <w:tcPr>
            <w:tcW w:w="596" w:type="pct"/>
            <w:vAlign w:val="center"/>
          </w:tcPr>
          <w:p>
            <w:pPr>
              <w:pStyle w:val="63"/>
            </w:pPr>
            <w:r>
              <w:t>年产330万kw电机</w:t>
            </w:r>
          </w:p>
        </w:tc>
        <w:tc>
          <w:tcPr>
            <w:tcW w:w="282" w:type="pct"/>
            <w:vAlign w:val="center"/>
          </w:tcPr>
          <w:p>
            <w:pPr>
              <w:pStyle w:val="63"/>
            </w:pPr>
            <w:r>
              <w:t>机械制造</w:t>
            </w:r>
          </w:p>
        </w:tc>
        <w:tc>
          <w:tcPr>
            <w:tcW w:w="398" w:type="pct"/>
            <w:vAlign w:val="center"/>
          </w:tcPr>
          <w:p>
            <w:pPr>
              <w:pStyle w:val="63"/>
            </w:pPr>
            <w:r>
              <w:t>/</w:t>
            </w:r>
          </w:p>
        </w:tc>
        <w:tc>
          <w:tcPr>
            <w:tcW w:w="335" w:type="pct"/>
            <w:vAlign w:val="center"/>
          </w:tcPr>
          <w:p>
            <w:pPr>
              <w:pStyle w:val="63"/>
            </w:pPr>
            <w:r>
              <w:t>0.648</w:t>
            </w:r>
          </w:p>
        </w:tc>
        <w:tc>
          <w:tcPr>
            <w:tcW w:w="456" w:type="pct"/>
            <w:vAlign w:val="center"/>
          </w:tcPr>
          <w:p>
            <w:pPr>
              <w:pStyle w:val="63"/>
            </w:pPr>
            <w:r>
              <w:t>COD：1.295</w:t>
            </w:r>
          </w:p>
        </w:tc>
        <w:tc>
          <w:tcPr>
            <w:tcW w:w="324" w:type="pct"/>
            <w:vAlign w:val="center"/>
          </w:tcPr>
          <w:p>
            <w:pPr>
              <w:pStyle w:val="63"/>
            </w:pPr>
            <w:r>
              <w:t>/</w:t>
            </w:r>
          </w:p>
        </w:tc>
        <w:tc>
          <w:tcPr>
            <w:tcW w:w="545" w:type="pct"/>
            <w:vAlign w:val="center"/>
          </w:tcPr>
          <w:p>
            <w:pPr>
              <w:pStyle w:val="63"/>
            </w:pPr>
            <w:r>
              <w:t>甲苯、二甲苯：少量</w:t>
            </w:r>
          </w:p>
        </w:tc>
        <w:tc>
          <w:tcPr>
            <w:tcW w:w="391" w:type="pct"/>
            <w:vAlign w:val="center"/>
          </w:tcPr>
          <w:p>
            <w:pPr>
              <w:pStyle w:val="63"/>
            </w:pPr>
            <w:r>
              <w:t>8.712</w:t>
            </w:r>
          </w:p>
        </w:tc>
        <w:tc>
          <w:tcPr>
            <w:tcW w:w="736" w:type="pct"/>
            <w:vAlign w:val="center"/>
          </w:tcPr>
          <w:p>
            <w:pPr>
              <w:pStyle w:val="63"/>
            </w:pPr>
            <w:r>
              <w:t>废水隔油絮凝沉淀；喷漆车间：真空+活性炭吸附，危废委外处理；</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2</w:t>
            </w:r>
          </w:p>
        </w:tc>
        <w:tc>
          <w:tcPr>
            <w:tcW w:w="573" w:type="pct"/>
            <w:vAlign w:val="center"/>
          </w:tcPr>
          <w:p>
            <w:pPr>
              <w:pStyle w:val="63"/>
            </w:pPr>
            <w:r>
              <w:t>衡阳市力源动力制造有限公司</w:t>
            </w:r>
          </w:p>
        </w:tc>
        <w:tc>
          <w:tcPr>
            <w:tcW w:w="596" w:type="pct"/>
            <w:vAlign w:val="center"/>
          </w:tcPr>
          <w:p>
            <w:pPr>
              <w:pStyle w:val="63"/>
            </w:pPr>
            <w:r>
              <w:t>年产120kw电机</w:t>
            </w:r>
          </w:p>
        </w:tc>
        <w:tc>
          <w:tcPr>
            <w:tcW w:w="282" w:type="pct"/>
            <w:vAlign w:val="center"/>
          </w:tcPr>
          <w:p>
            <w:pPr>
              <w:pStyle w:val="63"/>
            </w:pPr>
            <w:r>
              <w:t>机械制造</w:t>
            </w:r>
          </w:p>
        </w:tc>
        <w:tc>
          <w:tcPr>
            <w:tcW w:w="398" w:type="pct"/>
            <w:vAlign w:val="center"/>
          </w:tcPr>
          <w:p>
            <w:pPr>
              <w:pStyle w:val="63"/>
            </w:pPr>
            <w:r>
              <w:t>电：168万度/年</w:t>
            </w:r>
          </w:p>
        </w:tc>
        <w:tc>
          <w:tcPr>
            <w:tcW w:w="335" w:type="pct"/>
            <w:vAlign w:val="center"/>
          </w:tcPr>
          <w:p>
            <w:pPr>
              <w:pStyle w:val="63"/>
            </w:pPr>
            <w:r>
              <w:t>6.0</w:t>
            </w:r>
          </w:p>
        </w:tc>
        <w:tc>
          <w:tcPr>
            <w:tcW w:w="456" w:type="pct"/>
            <w:vAlign w:val="center"/>
          </w:tcPr>
          <w:p>
            <w:pPr>
              <w:pStyle w:val="63"/>
            </w:pPr>
            <w:r>
              <w:t>COD：1.2</w:t>
            </w:r>
          </w:p>
          <w:p>
            <w:pPr>
              <w:pStyle w:val="63"/>
            </w:pPr>
            <w:r>
              <w:t>氨氮：0.2</w:t>
            </w:r>
          </w:p>
        </w:tc>
        <w:tc>
          <w:tcPr>
            <w:tcW w:w="324" w:type="pct"/>
            <w:vAlign w:val="center"/>
          </w:tcPr>
          <w:p>
            <w:pPr>
              <w:pStyle w:val="63"/>
            </w:pPr>
            <w:r>
              <w:t>3960</w:t>
            </w:r>
          </w:p>
        </w:tc>
        <w:tc>
          <w:tcPr>
            <w:tcW w:w="545" w:type="pct"/>
            <w:vAlign w:val="center"/>
          </w:tcPr>
          <w:p>
            <w:pPr>
              <w:pStyle w:val="63"/>
            </w:pPr>
            <w:r>
              <w:t>烟（粉）尘：1.6</w:t>
            </w:r>
          </w:p>
          <w:p>
            <w:pPr>
              <w:pStyle w:val="63"/>
            </w:pPr>
            <w:r>
              <w:t>甲苯:0.000002</w:t>
            </w:r>
          </w:p>
          <w:p>
            <w:pPr>
              <w:pStyle w:val="63"/>
            </w:pPr>
            <w:r>
              <w:t>二甲苯：0.000004</w:t>
            </w:r>
          </w:p>
        </w:tc>
        <w:tc>
          <w:tcPr>
            <w:tcW w:w="391" w:type="pct"/>
            <w:vAlign w:val="center"/>
          </w:tcPr>
          <w:p>
            <w:pPr>
              <w:pStyle w:val="63"/>
            </w:pPr>
            <w:r>
              <w:t>6</w:t>
            </w:r>
          </w:p>
        </w:tc>
        <w:tc>
          <w:tcPr>
            <w:tcW w:w="736" w:type="pct"/>
            <w:vAlign w:val="center"/>
          </w:tcPr>
          <w:p>
            <w:pPr>
              <w:pStyle w:val="63"/>
            </w:pPr>
            <w:r>
              <w:t>喷漆废气采用水帘吸收+活性炭吸附+18m烟囱</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3</w:t>
            </w:r>
          </w:p>
        </w:tc>
        <w:tc>
          <w:tcPr>
            <w:tcW w:w="573" w:type="pct"/>
            <w:vAlign w:val="center"/>
          </w:tcPr>
          <w:p>
            <w:pPr>
              <w:pStyle w:val="63"/>
            </w:pPr>
            <w:r>
              <w:t>湖南朝阳建材有限公司</w:t>
            </w:r>
          </w:p>
        </w:tc>
        <w:tc>
          <w:tcPr>
            <w:tcW w:w="596" w:type="pct"/>
            <w:vAlign w:val="center"/>
          </w:tcPr>
          <w:p>
            <w:pPr>
              <w:pStyle w:val="63"/>
            </w:pPr>
            <w:r>
              <w:t>年产60万m</w:t>
            </w:r>
            <w:r>
              <w:rPr>
                <w:vertAlign w:val="superscript"/>
              </w:rPr>
              <w:t>3</w:t>
            </w:r>
            <w:r>
              <w:t>混凝土</w:t>
            </w:r>
          </w:p>
        </w:tc>
        <w:tc>
          <w:tcPr>
            <w:tcW w:w="282" w:type="pct"/>
            <w:vAlign w:val="center"/>
          </w:tcPr>
          <w:p>
            <w:pPr>
              <w:pStyle w:val="63"/>
            </w:pPr>
            <w:r>
              <w:t>建材</w:t>
            </w:r>
          </w:p>
        </w:tc>
        <w:tc>
          <w:tcPr>
            <w:tcW w:w="398" w:type="pct"/>
            <w:vAlign w:val="center"/>
          </w:tcPr>
          <w:p>
            <w:pPr>
              <w:pStyle w:val="63"/>
            </w:pPr>
            <w:r>
              <w:t>电：120万度/年</w:t>
            </w:r>
          </w:p>
        </w:tc>
        <w:tc>
          <w:tcPr>
            <w:tcW w:w="335" w:type="pct"/>
            <w:vAlign w:val="center"/>
          </w:tcPr>
          <w:p>
            <w:pPr>
              <w:pStyle w:val="63"/>
            </w:pPr>
            <w:r>
              <w:t>0.48</w:t>
            </w:r>
          </w:p>
        </w:tc>
        <w:tc>
          <w:tcPr>
            <w:tcW w:w="456" w:type="pct"/>
            <w:vAlign w:val="center"/>
          </w:tcPr>
          <w:p>
            <w:pPr>
              <w:pStyle w:val="63"/>
            </w:pPr>
            <w:r>
              <w:t>COD：0.96</w:t>
            </w:r>
          </w:p>
          <w:p>
            <w:pPr>
              <w:pStyle w:val="63"/>
            </w:pPr>
            <w:r>
              <w:t>氨氮：0.1</w:t>
            </w:r>
          </w:p>
        </w:tc>
        <w:tc>
          <w:tcPr>
            <w:tcW w:w="324" w:type="pct"/>
            <w:vAlign w:val="center"/>
          </w:tcPr>
          <w:p>
            <w:pPr>
              <w:pStyle w:val="63"/>
            </w:pPr>
            <w:r>
              <w:t>/</w:t>
            </w:r>
          </w:p>
        </w:tc>
        <w:tc>
          <w:tcPr>
            <w:tcW w:w="545" w:type="pct"/>
            <w:vAlign w:val="center"/>
          </w:tcPr>
          <w:p>
            <w:pPr>
              <w:pStyle w:val="63"/>
            </w:pPr>
            <w:r>
              <w:t>粉尘：12.253</w:t>
            </w:r>
          </w:p>
          <w:p>
            <w:pPr>
              <w:pStyle w:val="63"/>
            </w:pPr>
            <w:r>
              <w:t>SO</w:t>
            </w:r>
            <w:r>
              <w:rPr>
                <w:vertAlign w:val="subscript"/>
              </w:rPr>
              <w:t>2</w:t>
            </w:r>
            <w:r>
              <w:t>：1.031</w:t>
            </w:r>
          </w:p>
          <w:p>
            <w:pPr>
              <w:pStyle w:val="63"/>
            </w:pPr>
            <w:r>
              <w:t>NOx：1.184</w:t>
            </w:r>
          </w:p>
        </w:tc>
        <w:tc>
          <w:tcPr>
            <w:tcW w:w="391" w:type="pct"/>
            <w:vAlign w:val="center"/>
          </w:tcPr>
          <w:p>
            <w:pPr>
              <w:pStyle w:val="63"/>
            </w:pPr>
            <w:r>
              <w:t>/</w:t>
            </w:r>
          </w:p>
        </w:tc>
        <w:tc>
          <w:tcPr>
            <w:tcW w:w="736" w:type="pct"/>
            <w:vAlign w:val="center"/>
          </w:tcPr>
          <w:p>
            <w:pPr>
              <w:pStyle w:val="63"/>
            </w:pPr>
            <w:r>
              <w:t>废气经除尘后外排</w:t>
            </w:r>
          </w:p>
          <w:p>
            <w:pPr>
              <w:pStyle w:val="63"/>
            </w:pPr>
            <w:r>
              <w:t>固废集中收集后返回生产线做原材料</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4</w:t>
            </w:r>
          </w:p>
        </w:tc>
        <w:tc>
          <w:tcPr>
            <w:tcW w:w="573" w:type="pct"/>
            <w:vAlign w:val="center"/>
          </w:tcPr>
          <w:p>
            <w:pPr>
              <w:pStyle w:val="63"/>
            </w:pPr>
            <w:r>
              <w:t>衡阳市金虎铜业有限公司</w:t>
            </w:r>
          </w:p>
        </w:tc>
        <w:tc>
          <w:tcPr>
            <w:tcW w:w="596" w:type="pct"/>
            <w:vAlign w:val="center"/>
          </w:tcPr>
          <w:p>
            <w:pPr>
              <w:pStyle w:val="63"/>
            </w:pPr>
            <w:r>
              <w:t>年产5万t阳极铜</w:t>
            </w:r>
          </w:p>
        </w:tc>
        <w:tc>
          <w:tcPr>
            <w:tcW w:w="282" w:type="pct"/>
            <w:vAlign w:val="center"/>
          </w:tcPr>
          <w:p>
            <w:pPr>
              <w:pStyle w:val="63"/>
            </w:pPr>
            <w:r>
              <w:t>冶金</w:t>
            </w:r>
          </w:p>
        </w:tc>
        <w:tc>
          <w:tcPr>
            <w:tcW w:w="398" w:type="pct"/>
            <w:vAlign w:val="center"/>
          </w:tcPr>
          <w:p>
            <w:pPr>
              <w:pStyle w:val="63"/>
            </w:pPr>
            <w:r>
              <w:t>煤1371.48t/a</w:t>
            </w:r>
          </w:p>
        </w:tc>
        <w:tc>
          <w:tcPr>
            <w:tcW w:w="335" w:type="pct"/>
            <w:vAlign w:val="center"/>
          </w:tcPr>
          <w:p>
            <w:pPr>
              <w:pStyle w:val="63"/>
            </w:pPr>
            <w:r>
              <w:t>2.769</w:t>
            </w:r>
          </w:p>
        </w:tc>
        <w:tc>
          <w:tcPr>
            <w:tcW w:w="456" w:type="pct"/>
            <w:vAlign w:val="center"/>
          </w:tcPr>
          <w:p>
            <w:pPr>
              <w:pStyle w:val="63"/>
            </w:pPr>
            <w:r>
              <w:t>COD：1.38</w:t>
            </w:r>
          </w:p>
          <w:p>
            <w:pPr>
              <w:pStyle w:val="63"/>
            </w:pPr>
            <w:r>
              <w:t>氨氮：0.22</w:t>
            </w:r>
          </w:p>
        </w:tc>
        <w:tc>
          <w:tcPr>
            <w:tcW w:w="324" w:type="pct"/>
            <w:vAlign w:val="center"/>
          </w:tcPr>
          <w:p>
            <w:pPr>
              <w:pStyle w:val="63"/>
            </w:pPr>
            <w:r>
              <w:t>54720</w:t>
            </w:r>
          </w:p>
        </w:tc>
        <w:tc>
          <w:tcPr>
            <w:tcW w:w="545" w:type="pct"/>
            <w:vAlign w:val="center"/>
          </w:tcPr>
          <w:p>
            <w:pPr>
              <w:pStyle w:val="63"/>
            </w:pPr>
            <w:r>
              <w:t>烟（粉）尘：4.2826</w:t>
            </w:r>
          </w:p>
          <w:p>
            <w:pPr>
              <w:pStyle w:val="63"/>
            </w:pPr>
            <w:r>
              <w:t>SO</w:t>
            </w:r>
            <w:r>
              <w:rPr>
                <w:vertAlign w:val="subscript"/>
              </w:rPr>
              <w:t>2</w:t>
            </w:r>
            <w:r>
              <w:t>：29.22</w:t>
            </w:r>
          </w:p>
          <w:p>
            <w:pPr>
              <w:pStyle w:val="63"/>
            </w:pPr>
            <w:r>
              <w:t>NOx：29.376</w:t>
            </w:r>
          </w:p>
        </w:tc>
        <w:tc>
          <w:tcPr>
            <w:tcW w:w="391" w:type="pct"/>
            <w:vAlign w:val="center"/>
          </w:tcPr>
          <w:p>
            <w:pPr>
              <w:pStyle w:val="63"/>
            </w:pPr>
            <w:r>
              <w:t>8728</w:t>
            </w:r>
          </w:p>
        </w:tc>
        <w:tc>
          <w:tcPr>
            <w:tcW w:w="736" w:type="pct"/>
            <w:vAlign w:val="center"/>
          </w:tcPr>
          <w:p>
            <w:pPr>
              <w:pStyle w:val="63"/>
            </w:pPr>
            <w:r>
              <w:t>废气：烟道沉降加布袋除尘；</w:t>
            </w:r>
          </w:p>
          <w:p>
            <w:pPr>
              <w:pStyle w:val="63"/>
            </w:pPr>
            <w:r>
              <w:t>废水：隔油沉淀</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5</w:t>
            </w:r>
          </w:p>
        </w:tc>
        <w:tc>
          <w:tcPr>
            <w:tcW w:w="573" w:type="pct"/>
            <w:vAlign w:val="center"/>
          </w:tcPr>
          <w:p>
            <w:pPr>
              <w:pStyle w:val="63"/>
            </w:pPr>
            <w:r>
              <w:t>衡阳市领欣铜业有限公司</w:t>
            </w:r>
          </w:p>
        </w:tc>
        <w:tc>
          <w:tcPr>
            <w:tcW w:w="596" w:type="pct"/>
            <w:vAlign w:val="center"/>
          </w:tcPr>
          <w:p>
            <w:pPr>
              <w:pStyle w:val="63"/>
            </w:pPr>
            <w:r>
              <w:t>年产10万t阳极铜</w:t>
            </w:r>
          </w:p>
        </w:tc>
        <w:tc>
          <w:tcPr>
            <w:tcW w:w="282" w:type="pct"/>
            <w:vAlign w:val="center"/>
          </w:tcPr>
          <w:p>
            <w:pPr>
              <w:pStyle w:val="63"/>
            </w:pPr>
            <w:r>
              <w:t>冶金</w:t>
            </w:r>
          </w:p>
        </w:tc>
        <w:tc>
          <w:tcPr>
            <w:tcW w:w="398" w:type="pct"/>
            <w:vAlign w:val="center"/>
          </w:tcPr>
          <w:p>
            <w:pPr>
              <w:pStyle w:val="63"/>
            </w:pPr>
            <w:r>
              <w:t>电：39.48万度/年</w:t>
            </w:r>
          </w:p>
        </w:tc>
        <w:tc>
          <w:tcPr>
            <w:tcW w:w="335" w:type="pct"/>
            <w:vAlign w:val="center"/>
          </w:tcPr>
          <w:p>
            <w:pPr>
              <w:pStyle w:val="63"/>
            </w:pPr>
            <w:r>
              <w:t>0.855</w:t>
            </w:r>
          </w:p>
        </w:tc>
        <w:tc>
          <w:tcPr>
            <w:tcW w:w="456" w:type="pct"/>
            <w:vAlign w:val="center"/>
          </w:tcPr>
          <w:p>
            <w:pPr>
              <w:pStyle w:val="63"/>
            </w:pPr>
            <w:r>
              <w:t>COD：0.46</w:t>
            </w:r>
          </w:p>
          <w:p>
            <w:pPr>
              <w:pStyle w:val="63"/>
            </w:pPr>
            <w:r>
              <w:t>氨氮：0.5</w:t>
            </w:r>
          </w:p>
        </w:tc>
        <w:tc>
          <w:tcPr>
            <w:tcW w:w="324" w:type="pct"/>
            <w:vAlign w:val="center"/>
          </w:tcPr>
          <w:p>
            <w:pPr>
              <w:pStyle w:val="63"/>
            </w:pPr>
            <w:r>
              <w:t>4016</w:t>
            </w:r>
          </w:p>
        </w:tc>
        <w:tc>
          <w:tcPr>
            <w:tcW w:w="545" w:type="pct"/>
            <w:vAlign w:val="center"/>
          </w:tcPr>
          <w:p>
            <w:pPr>
              <w:pStyle w:val="63"/>
            </w:pPr>
            <w:r>
              <w:t>烟（粉）尘：12.6</w:t>
            </w:r>
          </w:p>
          <w:p>
            <w:pPr>
              <w:pStyle w:val="63"/>
            </w:pPr>
            <w:r>
              <w:t>SO</w:t>
            </w:r>
            <w:r>
              <w:rPr>
                <w:vertAlign w:val="subscript"/>
              </w:rPr>
              <w:t>2</w:t>
            </w:r>
            <w:r>
              <w:t>：2.676</w:t>
            </w:r>
          </w:p>
          <w:p>
            <w:pPr>
              <w:pStyle w:val="63"/>
            </w:pPr>
            <w:r>
              <w:t>NOx：2.0</w:t>
            </w:r>
          </w:p>
        </w:tc>
        <w:tc>
          <w:tcPr>
            <w:tcW w:w="391" w:type="pct"/>
            <w:vAlign w:val="center"/>
          </w:tcPr>
          <w:p>
            <w:pPr>
              <w:pStyle w:val="63"/>
            </w:pPr>
            <w:r>
              <w:t>3616</w:t>
            </w:r>
          </w:p>
        </w:tc>
        <w:tc>
          <w:tcPr>
            <w:tcW w:w="736" w:type="pct"/>
            <w:vAlign w:val="center"/>
          </w:tcPr>
          <w:p>
            <w:pPr>
              <w:pStyle w:val="63"/>
            </w:pPr>
            <w:r>
              <w:t>废气经脱硫脱硝除尘后外排</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6</w:t>
            </w:r>
          </w:p>
        </w:tc>
        <w:tc>
          <w:tcPr>
            <w:tcW w:w="573" w:type="pct"/>
            <w:vAlign w:val="center"/>
          </w:tcPr>
          <w:p>
            <w:pPr>
              <w:pStyle w:val="63"/>
            </w:pPr>
            <w:r>
              <w:t>湖南广信化工有限公司</w:t>
            </w:r>
          </w:p>
        </w:tc>
        <w:tc>
          <w:tcPr>
            <w:tcW w:w="596" w:type="pct"/>
            <w:vAlign w:val="center"/>
          </w:tcPr>
          <w:p>
            <w:pPr>
              <w:pStyle w:val="63"/>
            </w:pPr>
            <w:r>
              <w:t>马洛替酯100t/a、异丙酯盐1500t/a、洗涤用品系列12000t/a、水处理剂2000t/a</w:t>
            </w:r>
          </w:p>
        </w:tc>
        <w:tc>
          <w:tcPr>
            <w:tcW w:w="282" w:type="pct"/>
            <w:vAlign w:val="center"/>
          </w:tcPr>
          <w:p>
            <w:pPr>
              <w:pStyle w:val="63"/>
            </w:pPr>
            <w:r>
              <w:t>化工</w:t>
            </w:r>
          </w:p>
        </w:tc>
        <w:tc>
          <w:tcPr>
            <w:tcW w:w="398" w:type="pct"/>
            <w:vAlign w:val="center"/>
          </w:tcPr>
          <w:p>
            <w:pPr>
              <w:pStyle w:val="63"/>
            </w:pPr>
            <w:r>
              <w:t>电：2400万度/年</w:t>
            </w:r>
          </w:p>
        </w:tc>
        <w:tc>
          <w:tcPr>
            <w:tcW w:w="335" w:type="pct"/>
            <w:vAlign w:val="center"/>
          </w:tcPr>
          <w:p>
            <w:pPr>
              <w:pStyle w:val="63"/>
            </w:pPr>
            <w:r>
              <w:t>0.648</w:t>
            </w:r>
          </w:p>
        </w:tc>
        <w:tc>
          <w:tcPr>
            <w:tcW w:w="456" w:type="pct"/>
            <w:vAlign w:val="center"/>
          </w:tcPr>
          <w:p>
            <w:pPr>
              <w:pStyle w:val="63"/>
            </w:pPr>
            <w:r>
              <w:t>COD：1.71</w:t>
            </w:r>
          </w:p>
          <w:p>
            <w:pPr>
              <w:pStyle w:val="63"/>
            </w:pPr>
            <w:r>
              <w:t>氨氮：0.157</w:t>
            </w:r>
          </w:p>
        </w:tc>
        <w:tc>
          <w:tcPr>
            <w:tcW w:w="324" w:type="pct"/>
            <w:vAlign w:val="center"/>
          </w:tcPr>
          <w:p>
            <w:pPr>
              <w:pStyle w:val="63"/>
            </w:pPr>
            <w:r>
              <w:t>238</w:t>
            </w:r>
          </w:p>
        </w:tc>
        <w:tc>
          <w:tcPr>
            <w:tcW w:w="545" w:type="pct"/>
            <w:vAlign w:val="center"/>
          </w:tcPr>
          <w:p>
            <w:pPr>
              <w:pStyle w:val="63"/>
            </w:pPr>
            <w:r>
              <w:t>烟尘：0.677</w:t>
            </w:r>
          </w:p>
          <w:p>
            <w:pPr>
              <w:pStyle w:val="63"/>
            </w:pPr>
            <w:r>
              <w:t>SO</w:t>
            </w:r>
            <w:r>
              <w:rPr>
                <w:vertAlign w:val="subscript"/>
              </w:rPr>
              <w:t>2</w:t>
            </w:r>
            <w:r>
              <w:t>：1.88</w:t>
            </w:r>
          </w:p>
          <w:p>
            <w:pPr>
              <w:pStyle w:val="63"/>
            </w:pPr>
            <w:r>
              <w:t>NOx：3.9</w:t>
            </w:r>
          </w:p>
          <w:p>
            <w:pPr>
              <w:pStyle w:val="63"/>
            </w:pPr>
            <w:r>
              <w:t>二硫化碳：0.297</w:t>
            </w:r>
          </w:p>
          <w:p>
            <w:pPr>
              <w:pStyle w:val="63"/>
            </w:pPr>
            <w:r>
              <w:t>VOC：0.028</w:t>
            </w:r>
          </w:p>
        </w:tc>
        <w:tc>
          <w:tcPr>
            <w:tcW w:w="391" w:type="pct"/>
            <w:vAlign w:val="center"/>
          </w:tcPr>
          <w:p>
            <w:pPr>
              <w:pStyle w:val="63"/>
            </w:pPr>
            <w:r>
              <w:t>255.5</w:t>
            </w:r>
          </w:p>
        </w:tc>
        <w:tc>
          <w:tcPr>
            <w:tcW w:w="736" w:type="pct"/>
            <w:vAlign w:val="center"/>
          </w:tcPr>
          <w:p>
            <w:pPr>
              <w:pStyle w:val="63"/>
            </w:pPr>
            <w:r>
              <w:t>废气采用YGD双筒湿式除尘</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7</w:t>
            </w:r>
          </w:p>
        </w:tc>
        <w:tc>
          <w:tcPr>
            <w:tcW w:w="573" w:type="pct"/>
            <w:vAlign w:val="center"/>
          </w:tcPr>
          <w:p>
            <w:pPr>
              <w:pStyle w:val="63"/>
            </w:pPr>
            <w:r>
              <w:t>湖南聚豪管业有限公司</w:t>
            </w:r>
          </w:p>
        </w:tc>
        <w:tc>
          <w:tcPr>
            <w:tcW w:w="596" w:type="pct"/>
            <w:vAlign w:val="center"/>
          </w:tcPr>
          <w:p>
            <w:pPr>
              <w:pStyle w:val="63"/>
            </w:pPr>
            <w:r>
              <w:t>PVC管1460t/a、PE管292t/a</w:t>
            </w:r>
          </w:p>
        </w:tc>
        <w:tc>
          <w:tcPr>
            <w:tcW w:w="282" w:type="pct"/>
            <w:vAlign w:val="center"/>
          </w:tcPr>
          <w:p>
            <w:pPr>
              <w:pStyle w:val="63"/>
            </w:pPr>
            <w:r>
              <w:t>建材</w:t>
            </w:r>
          </w:p>
        </w:tc>
        <w:tc>
          <w:tcPr>
            <w:tcW w:w="398" w:type="pct"/>
            <w:vAlign w:val="center"/>
          </w:tcPr>
          <w:p>
            <w:pPr>
              <w:pStyle w:val="63"/>
            </w:pPr>
            <w:r>
              <w:t>电：140万度</w:t>
            </w:r>
          </w:p>
        </w:tc>
        <w:tc>
          <w:tcPr>
            <w:tcW w:w="335" w:type="pct"/>
            <w:vAlign w:val="center"/>
          </w:tcPr>
          <w:p>
            <w:pPr>
              <w:pStyle w:val="63"/>
            </w:pPr>
            <w:r>
              <w:t>0.12</w:t>
            </w:r>
          </w:p>
        </w:tc>
        <w:tc>
          <w:tcPr>
            <w:tcW w:w="456" w:type="pct"/>
            <w:vAlign w:val="center"/>
          </w:tcPr>
          <w:p>
            <w:pPr>
              <w:pStyle w:val="63"/>
            </w:pPr>
            <w:r>
              <w:t>COD：0.9</w:t>
            </w:r>
          </w:p>
          <w:p>
            <w:pPr>
              <w:pStyle w:val="63"/>
            </w:pPr>
            <w:r>
              <w:t>氨氮：0.18</w:t>
            </w:r>
          </w:p>
        </w:tc>
        <w:tc>
          <w:tcPr>
            <w:tcW w:w="324" w:type="pct"/>
            <w:vAlign w:val="center"/>
          </w:tcPr>
          <w:p>
            <w:pPr>
              <w:pStyle w:val="63"/>
            </w:pPr>
            <w:r>
              <w:t>/</w:t>
            </w:r>
          </w:p>
        </w:tc>
        <w:tc>
          <w:tcPr>
            <w:tcW w:w="545" w:type="pct"/>
            <w:vAlign w:val="center"/>
          </w:tcPr>
          <w:p>
            <w:pPr>
              <w:pStyle w:val="63"/>
            </w:pPr>
            <w:r>
              <w:t>粉尘：0.17</w:t>
            </w:r>
          </w:p>
        </w:tc>
        <w:tc>
          <w:tcPr>
            <w:tcW w:w="391" w:type="pct"/>
            <w:vAlign w:val="center"/>
          </w:tcPr>
          <w:p>
            <w:pPr>
              <w:pStyle w:val="63"/>
            </w:pPr>
            <w:r>
              <w:t>8</w:t>
            </w:r>
          </w:p>
        </w:tc>
        <w:tc>
          <w:tcPr>
            <w:tcW w:w="736" w:type="pct"/>
            <w:vAlign w:val="center"/>
          </w:tcPr>
          <w:p>
            <w:pPr>
              <w:pStyle w:val="63"/>
            </w:pPr>
            <w:r>
              <w:t>生活污水采用化粪池处理</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8</w:t>
            </w:r>
          </w:p>
        </w:tc>
        <w:tc>
          <w:tcPr>
            <w:tcW w:w="573" w:type="pct"/>
            <w:vAlign w:val="center"/>
          </w:tcPr>
          <w:p>
            <w:pPr>
              <w:pStyle w:val="63"/>
            </w:pPr>
            <w:r>
              <w:t>湖南创大冶金集团</w:t>
            </w:r>
          </w:p>
        </w:tc>
        <w:tc>
          <w:tcPr>
            <w:tcW w:w="596" w:type="pct"/>
            <w:vAlign w:val="center"/>
          </w:tcPr>
          <w:p>
            <w:pPr>
              <w:pStyle w:val="63"/>
            </w:pPr>
            <w:r>
              <w:t>钒铁7700吨/a</w:t>
            </w:r>
          </w:p>
        </w:tc>
        <w:tc>
          <w:tcPr>
            <w:tcW w:w="282" w:type="pct"/>
            <w:vAlign w:val="center"/>
          </w:tcPr>
          <w:p>
            <w:pPr>
              <w:pStyle w:val="63"/>
            </w:pPr>
            <w:r>
              <w:t>冶金</w:t>
            </w:r>
          </w:p>
        </w:tc>
        <w:tc>
          <w:tcPr>
            <w:tcW w:w="398" w:type="pct"/>
            <w:vAlign w:val="center"/>
          </w:tcPr>
          <w:p>
            <w:pPr>
              <w:pStyle w:val="63"/>
            </w:pPr>
            <w:r>
              <w:t>电：2002万度/年</w:t>
            </w:r>
          </w:p>
          <w:p>
            <w:pPr>
              <w:pStyle w:val="63"/>
            </w:pPr>
            <w:r>
              <w:t>天然气:184.8万m</w:t>
            </w:r>
            <w:r>
              <w:rPr>
                <w:vertAlign w:val="superscript"/>
              </w:rPr>
              <w:t>3</w:t>
            </w:r>
            <w:r>
              <w:t>/a</w:t>
            </w:r>
          </w:p>
          <w:p>
            <w:pPr>
              <w:pStyle w:val="63"/>
            </w:pPr>
            <w:r>
              <w:t>重油：924t/a</w:t>
            </w:r>
          </w:p>
        </w:tc>
        <w:tc>
          <w:tcPr>
            <w:tcW w:w="335" w:type="pct"/>
            <w:vAlign w:val="center"/>
          </w:tcPr>
          <w:p>
            <w:pPr>
              <w:pStyle w:val="63"/>
            </w:pPr>
            <w:r>
              <w:t>0.6</w:t>
            </w:r>
          </w:p>
        </w:tc>
        <w:tc>
          <w:tcPr>
            <w:tcW w:w="456" w:type="pct"/>
            <w:vAlign w:val="center"/>
          </w:tcPr>
          <w:p>
            <w:pPr>
              <w:pStyle w:val="63"/>
            </w:pPr>
            <w:r>
              <w:t>COD：0.48</w:t>
            </w:r>
          </w:p>
          <w:p>
            <w:pPr>
              <w:pStyle w:val="63"/>
            </w:pPr>
            <w:r>
              <w:t>氨氮：0.08</w:t>
            </w:r>
          </w:p>
        </w:tc>
        <w:tc>
          <w:tcPr>
            <w:tcW w:w="324" w:type="pct"/>
            <w:vAlign w:val="center"/>
          </w:tcPr>
          <w:p>
            <w:pPr>
              <w:pStyle w:val="63"/>
            </w:pPr>
            <w:r>
              <w:t>13500</w:t>
            </w:r>
          </w:p>
        </w:tc>
        <w:tc>
          <w:tcPr>
            <w:tcW w:w="545" w:type="pct"/>
            <w:vAlign w:val="center"/>
          </w:tcPr>
          <w:p>
            <w:pPr>
              <w:pStyle w:val="63"/>
              <w:rPr>
                <w:lang w:bidi="ar"/>
              </w:rPr>
            </w:pPr>
            <w:r>
              <w:t>烟（粉）尘：</w:t>
            </w:r>
            <w:r>
              <w:rPr>
                <w:lang w:bidi="ar"/>
              </w:rPr>
              <w:t>22.49</w:t>
            </w:r>
          </w:p>
          <w:p>
            <w:pPr>
              <w:pStyle w:val="63"/>
              <w:rPr>
                <w:lang w:bidi="ar"/>
              </w:rPr>
            </w:pPr>
            <w:r>
              <w:t>SO</w:t>
            </w:r>
            <w:r>
              <w:rPr>
                <w:vertAlign w:val="subscript"/>
              </w:rPr>
              <w:t>2</w:t>
            </w:r>
            <w:r>
              <w:t>：</w:t>
            </w:r>
            <w:r>
              <w:rPr>
                <w:lang w:bidi="ar"/>
              </w:rPr>
              <w:t>21.66</w:t>
            </w:r>
          </w:p>
          <w:p>
            <w:pPr>
              <w:pStyle w:val="63"/>
            </w:pPr>
            <w:r>
              <w:t>NH</w:t>
            </w:r>
            <w:r>
              <w:rPr>
                <w:vertAlign w:val="subscript"/>
              </w:rPr>
              <w:t>3</w:t>
            </w:r>
            <w:r>
              <w:t>：</w:t>
            </w:r>
            <w:r>
              <w:rPr>
                <w:lang w:bidi="ar"/>
              </w:rPr>
              <w:t>12.15</w:t>
            </w:r>
          </w:p>
        </w:tc>
        <w:tc>
          <w:tcPr>
            <w:tcW w:w="391" w:type="pct"/>
            <w:vAlign w:val="center"/>
          </w:tcPr>
          <w:p>
            <w:pPr>
              <w:pStyle w:val="63"/>
            </w:pPr>
            <w:r>
              <w:t>126511</w:t>
            </w:r>
          </w:p>
        </w:tc>
        <w:tc>
          <w:tcPr>
            <w:tcW w:w="736" w:type="pct"/>
            <w:vAlign w:val="center"/>
          </w:tcPr>
          <w:p>
            <w:pPr>
              <w:pStyle w:val="63"/>
            </w:pPr>
            <w:r>
              <w:t>废气经碱液喷淋、电捕除雾、布袋收尘后外排</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9</w:t>
            </w:r>
          </w:p>
        </w:tc>
        <w:tc>
          <w:tcPr>
            <w:tcW w:w="573" w:type="pct"/>
            <w:vAlign w:val="center"/>
          </w:tcPr>
          <w:p>
            <w:pPr>
              <w:pStyle w:val="63"/>
            </w:pPr>
            <w:r>
              <w:t>湖南子廷有色金属有限公司</w:t>
            </w:r>
          </w:p>
        </w:tc>
        <w:tc>
          <w:tcPr>
            <w:tcW w:w="596" w:type="pct"/>
            <w:vAlign w:val="center"/>
          </w:tcPr>
          <w:p>
            <w:pPr>
              <w:pStyle w:val="63"/>
            </w:pPr>
            <w:r>
              <w:t>5000吨/a高纯锌锭</w:t>
            </w:r>
          </w:p>
        </w:tc>
        <w:tc>
          <w:tcPr>
            <w:tcW w:w="282" w:type="pct"/>
            <w:vAlign w:val="center"/>
          </w:tcPr>
          <w:p>
            <w:pPr>
              <w:pStyle w:val="63"/>
            </w:pPr>
            <w:r>
              <w:t>冶金</w:t>
            </w:r>
          </w:p>
        </w:tc>
        <w:tc>
          <w:tcPr>
            <w:tcW w:w="398" w:type="pct"/>
            <w:vAlign w:val="center"/>
          </w:tcPr>
          <w:p>
            <w:pPr>
              <w:pStyle w:val="63"/>
            </w:pPr>
            <w:r>
              <w:t>电：1650万度/年</w:t>
            </w:r>
          </w:p>
          <w:p>
            <w:pPr>
              <w:pStyle w:val="63"/>
            </w:pPr>
            <w:r>
              <w:t>煤：2500t/a</w:t>
            </w:r>
          </w:p>
        </w:tc>
        <w:tc>
          <w:tcPr>
            <w:tcW w:w="335" w:type="pct"/>
            <w:vAlign w:val="center"/>
          </w:tcPr>
          <w:p>
            <w:pPr>
              <w:pStyle w:val="63"/>
            </w:pPr>
            <w:r>
              <w:t>0.3</w:t>
            </w:r>
          </w:p>
        </w:tc>
        <w:tc>
          <w:tcPr>
            <w:tcW w:w="456" w:type="pct"/>
            <w:vAlign w:val="center"/>
          </w:tcPr>
          <w:p>
            <w:pPr>
              <w:pStyle w:val="63"/>
            </w:pPr>
            <w:r>
              <w:t>COD：1.2</w:t>
            </w:r>
          </w:p>
        </w:tc>
        <w:tc>
          <w:tcPr>
            <w:tcW w:w="324" w:type="pct"/>
            <w:vAlign w:val="center"/>
          </w:tcPr>
          <w:p>
            <w:pPr>
              <w:pStyle w:val="63"/>
            </w:pPr>
            <w:r>
              <w:t>20880</w:t>
            </w:r>
          </w:p>
        </w:tc>
        <w:tc>
          <w:tcPr>
            <w:tcW w:w="545" w:type="pct"/>
            <w:vAlign w:val="center"/>
          </w:tcPr>
          <w:p>
            <w:pPr>
              <w:pStyle w:val="63"/>
            </w:pPr>
            <w:r>
              <w:t>烟（粉）尘：74.16</w:t>
            </w:r>
          </w:p>
          <w:p>
            <w:pPr>
              <w:pStyle w:val="63"/>
            </w:pPr>
            <w:r>
              <w:t>NH</w:t>
            </w:r>
            <w:r>
              <w:rPr>
                <w:vertAlign w:val="subscript"/>
              </w:rPr>
              <w:t>3</w:t>
            </w:r>
            <w:r>
              <w:t>：24.74</w:t>
            </w:r>
          </w:p>
        </w:tc>
        <w:tc>
          <w:tcPr>
            <w:tcW w:w="391" w:type="pct"/>
            <w:vAlign w:val="center"/>
          </w:tcPr>
          <w:p>
            <w:pPr>
              <w:pStyle w:val="63"/>
            </w:pPr>
            <w:r>
              <w:t>6138.3</w:t>
            </w:r>
          </w:p>
        </w:tc>
        <w:tc>
          <w:tcPr>
            <w:tcW w:w="736" w:type="pct"/>
            <w:vAlign w:val="center"/>
          </w:tcPr>
          <w:p>
            <w:pPr>
              <w:pStyle w:val="63"/>
            </w:pPr>
            <w:r>
              <w:t>废气采用布袋除尘系统处理后经高烟囱排放</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10</w:t>
            </w:r>
          </w:p>
        </w:tc>
        <w:tc>
          <w:tcPr>
            <w:tcW w:w="573" w:type="pct"/>
            <w:vAlign w:val="center"/>
          </w:tcPr>
          <w:p>
            <w:pPr>
              <w:pStyle w:val="63"/>
            </w:pPr>
            <w:r>
              <w:t>湖南有色衡东氟化学有限公司</w:t>
            </w:r>
          </w:p>
        </w:tc>
        <w:tc>
          <w:tcPr>
            <w:tcW w:w="596" w:type="pct"/>
            <w:vAlign w:val="center"/>
          </w:tcPr>
          <w:p>
            <w:pPr>
              <w:pStyle w:val="63"/>
            </w:pPr>
            <w:r>
              <w:t>氟化铝7.2万t/a</w:t>
            </w:r>
          </w:p>
        </w:tc>
        <w:tc>
          <w:tcPr>
            <w:tcW w:w="282" w:type="pct"/>
            <w:vAlign w:val="center"/>
          </w:tcPr>
          <w:p>
            <w:pPr>
              <w:pStyle w:val="63"/>
            </w:pPr>
            <w:r>
              <w:t>化工</w:t>
            </w:r>
          </w:p>
        </w:tc>
        <w:tc>
          <w:tcPr>
            <w:tcW w:w="398" w:type="pct"/>
            <w:vAlign w:val="center"/>
          </w:tcPr>
          <w:p>
            <w:pPr>
              <w:pStyle w:val="63"/>
            </w:pPr>
            <w:r>
              <w:t>电：1579万度/年，煤：11916t/a</w:t>
            </w:r>
          </w:p>
        </w:tc>
        <w:tc>
          <w:tcPr>
            <w:tcW w:w="335" w:type="pct"/>
            <w:vAlign w:val="center"/>
          </w:tcPr>
          <w:p>
            <w:pPr>
              <w:pStyle w:val="63"/>
            </w:pPr>
            <w:r>
              <w:t>40.95</w:t>
            </w:r>
          </w:p>
        </w:tc>
        <w:tc>
          <w:tcPr>
            <w:tcW w:w="456" w:type="pct"/>
            <w:vAlign w:val="center"/>
          </w:tcPr>
          <w:p>
            <w:pPr>
              <w:pStyle w:val="63"/>
            </w:pPr>
            <w:r>
              <w:t>COD：13.04</w:t>
            </w:r>
          </w:p>
          <w:p>
            <w:pPr>
              <w:pStyle w:val="63"/>
            </w:pPr>
            <w:r>
              <w:t>氨氮：0.5</w:t>
            </w:r>
          </w:p>
          <w:p>
            <w:pPr>
              <w:pStyle w:val="63"/>
            </w:pPr>
            <w:r>
              <w:t>石油类：0.18</w:t>
            </w:r>
          </w:p>
        </w:tc>
        <w:tc>
          <w:tcPr>
            <w:tcW w:w="324" w:type="pct"/>
            <w:vAlign w:val="center"/>
          </w:tcPr>
          <w:p>
            <w:pPr>
              <w:pStyle w:val="63"/>
            </w:pPr>
            <w:r>
              <w:t>8767</w:t>
            </w:r>
          </w:p>
        </w:tc>
        <w:tc>
          <w:tcPr>
            <w:tcW w:w="545" w:type="pct"/>
            <w:vAlign w:val="center"/>
          </w:tcPr>
          <w:p>
            <w:pPr>
              <w:pStyle w:val="63"/>
            </w:pPr>
            <w:r>
              <w:t>烟（粉）尘：18.956</w:t>
            </w:r>
          </w:p>
          <w:p>
            <w:pPr>
              <w:pStyle w:val="63"/>
            </w:pPr>
            <w:r>
              <w:t>氟化物：1.097</w:t>
            </w:r>
          </w:p>
          <w:p>
            <w:pPr>
              <w:pStyle w:val="63"/>
            </w:pPr>
            <w:r>
              <w:t>SO</w:t>
            </w:r>
            <w:r>
              <w:rPr>
                <w:vertAlign w:val="subscript"/>
              </w:rPr>
              <w:t>2</w:t>
            </w:r>
            <w:r>
              <w:t>：</w:t>
            </w:r>
            <w:r>
              <w:rPr>
                <w:lang w:bidi="ar"/>
              </w:rPr>
              <w:t>38.556</w:t>
            </w:r>
          </w:p>
        </w:tc>
        <w:tc>
          <w:tcPr>
            <w:tcW w:w="391" w:type="pct"/>
            <w:vAlign w:val="center"/>
          </w:tcPr>
          <w:p>
            <w:pPr>
              <w:pStyle w:val="63"/>
            </w:pPr>
            <w:r>
              <w:t>120272.61</w:t>
            </w:r>
          </w:p>
        </w:tc>
        <w:tc>
          <w:tcPr>
            <w:tcW w:w="736" w:type="pct"/>
            <w:vAlign w:val="center"/>
          </w:tcPr>
          <w:p>
            <w:pPr>
              <w:pStyle w:val="63"/>
            </w:pPr>
            <w:r>
              <w:t>废气经脱硫除尘后外排</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11</w:t>
            </w:r>
          </w:p>
        </w:tc>
        <w:tc>
          <w:tcPr>
            <w:tcW w:w="573" w:type="pct"/>
            <w:vAlign w:val="center"/>
          </w:tcPr>
          <w:p>
            <w:pPr>
              <w:pStyle w:val="63"/>
            </w:pPr>
            <w:r>
              <w:t>衡阳忆乐新材料有限公司</w:t>
            </w:r>
          </w:p>
        </w:tc>
        <w:tc>
          <w:tcPr>
            <w:tcW w:w="596" w:type="pct"/>
            <w:vAlign w:val="center"/>
          </w:tcPr>
          <w:p>
            <w:pPr>
              <w:pStyle w:val="63"/>
            </w:pPr>
            <w:r>
              <w:t>线性聚酯树脂4800t/a</w:t>
            </w:r>
          </w:p>
        </w:tc>
        <w:tc>
          <w:tcPr>
            <w:tcW w:w="282" w:type="pct"/>
            <w:vAlign w:val="center"/>
          </w:tcPr>
          <w:p>
            <w:pPr>
              <w:pStyle w:val="63"/>
            </w:pPr>
            <w:r>
              <w:t>化工</w:t>
            </w:r>
          </w:p>
        </w:tc>
        <w:tc>
          <w:tcPr>
            <w:tcW w:w="398" w:type="pct"/>
            <w:vAlign w:val="center"/>
          </w:tcPr>
          <w:p>
            <w:pPr>
              <w:pStyle w:val="63"/>
            </w:pPr>
            <w:r>
              <w:t>电：20万度/年</w:t>
            </w:r>
          </w:p>
        </w:tc>
        <w:tc>
          <w:tcPr>
            <w:tcW w:w="335" w:type="pct"/>
            <w:vAlign w:val="center"/>
          </w:tcPr>
          <w:p>
            <w:pPr>
              <w:pStyle w:val="63"/>
            </w:pPr>
            <w:r>
              <w:t>3.0</w:t>
            </w:r>
          </w:p>
        </w:tc>
        <w:tc>
          <w:tcPr>
            <w:tcW w:w="456" w:type="pct"/>
            <w:vAlign w:val="center"/>
          </w:tcPr>
          <w:p>
            <w:pPr>
              <w:pStyle w:val="63"/>
            </w:pPr>
            <w:r>
              <w:t>COD：0.2</w:t>
            </w:r>
          </w:p>
          <w:p>
            <w:pPr>
              <w:pStyle w:val="63"/>
            </w:pPr>
            <w:r>
              <w:t>氨氮：0.1</w:t>
            </w:r>
          </w:p>
          <w:p>
            <w:pPr>
              <w:pStyle w:val="63"/>
            </w:pPr>
          </w:p>
        </w:tc>
        <w:tc>
          <w:tcPr>
            <w:tcW w:w="324" w:type="pct"/>
            <w:vAlign w:val="center"/>
          </w:tcPr>
          <w:p>
            <w:pPr>
              <w:pStyle w:val="63"/>
            </w:pPr>
            <w:r>
              <w:t>125</w:t>
            </w:r>
          </w:p>
        </w:tc>
        <w:tc>
          <w:tcPr>
            <w:tcW w:w="545" w:type="pct"/>
            <w:vAlign w:val="center"/>
          </w:tcPr>
          <w:p>
            <w:pPr>
              <w:pStyle w:val="63"/>
            </w:pPr>
            <w:r>
              <w:t>烟（粉）尘：0.026</w:t>
            </w:r>
          </w:p>
          <w:p>
            <w:pPr>
              <w:pStyle w:val="63"/>
            </w:pPr>
            <w:r>
              <w:t>SO</w:t>
            </w:r>
            <w:r>
              <w:rPr>
                <w:vertAlign w:val="subscript"/>
              </w:rPr>
              <w:t>2</w:t>
            </w:r>
            <w:r>
              <w:t>：0.057</w:t>
            </w:r>
          </w:p>
          <w:p>
            <w:pPr>
              <w:pStyle w:val="63"/>
            </w:pPr>
            <w:r>
              <w:t>NOx：0.31</w:t>
            </w:r>
          </w:p>
          <w:p>
            <w:pPr>
              <w:pStyle w:val="63"/>
            </w:pPr>
            <w:r>
              <w:t>气态醇：0.0256</w:t>
            </w:r>
          </w:p>
        </w:tc>
        <w:tc>
          <w:tcPr>
            <w:tcW w:w="391" w:type="pct"/>
            <w:vAlign w:val="center"/>
          </w:tcPr>
          <w:p>
            <w:pPr>
              <w:pStyle w:val="63"/>
            </w:pPr>
            <w:r>
              <w:t>208</w:t>
            </w:r>
          </w:p>
        </w:tc>
        <w:tc>
          <w:tcPr>
            <w:tcW w:w="736" w:type="pct"/>
            <w:vAlign w:val="center"/>
          </w:tcPr>
          <w:p>
            <w:pPr>
              <w:pStyle w:val="63"/>
            </w:pPr>
            <w:r>
              <w:t>废气经15m高烟囱外排</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12</w:t>
            </w:r>
          </w:p>
        </w:tc>
        <w:tc>
          <w:tcPr>
            <w:tcW w:w="573" w:type="pct"/>
            <w:vAlign w:val="center"/>
          </w:tcPr>
          <w:p>
            <w:pPr>
              <w:pStyle w:val="63"/>
            </w:pPr>
            <w:r>
              <w:t>衡阳恒裕轻质保温材料有限公司</w:t>
            </w:r>
          </w:p>
        </w:tc>
        <w:tc>
          <w:tcPr>
            <w:tcW w:w="596" w:type="pct"/>
            <w:vAlign w:val="center"/>
          </w:tcPr>
          <w:p>
            <w:pPr>
              <w:pStyle w:val="63"/>
            </w:pPr>
            <w:r>
              <w:t>加气砖15万m</w:t>
            </w:r>
            <w:r>
              <w:rPr>
                <w:vertAlign w:val="superscript"/>
              </w:rPr>
              <w:t>3</w:t>
            </w:r>
            <w:r>
              <w:t>/a</w:t>
            </w:r>
          </w:p>
        </w:tc>
        <w:tc>
          <w:tcPr>
            <w:tcW w:w="282" w:type="pct"/>
            <w:vAlign w:val="center"/>
          </w:tcPr>
          <w:p>
            <w:pPr>
              <w:pStyle w:val="63"/>
            </w:pPr>
            <w:r>
              <w:t>建材</w:t>
            </w:r>
          </w:p>
        </w:tc>
        <w:tc>
          <w:tcPr>
            <w:tcW w:w="398" w:type="pct"/>
            <w:vAlign w:val="center"/>
          </w:tcPr>
          <w:p>
            <w:pPr>
              <w:pStyle w:val="63"/>
            </w:pPr>
            <w:r>
              <w:t>电：30万度/年</w:t>
            </w:r>
          </w:p>
          <w:p>
            <w:pPr>
              <w:pStyle w:val="63"/>
            </w:pPr>
            <w:r>
              <w:t>煤：380t/a</w:t>
            </w:r>
          </w:p>
        </w:tc>
        <w:tc>
          <w:tcPr>
            <w:tcW w:w="335" w:type="pct"/>
            <w:vAlign w:val="center"/>
          </w:tcPr>
          <w:p>
            <w:pPr>
              <w:pStyle w:val="63"/>
            </w:pPr>
            <w:r>
              <w:t>1.5</w:t>
            </w:r>
          </w:p>
        </w:tc>
        <w:tc>
          <w:tcPr>
            <w:tcW w:w="456" w:type="pct"/>
            <w:vAlign w:val="center"/>
          </w:tcPr>
          <w:p>
            <w:pPr>
              <w:pStyle w:val="63"/>
            </w:pPr>
            <w:r>
              <w:t>COD：0.1</w:t>
            </w:r>
          </w:p>
          <w:p>
            <w:pPr>
              <w:pStyle w:val="63"/>
            </w:pPr>
            <w:r>
              <w:t>氨氮：0.013</w:t>
            </w:r>
          </w:p>
        </w:tc>
        <w:tc>
          <w:tcPr>
            <w:tcW w:w="324" w:type="pct"/>
            <w:vAlign w:val="center"/>
          </w:tcPr>
          <w:p>
            <w:pPr>
              <w:pStyle w:val="63"/>
            </w:pPr>
            <w:r>
              <w:t>3457</w:t>
            </w:r>
          </w:p>
        </w:tc>
        <w:tc>
          <w:tcPr>
            <w:tcW w:w="545" w:type="pct"/>
            <w:vAlign w:val="center"/>
          </w:tcPr>
          <w:p>
            <w:pPr>
              <w:pStyle w:val="63"/>
            </w:pPr>
            <w:r>
              <w:t>烟（粉）尘：0.48</w:t>
            </w:r>
          </w:p>
          <w:p>
            <w:pPr>
              <w:pStyle w:val="63"/>
            </w:pPr>
            <w:r>
              <w:t>SO</w:t>
            </w:r>
            <w:r>
              <w:rPr>
                <w:vertAlign w:val="subscript"/>
              </w:rPr>
              <w:t>2</w:t>
            </w:r>
            <w:r>
              <w:t>：1.82</w:t>
            </w:r>
          </w:p>
          <w:p>
            <w:pPr>
              <w:pStyle w:val="63"/>
            </w:pPr>
            <w:r>
              <w:t>NOx：0.48</w:t>
            </w:r>
          </w:p>
        </w:tc>
        <w:tc>
          <w:tcPr>
            <w:tcW w:w="391" w:type="pct"/>
            <w:vAlign w:val="center"/>
          </w:tcPr>
          <w:p>
            <w:pPr>
              <w:pStyle w:val="63"/>
            </w:pPr>
            <w:r>
              <w:t>20</w:t>
            </w:r>
          </w:p>
        </w:tc>
        <w:tc>
          <w:tcPr>
            <w:tcW w:w="736" w:type="pct"/>
            <w:vAlign w:val="center"/>
          </w:tcPr>
          <w:p>
            <w:pPr>
              <w:pStyle w:val="63"/>
            </w:pPr>
            <w:r>
              <w:t>废气经收集后外排</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13</w:t>
            </w:r>
          </w:p>
        </w:tc>
        <w:tc>
          <w:tcPr>
            <w:tcW w:w="573" w:type="pct"/>
            <w:vAlign w:val="center"/>
          </w:tcPr>
          <w:p>
            <w:pPr>
              <w:pStyle w:val="63"/>
            </w:pPr>
            <w:r>
              <w:t>湖南朝阳重型机械有限公司</w:t>
            </w:r>
          </w:p>
        </w:tc>
        <w:tc>
          <w:tcPr>
            <w:tcW w:w="596" w:type="pct"/>
            <w:vAlign w:val="center"/>
          </w:tcPr>
          <w:p>
            <w:pPr>
              <w:pStyle w:val="63"/>
            </w:pPr>
            <w:r>
              <w:t>1500台套风电设备部件机舱、轮毂</w:t>
            </w:r>
          </w:p>
        </w:tc>
        <w:tc>
          <w:tcPr>
            <w:tcW w:w="282" w:type="pct"/>
            <w:vAlign w:val="center"/>
          </w:tcPr>
          <w:p>
            <w:pPr>
              <w:pStyle w:val="63"/>
            </w:pPr>
            <w:r>
              <w:t>机械制造</w:t>
            </w:r>
          </w:p>
        </w:tc>
        <w:tc>
          <w:tcPr>
            <w:tcW w:w="398" w:type="pct"/>
            <w:vAlign w:val="center"/>
          </w:tcPr>
          <w:p>
            <w:pPr>
              <w:pStyle w:val="63"/>
            </w:pPr>
            <w:r>
              <w:t>电：700万度/年</w:t>
            </w:r>
          </w:p>
        </w:tc>
        <w:tc>
          <w:tcPr>
            <w:tcW w:w="335" w:type="pct"/>
            <w:vAlign w:val="center"/>
          </w:tcPr>
          <w:p>
            <w:pPr>
              <w:pStyle w:val="63"/>
            </w:pPr>
            <w:r>
              <w:t>0.315</w:t>
            </w:r>
          </w:p>
        </w:tc>
        <w:tc>
          <w:tcPr>
            <w:tcW w:w="456" w:type="pct"/>
            <w:vAlign w:val="center"/>
          </w:tcPr>
          <w:p>
            <w:pPr>
              <w:pStyle w:val="63"/>
            </w:pPr>
            <w:r>
              <w:t>COD：0.24</w:t>
            </w:r>
          </w:p>
          <w:p>
            <w:pPr>
              <w:pStyle w:val="63"/>
            </w:pPr>
            <w:r>
              <w:t>氨氮：0.2</w:t>
            </w:r>
          </w:p>
          <w:p>
            <w:pPr>
              <w:pStyle w:val="63"/>
            </w:pPr>
            <w:r>
              <w:t>石油类：0.02</w:t>
            </w:r>
          </w:p>
        </w:tc>
        <w:tc>
          <w:tcPr>
            <w:tcW w:w="324" w:type="pct"/>
            <w:vAlign w:val="center"/>
          </w:tcPr>
          <w:p>
            <w:pPr>
              <w:pStyle w:val="63"/>
            </w:pPr>
            <w:r>
              <w:t>4127</w:t>
            </w:r>
          </w:p>
        </w:tc>
        <w:tc>
          <w:tcPr>
            <w:tcW w:w="545" w:type="pct"/>
            <w:vAlign w:val="center"/>
          </w:tcPr>
          <w:p>
            <w:pPr>
              <w:pStyle w:val="63"/>
            </w:pPr>
            <w:r>
              <w:t>甲苯：0.0098</w:t>
            </w:r>
          </w:p>
          <w:p>
            <w:pPr>
              <w:pStyle w:val="63"/>
            </w:pPr>
            <w:r>
              <w:t>二甲苯：0.0048</w:t>
            </w:r>
          </w:p>
          <w:p>
            <w:pPr>
              <w:pStyle w:val="63"/>
            </w:pPr>
            <w:r>
              <w:t>非甲烷总烃：0.0126</w:t>
            </w:r>
          </w:p>
          <w:p>
            <w:pPr>
              <w:pStyle w:val="63"/>
            </w:pPr>
            <w:r>
              <w:t>焊接烟尘0.0028</w:t>
            </w:r>
          </w:p>
        </w:tc>
        <w:tc>
          <w:tcPr>
            <w:tcW w:w="391" w:type="pct"/>
            <w:vAlign w:val="center"/>
          </w:tcPr>
          <w:p>
            <w:pPr>
              <w:pStyle w:val="63"/>
            </w:pPr>
            <w:r>
              <w:t>3.12</w:t>
            </w:r>
          </w:p>
        </w:tc>
        <w:tc>
          <w:tcPr>
            <w:tcW w:w="736" w:type="pct"/>
            <w:vAlign w:val="center"/>
          </w:tcPr>
          <w:p>
            <w:pPr>
              <w:pStyle w:val="63"/>
            </w:pPr>
            <w:r>
              <w:t>车间强制通风；废水经隔油沉淀处理后外排</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14</w:t>
            </w:r>
          </w:p>
        </w:tc>
        <w:tc>
          <w:tcPr>
            <w:tcW w:w="573" w:type="pct"/>
            <w:vAlign w:val="center"/>
          </w:tcPr>
          <w:p>
            <w:pPr>
              <w:pStyle w:val="63"/>
            </w:pPr>
            <w:r>
              <w:t>湖南谊德化工有限公司</w:t>
            </w:r>
          </w:p>
        </w:tc>
        <w:tc>
          <w:tcPr>
            <w:tcW w:w="596" w:type="pct"/>
            <w:vAlign w:val="center"/>
          </w:tcPr>
          <w:p>
            <w:pPr>
              <w:pStyle w:val="63"/>
            </w:pPr>
            <w:r>
              <w:t>聚合硫酸铁</w:t>
            </w:r>
          </w:p>
        </w:tc>
        <w:tc>
          <w:tcPr>
            <w:tcW w:w="282" w:type="pct"/>
            <w:vAlign w:val="center"/>
          </w:tcPr>
          <w:p>
            <w:pPr>
              <w:pStyle w:val="63"/>
            </w:pPr>
            <w:r>
              <w:t>化工</w:t>
            </w:r>
          </w:p>
        </w:tc>
        <w:tc>
          <w:tcPr>
            <w:tcW w:w="398" w:type="pct"/>
            <w:vAlign w:val="center"/>
          </w:tcPr>
          <w:p>
            <w:pPr>
              <w:pStyle w:val="63"/>
            </w:pPr>
            <w:r>
              <w:t>电：20万度/年</w:t>
            </w:r>
          </w:p>
          <w:p>
            <w:pPr>
              <w:pStyle w:val="63"/>
            </w:pPr>
            <w:r>
              <w:t>煤：900t/a</w:t>
            </w:r>
          </w:p>
        </w:tc>
        <w:tc>
          <w:tcPr>
            <w:tcW w:w="335" w:type="pct"/>
            <w:vAlign w:val="center"/>
          </w:tcPr>
          <w:p>
            <w:pPr>
              <w:pStyle w:val="63"/>
            </w:pPr>
            <w:r>
              <w:t>0.0902</w:t>
            </w:r>
          </w:p>
        </w:tc>
        <w:tc>
          <w:tcPr>
            <w:tcW w:w="456" w:type="pct"/>
            <w:vAlign w:val="center"/>
          </w:tcPr>
          <w:p>
            <w:pPr>
              <w:pStyle w:val="63"/>
            </w:pPr>
            <w:r>
              <w:t>COD：0.23</w:t>
            </w:r>
          </w:p>
          <w:p>
            <w:pPr>
              <w:pStyle w:val="63"/>
            </w:pPr>
            <w:r>
              <w:t>氨氮：0.023</w:t>
            </w:r>
          </w:p>
        </w:tc>
        <w:tc>
          <w:tcPr>
            <w:tcW w:w="324" w:type="pct"/>
            <w:vAlign w:val="center"/>
          </w:tcPr>
          <w:p>
            <w:pPr>
              <w:pStyle w:val="63"/>
            </w:pPr>
            <w:r>
              <w:t>12150</w:t>
            </w:r>
          </w:p>
        </w:tc>
        <w:tc>
          <w:tcPr>
            <w:tcW w:w="545" w:type="pct"/>
            <w:vAlign w:val="center"/>
          </w:tcPr>
          <w:p>
            <w:pPr>
              <w:pStyle w:val="63"/>
            </w:pPr>
            <w:r>
              <w:t>烟（粉）尘：7.78</w:t>
            </w:r>
          </w:p>
          <w:p>
            <w:pPr>
              <w:pStyle w:val="63"/>
            </w:pPr>
            <w:r>
              <w:t>SO</w:t>
            </w:r>
            <w:r>
              <w:rPr>
                <w:vertAlign w:val="subscript"/>
              </w:rPr>
              <w:t>2</w:t>
            </w:r>
            <w:r>
              <w:t>：0.72</w:t>
            </w:r>
          </w:p>
          <w:p>
            <w:pPr>
              <w:pStyle w:val="63"/>
            </w:pPr>
            <w:r>
              <w:t>NOx：1.21</w:t>
            </w:r>
          </w:p>
        </w:tc>
        <w:tc>
          <w:tcPr>
            <w:tcW w:w="391" w:type="pct"/>
            <w:vAlign w:val="center"/>
          </w:tcPr>
          <w:p>
            <w:pPr>
              <w:pStyle w:val="63"/>
            </w:pPr>
            <w:r>
              <w:t>77.99</w:t>
            </w:r>
          </w:p>
        </w:tc>
        <w:tc>
          <w:tcPr>
            <w:tcW w:w="736" w:type="pct"/>
            <w:vAlign w:val="center"/>
          </w:tcPr>
          <w:p>
            <w:pPr>
              <w:pStyle w:val="63"/>
            </w:pPr>
            <w:r>
              <w:t>反应釜废气经水喷淋+酸性尿素溶液吸收外排；干燥废气经旋风+聚合硫酸铁吸收液除尘后外排</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15</w:t>
            </w:r>
          </w:p>
        </w:tc>
        <w:tc>
          <w:tcPr>
            <w:tcW w:w="573" w:type="pct"/>
            <w:vAlign w:val="center"/>
          </w:tcPr>
          <w:p>
            <w:pPr>
              <w:pStyle w:val="63"/>
            </w:pPr>
            <w:r>
              <w:t>衡东香丽涂料有限公司</w:t>
            </w:r>
          </w:p>
        </w:tc>
        <w:tc>
          <w:tcPr>
            <w:tcW w:w="596" w:type="pct"/>
            <w:vAlign w:val="center"/>
          </w:tcPr>
          <w:p>
            <w:pPr>
              <w:pStyle w:val="63"/>
            </w:pPr>
            <w:r>
              <w:t>3000t/a内外墙涂料</w:t>
            </w:r>
          </w:p>
        </w:tc>
        <w:tc>
          <w:tcPr>
            <w:tcW w:w="282" w:type="pct"/>
            <w:vAlign w:val="center"/>
          </w:tcPr>
          <w:p>
            <w:pPr>
              <w:pStyle w:val="63"/>
            </w:pPr>
            <w:r>
              <w:t>化工</w:t>
            </w:r>
          </w:p>
        </w:tc>
        <w:tc>
          <w:tcPr>
            <w:tcW w:w="398" w:type="pct"/>
            <w:vAlign w:val="center"/>
          </w:tcPr>
          <w:p>
            <w:pPr>
              <w:pStyle w:val="63"/>
            </w:pPr>
            <w:r>
              <w:t>/</w:t>
            </w:r>
          </w:p>
        </w:tc>
        <w:tc>
          <w:tcPr>
            <w:tcW w:w="335" w:type="pct"/>
            <w:vAlign w:val="center"/>
          </w:tcPr>
          <w:p>
            <w:pPr>
              <w:pStyle w:val="63"/>
            </w:pPr>
            <w:r>
              <w:t>1</w:t>
            </w:r>
          </w:p>
        </w:tc>
        <w:tc>
          <w:tcPr>
            <w:tcW w:w="456" w:type="pct"/>
            <w:vAlign w:val="center"/>
          </w:tcPr>
          <w:p>
            <w:pPr>
              <w:pStyle w:val="63"/>
            </w:pPr>
            <w:r>
              <w:t>COD：0.6</w:t>
            </w:r>
          </w:p>
          <w:p>
            <w:pPr>
              <w:pStyle w:val="63"/>
            </w:pPr>
            <w:r>
              <w:t>氨氮：0.25</w:t>
            </w:r>
          </w:p>
        </w:tc>
        <w:tc>
          <w:tcPr>
            <w:tcW w:w="324" w:type="pct"/>
            <w:vAlign w:val="center"/>
          </w:tcPr>
          <w:p>
            <w:pPr>
              <w:pStyle w:val="63"/>
            </w:pPr>
            <w:r>
              <w:t>无组织</w:t>
            </w:r>
          </w:p>
        </w:tc>
        <w:tc>
          <w:tcPr>
            <w:tcW w:w="545" w:type="pct"/>
            <w:vAlign w:val="center"/>
          </w:tcPr>
          <w:p>
            <w:pPr>
              <w:pStyle w:val="63"/>
            </w:pPr>
            <w:r>
              <w:t>烟（粉）尘：0.024</w:t>
            </w:r>
          </w:p>
        </w:tc>
        <w:tc>
          <w:tcPr>
            <w:tcW w:w="391" w:type="pct"/>
            <w:vAlign w:val="center"/>
          </w:tcPr>
          <w:p>
            <w:pPr>
              <w:pStyle w:val="63"/>
            </w:pPr>
            <w:r>
              <w:t>20</w:t>
            </w:r>
          </w:p>
        </w:tc>
        <w:tc>
          <w:tcPr>
            <w:tcW w:w="736" w:type="pct"/>
            <w:vAlign w:val="center"/>
          </w:tcPr>
          <w:p>
            <w:pPr>
              <w:pStyle w:val="63"/>
            </w:pPr>
            <w:r>
              <w:t>车间强制通风；废水经隔油沉淀处理后外排</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16</w:t>
            </w:r>
          </w:p>
        </w:tc>
        <w:tc>
          <w:tcPr>
            <w:tcW w:w="573" w:type="pct"/>
            <w:vAlign w:val="center"/>
          </w:tcPr>
          <w:p>
            <w:pPr>
              <w:pStyle w:val="63"/>
            </w:pPr>
            <w:r>
              <w:t>衡阳安申服饰有限公司</w:t>
            </w:r>
          </w:p>
        </w:tc>
        <w:tc>
          <w:tcPr>
            <w:tcW w:w="596" w:type="pct"/>
            <w:vAlign w:val="center"/>
          </w:tcPr>
          <w:p>
            <w:pPr>
              <w:pStyle w:val="63"/>
            </w:pPr>
            <w:r>
              <w:t>年产100万双手套</w:t>
            </w:r>
          </w:p>
        </w:tc>
        <w:tc>
          <w:tcPr>
            <w:tcW w:w="282" w:type="pct"/>
            <w:vAlign w:val="center"/>
          </w:tcPr>
          <w:p>
            <w:pPr>
              <w:pStyle w:val="63"/>
            </w:pPr>
            <w:r>
              <w:t>轻工</w:t>
            </w:r>
          </w:p>
        </w:tc>
        <w:tc>
          <w:tcPr>
            <w:tcW w:w="398" w:type="pct"/>
            <w:vAlign w:val="center"/>
          </w:tcPr>
          <w:p>
            <w:pPr>
              <w:pStyle w:val="63"/>
            </w:pPr>
          </w:p>
        </w:tc>
        <w:tc>
          <w:tcPr>
            <w:tcW w:w="335" w:type="pct"/>
            <w:vAlign w:val="center"/>
          </w:tcPr>
          <w:p>
            <w:pPr>
              <w:pStyle w:val="63"/>
            </w:pPr>
            <w:r>
              <w:t>0.13</w:t>
            </w:r>
          </w:p>
        </w:tc>
        <w:tc>
          <w:tcPr>
            <w:tcW w:w="456" w:type="pct"/>
            <w:vAlign w:val="center"/>
          </w:tcPr>
          <w:p>
            <w:pPr>
              <w:pStyle w:val="63"/>
            </w:pPr>
            <w:r>
              <w:t>COD：0.273</w:t>
            </w:r>
          </w:p>
          <w:p>
            <w:pPr>
              <w:pStyle w:val="63"/>
            </w:pPr>
            <w:r>
              <w:t>氨氮：0.024</w:t>
            </w:r>
          </w:p>
        </w:tc>
        <w:tc>
          <w:tcPr>
            <w:tcW w:w="324" w:type="pct"/>
            <w:vAlign w:val="center"/>
          </w:tcPr>
          <w:p>
            <w:pPr>
              <w:pStyle w:val="63"/>
            </w:pPr>
            <w:r>
              <w:t>/</w:t>
            </w:r>
          </w:p>
        </w:tc>
        <w:tc>
          <w:tcPr>
            <w:tcW w:w="545" w:type="pct"/>
            <w:vAlign w:val="center"/>
          </w:tcPr>
          <w:p>
            <w:pPr>
              <w:pStyle w:val="63"/>
            </w:pPr>
            <w:r>
              <w:t>NMHC：0.0081</w:t>
            </w:r>
          </w:p>
        </w:tc>
        <w:tc>
          <w:tcPr>
            <w:tcW w:w="391" w:type="pct"/>
            <w:vAlign w:val="center"/>
          </w:tcPr>
          <w:p>
            <w:pPr>
              <w:pStyle w:val="63"/>
            </w:pPr>
            <w:r>
              <w:t>8.2</w:t>
            </w:r>
          </w:p>
        </w:tc>
        <w:tc>
          <w:tcPr>
            <w:tcW w:w="736" w:type="pct"/>
            <w:vAlign w:val="center"/>
          </w:tcPr>
          <w:p>
            <w:pPr>
              <w:pStyle w:val="63"/>
            </w:pPr>
            <w:r>
              <w:t>废气经收集后外排</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17</w:t>
            </w:r>
          </w:p>
        </w:tc>
        <w:tc>
          <w:tcPr>
            <w:tcW w:w="573" w:type="pct"/>
            <w:vAlign w:val="center"/>
          </w:tcPr>
          <w:p>
            <w:pPr>
              <w:pStyle w:val="63"/>
            </w:pPr>
            <w:r>
              <w:t>衡阳华亚玻璃制品有限公司</w:t>
            </w:r>
          </w:p>
        </w:tc>
        <w:tc>
          <w:tcPr>
            <w:tcW w:w="596" w:type="pct"/>
            <w:vAlign w:val="center"/>
          </w:tcPr>
          <w:p>
            <w:pPr>
              <w:pStyle w:val="63"/>
            </w:pPr>
            <w:r>
              <w:t>啤酒瓶、玻璃罐等10万t/a</w:t>
            </w:r>
          </w:p>
        </w:tc>
        <w:tc>
          <w:tcPr>
            <w:tcW w:w="282" w:type="pct"/>
            <w:vAlign w:val="center"/>
          </w:tcPr>
          <w:p>
            <w:pPr>
              <w:pStyle w:val="63"/>
            </w:pPr>
            <w:r>
              <w:t>建材</w:t>
            </w:r>
          </w:p>
        </w:tc>
        <w:tc>
          <w:tcPr>
            <w:tcW w:w="398" w:type="pct"/>
            <w:vAlign w:val="center"/>
          </w:tcPr>
          <w:p>
            <w:pPr>
              <w:pStyle w:val="63"/>
            </w:pPr>
            <w:r>
              <w:t>电：3758万度/年</w:t>
            </w:r>
          </w:p>
          <w:p>
            <w:pPr>
              <w:pStyle w:val="63"/>
            </w:pPr>
            <w:r>
              <w:t>石油焦：18500t/a</w:t>
            </w:r>
          </w:p>
          <w:p>
            <w:pPr>
              <w:pStyle w:val="63"/>
            </w:pPr>
            <w:r>
              <w:t>液化石油气：52t/a</w:t>
            </w:r>
          </w:p>
        </w:tc>
        <w:tc>
          <w:tcPr>
            <w:tcW w:w="335" w:type="pct"/>
            <w:vAlign w:val="center"/>
          </w:tcPr>
          <w:p>
            <w:pPr>
              <w:pStyle w:val="63"/>
            </w:pPr>
            <w:r>
              <w:t>8.0</w:t>
            </w:r>
          </w:p>
        </w:tc>
        <w:tc>
          <w:tcPr>
            <w:tcW w:w="456" w:type="pct"/>
            <w:vAlign w:val="center"/>
          </w:tcPr>
          <w:p>
            <w:pPr>
              <w:pStyle w:val="63"/>
            </w:pPr>
            <w:r>
              <w:t>COD：14.52</w:t>
            </w:r>
          </w:p>
          <w:p>
            <w:pPr>
              <w:pStyle w:val="63"/>
            </w:pPr>
            <w:r>
              <w:t>氨氮：1.56</w:t>
            </w:r>
          </w:p>
        </w:tc>
        <w:tc>
          <w:tcPr>
            <w:tcW w:w="324" w:type="pct"/>
            <w:vAlign w:val="center"/>
          </w:tcPr>
          <w:p>
            <w:pPr>
              <w:pStyle w:val="63"/>
            </w:pPr>
            <w:r>
              <w:t>17730</w:t>
            </w:r>
          </w:p>
        </w:tc>
        <w:tc>
          <w:tcPr>
            <w:tcW w:w="545" w:type="pct"/>
            <w:vAlign w:val="center"/>
          </w:tcPr>
          <w:p>
            <w:pPr>
              <w:pStyle w:val="63"/>
            </w:pPr>
            <w:r>
              <w:t>烟（粉）尘：27.4</w:t>
            </w:r>
          </w:p>
          <w:p>
            <w:pPr>
              <w:pStyle w:val="63"/>
            </w:pPr>
            <w:r>
              <w:t>SO</w:t>
            </w:r>
            <w:r>
              <w:rPr>
                <w:vertAlign w:val="subscript"/>
              </w:rPr>
              <w:t>2</w:t>
            </w:r>
            <w:r>
              <w:t>：140.14</w:t>
            </w:r>
          </w:p>
          <w:p>
            <w:pPr>
              <w:pStyle w:val="63"/>
            </w:pPr>
            <w:r>
              <w:t>NOx：357.66</w:t>
            </w:r>
          </w:p>
        </w:tc>
        <w:tc>
          <w:tcPr>
            <w:tcW w:w="391" w:type="pct"/>
            <w:vAlign w:val="center"/>
          </w:tcPr>
          <w:p>
            <w:pPr>
              <w:pStyle w:val="63"/>
            </w:pPr>
            <w:r>
              <w:t>3641.71</w:t>
            </w:r>
          </w:p>
        </w:tc>
        <w:tc>
          <w:tcPr>
            <w:tcW w:w="736" w:type="pct"/>
            <w:vAlign w:val="center"/>
          </w:tcPr>
          <w:p>
            <w:pPr>
              <w:pStyle w:val="63"/>
            </w:pPr>
            <w:r>
              <w:t>废气经脱硫、脱硝、除尘后外排</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18</w:t>
            </w:r>
          </w:p>
        </w:tc>
        <w:tc>
          <w:tcPr>
            <w:tcW w:w="573" w:type="pct"/>
            <w:vAlign w:val="center"/>
          </w:tcPr>
          <w:p>
            <w:pPr>
              <w:pStyle w:val="63"/>
            </w:pPr>
            <w:r>
              <w:t>湖南和畅（衡东）食品科技有限公司</w:t>
            </w:r>
          </w:p>
        </w:tc>
        <w:tc>
          <w:tcPr>
            <w:tcW w:w="596" w:type="pct"/>
            <w:vAlign w:val="center"/>
          </w:tcPr>
          <w:p>
            <w:pPr>
              <w:pStyle w:val="63"/>
            </w:pPr>
            <w:r>
              <w:t>食用槟榔450t/a</w:t>
            </w:r>
          </w:p>
        </w:tc>
        <w:tc>
          <w:tcPr>
            <w:tcW w:w="282" w:type="pct"/>
            <w:vAlign w:val="center"/>
          </w:tcPr>
          <w:p>
            <w:pPr>
              <w:pStyle w:val="63"/>
            </w:pPr>
            <w:r>
              <w:t>轻工</w:t>
            </w:r>
          </w:p>
        </w:tc>
        <w:tc>
          <w:tcPr>
            <w:tcW w:w="398" w:type="pct"/>
            <w:vAlign w:val="center"/>
          </w:tcPr>
          <w:p>
            <w:pPr>
              <w:pStyle w:val="63"/>
            </w:pPr>
            <w:r>
              <w:t>电：25万度/年</w:t>
            </w:r>
          </w:p>
        </w:tc>
        <w:tc>
          <w:tcPr>
            <w:tcW w:w="335" w:type="pct"/>
            <w:vAlign w:val="center"/>
          </w:tcPr>
          <w:p>
            <w:pPr>
              <w:pStyle w:val="63"/>
            </w:pPr>
            <w:r>
              <w:t>0.606</w:t>
            </w:r>
          </w:p>
        </w:tc>
        <w:tc>
          <w:tcPr>
            <w:tcW w:w="456" w:type="pct"/>
            <w:vAlign w:val="center"/>
          </w:tcPr>
          <w:p>
            <w:pPr>
              <w:pStyle w:val="63"/>
            </w:pPr>
            <w:r>
              <w:t>COD：1.683</w:t>
            </w:r>
          </w:p>
          <w:p>
            <w:pPr>
              <w:pStyle w:val="63"/>
            </w:pPr>
            <w:r>
              <w:t>氨氮：0.145</w:t>
            </w:r>
          </w:p>
        </w:tc>
        <w:tc>
          <w:tcPr>
            <w:tcW w:w="324" w:type="pct"/>
            <w:vAlign w:val="center"/>
          </w:tcPr>
          <w:p>
            <w:pPr>
              <w:pStyle w:val="63"/>
            </w:pPr>
            <w:r>
              <w:t>/</w:t>
            </w:r>
          </w:p>
        </w:tc>
        <w:tc>
          <w:tcPr>
            <w:tcW w:w="545" w:type="pct"/>
            <w:vAlign w:val="center"/>
          </w:tcPr>
          <w:p>
            <w:pPr>
              <w:pStyle w:val="63"/>
            </w:pPr>
            <w:r>
              <w:t>/</w:t>
            </w:r>
          </w:p>
        </w:tc>
        <w:tc>
          <w:tcPr>
            <w:tcW w:w="391" w:type="pct"/>
            <w:vAlign w:val="center"/>
          </w:tcPr>
          <w:p>
            <w:pPr>
              <w:pStyle w:val="63"/>
            </w:pPr>
            <w:r>
              <w:t>228.485</w:t>
            </w:r>
          </w:p>
        </w:tc>
        <w:tc>
          <w:tcPr>
            <w:tcW w:w="736" w:type="pct"/>
            <w:vAlign w:val="center"/>
          </w:tcPr>
          <w:p>
            <w:pPr>
              <w:pStyle w:val="63"/>
            </w:pPr>
            <w:r>
              <w:t>无组织</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19</w:t>
            </w:r>
          </w:p>
        </w:tc>
        <w:tc>
          <w:tcPr>
            <w:tcW w:w="573" w:type="pct"/>
            <w:vAlign w:val="center"/>
          </w:tcPr>
          <w:p>
            <w:pPr>
              <w:pStyle w:val="63"/>
            </w:pPr>
            <w:r>
              <w:t>圆通速递有限公司衡阳分公司</w:t>
            </w:r>
          </w:p>
        </w:tc>
        <w:tc>
          <w:tcPr>
            <w:tcW w:w="596" w:type="pct"/>
            <w:vAlign w:val="center"/>
          </w:tcPr>
          <w:p>
            <w:pPr>
              <w:pStyle w:val="63"/>
            </w:pPr>
            <w:r>
              <w:t>/</w:t>
            </w:r>
          </w:p>
        </w:tc>
        <w:tc>
          <w:tcPr>
            <w:tcW w:w="282" w:type="pct"/>
            <w:vAlign w:val="center"/>
          </w:tcPr>
          <w:p>
            <w:pPr>
              <w:pStyle w:val="63"/>
            </w:pPr>
            <w:r>
              <w:t>物流</w:t>
            </w:r>
          </w:p>
        </w:tc>
        <w:tc>
          <w:tcPr>
            <w:tcW w:w="398" w:type="pct"/>
            <w:vAlign w:val="center"/>
          </w:tcPr>
          <w:p>
            <w:pPr>
              <w:pStyle w:val="63"/>
            </w:pPr>
            <w:r>
              <w:t>/</w:t>
            </w:r>
          </w:p>
        </w:tc>
        <w:tc>
          <w:tcPr>
            <w:tcW w:w="335" w:type="pct"/>
            <w:vAlign w:val="center"/>
          </w:tcPr>
          <w:p>
            <w:pPr>
              <w:pStyle w:val="63"/>
            </w:pPr>
            <w:r>
              <w:t>0.135</w:t>
            </w:r>
          </w:p>
        </w:tc>
        <w:tc>
          <w:tcPr>
            <w:tcW w:w="456" w:type="pct"/>
            <w:vAlign w:val="center"/>
          </w:tcPr>
          <w:p>
            <w:pPr>
              <w:pStyle w:val="63"/>
            </w:pPr>
            <w:r>
              <w:t>COD：0.162</w:t>
            </w:r>
          </w:p>
          <w:p>
            <w:pPr>
              <w:pStyle w:val="63"/>
            </w:pPr>
            <w:r>
              <w:t>氨氮：0.034</w:t>
            </w:r>
          </w:p>
        </w:tc>
        <w:tc>
          <w:tcPr>
            <w:tcW w:w="324" w:type="pct"/>
            <w:vAlign w:val="center"/>
          </w:tcPr>
          <w:p>
            <w:pPr>
              <w:pStyle w:val="63"/>
            </w:pPr>
            <w:r>
              <w:t>/</w:t>
            </w:r>
          </w:p>
        </w:tc>
        <w:tc>
          <w:tcPr>
            <w:tcW w:w="545" w:type="pct"/>
            <w:vAlign w:val="center"/>
          </w:tcPr>
          <w:p>
            <w:pPr>
              <w:pStyle w:val="63"/>
            </w:pPr>
            <w:r>
              <w:t>/</w:t>
            </w:r>
          </w:p>
        </w:tc>
        <w:tc>
          <w:tcPr>
            <w:tcW w:w="391" w:type="pct"/>
            <w:vAlign w:val="center"/>
          </w:tcPr>
          <w:p>
            <w:pPr>
              <w:pStyle w:val="63"/>
            </w:pPr>
            <w:r>
              <w:t>65</w:t>
            </w:r>
          </w:p>
        </w:tc>
        <w:tc>
          <w:tcPr>
            <w:tcW w:w="736" w:type="pct"/>
            <w:vAlign w:val="center"/>
          </w:tcPr>
          <w:p>
            <w:pPr>
              <w:pStyle w:val="63"/>
            </w:pPr>
            <w:r>
              <w:t>/</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20</w:t>
            </w:r>
          </w:p>
        </w:tc>
        <w:tc>
          <w:tcPr>
            <w:tcW w:w="573" w:type="pct"/>
            <w:vAlign w:val="center"/>
          </w:tcPr>
          <w:p>
            <w:pPr>
              <w:pStyle w:val="63"/>
            </w:pPr>
            <w:r>
              <w:t>湖南益力盛新材料科技有限公司</w:t>
            </w:r>
          </w:p>
        </w:tc>
        <w:tc>
          <w:tcPr>
            <w:tcW w:w="596" w:type="pct"/>
            <w:vAlign w:val="center"/>
          </w:tcPr>
          <w:p>
            <w:pPr>
              <w:pStyle w:val="63"/>
            </w:pPr>
            <w:r>
              <w:t>塑料类产品23800吨/年、电线类产品7000万米/年、Cable类产品/电子产品8800万pcs/年</w:t>
            </w:r>
          </w:p>
        </w:tc>
        <w:tc>
          <w:tcPr>
            <w:tcW w:w="282" w:type="pct"/>
            <w:vAlign w:val="center"/>
          </w:tcPr>
          <w:p>
            <w:pPr>
              <w:pStyle w:val="63"/>
            </w:pPr>
            <w:r>
              <w:t>机械制造</w:t>
            </w:r>
          </w:p>
        </w:tc>
        <w:tc>
          <w:tcPr>
            <w:tcW w:w="398" w:type="pct"/>
            <w:vAlign w:val="center"/>
          </w:tcPr>
          <w:p>
            <w:pPr>
              <w:pStyle w:val="63"/>
            </w:pPr>
            <w:r>
              <w:t>/</w:t>
            </w:r>
          </w:p>
        </w:tc>
        <w:tc>
          <w:tcPr>
            <w:tcW w:w="335" w:type="pct"/>
            <w:vAlign w:val="center"/>
          </w:tcPr>
          <w:p>
            <w:pPr>
              <w:pStyle w:val="63"/>
            </w:pPr>
            <w:r>
              <w:t>1.344</w:t>
            </w:r>
          </w:p>
        </w:tc>
        <w:tc>
          <w:tcPr>
            <w:tcW w:w="456" w:type="pct"/>
            <w:vAlign w:val="center"/>
          </w:tcPr>
          <w:p>
            <w:pPr>
              <w:pStyle w:val="63"/>
            </w:pPr>
            <w:r>
              <w:t>COD：3.36</w:t>
            </w:r>
          </w:p>
          <w:p>
            <w:pPr>
              <w:pStyle w:val="63"/>
            </w:pPr>
            <w:r>
              <w:t>氨氮：1.34</w:t>
            </w:r>
          </w:p>
          <w:p>
            <w:pPr>
              <w:pStyle w:val="63"/>
            </w:pPr>
            <w:r>
              <w:t>石油类：0.11</w:t>
            </w:r>
          </w:p>
        </w:tc>
        <w:tc>
          <w:tcPr>
            <w:tcW w:w="324" w:type="pct"/>
            <w:vAlign w:val="center"/>
          </w:tcPr>
          <w:p>
            <w:pPr>
              <w:pStyle w:val="63"/>
            </w:pPr>
            <w:r>
              <w:t>/</w:t>
            </w:r>
          </w:p>
        </w:tc>
        <w:tc>
          <w:tcPr>
            <w:tcW w:w="545" w:type="pct"/>
            <w:vAlign w:val="center"/>
          </w:tcPr>
          <w:p>
            <w:pPr>
              <w:pStyle w:val="63"/>
            </w:pPr>
            <w:r>
              <w:t>烟（粉）尘：0.063</w:t>
            </w:r>
          </w:p>
          <w:p>
            <w:pPr>
              <w:pStyle w:val="63"/>
            </w:pPr>
            <w:r>
              <w:t>非甲烷总烃：1.51</w:t>
            </w:r>
          </w:p>
          <w:p>
            <w:pPr>
              <w:pStyle w:val="63"/>
            </w:pPr>
            <w:r>
              <w:t>HCl：0.098</w:t>
            </w:r>
          </w:p>
        </w:tc>
        <w:tc>
          <w:tcPr>
            <w:tcW w:w="391" w:type="pct"/>
            <w:vAlign w:val="center"/>
          </w:tcPr>
          <w:p>
            <w:pPr>
              <w:pStyle w:val="63"/>
            </w:pPr>
            <w:r>
              <w:t>242.234</w:t>
            </w:r>
          </w:p>
        </w:tc>
        <w:tc>
          <w:tcPr>
            <w:tcW w:w="736" w:type="pct"/>
            <w:vAlign w:val="center"/>
          </w:tcPr>
          <w:p>
            <w:pPr>
              <w:pStyle w:val="63"/>
            </w:pPr>
            <w:r>
              <w:t>粉尘经布袋除尘后经排气筒排放；有机废气经活性炭吸附后通过15m烟囱外排</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t>21</w:t>
            </w:r>
          </w:p>
        </w:tc>
        <w:tc>
          <w:tcPr>
            <w:tcW w:w="573" w:type="pct"/>
            <w:vAlign w:val="center"/>
          </w:tcPr>
          <w:p>
            <w:pPr>
              <w:pStyle w:val="63"/>
            </w:pPr>
            <w:r>
              <w:t>湖南长乐粮油贸易有限公司</w:t>
            </w:r>
          </w:p>
        </w:tc>
        <w:tc>
          <w:tcPr>
            <w:tcW w:w="596" w:type="pct"/>
            <w:vAlign w:val="center"/>
          </w:tcPr>
          <w:p>
            <w:pPr>
              <w:pStyle w:val="63"/>
            </w:pPr>
            <w:r>
              <w:t>精米4.5万t/a</w:t>
            </w:r>
          </w:p>
        </w:tc>
        <w:tc>
          <w:tcPr>
            <w:tcW w:w="282" w:type="pct"/>
            <w:vAlign w:val="center"/>
          </w:tcPr>
          <w:p>
            <w:pPr>
              <w:pStyle w:val="63"/>
            </w:pPr>
            <w:r>
              <w:t>轻工</w:t>
            </w:r>
          </w:p>
        </w:tc>
        <w:tc>
          <w:tcPr>
            <w:tcW w:w="398" w:type="pct"/>
            <w:vAlign w:val="center"/>
          </w:tcPr>
          <w:p>
            <w:pPr>
              <w:pStyle w:val="63"/>
            </w:pPr>
            <w:r>
              <w:t>/</w:t>
            </w:r>
          </w:p>
        </w:tc>
        <w:tc>
          <w:tcPr>
            <w:tcW w:w="335" w:type="pct"/>
            <w:vAlign w:val="center"/>
          </w:tcPr>
          <w:p>
            <w:pPr>
              <w:pStyle w:val="63"/>
            </w:pPr>
            <w:r>
              <w:t>0.072</w:t>
            </w:r>
          </w:p>
        </w:tc>
        <w:tc>
          <w:tcPr>
            <w:tcW w:w="456" w:type="pct"/>
            <w:vAlign w:val="center"/>
          </w:tcPr>
          <w:p>
            <w:pPr>
              <w:pStyle w:val="63"/>
            </w:pPr>
            <w:r>
              <w:t>COD：0.086</w:t>
            </w:r>
          </w:p>
          <w:p>
            <w:pPr>
              <w:pStyle w:val="63"/>
            </w:pPr>
            <w:r>
              <w:t>氨氮：0.018</w:t>
            </w:r>
          </w:p>
        </w:tc>
        <w:tc>
          <w:tcPr>
            <w:tcW w:w="324" w:type="pct"/>
            <w:vAlign w:val="center"/>
          </w:tcPr>
          <w:p>
            <w:pPr>
              <w:pStyle w:val="63"/>
            </w:pPr>
            <w:r>
              <w:t>/</w:t>
            </w:r>
          </w:p>
        </w:tc>
        <w:tc>
          <w:tcPr>
            <w:tcW w:w="545" w:type="pct"/>
            <w:vAlign w:val="center"/>
          </w:tcPr>
          <w:p>
            <w:pPr>
              <w:pStyle w:val="63"/>
            </w:pPr>
            <w:r>
              <w:t>烟（粉）尘：0.072</w:t>
            </w:r>
          </w:p>
        </w:tc>
        <w:tc>
          <w:tcPr>
            <w:tcW w:w="391" w:type="pct"/>
            <w:vAlign w:val="center"/>
          </w:tcPr>
          <w:p>
            <w:pPr>
              <w:pStyle w:val="63"/>
            </w:pPr>
            <w:r>
              <w:t>0.92</w:t>
            </w:r>
          </w:p>
        </w:tc>
        <w:tc>
          <w:tcPr>
            <w:tcW w:w="736" w:type="pct"/>
            <w:vAlign w:val="center"/>
          </w:tcPr>
          <w:p>
            <w:pPr>
              <w:pStyle w:val="63"/>
            </w:pPr>
            <w:r>
              <w:t>粉尘经除尘后高空排放</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22</w:t>
            </w:r>
          </w:p>
        </w:tc>
        <w:tc>
          <w:tcPr>
            <w:tcW w:w="573" w:type="pct"/>
            <w:vAlign w:val="center"/>
          </w:tcPr>
          <w:p>
            <w:pPr>
              <w:pStyle w:val="63"/>
            </w:pPr>
            <w:r>
              <w:t>衡东文斌再生建筑骨料分选有限公司</w:t>
            </w:r>
          </w:p>
        </w:tc>
        <w:tc>
          <w:tcPr>
            <w:tcW w:w="596" w:type="pct"/>
            <w:vAlign w:val="center"/>
          </w:tcPr>
          <w:p>
            <w:pPr>
              <w:pStyle w:val="63"/>
            </w:pPr>
            <w:r>
              <w:t>年产30万吨沙卵、2000万块水泥砖</w:t>
            </w:r>
          </w:p>
        </w:tc>
        <w:tc>
          <w:tcPr>
            <w:tcW w:w="282" w:type="pct"/>
            <w:vAlign w:val="center"/>
          </w:tcPr>
          <w:p>
            <w:pPr>
              <w:pStyle w:val="63"/>
            </w:pPr>
            <w:r>
              <w:t>建材</w:t>
            </w:r>
          </w:p>
        </w:tc>
        <w:tc>
          <w:tcPr>
            <w:tcW w:w="398" w:type="pct"/>
            <w:vAlign w:val="center"/>
          </w:tcPr>
          <w:p>
            <w:pPr>
              <w:pStyle w:val="63"/>
            </w:pPr>
            <w:r>
              <w:t>电：20万度/年</w:t>
            </w:r>
          </w:p>
        </w:tc>
        <w:tc>
          <w:tcPr>
            <w:tcW w:w="335" w:type="pct"/>
            <w:vAlign w:val="center"/>
          </w:tcPr>
          <w:p>
            <w:pPr>
              <w:pStyle w:val="63"/>
            </w:pPr>
            <w:r>
              <w:t>0.0452</w:t>
            </w:r>
          </w:p>
        </w:tc>
        <w:tc>
          <w:tcPr>
            <w:tcW w:w="456" w:type="pct"/>
            <w:vAlign w:val="center"/>
          </w:tcPr>
          <w:p>
            <w:pPr>
              <w:pStyle w:val="63"/>
            </w:pPr>
            <w:r>
              <w:t>COD：0.113</w:t>
            </w:r>
          </w:p>
          <w:p>
            <w:pPr>
              <w:pStyle w:val="63"/>
            </w:pPr>
            <w:r>
              <w:t>BOD</w:t>
            </w:r>
            <w:r>
              <w:rPr>
                <w:vertAlign w:val="subscript"/>
              </w:rPr>
              <w:t>5</w:t>
            </w:r>
            <w:r>
              <w:t>：0.090</w:t>
            </w:r>
          </w:p>
          <w:p>
            <w:pPr>
              <w:pStyle w:val="63"/>
            </w:pPr>
            <w:r>
              <w:t>SS：0.068</w:t>
            </w:r>
          </w:p>
          <w:p>
            <w:pPr>
              <w:pStyle w:val="63"/>
            </w:pPr>
            <w:r>
              <w:t>氨氮：0.011</w:t>
            </w:r>
          </w:p>
        </w:tc>
        <w:tc>
          <w:tcPr>
            <w:tcW w:w="324" w:type="pct"/>
            <w:vAlign w:val="center"/>
          </w:tcPr>
          <w:p>
            <w:pPr>
              <w:pStyle w:val="63"/>
            </w:pPr>
            <w:r>
              <w:t>/</w:t>
            </w:r>
          </w:p>
        </w:tc>
        <w:tc>
          <w:tcPr>
            <w:tcW w:w="545" w:type="pct"/>
            <w:vAlign w:val="center"/>
          </w:tcPr>
          <w:p>
            <w:pPr>
              <w:pStyle w:val="63"/>
            </w:pPr>
            <w:r>
              <w:t>/</w:t>
            </w:r>
          </w:p>
        </w:tc>
        <w:tc>
          <w:tcPr>
            <w:tcW w:w="391" w:type="pct"/>
            <w:vAlign w:val="center"/>
          </w:tcPr>
          <w:p>
            <w:pPr>
              <w:pStyle w:val="63"/>
            </w:pPr>
            <w:r>
              <w:t>1.95</w:t>
            </w:r>
          </w:p>
        </w:tc>
        <w:tc>
          <w:tcPr>
            <w:tcW w:w="736" w:type="pct"/>
            <w:vAlign w:val="center"/>
          </w:tcPr>
          <w:p>
            <w:pPr>
              <w:pStyle w:val="63"/>
            </w:pPr>
            <w:r>
              <w:t>废水：化粪池、污泥池、清水池；废气：油烟净化器；固废：外售、环卫部门清运；</w:t>
            </w:r>
          </w:p>
        </w:tc>
        <w:tc>
          <w:tcPr>
            <w:tcW w:w="203" w:type="pct"/>
            <w:vAlign w:val="center"/>
          </w:tcPr>
          <w:p>
            <w:pPr>
              <w:pStyle w:val="63"/>
            </w:pPr>
          </w:p>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23</w:t>
            </w:r>
          </w:p>
        </w:tc>
        <w:tc>
          <w:tcPr>
            <w:tcW w:w="573" w:type="pct"/>
            <w:vAlign w:val="center"/>
          </w:tcPr>
          <w:p>
            <w:pPr>
              <w:pStyle w:val="63"/>
            </w:pPr>
            <w:r>
              <w:t>湖南盛世电缆有限公司</w:t>
            </w:r>
          </w:p>
        </w:tc>
        <w:tc>
          <w:tcPr>
            <w:tcW w:w="596" w:type="pct"/>
            <w:vAlign w:val="center"/>
          </w:tcPr>
          <w:p>
            <w:pPr>
              <w:pStyle w:val="63"/>
            </w:pPr>
            <w:r>
              <w:t>年产80万米电线电缆</w:t>
            </w:r>
          </w:p>
        </w:tc>
        <w:tc>
          <w:tcPr>
            <w:tcW w:w="282" w:type="pct"/>
            <w:vAlign w:val="center"/>
          </w:tcPr>
          <w:p>
            <w:pPr>
              <w:pStyle w:val="63"/>
            </w:pPr>
            <w:r>
              <w:t>机械制造</w:t>
            </w:r>
          </w:p>
        </w:tc>
        <w:tc>
          <w:tcPr>
            <w:tcW w:w="398" w:type="pct"/>
            <w:vAlign w:val="center"/>
          </w:tcPr>
          <w:p>
            <w:pPr>
              <w:pStyle w:val="63"/>
            </w:pPr>
            <w:r>
              <w:t>电：9.9万度/年</w:t>
            </w:r>
          </w:p>
        </w:tc>
        <w:tc>
          <w:tcPr>
            <w:tcW w:w="335" w:type="pct"/>
            <w:vAlign w:val="center"/>
          </w:tcPr>
          <w:p>
            <w:pPr>
              <w:pStyle w:val="63"/>
            </w:pPr>
            <w:r>
              <w:t>0.0995</w:t>
            </w:r>
          </w:p>
        </w:tc>
        <w:tc>
          <w:tcPr>
            <w:tcW w:w="456" w:type="pct"/>
            <w:vAlign w:val="center"/>
          </w:tcPr>
          <w:p>
            <w:pPr>
              <w:pStyle w:val="63"/>
            </w:pPr>
            <w:r>
              <w:t>COD：0.3</w:t>
            </w:r>
          </w:p>
          <w:p>
            <w:pPr>
              <w:pStyle w:val="63"/>
            </w:pPr>
            <w:r>
              <w:t>氨氮：0.02</w:t>
            </w:r>
          </w:p>
          <w:p>
            <w:pPr>
              <w:pStyle w:val="63"/>
            </w:pPr>
            <w:r>
              <w:t>SS：0.15</w:t>
            </w:r>
          </w:p>
        </w:tc>
        <w:tc>
          <w:tcPr>
            <w:tcW w:w="324" w:type="pct"/>
            <w:vAlign w:val="center"/>
          </w:tcPr>
          <w:p>
            <w:pPr>
              <w:pStyle w:val="63"/>
            </w:pPr>
            <w:r>
              <w:t>660</w:t>
            </w:r>
          </w:p>
        </w:tc>
        <w:tc>
          <w:tcPr>
            <w:tcW w:w="545" w:type="pct"/>
            <w:vAlign w:val="center"/>
          </w:tcPr>
          <w:p>
            <w:pPr>
              <w:pStyle w:val="63"/>
            </w:pPr>
            <w:r>
              <w:t>非甲烷总：0.196</w:t>
            </w:r>
          </w:p>
          <w:p>
            <w:pPr>
              <w:pStyle w:val="63"/>
            </w:pPr>
            <w:r>
              <w:t>氯化氢：0.0333</w:t>
            </w:r>
          </w:p>
        </w:tc>
        <w:tc>
          <w:tcPr>
            <w:tcW w:w="391" w:type="pct"/>
            <w:vAlign w:val="center"/>
          </w:tcPr>
          <w:p>
            <w:pPr>
              <w:pStyle w:val="63"/>
            </w:pPr>
            <w:r>
              <w:t>21.58</w:t>
            </w:r>
          </w:p>
        </w:tc>
        <w:tc>
          <w:tcPr>
            <w:tcW w:w="736" w:type="pct"/>
            <w:vAlign w:val="center"/>
          </w:tcPr>
          <w:p>
            <w:pPr>
              <w:pStyle w:val="63"/>
            </w:pPr>
            <w:r>
              <w:t>废水：沉淀池、化粪池；废气：引风机+15米高排气系统、车间通风系统、油烟净化器；</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24</w:t>
            </w:r>
          </w:p>
        </w:tc>
        <w:tc>
          <w:tcPr>
            <w:tcW w:w="573" w:type="pct"/>
            <w:vAlign w:val="center"/>
          </w:tcPr>
          <w:p>
            <w:pPr>
              <w:pStyle w:val="63"/>
            </w:pPr>
            <w:r>
              <w:t>湖南省显尚家具有限公司</w:t>
            </w:r>
          </w:p>
        </w:tc>
        <w:tc>
          <w:tcPr>
            <w:tcW w:w="596" w:type="pct"/>
            <w:vAlign w:val="center"/>
          </w:tcPr>
          <w:p>
            <w:pPr>
              <w:pStyle w:val="63"/>
            </w:pPr>
            <w:r>
              <w:t>年产3000套家具</w:t>
            </w:r>
          </w:p>
        </w:tc>
        <w:tc>
          <w:tcPr>
            <w:tcW w:w="282" w:type="pct"/>
            <w:vAlign w:val="center"/>
          </w:tcPr>
          <w:p>
            <w:pPr>
              <w:pStyle w:val="63"/>
            </w:pPr>
            <w:r>
              <w:t>建材</w:t>
            </w:r>
          </w:p>
        </w:tc>
        <w:tc>
          <w:tcPr>
            <w:tcW w:w="398" w:type="pct"/>
            <w:vAlign w:val="center"/>
          </w:tcPr>
          <w:p>
            <w:pPr>
              <w:pStyle w:val="63"/>
            </w:pPr>
            <w:r>
              <w:t>电：20万度/年</w:t>
            </w:r>
          </w:p>
        </w:tc>
        <w:tc>
          <w:tcPr>
            <w:tcW w:w="335" w:type="pct"/>
            <w:vAlign w:val="center"/>
          </w:tcPr>
          <w:p>
            <w:pPr>
              <w:pStyle w:val="63"/>
            </w:pPr>
            <w:r>
              <w:t>0.1105</w:t>
            </w:r>
          </w:p>
        </w:tc>
        <w:tc>
          <w:tcPr>
            <w:tcW w:w="456" w:type="pct"/>
            <w:vAlign w:val="center"/>
          </w:tcPr>
          <w:p>
            <w:pPr>
              <w:pStyle w:val="63"/>
            </w:pPr>
            <w:r>
              <w:t>COD：0.221</w:t>
            </w:r>
          </w:p>
          <w:p>
            <w:pPr>
              <w:pStyle w:val="63"/>
            </w:pPr>
            <w:r>
              <w:t>氨氮：0.028</w:t>
            </w:r>
          </w:p>
        </w:tc>
        <w:tc>
          <w:tcPr>
            <w:tcW w:w="324" w:type="pct"/>
            <w:vAlign w:val="center"/>
          </w:tcPr>
          <w:p>
            <w:pPr>
              <w:pStyle w:val="63"/>
            </w:pPr>
            <w:r>
              <w:t>粉尘：8142</w:t>
            </w:r>
          </w:p>
          <w:p>
            <w:pPr>
              <w:pStyle w:val="63"/>
            </w:pPr>
            <w:r>
              <w:t>有机废气：838</w:t>
            </w:r>
          </w:p>
        </w:tc>
        <w:tc>
          <w:tcPr>
            <w:tcW w:w="545" w:type="pct"/>
            <w:vAlign w:val="center"/>
          </w:tcPr>
          <w:p>
            <w:pPr>
              <w:pStyle w:val="63"/>
            </w:pPr>
            <w:r>
              <w:t>粉尘：0.714</w:t>
            </w:r>
          </w:p>
          <w:p>
            <w:pPr>
              <w:pStyle w:val="63"/>
            </w:pPr>
            <w:r>
              <w:t>VOCS:0.376</w:t>
            </w:r>
          </w:p>
          <w:p>
            <w:pPr>
              <w:pStyle w:val="63"/>
            </w:pPr>
            <w:r>
              <w:t>油烟：0.005</w:t>
            </w:r>
          </w:p>
        </w:tc>
        <w:tc>
          <w:tcPr>
            <w:tcW w:w="391" w:type="pct"/>
            <w:vAlign w:val="center"/>
          </w:tcPr>
          <w:p>
            <w:pPr>
              <w:pStyle w:val="63"/>
            </w:pPr>
            <w:r>
              <w:t>1.9</w:t>
            </w:r>
          </w:p>
        </w:tc>
        <w:tc>
          <w:tcPr>
            <w:tcW w:w="736" w:type="pct"/>
            <w:vAlign w:val="center"/>
          </w:tcPr>
          <w:p>
            <w:pPr>
              <w:pStyle w:val="63"/>
            </w:pPr>
            <w:r>
              <w:t>废水：化粪池；</w:t>
            </w:r>
          </w:p>
          <w:p>
            <w:pPr>
              <w:pStyle w:val="63"/>
            </w:pPr>
            <w:r>
              <w:t>废气：中央吸尘+布袋除尘、集气罩+UV光解+活性吸附+15米高排气筒；由环卫部门清运</w:t>
            </w:r>
          </w:p>
        </w:tc>
        <w:tc>
          <w:tcPr>
            <w:tcW w:w="203" w:type="pct"/>
            <w:vAlign w:val="center"/>
          </w:tcPr>
          <w:p>
            <w:pPr>
              <w:pStyle w:val="63"/>
            </w:pPr>
            <w:r>
              <w:t>运行</w:t>
            </w:r>
          </w:p>
          <w:p>
            <w:pPr>
              <w:pStyle w:val="63"/>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25</w:t>
            </w:r>
          </w:p>
        </w:tc>
        <w:tc>
          <w:tcPr>
            <w:tcW w:w="573" w:type="pct"/>
            <w:vAlign w:val="center"/>
          </w:tcPr>
          <w:p>
            <w:pPr>
              <w:pStyle w:val="63"/>
            </w:pPr>
            <w:r>
              <w:t>衡东衡盛金属表面处理有限公司</w:t>
            </w:r>
          </w:p>
        </w:tc>
        <w:tc>
          <w:tcPr>
            <w:tcW w:w="596" w:type="pct"/>
            <w:vAlign w:val="center"/>
          </w:tcPr>
          <w:p>
            <w:pPr>
              <w:pStyle w:val="63"/>
            </w:pPr>
            <w:r>
              <w:t>年产5吨汽车配件表面处理</w:t>
            </w:r>
          </w:p>
        </w:tc>
        <w:tc>
          <w:tcPr>
            <w:tcW w:w="282" w:type="pct"/>
            <w:vAlign w:val="center"/>
          </w:tcPr>
          <w:p>
            <w:pPr>
              <w:pStyle w:val="63"/>
            </w:pPr>
            <w:r>
              <w:t>机械制造</w:t>
            </w:r>
          </w:p>
        </w:tc>
        <w:tc>
          <w:tcPr>
            <w:tcW w:w="398" w:type="pct"/>
            <w:vAlign w:val="center"/>
          </w:tcPr>
          <w:p>
            <w:pPr>
              <w:pStyle w:val="63"/>
            </w:pPr>
            <w:r>
              <w:t>电：3万度/年</w:t>
            </w:r>
          </w:p>
        </w:tc>
        <w:tc>
          <w:tcPr>
            <w:tcW w:w="335" w:type="pct"/>
            <w:vAlign w:val="center"/>
          </w:tcPr>
          <w:p>
            <w:pPr>
              <w:pStyle w:val="63"/>
            </w:pPr>
            <w:r>
              <w:t>0.1</w:t>
            </w:r>
          </w:p>
        </w:tc>
        <w:tc>
          <w:tcPr>
            <w:tcW w:w="456" w:type="pct"/>
            <w:vAlign w:val="center"/>
          </w:tcPr>
          <w:p>
            <w:pPr>
              <w:pStyle w:val="63"/>
            </w:pPr>
            <w:r>
              <w:t>COD：0.175</w:t>
            </w:r>
          </w:p>
          <w:p>
            <w:pPr>
              <w:pStyle w:val="63"/>
            </w:pPr>
            <w:r>
              <w:t>氨氮：0.01</w:t>
            </w:r>
          </w:p>
          <w:p>
            <w:pPr>
              <w:pStyle w:val="63"/>
            </w:pPr>
            <w:r>
              <w:t>SS:0.1</w:t>
            </w:r>
          </w:p>
          <w:p>
            <w:pPr>
              <w:pStyle w:val="63"/>
            </w:pPr>
            <w:r>
              <w:t>石油类：0.001</w:t>
            </w:r>
          </w:p>
        </w:tc>
        <w:tc>
          <w:tcPr>
            <w:tcW w:w="324" w:type="pct"/>
            <w:vAlign w:val="center"/>
          </w:tcPr>
          <w:p>
            <w:pPr>
              <w:pStyle w:val="63"/>
            </w:pPr>
            <w:r>
              <w:t>/</w:t>
            </w:r>
          </w:p>
        </w:tc>
        <w:tc>
          <w:tcPr>
            <w:tcW w:w="545" w:type="pct"/>
            <w:vAlign w:val="center"/>
          </w:tcPr>
          <w:p>
            <w:pPr>
              <w:pStyle w:val="63"/>
            </w:pPr>
            <w:r>
              <w:t>氯化氢：0.0367kg/a</w:t>
            </w:r>
          </w:p>
          <w:p>
            <w:pPr>
              <w:pStyle w:val="63"/>
            </w:pPr>
            <w:r>
              <w:t>氮氧化物：0.238</w:t>
            </w:r>
          </w:p>
          <w:p>
            <w:pPr>
              <w:pStyle w:val="63"/>
            </w:pPr>
            <w:r>
              <w:t>硫酸雾：0.378</w:t>
            </w:r>
          </w:p>
        </w:tc>
        <w:tc>
          <w:tcPr>
            <w:tcW w:w="391" w:type="pct"/>
            <w:vAlign w:val="center"/>
          </w:tcPr>
          <w:p>
            <w:pPr>
              <w:pStyle w:val="63"/>
            </w:pPr>
            <w:r>
              <w:t>33.645</w:t>
            </w:r>
          </w:p>
        </w:tc>
        <w:tc>
          <w:tcPr>
            <w:tcW w:w="736" w:type="pct"/>
            <w:vAlign w:val="center"/>
          </w:tcPr>
          <w:p>
            <w:pPr>
              <w:pStyle w:val="63"/>
            </w:pPr>
            <w:r>
              <w:t>废水：集风罩+喷淋塔处理；废水：收集+污水处理厂；固废：危险废物交资质单位处理，生活固废由环卫部门清运</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26</w:t>
            </w:r>
          </w:p>
        </w:tc>
        <w:tc>
          <w:tcPr>
            <w:tcW w:w="573" w:type="pct"/>
            <w:vAlign w:val="center"/>
          </w:tcPr>
          <w:p>
            <w:pPr>
              <w:pStyle w:val="63"/>
            </w:pPr>
            <w:r>
              <w:t>衡东天健锡业有限公司</w:t>
            </w:r>
          </w:p>
        </w:tc>
        <w:tc>
          <w:tcPr>
            <w:tcW w:w="596" w:type="pct"/>
            <w:vAlign w:val="center"/>
          </w:tcPr>
          <w:p>
            <w:pPr>
              <w:pStyle w:val="63"/>
            </w:pPr>
            <w:r>
              <w:t>锡锭3100t/a</w:t>
            </w:r>
          </w:p>
        </w:tc>
        <w:tc>
          <w:tcPr>
            <w:tcW w:w="282" w:type="pct"/>
            <w:vAlign w:val="center"/>
          </w:tcPr>
          <w:p>
            <w:pPr>
              <w:pStyle w:val="63"/>
            </w:pPr>
            <w:r>
              <w:t>冶金</w:t>
            </w:r>
          </w:p>
        </w:tc>
        <w:tc>
          <w:tcPr>
            <w:tcW w:w="398" w:type="pct"/>
            <w:vAlign w:val="center"/>
          </w:tcPr>
          <w:p>
            <w:pPr>
              <w:pStyle w:val="63"/>
            </w:pPr>
            <w:r>
              <w:t>电：938万度/年</w:t>
            </w:r>
          </w:p>
          <w:p>
            <w:pPr>
              <w:pStyle w:val="63"/>
            </w:pPr>
            <w:r>
              <w:t>煤：400t/a</w:t>
            </w:r>
          </w:p>
        </w:tc>
        <w:tc>
          <w:tcPr>
            <w:tcW w:w="335" w:type="pct"/>
            <w:vAlign w:val="center"/>
          </w:tcPr>
          <w:p>
            <w:pPr>
              <w:pStyle w:val="63"/>
            </w:pPr>
            <w:r>
              <w:t>0.33</w:t>
            </w:r>
          </w:p>
        </w:tc>
        <w:tc>
          <w:tcPr>
            <w:tcW w:w="456" w:type="pct"/>
            <w:vAlign w:val="center"/>
          </w:tcPr>
          <w:p>
            <w:pPr>
              <w:pStyle w:val="63"/>
            </w:pPr>
            <w:r>
              <w:t>COD：0.6</w:t>
            </w:r>
          </w:p>
          <w:p>
            <w:pPr>
              <w:pStyle w:val="63"/>
            </w:pPr>
            <w:r>
              <w:t>氨氮：0.2</w:t>
            </w:r>
          </w:p>
        </w:tc>
        <w:tc>
          <w:tcPr>
            <w:tcW w:w="324" w:type="pct"/>
            <w:vAlign w:val="center"/>
          </w:tcPr>
          <w:p>
            <w:pPr>
              <w:pStyle w:val="63"/>
            </w:pPr>
            <w:r>
              <w:t>48556.8</w:t>
            </w:r>
          </w:p>
        </w:tc>
        <w:tc>
          <w:tcPr>
            <w:tcW w:w="545" w:type="pct"/>
            <w:vAlign w:val="center"/>
          </w:tcPr>
          <w:p>
            <w:pPr>
              <w:pStyle w:val="63"/>
            </w:pPr>
            <w:r>
              <w:t>烟（粉）尘：</w:t>
            </w:r>
            <w:r>
              <w:rPr>
                <w:lang w:bidi="ar"/>
              </w:rPr>
              <w:t>12.28</w:t>
            </w:r>
          </w:p>
          <w:p>
            <w:pPr>
              <w:pStyle w:val="63"/>
            </w:pPr>
            <w:r>
              <w:t>NOx：</w:t>
            </w:r>
            <w:r>
              <w:rPr>
                <w:lang w:bidi="ar"/>
              </w:rPr>
              <w:t>6.79</w:t>
            </w:r>
          </w:p>
          <w:p>
            <w:pPr>
              <w:pStyle w:val="63"/>
            </w:pPr>
            <w:r>
              <w:t>SO</w:t>
            </w:r>
            <w:r>
              <w:rPr>
                <w:vertAlign w:val="subscript"/>
              </w:rPr>
              <w:t>2</w:t>
            </w:r>
            <w:r>
              <w:t>：</w:t>
            </w:r>
            <w:r>
              <w:rPr>
                <w:lang w:bidi="ar"/>
              </w:rPr>
              <w:t>54.4</w:t>
            </w:r>
          </w:p>
        </w:tc>
        <w:tc>
          <w:tcPr>
            <w:tcW w:w="391" w:type="pct"/>
            <w:vAlign w:val="center"/>
          </w:tcPr>
          <w:p>
            <w:pPr>
              <w:pStyle w:val="63"/>
            </w:pPr>
            <w:r>
              <w:t>6476</w:t>
            </w:r>
          </w:p>
        </w:tc>
        <w:tc>
          <w:tcPr>
            <w:tcW w:w="736" w:type="pct"/>
            <w:vAlign w:val="center"/>
          </w:tcPr>
          <w:p>
            <w:pPr>
              <w:pStyle w:val="63"/>
            </w:pPr>
            <w:r>
              <w:t>电弧炉烟气经表冷+水冷+布袋除尘+碱液喷淋（负压）+50m烟囱</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27</w:t>
            </w:r>
          </w:p>
        </w:tc>
        <w:tc>
          <w:tcPr>
            <w:tcW w:w="573" w:type="pct"/>
            <w:vAlign w:val="center"/>
          </w:tcPr>
          <w:p>
            <w:pPr>
              <w:pStyle w:val="63"/>
            </w:pPr>
            <w:r>
              <w:t>湖南科顺防水保温防腐工程有限公司</w:t>
            </w:r>
          </w:p>
        </w:tc>
        <w:tc>
          <w:tcPr>
            <w:tcW w:w="596" w:type="pct"/>
            <w:vAlign w:val="center"/>
          </w:tcPr>
          <w:p>
            <w:pPr>
              <w:pStyle w:val="63"/>
            </w:pPr>
            <w:r>
              <w:t>年产防水油膏4800t，防水卷材80万平方</w:t>
            </w:r>
          </w:p>
        </w:tc>
        <w:tc>
          <w:tcPr>
            <w:tcW w:w="282" w:type="pct"/>
            <w:vAlign w:val="center"/>
          </w:tcPr>
          <w:p>
            <w:pPr>
              <w:pStyle w:val="63"/>
            </w:pPr>
            <w:r>
              <w:t>建材</w:t>
            </w:r>
          </w:p>
        </w:tc>
        <w:tc>
          <w:tcPr>
            <w:tcW w:w="398" w:type="pct"/>
            <w:vAlign w:val="center"/>
          </w:tcPr>
          <w:p>
            <w:pPr>
              <w:pStyle w:val="63"/>
            </w:pPr>
            <w:r>
              <w:t>电：10万度/年</w:t>
            </w:r>
          </w:p>
        </w:tc>
        <w:tc>
          <w:tcPr>
            <w:tcW w:w="335" w:type="pct"/>
            <w:vAlign w:val="center"/>
          </w:tcPr>
          <w:p>
            <w:pPr>
              <w:pStyle w:val="63"/>
            </w:pPr>
            <w:r>
              <w:t>0.018</w:t>
            </w:r>
          </w:p>
        </w:tc>
        <w:tc>
          <w:tcPr>
            <w:tcW w:w="456" w:type="pct"/>
            <w:vAlign w:val="center"/>
          </w:tcPr>
          <w:p>
            <w:pPr>
              <w:pStyle w:val="63"/>
            </w:pPr>
            <w:r>
              <w:t>COD：0.054</w:t>
            </w:r>
          </w:p>
          <w:p>
            <w:pPr>
              <w:pStyle w:val="63"/>
            </w:pPr>
            <w:r>
              <w:t>氨氮：0.027</w:t>
            </w:r>
          </w:p>
        </w:tc>
        <w:tc>
          <w:tcPr>
            <w:tcW w:w="324" w:type="pct"/>
            <w:vAlign w:val="center"/>
          </w:tcPr>
          <w:p>
            <w:pPr>
              <w:pStyle w:val="63"/>
            </w:pPr>
            <w:r>
              <w:t>生产工艺废气：4526</w:t>
            </w:r>
          </w:p>
          <w:p>
            <w:pPr>
              <w:pStyle w:val="63"/>
            </w:pPr>
            <w:r>
              <w:t>锅炉烟气：598</w:t>
            </w:r>
          </w:p>
        </w:tc>
        <w:tc>
          <w:tcPr>
            <w:tcW w:w="545" w:type="pct"/>
            <w:vAlign w:val="center"/>
          </w:tcPr>
          <w:p>
            <w:pPr>
              <w:pStyle w:val="63"/>
            </w:pPr>
            <w:r>
              <w:t>沥青烟：0.043</w:t>
            </w:r>
          </w:p>
          <w:p>
            <w:pPr>
              <w:pStyle w:val="63"/>
            </w:pPr>
            <w:r>
              <w:t>非甲烷总；0.009</w:t>
            </w:r>
          </w:p>
          <w:p>
            <w:pPr>
              <w:pStyle w:val="63"/>
            </w:pPr>
            <w:r>
              <w:t>颗粒物：0.404</w:t>
            </w:r>
          </w:p>
          <w:p>
            <w:pPr>
              <w:pStyle w:val="63"/>
            </w:pPr>
            <w:r>
              <w:t>SO</w:t>
            </w:r>
            <w:r>
              <w:rPr>
                <w:vertAlign w:val="subscript"/>
              </w:rPr>
              <w:t>2</w:t>
            </w:r>
            <w:r>
              <w:t>：0.261</w:t>
            </w:r>
          </w:p>
          <w:p>
            <w:pPr>
              <w:pStyle w:val="63"/>
            </w:pPr>
            <w:r>
              <w:t>烟尘：0.18</w:t>
            </w:r>
          </w:p>
          <w:p>
            <w:pPr>
              <w:pStyle w:val="63"/>
            </w:pPr>
            <w:r>
              <w:t>NOx：0.783</w:t>
            </w:r>
          </w:p>
        </w:tc>
        <w:tc>
          <w:tcPr>
            <w:tcW w:w="391" w:type="pct"/>
            <w:vAlign w:val="center"/>
          </w:tcPr>
          <w:p>
            <w:pPr>
              <w:pStyle w:val="63"/>
            </w:pPr>
            <w:r>
              <w:t>21.25</w:t>
            </w:r>
          </w:p>
        </w:tc>
        <w:tc>
          <w:tcPr>
            <w:tcW w:w="736" w:type="pct"/>
            <w:vAlign w:val="center"/>
          </w:tcPr>
          <w:p>
            <w:pPr>
              <w:pStyle w:val="63"/>
            </w:pPr>
            <w:r>
              <w:t>废水：化粪池；废气：静电捕集、冷凝、冷凝+吸附、吸附、吸收、机械分离；固废：危险废物电捕沥青渣返到改性沥青搅拌罐，废导热油厂家回收，一般固废资源回收、环卫部门清运；</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28</w:t>
            </w:r>
          </w:p>
        </w:tc>
        <w:tc>
          <w:tcPr>
            <w:tcW w:w="573" w:type="pct"/>
            <w:vAlign w:val="center"/>
          </w:tcPr>
          <w:p>
            <w:pPr>
              <w:pStyle w:val="63"/>
            </w:pPr>
            <w:r>
              <w:t>衡阳合兴化工有限公司</w:t>
            </w:r>
          </w:p>
        </w:tc>
        <w:tc>
          <w:tcPr>
            <w:tcW w:w="596" w:type="pct"/>
            <w:vAlign w:val="center"/>
          </w:tcPr>
          <w:p>
            <w:pPr>
              <w:pStyle w:val="63"/>
            </w:pPr>
            <w:r>
              <w:t>冰晶石10000t/a</w:t>
            </w:r>
          </w:p>
        </w:tc>
        <w:tc>
          <w:tcPr>
            <w:tcW w:w="282" w:type="pct"/>
            <w:vAlign w:val="center"/>
          </w:tcPr>
          <w:p>
            <w:pPr>
              <w:pStyle w:val="63"/>
            </w:pPr>
            <w:r>
              <w:t>化工</w:t>
            </w:r>
          </w:p>
        </w:tc>
        <w:tc>
          <w:tcPr>
            <w:tcW w:w="398" w:type="pct"/>
            <w:vAlign w:val="center"/>
          </w:tcPr>
          <w:p>
            <w:pPr>
              <w:pStyle w:val="63"/>
            </w:pPr>
            <w:r>
              <w:t>生物质燃料：4580t/a</w:t>
            </w:r>
          </w:p>
          <w:p>
            <w:pPr>
              <w:pStyle w:val="63"/>
            </w:pPr>
            <w:r>
              <w:t>电：96万t/a</w:t>
            </w:r>
          </w:p>
        </w:tc>
        <w:tc>
          <w:tcPr>
            <w:tcW w:w="335" w:type="pct"/>
            <w:vAlign w:val="center"/>
          </w:tcPr>
          <w:p>
            <w:pPr>
              <w:pStyle w:val="63"/>
            </w:pPr>
            <w:r>
              <w:t>5.26</w:t>
            </w:r>
          </w:p>
        </w:tc>
        <w:tc>
          <w:tcPr>
            <w:tcW w:w="456" w:type="pct"/>
            <w:vAlign w:val="center"/>
          </w:tcPr>
          <w:p>
            <w:pPr>
              <w:pStyle w:val="63"/>
            </w:pPr>
            <w:r>
              <w:t>COD：2.30</w:t>
            </w:r>
          </w:p>
          <w:p>
            <w:pPr>
              <w:pStyle w:val="63"/>
            </w:pPr>
            <w:r>
              <w:t>氨氮：0.79</w:t>
            </w:r>
          </w:p>
        </w:tc>
        <w:tc>
          <w:tcPr>
            <w:tcW w:w="324" w:type="pct"/>
            <w:vAlign w:val="center"/>
          </w:tcPr>
          <w:p>
            <w:pPr>
              <w:pStyle w:val="63"/>
            </w:pPr>
            <w:r>
              <w:t>6480</w:t>
            </w:r>
          </w:p>
        </w:tc>
        <w:tc>
          <w:tcPr>
            <w:tcW w:w="545" w:type="pct"/>
            <w:vAlign w:val="center"/>
          </w:tcPr>
          <w:p>
            <w:pPr>
              <w:pStyle w:val="63"/>
            </w:pPr>
            <w:r>
              <w:t>烟（粉）尘：0.30</w:t>
            </w:r>
          </w:p>
          <w:p>
            <w:pPr>
              <w:pStyle w:val="63"/>
            </w:pPr>
            <w:r>
              <w:t>SO</w:t>
            </w:r>
            <w:r>
              <w:rPr>
                <w:vertAlign w:val="subscript"/>
              </w:rPr>
              <w:t>2</w:t>
            </w:r>
            <w:r>
              <w:t>：1.56</w:t>
            </w:r>
          </w:p>
          <w:p>
            <w:pPr>
              <w:pStyle w:val="63"/>
            </w:pPr>
            <w:r>
              <w:t>NOx：4.68</w:t>
            </w:r>
          </w:p>
        </w:tc>
        <w:tc>
          <w:tcPr>
            <w:tcW w:w="391" w:type="pct"/>
            <w:vAlign w:val="center"/>
          </w:tcPr>
          <w:p>
            <w:pPr>
              <w:pStyle w:val="63"/>
            </w:pPr>
            <w:r>
              <w:t>183.2</w:t>
            </w:r>
          </w:p>
        </w:tc>
        <w:tc>
          <w:tcPr>
            <w:tcW w:w="736" w:type="pct"/>
            <w:vAlign w:val="center"/>
          </w:tcPr>
          <w:p>
            <w:pPr>
              <w:pStyle w:val="63"/>
            </w:pPr>
            <w:r>
              <w:t>废气经旋风除尘和布袋除尘后经排气筒外排</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29</w:t>
            </w:r>
          </w:p>
        </w:tc>
        <w:tc>
          <w:tcPr>
            <w:tcW w:w="573" w:type="pct"/>
            <w:vAlign w:val="center"/>
          </w:tcPr>
          <w:p>
            <w:pPr>
              <w:pStyle w:val="63"/>
            </w:pPr>
            <w:r>
              <w:t>衡阳市大地泵业有限公司</w:t>
            </w:r>
          </w:p>
        </w:tc>
        <w:tc>
          <w:tcPr>
            <w:tcW w:w="596" w:type="pct"/>
            <w:vAlign w:val="center"/>
          </w:tcPr>
          <w:p>
            <w:pPr>
              <w:pStyle w:val="63"/>
            </w:pPr>
            <w:r>
              <w:t>水泵135万kW/a</w:t>
            </w:r>
          </w:p>
        </w:tc>
        <w:tc>
          <w:tcPr>
            <w:tcW w:w="282" w:type="pct"/>
            <w:vAlign w:val="center"/>
          </w:tcPr>
          <w:p>
            <w:pPr>
              <w:pStyle w:val="63"/>
            </w:pPr>
            <w:r>
              <w:t>机械制造</w:t>
            </w:r>
          </w:p>
        </w:tc>
        <w:tc>
          <w:tcPr>
            <w:tcW w:w="398" w:type="pct"/>
            <w:vAlign w:val="center"/>
          </w:tcPr>
          <w:p>
            <w:pPr>
              <w:pStyle w:val="63"/>
            </w:pPr>
            <w:r>
              <w:t>电：189万度/年</w:t>
            </w:r>
          </w:p>
        </w:tc>
        <w:tc>
          <w:tcPr>
            <w:tcW w:w="335" w:type="pct"/>
            <w:vAlign w:val="center"/>
          </w:tcPr>
          <w:p>
            <w:pPr>
              <w:pStyle w:val="63"/>
            </w:pPr>
            <w:r>
              <w:t>4.08</w:t>
            </w:r>
          </w:p>
        </w:tc>
        <w:tc>
          <w:tcPr>
            <w:tcW w:w="456" w:type="pct"/>
            <w:vAlign w:val="center"/>
          </w:tcPr>
          <w:p>
            <w:pPr>
              <w:pStyle w:val="63"/>
            </w:pPr>
            <w:r>
              <w:t>COD：3.68</w:t>
            </w:r>
          </w:p>
          <w:p>
            <w:pPr>
              <w:pStyle w:val="63"/>
            </w:pPr>
            <w:r>
              <w:t>氨氮：0.31</w:t>
            </w:r>
          </w:p>
        </w:tc>
        <w:tc>
          <w:tcPr>
            <w:tcW w:w="324" w:type="pct"/>
            <w:vAlign w:val="center"/>
          </w:tcPr>
          <w:p>
            <w:pPr>
              <w:pStyle w:val="63"/>
            </w:pPr>
            <w:r>
              <w:t>26280</w:t>
            </w:r>
          </w:p>
        </w:tc>
        <w:tc>
          <w:tcPr>
            <w:tcW w:w="545" w:type="pct"/>
            <w:vAlign w:val="center"/>
          </w:tcPr>
          <w:p>
            <w:pPr>
              <w:pStyle w:val="63"/>
            </w:pPr>
            <w:r>
              <w:t>烟（粉）尘:0.176</w:t>
            </w:r>
          </w:p>
          <w:p>
            <w:pPr>
              <w:pStyle w:val="63"/>
            </w:pPr>
            <w:r>
              <w:t>非甲烷总烃：0.015</w:t>
            </w:r>
          </w:p>
          <w:p>
            <w:pPr>
              <w:pStyle w:val="63"/>
            </w:pPr>
            <w:r>
              <w:t>苯乙烯：0.07</w:t>
            </w:r>
          </w:p>
          <w:p>
            <w:pPr>
              <w:pStyle w:val="63"/>
            </w:pPr>
            <w:r>
              <w:t>苯：0.192</w:t>
            </w:r>
          </w:p>
          <w:p>
            <w:pPr>
              <w:pStyle w:val="63"/>
            </w:pPr>
            <w:r>
              <w:t>二甲苯：0.192</w:t>
            </w:r>
          </w:p>
        </w:tc>
        <w:tc>
          <w:tcPr>
            <w:tcW w:w="391" w:type="pct"/>
            <w:vAlign w:val="center"/>
          </w:tcPr>
          <w:p>
            <w:pPr>
              <w:pStyle w:val="63"/>
            </w:pPr>
            <w:r>
              <w:t>1125</w:t>
            </w:r>
          </w:p>
        </w:tc>
        <w:tc>
          <w:tcPr>
            <w:tcW w:w="736" w:type="pct"/>
            <w:vAlign w:val="center"/>
          </w:tcPr>
          <w:p>
            <w:pPr>
              <w:pStyle w:val="63"/>
            </w:pPr>
            <w:r>
              <w:t>喷漆、浸漆废气采用水帘柜+玻纤过滤器+活性炭吸附处理后外排</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30</w:t>
            </w:r>
          </w:p>
        </w:tc>
        <w:tc>
          <w:tcPr>
            <w:tcW w:w="573" w:type="pct"/>
            <w:vAlign w:val="center"/>
          </w:tcPr>
          <w:p>
            <w:pPr>
              <w:pStyle w:val="63"/>
            </w:pPr>
            <w:r>
              <w:t>衡阳荣桓科技有限公司</w:t>
            </w:r>
          </w:p>
        </w:tc>
        <w:tc>
          <w:tcPr>
            <w:tcW w:w="596" w:type="pct"/>
            <w:vAlign w:val="center"/>
          </w:tcPr>
          <w:p>
            <w:pPr>
              <w:pStyle w:val="63"/>
            </w:pPr>
            <w:r>
              <w:t>电极铜1000t/a、电极镍1000t/a、七水硫酸锌4850t/a</w:t>
            </w:r>
          </w:p>
        </w:tc>
        <w:tc>
          <w:tcPr>
            <w:tcW w:w="282" w:type="pct"/>
            <w:vAlign w:val="center"/>
          </w:tcPr>
          <w:p>
            <w:pPr>
              <w:pStyle w:val="63"/>
            </w:pPr>
            <w:r>
              <w:t>化工</w:t>
            </w:r>
          </w:p>
        </w:tc>
        <w:tc>
          <w:tcPr>
            <w:tcW w:w="398" w:type="pct"/>
            <w:vAlign w:val="center"/>
          </w:tcPr>
          <w:p>
            <w:pPr>
              <w:pStyle w:val="63"/>
            </w:pPr>
            <w:r>
              <w:t>煤：600t/a</w:t>
            </w:r>
          </w:p>
          <w:p>
            <w:pPr>
              <w:pStyle w:val="63"/>
            </w:pPr>
            <w:r>
              <w:t>电：10万度/年</w:t>
            </w:r>
          </w:p>
        </w:tc>
        <w:tc>
          <w:tcPr>
            <w:tcW w:w="335" w:type="pct"/>
            <w:vAlign w:val="center"/>
          </w:tcPr>
          <w:p>
            <w:pPr>
              <w:pStyle w:val="63"/>
            </w:pPr>
            <w:r>
              <w:t>0.162</w:t>
            </w:r>
          </w:p>
        </w:tc>
        <w:tc>
          <w:tcPr>
            <w:tcW w:w="456" w:type="pct"/>
            <w:vAlign w:val="center"/>
          </w:tcPr>
          <w:p>
            <w:pPr>
              <w:pStyle w:val="63"/>
            </w:pPr>
            <w:r>
              <w:t>COD：0.18</w:t>
            </w:r>
          </w:p>
          <w:p>
            <w:pPr>
              <w:pStyle w:val="63"/>
            </w:pPr>
            <w:r>
              <w:t>氨氮：0.05</w:t>
            </w:r>
          </w:p>
        </w:tc>
        <w:tc>
          <w:tcPr>
            <w:tcW w:w="324" w:type="pct"/>
            <w:vAlign w:val="center"/>
          </w:tcPr>
          <w:p>
            <w:pPr>
              <w:pStyle w:val="63"/>
            </w:pPr>
            <w:r>
              <w:t>347.2</w:t>
            </w:r>
          </w:p>
        </w:tc>
        <w:tc>
          <w:tcPr>
            <w:tcW w:w="545" w:type="pct"/>
            <w:vAlign w:val="center"/>
          </w:tcPr>
          <w:p>
            <w:pPr>
              <w:pStyle w:val="63"/>
            </w:pPr>
            <w:r>
              <w:t>硫酸雾：8.064</w:t>
            </w:r>
          </w:p>
          <w:p>
            <w:pPr>
              <w:pStyle w:val="63"/>
            </w:pPr>
            <w:r>
              <w:t>烟（粉）尘：0.3024</w:t>
            </w:r>
          </w:p>
          <w:p>
            <w:pPr>
              <w:pStyle w:val="63"/>
            </w:pPr>
            <w:r>
              <w:t>SO</w:t>
            </w:r>
            <w:r>
              <w:rPr>
                <w:vertAlign w:val="subscript"/>
              </w:rPr>
              <w:t>2</w:t>
            </w:r>
            <w:r>
              <w:t>：0.34</w:t>
            </w:r>
          </w:p>
          <w:p>
            <w:pPr>
              <w:pStyle w:val="63"/>
            </w:pPr>
            <w:r>
              <w:t>NOx：0.5112</w:t>
            </w:r>
          </w:p>
        </w:tc>
        <w:tc>
          <w:tcPr>
            <w:tcW w:w="391" w:type="pct"/>
            <w:vAlign w:val="center"/>
          </w:tcPr>
          <w:p>
            <w:pPr>
              <w:pStyle w:val="63"/>
            </w:pPr>
            <w:r>
              <w:t>2615</w:t>
            </w:r>
          </w:p>
        </w:tc>
        <w:tc>
          <w:tcPr>
            <w:tcW w:w="736" w:type="pct"/>
            <w:vAlign w:val="center"/>
          </w:tcPr>
          <w:p>
            <w:pPr>
              <w:pStyle w:val="63"/>
            </w:pPr>
            <w:r>
              <w:t>锅炉烟气经水膜除尘处理达标后30m高排放；硫酸雾经吸收塔碱液吸收后返回浸出槽使用</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31</w:t>
            </w:r>
          </w:p>
        </w:tc>
        <w:tc>
          <w:tcPr>
            <w:tcW w:w="573" w:type="pct"/>
            <w:vAlign w:val="center"/>
          </w:tcPr>
          <w:p>
            <w:pPr>
              <w:pStyle w:val="63"/>
            </w:pPr>
            <w:r>
              <w:t>湖南三彰源新材料有限公司</w:t>
            </w:r>
          </w:p>
        </w:tc>
        <w:tc>
          <w:tcPr>
            <w:tcW w:w="596" w:type="pct"/>
            <w:vAlign w:val="center"/>
          </w:tcPr>
          <w:p>
            <w:pPr>
              <w:pStyle w:val="63"/>
            </w:pPr>
            <w:r>
              <w:t>年产2000吨金刚石粉末</w:t>
            </w:r>
          </w:p>
        </w:tc>
        <w:tc>
          <w:tcPr>
            <w:tcW w:w="282" w:type="pct"/>
            <w:vAlign w:val="center"/>
          </w:tcPr>
          <w:p>
            <w:pPr>
              <w:pStyle w:val="63"/>
            </w:pPr>
            <w:r>
              <w:t>冶金</w:t>
            </w:r>
          </w:p>
        </w:tc>
        <w:tc>
          <w:tcPr>
            <w:tcW w:w="398" w:type="pct"/>
            <w:vAlign w:val="center"/>
          </w:tcPr>
          <w:p>
            <w:pPr>
              <w:pStyle w:val="63"/>
            </w:pPr>
            <w:r>
              <w:t>电：600万度/年</w:t>
            </w:r>
          </w:p>
        </w:tc>
        <w:tc>
          <w:tcPr>
            <w:tcW w:w="335" w:type="pct"/>
            <w:vAlign w:val="center"/>
          </w:tcPr>
          <w:p>
            <w:pPr>
              <w:pStyle w:val="63"/>
            </w:pPr>
            <w:r>
              <w:t>0.1</w:t>
            </w:r>
          </w:p>
        </w:tc>
        <w:tc>
          <w:tcPr>
            <w:tcW w:w="456" w:type="pct"/>
            <w:vAlign w:val="center"/>
          </w:tcPr>
          <w:p>
            <w:pPr>
              <w:pStyle w:val="63"/>
            </w:pPr>
            <w:r>
              <w:t>COD：0.303</w:t>
            </w:r>
          </w:p>
          <w:p>
            <w:pPr>
              <w:pStyle w:val="63"/>
            </w:pPr>
            <w:r>
              <w:t>氨氮：0.020</w:t>
            </w:r>
          </w:p>
        </w:tc>
        <w:tc>
          <w:tcPr>
            <w:tcW w:w="324" w:type="pct"/>
            <w:vAlign w:val="center"/>
          </w:tcPr>
          <w:p>
            <w:pPr>
              <w:pStyle w:val="63"/>
            </w:pPr>
            <w:r>
              <w:t>2592</w:t>
            </w:r>
          </w:p>
        </w:tc>
        <w:tc>
          <w:tcPr>
            <w:tcW w:w="545" w:type="pct"/>
            <w:vAlign w:val="center"/>
          </w:tcPr>
          <w:p>
            <w:pPr>
              <w:pStyle w:val="63"/>
            </w:pPr>
            <w:r>
              <w:t>颗粒物：3.27</w:t>
            </w:r>
          </w:p>
          <w:p>
            <w:pPr>
              <w:pStyle w:val="63"/>
            </w:pPr>
            <w:r>
              <w:t>镍及其化合物：0.981</w:t>
            </w:r>
          </w:p>
        </w:tc>
        <w:tc>
          <w:tcPr>
            <w:tcW w:w="391" w:type="pct"/>
            <w:vAlign w:val="center"/>
          </w:tcPr>
          <w:p>
            <w:pPr>
              <w:pStyle w:val="63"/>
            </w:pPr>
            <w:r>
              <w:t>37.5</w:t>
            </w:r>
          </w:p>
        </w:tc>
        <w:tc>
          <w:tcPr>
            <w:tcW w:w="736" w:type="pct"/>
            <w:vAlign w:val="center"/>
          </w:tcPr>
          <w:p>
            <w:pPr>
              <w:pStyle w:val="63"/>
            </w:pPr>
            <w:bookmarkStart w:id="235" w:name="_Toc472598419"/>
            <w:r>
              <w:t>生产废水：经自建循环利用系统回用；</w:t>
            </w:r>
          </w:p>
          <w:p>
            <w:pPr>
              <w:pStyle w:val="63"/>
            </w:pPr>
            <w:r>
              <w:t>生活污水：经化粪池处理后</w:t>
            </w:r>
            <w:bookmarkEnd w:id="235"/>
            <w:r>
              <w:t>经园区管网排放至大浦污水处理厂</w:t>
            </w:r>
          </w:p>
          <w:p>
            <w:pPr>
              <w:pStyle w:val="63"/>
            </w:pPr>
            <w:r>
              <w:t>废气：</w:t>
            </w:r>
            <w:bookmarkStart w:id="236" w:name="_Toc472598429"/>
            <w:r>
              <w:t>集气罩+袋式除尘器+15m排气筒</w:t>
            </w:r>
            <w:bookmarkEnd w:id="236"/>
            <w:r>
              <w:t>2套</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32</w:t>
            </w:r>
          </w:p>
        </w:tc>
        <w:tc>
          <w:tcPr>
            <w:tcW w:w="573" w:type="pct"/>
            <w:vAlign w:val="center"/>
          </w:tcPr>
          <w:p>
            <w:pPr>
              <w:pStyle w:val="63"/>
            </w:pPr>
            <w:r>
              <w:t>江苏盛项重工有限公司湖南分公司</w:t>
            </w:r>
          </w:p>
        </w:tc>
        <w:tc>
          <w:tcPr>
            <w:tcW w:w="596" w:type="pct"/>
            <w:vAlign w:val="center"/>
          </w:tcPr>
          <w:p>
            <w:pPr>
              <w:pStyle w:val="63"/>
            </w:pPr>
            <w:r>
              <w:t>年产2万t钢构</w:t>
            </w:r>
          </w:p>
        </w:tc>
        <w:tc>
          <w:tcPr>
            <w:tcW w:w="282" w:type="pct"/>
            <w:vAlign w:val="center"/>
          </w:tcPr>
          <w:p>
            <w:pPr>
              <w:pStyle w:val="63"/>
            </w:pPr>
            <w:r>
              <w:t>土木工程建筑业</w:t>
            </w:r>
          </w:p>
        </w:tc>
        <w:tc>
          <w:tcPr>
            <w:tcW w:w="398" w:type="pct"/>
            <w:vAlign w:val="center"/>
          </w:tcPr>
          <w:p>
            <w:pPr>
              <w:pStyle w:val="63"/>
            </w:pPr>
            <w:r>
              <w:t>电：157万度/年</w:t>
            </w:r>
          </w:p>
        </w:tc>
        <w:tc>
          <w:tcPr>
            <w:tcW w:w="335" w:type="pct"/>
            <w:vAlign w:val="center"/>
          </w:tcPr>
          <w:p>
            <w:pPr>
              <w:pStyle w:val="63"/>
            </w:pPr>
            <w:r>
              <w:t>0.12</w:t>
            </w:r>
          </w:p>
        </w:tc>
        <w:tc>
          <w:tcPr>
            <w:tcW w:w="456" w:type="pct"/>
            <w:vAlign w:val="center"/>
          </w:tcPr>
          <w:p>
            <w:pPr>
              <w:pStyle w:val="63"/>
            </w:pPr>
            <w:r>
              <w:t>COD：0.412</w:t>
            </w:r>
          </w:p>
          <w:p>
            <w:pPr>
              <w:pStyle w:val="63"/>
            </w:pPr>
            <w:r>
              <w:t>氨氮：0.040</w:t>
            </w:r>
          </w:p>
        </w:tc>
        <w:tc>
          <w:tcPr>
            <w:tcW w:w="324" w:type="pct"/>
            <w:vAlign w:val="center"/>
          </w:tcPr>
          <w:p>
            <w:pPr>
              <w:pStyle w:val="63"/>
            </w:pPr>
            <w:r>
              <w:t>/</w:t>
            </w:r>
          </w:p>
        </w:tc>
        <w:tc>
          <w:tcPr>
            <w:tcW w:w="545" w:type="pct"/>
            <w:vAlign w:val="center"/>
          </w:tcPr>
          <w:p>
            <w:pPr>
              <w:pStyle w:val="63"/>
            </w:pPr>
            <w:r>
              <w:t>烟（粉）尘：2.14</w:t>
            </w:r>
          </w:p>
        </w:tc>
        <w:tc>
          <w:tcPr>
            <w:tcW w:w="391" w:type="pct"/>
            <w:vAlign w:val="center"/>
          </w:tcPr>
          <w:p>
            <w:pPr>
              <w:pStyle w:val="63"/>
            </w:pPr>
            <w:r>
              <w:t>5.0</w:t>
            </w:r>
          </w:p>
        </w:tc>
        <w:tc>
          <w:tcPr>
            <w:tcW w:w="736" w:type="pct"/>
            <w:vAlign w:val="center"/>
          </w:tcPr>
          <w:p>
            <w:pPr>
              <w:pStyle w:val="63"/>
            </w:pPr>
            <w:r>
              <w:t>烟（粉）尘：经除尘器处理后达标排放</w:t>
            </w:r>
          </w:p>
        </w:tc>
        <w:tc>
          <w:tcPr>
            <w:tcW w:w="203" w:type="pct"/>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33</w:t>
            </w:r>
          </w:p>
        </w:tc>
        <w:tc>
          <w:tcPr>
            <w:tcW w:w="573" w:type="pct"/>
            <w:vAlign w:val="center"/>
          </w:tcPr>
          <w:p>
            <w:pPr>
              <w:pStyle w:val="63"/>
            </w:pPr>
            <w:r>
              <w:t xml:space="preserve">湖南禹虬防水建材有限公司 </w:t>
            </w:r>
          </w:p>
        </w:tc>
        <w:tc>
          <w:tcPr>
            <w:tcW w:w="596" w:type="pct"/>
            <w:vAlign w:val="center"/>
          </w:tcPr>
          <w:p>
            <w:pPr>
              <w:pStyle w:val="63"/>
            </w:pPr>
            <w:r>
              <w:t>年产 1000 万平方米防水卷材、2000 吨防水油膏</w:t>
            </w:r>
          </w:p>
        </w:tc>
        <w:tc>
          <w:tcPr>
            <w:tcW w:w="282" w:type="pct"/>
            <w:vAlign w:val="center"/>
          </w:tcPr>
          <w:p>
            <w:pPr>
              <w:pStyle w:val="63"/>
            </w:pPr>
            <w:r>
              <w:t>防水建筑材料制造</w:t>
            </w:r>
          </w:p>
        </w:tc>
        <w:tc>
          <w:tcPr>
            <w:tcW w:w="398" w:type="pct"/>
            <w:vAlign w:val="center"/>
          </w:tcPr>
          <w:p>
            <w:pPr>
              <w:pStyle w:val="63"/>
            </w:pPr>
            <w:r>
              <w:t>电：45万度/年</w:t>
            </w:r>
          </w:p>
        </w:tc>
        <w:tc>
          <w:tcPr>
            <w:tcW w:w="335" w:type="pct"/>
            <w:vAlign w:val="center"/>
          </w:tcPr>
          <w:p>
            <w:pPr>
              <w:pStyle w:val="63"/>
            </w:pPr>
            <w:r>
              <w:t>0.0156</w:t>
            </w:r>
          </w:p>
        </w:tc>
        <w:tc>
          <w:tcPr>
            <w:tcW w:w="456" w:type="pct"/>
            <w:vAlign w:val="center"/>
          </w:tcPr>
          <w:p>
            <w:pPr>
              <w:pStyle w:val="63"/>
            </w:pPr>
            <w:r>
              <w:t>COD：0.13</w:t>
            </w:r>
          </w:p>
          <w:p>
            <w:pPr>
              <w:pStyle w:val="63"/>
            </w:pPr>
            <w:r>
              <w:t>氨氮：0.017</w:t>
            </w:r>
          </w:p>
        </w:tc>
        <w:tc>
          <w:tcPr>
            <w:tcW w:w="324" w:type="pct"/>
            <w:vAlign w:val="center"/>
          </w:tcPr>
          <w:p>
            <w:pPr>
              <w:pStyle w:val="63"/>
            </w:pPr>
            <w:r>
              <w:t>1.28</w:t>
            </w:r>
          </w:p>
        </w:tc>
        <w:tc>
          <w:tcPr>
            <w:tcW w:w="545" w:type="pct"/>
            <w:vAlign w:val="center"/>
          </w:tcPr>
          <w:p>
            <w:pPr>
              <w:pStyle w:val="63"/>
            </w:pPr>
            <w:r>
              <w:t>沥青烟气：0.51</w:t>
            </w:r>
          </w:p>
          <w:p>
            <w:pPr>
              <w:pStyle w:val="63"/>
            </w:pPr>
            <w:r>
              <w:t>锅炉废气：2.1</w:t>
            </w:r>
          </w:p>
        </w:tc>
        <w:tc>
          <w:tcPr>
            <w:tcW w:w="391" w:type="pct"/>
            <w:vAlign w:val="center"/>
          </w:tcPr>
          <w:p>
            <w:pPr>
              <w:pStyle w:val="63"/>
            </w:pPr>
            <w:r>
              <w:t>30</w:t>
            </w:r>
          </w:p>
        </w:tc>
        <w:tc>
          <w:tcPr>
            <w:tcW w:w="736" w:type="pct"/>
            <w:vAlign w:val="center"/>
          </w:tcPr>
          <w:p>
            <w:pPr>
              <w:pStyle w:val="63"/>
            </w:pPr>
            <w:r>
              <w:t>沥青烟气:水喷淋装置+静电捕尘系统+光氧催化 净化装置</w:t>
            </w:r>
          </w:p>
          <w:p>
            <w:pPr>
              <w:pStyle w:val="63"/>
            </w:pPr>
            <w:r>
              <w:t>锅炉废气：旋风除尘器+布袋除尘器</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34</w:t>
            </w:r>
          </w:p>
        </w:tc>
        <w:tc>
          <w:tcPr>
            <w:tcW w:w="573" w:type="pct"/>
            <w:vAlign w:val="center"/>
          </w:tcPr>
          <w:p>
            <w:pPr>
              <w:pStyle w:val="63"/>
            </w:pPr>
            <w:r>
              <w:t>湖南朝阳泵业科技股份有限公司</w:t>
            </w:r>
          </w:p>
        </w:tc>
        <w:tc>
          <w:tcPr>
            <w:tcW w:w="596" w:type="pct"/>
            <w:vAlign w:val="center"/>
          </w:tcPr>
          <w:p>
            <w:pPr>
              <w:pStyle w:val="63"/>
            </w:pPr>
            <w:r>
              <w:t>年产105万Kw潜水泵</w:t>
            </w:r>
          </w:p>
        </w:tc>
        <w:tc>
          <w:tcPr>
            <w:tcW w:w="282" w:type="pct"/>
            <w:vAlign w:val="center"/>
          </w:tcPr>
          <w:p>
            <w:pPr>
              <w:pStyle w:val="63"/>
            </w:pPr>
            <w:r>
              <w:t>泵及真空设备制造</w:t>
            </w:r>
          </w:p>
        </w:tc>
        <w:tc>
          <w:tcPr>
            <w:tcW w:w="398" w:type="pct"/>
            <w:vAlign w:val="center"/>
          </w:tcPr>
          <w:p>
            <w:pPr>
              <w:pStyle w:val="63"/>
            </w:pPr>
            <w:r>
              <w:t>电：700万度/年</w:t>
            </w:r>
          </w:p>
        </w:tc>
        <w:tc>
          <w:tcPr>
            <w:tcW w:w="335" w:type="pct"/>
            <w:vAlign w:val="center"/>
          </w:tcPr>
          <w:p>
            <w:pPr>
              <w:pStyle w:val="63"/>
            </w:pPr>
            <w:r>
              <w:t>0.1337</w:t>
            </w:r>
          </w:p>
        </w:tc>
        <w:tc>
          <w:tcPr>
            <w:tcW w:w="456" w:type="pct"/>
            <w:vAlign w:val="center"/>
          </w:tcPr>
          <w:p>
            <w:pPr>
              <w:pStyle w:val="63"/>
            </w:pPr>
            <w:r>
              <w:t>COD：1.58</w:t>
            </w:r>
          </w:p>
          <w:p>
            <w:pPr>
              <w:pStyle w:val="63"/>
            </w:pPr>
            <w:r>
              <w:t>氨氮：0.79</w:t>
            </w:r>
          </w:p>
        </w:tc>
        <w:tc>
          <w:tcPr>
            <w:tcW w:w="324" w:type="pct"/>
            <w:vAlign w:val="center"/>
          </w:tcPr>
          <w:p>
            <w:pPr>
              <w:pStyle w:val="63"/>
            </w:pPr>
            <w:r>
              <w:t>/</w:t>
            </w:r>
          </w:p>
        </w:tc>
        <w:tc>
          <w:tcPr>
            <w:tcW w:w="545" w:type="pct"/>
            <w:vAlign w:val="center"/>
          </w:tcPr>
          <w:p>
            <w:pPr>
              <w:pStyle w:val="63"/>
            </w:pPr>
            <w:r>
              <w:t>喷漆废气:1.06</w:t>
            </w:r>
          </w:p>
          <w:p>
            <w:pPr>
              <w:pStyle w:val="63"/>
              <w:rPr>
                <w:kern w:val="0"/>
              </w:rPr>
            </w:pPr>
            <w:r>
              <w:rPr>
                <w:kern w:val="0"/>
              </w:rPr>
              <w:t>烟（粉）尘：0.5</w:t>
            </w:r>
          </w:p>
        </w:tc>
        <w:tc>
          <w:tcPr>
            <w:tcW w:w="391" w:type="pct"/>
            <w:vAlign w:val="center"/>
          </w:tcPr>
          <w:p>
            <w:pPr>
              <w:pStyle w:val="63"/>
            </w:pPr>
            <w:r>
              <w:t>27</w:t>
            </w:r>
          </w:p>
        </w:tc>
        <w:tc>
          <w:tcPr>
            <w:tcW w:w="736" w:type="pct"/>
            <w:vAlign w:val="center"/>
          </w:tcPr>
          <w:p>
            <w:pPr>
              <w:pStyle w:val="63"/>
            </w:pPr>
            <w:r>
              <w:t>喷漆废气：水浴+活性炭吸附处理达标排放</w:t>
            </w:r>
          </w:p>
          <w:p>
            <w:pPr>
              <w:pStyle w:val="63"/>
            </w:pPr>
            <w:r>
              <w:t>焊接烟气：企业焊接烟气采用排气扇无组织排放</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35</w:t>
            </w:r>
          </w:p>
        </w:tc>
        <w:tc>
          <w:tcPr>
            <w:tcW w:w="573" w:type="pct"/>
            <w:vAlign w:val="center"/>
          </w:tcPr>
          <w:p>
            <w:pPr>
              <w:pStyle w:val="63"/>
            </w:pPr>
            <w:r>
              <w:t>湖南纳金新材料技术有限公司</w:t>
            </w:r>
          </w:p>
        </w:tc>
        <w:tc>
          <w:tcPr>
            <w:tcW w:w="596" w:type="pct"/>
            <w:vAlign w:val="center"/>
          </w:tcPr>
          <w:p>
            <w:pPr>
              <w:pStyle w:val="63"/>
            </w:pPr>
            <w:r>
              <w:t>电磁波吸收粉体300t/a</w:t>
            </w:r>
          </w:p>
        </w:tc>
        <w:tc>
          <w:tcPr>
            <w:tcW w:w="282" w:type="pct"/>
            <w:vAlign w:val="center"/>
          </w:tcPr>
          <w:p>
            <w:pPr>
              <w:pStyle w:val="63"/>
            </w:pPr>
            <w:r>
              <w:t>电子专用材料制造</w:t>
            </w:r>
          </w:p>
        </w:tc>
        <w:tc>
          <w:tcPr>
            <w:tcW w:w="398" w:type="pct"/>
            <w:vAlign w:val="center"/>
          </w:tcPr>
          <w:p>
            <w:pPr>
              <w:pStyle w:val="63"/>
            </w:pPr>
            <w:r>
              <w:t>电：100万度/年</w:t>
            </w:r>
          </w:p>
        </w:tc>
        <w:tc>
          <w:tcPr>
            <w:tcW w:w="335" w:type="pct"/>
            <w:vAlign w:val="center"/>
          </w:tcPr>
          <w:p>
            <w:pPr>
              <w:pStyle w:val="63"/>
            </w:pPr>
            <w:r>
              <w:t>0.042</w:t>
            </w:r>
          </w:p>
        </w:tc>
        <w:tc>
          <w:tcPr>
            <w:tcW w:w="456" w:type="pct"/>
            <w:vAlign w:val="center"/>
          </w:tcPr>
          <w:p>
            <w:pPr>
              <w:pStyle w:val="63"/>
            </w:pPr>
            <w:r>
              <w:t>COD：0.055</w:t>
            </w:r>
          </w:p>
          <w:p>
            <w:pPr>
              <w:pStyle w:val="63"/>
            </w:pPr>
            <w:r>
              <w:t>氨氮：0.0065</w:t>
            </w:r>
          </w:p>
        </w:tc>
        <w:tc>
          <w:tcPr>
            <w:tcW w:w="324" w:type="pct"/>
            <w:vAlign w:val="center"/>
          </w:tcPr>
          <w:p>
            <w:pPr>
              <w:pStyle w:val="63"/>
            </w:pPr>
            <w:r>
              <w:t>/</w:t>
            </w:r>
          </w:p>
        </w:tc>
        <w:tc>
          <w:tcPr>
            <w:tcW w:w="545" w:type="pct"/>
            <w:vAlign w:val="center"/>
          </w:tcPr>
          <w:p>
            <w:pPr>
              <w:pStyle w:val="63"/>
            </w:pPr>
            <w:r>
              <w:t>粉尘：0.743</w:t>
            </w:r>
          </w:p>
          <w:p>
            <w:pPr>
              <w:pStyle w:val="63"/>
            </w:pPr>
            <w:r>
              <w:t>VOCs：0.0039</w:t>
            </w:r>
          </w:p>
        </w:tc>
        <w:tc>
          <w:tcPr>
            <w:tcW w:w="391" w:type="pct"/>
            <w:vAlign w:val="center"/>
          </w:tcPr>
          <w:p>
            <w:pPr>
              <w:pStyle w:val="63"/>
            </w:pPr>
            <w:r>
              <w:t>5.4</w:t>
            </w:r>
          </w:p>
        </w:tc>
        <w:tc>
          <w:tcPr>
            <w:tcW w:w="736" w:type="pct"/>
            <w:vAlign w:val="center"/>
          </w:tcPr>
          <w:p>
            <w:pPr>
              <w:pStyle w:val="63"/>
            </w:pPr>
            <w:r>
              <w:t>VOCs：直接进入循环冷却水池水面下进行水吸收</w:t>
            </w:r>
          </w:p>
          <w:p>
            <w:pPr>
              <w:pStyle w:val="63"/>
            </w:pPr>
            <w:r>
              <w:t>粉尘：经负压抽风引入磁性除尘器处理后无组织排放</w:t>
            </w:r>
          </w:p>
          <w:p>
            <w:pPr>
              <w:pStyle w:val="63"/>
            </w:pPr>
            <w:r>
              <w:t>生活污水：经化粪池处理后经园区管网排放至大浦污水处理厂</w:t>
            </w:r>
          </w:p>
          <w:p>
            <w:pPr>
              <w:pStyle w:val="63"/>
              <w:rPr>
                <w:kern w:val="0"/>
              </w:rPr>
            </w:pP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36</w:t>
            </w:r>
          </w:p>
        </w:tc>
        <w:tc>
          <w:tcPr>
            <w:tcW w:w="573" w:type="pct"/>
            <w:vAlign w:val="center"/>
          </w:tcPr>
          <w:p>
            <w:pPr>
              <w:pStyle w:val="63"/>
            </w:pPr>
            <w:r>
              <w:t>湖南省万塑科技有限公司</w:t>
            </w:r>
          </w:p>
        </w:tc>
        <w:tc>
          <w:tcPr>
            <w:tcW w:w="596" w:type="pct"/>
            <w:vAlign w:val="center"/>
          </w:tcPr>
          <w:p>
            <w:pPr>
              <w:pStyle w:val="63"/>
            </w:pPr>
            <w:r>
              <w:t>塑胶制品1670t/a，模具30000件/a，精密零件15000件/a，玻纤制品10000件/a，自动化设备3000套/a</w:t>
            </w:r>
          </w:p>
        </w:tc>
        <w:tc>
          <w:tcPr>
            <w:tcW w:w="282" w:type="pct"/>
            <w:vAlign w:val="center"/>
          </w:tcPr>
          <w:p>
            <w:pPr>
              <w:pStyle w:val="63"/>
            </w:pPr>
            <w:r>
              <w:t>橡胶和塑料制品业</w:t>
            </w:r>
          </w:p>
        </w:tc>
        <w:tc>
          <w:tcPr>
            <w:tcW w:w="398" w:type="pct"/>
            <w:vAlign w:val="center"/>
          </w:tcPr>
          <w:p>
            <w:pPr>
              <w:pStyle w:val="63"/>
            </w:pPr>
            <w:r>
              <w:t>电：147万度/年</w:t>
            </w:r>
          </w:p>
        </w:tc>
        <w:tc>
          <w:tcPr>
            <w:tcW w:w="335" w:type="pct"/>
            <w:vAlign w:val="center"/>
          </w:tcPr>
          <w:p>
            <w:pPr>
              <w:pStyle w:val="63"/>
            </w:pPr>
            <w:r>
              <w:t>0.15</w:t>
            </w:r>
          </w:p>
        </w:tc>
        <w:tc>
          <w:tcPr>
            <w:tcW w:w="456" w:type="pct"/>
            <w:vAlign w:val="center"/>
          </w:tcPr>
          <w:p>
            <w:pPr>
              <w:pStyle w:val="63"/>
            </w:pPr>
            <w:r>
              <w:t>COD：0.31</w:t>
            </w:r>
          </w:p>
          <w:p>
            <w:pPr>
              <w:pStyle w:val="63"/>
            </w:pPr>
            <w:r>
              <w:t>氨氮：0.03</w:t>
            </w:r>
          </w:p>
        </w:tc>
        <w:tc>
          <w:tcPr>
            <w:tcW w:w="324" w:type="pct"/>
            <w:vAlign w:val="center"/>
          </w:tcPr>
          <w:p>
            <w:pPr>
              <w:pStyle w:val="63"/>
            </w:pPr>
            <w:r>
              <w:t>0.97</w:t>
            </w:r>
          </w:p>
        </w:tc>
        <w:tc>
          <w:tcPr>
            <w:tcW w:w="545" w:type="pct"/>
            <w:vAlign w:val="center"/>
          </w:tcPr>
          <w:p>
            <w:pPr>
              <w:pStyle w:val="63"/>
            </w:pPr>
            <w:r>
              <w:t>烟（粉）尘：0.087</w:t>
            </w:r>
          </w:p>
          <w:p>
            <w:pPr>
              <w:pStyle w:val="63"/>
            </w:pPr>
            <w:r>
              <w:t>有机废气：0.054</w:t>
            </w:r>
          </w:p>
        </w:tc>
        <w:tc>
          <w:tcPr>
            <w:tcW w:w="391" w:type="pct"/>
            <w:vAlign w:val="center"/>
          </w:tcPr>
          <w:p>
            <w:pPr>
              <w:pStyle w:val="63"/>
            </w:pPr>
            <w:r>
              <w:t>309</w:t>
            </w:r>
          </w:p>
        </w:tc>
        <w:tc>
          <w:tcPr>
            <w:tcW w:w="736" w:type="pct"/>
            <w:vAlign w:val="center"/>
          </w:tcPr>
          <w:p>
            <w:pPr>
              <w:pStyle w:val="63"/>
            </w:pPr>
            <w:r>
              <w:t>烟（粉）尘：布袋除尘器</w:t>
            </w:r>
          </w:p>
          <w:p>
            <w:pPr>
              <w:pStyle w:val="63"/>
            </w:pPr>
            <w:r>
              <w:t>有机废气：活性炭+催化燃烧</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37</w:t>
            </w:r>
          </w:p>
        </w:tc>
        <w:tc>
          <w:tcPr>
            <w:tcW w:w="573" w:type="pct"/>
            <w:vAlign w:val="center"/>
          </w:tcPr>
          <w:p>
            <w:pPr>
              <w:pStyle w:val="63"/>
            </w:pPr>
            <w:r>
              <w:t>衡阳五行复合材料有限公司</w:t>
            </w:r>
          </w:p>
        </w:tc>
        <w:tc>
          <w:tcPr>
            <w:tcW w:w="596" w:type="pct"/>
            <w:vAlign w:val="center"/>
          </w:tcPr>
          <w:p>
            <w:pPr>
              <w:pStyle w:val="63"/>
            </w:pPr>
          </w:p>
        </w:tc>
        <w:tc>
          <w:tcPr>
            <w:tcW w:w="282" w:type="pct"/>
            <w:vAlign w:val="center"/>
          </w:tcPr>
          <w:p>
            <w:pPr>
              <w:pStyle w:val="63"/>
            </w:pPr>
            <w:r>
              <w:t>橡胶和塑料制品业</w:t>
            </w:r>
          </w:p>
        </w:tc>
        <w:tc>
          <w:tcPr>
            <w:tcW w:w="398" w:type="pct"/>
            <w:vAlign w:val="center"/>
          </w:tcPr>
          <w:p>
            <w:pPr>
              <w:pStyle w:val="63"/>
            </w:pPr>
            <w:r>
              <w:t>/</w:t>
            </w:r>
          </w:p>
        </w:tc>
        <w:tc>
          <w:tcPr>
            <w:tcW w:w="335" w:type="pct"/>
            <w:vAlign w:val="center"/>
          </w:tcPr>
          <w:p>
            <w:pPr>
              <w:pStyle w:val="63"/>
            </w:pPr>
            <w:r>
              <w:t>/</w:t>
            </w:r>
          </w:p>
        </w:tc>
        <w:tc>
          <w:tcPr>
            <w:tcW w:w="456" w:type="pct"/>
            <w:vAlign w:val="center"/>
          </w:tcPr>
          <w:p>
            <w:pPr>
              <w:pStyle w:val="63"/>
            </w:pPr>
            <w:r>
              <w:t>/</w:t>
            </w:r>
          </w:p>
        </w:tc>
        <w:tc>
          <w:tcPr>
            <w:tcW w:w="324" w:type="pct"/>
            <w:vAlign w:val="center"/>
          </w:tcPr>
          <w:p>
            <w:pPr>
              <w:pStyle w:val="63"/>
            </w:pPr>
            <w:r>
              <w:t>/</w:t>
            </w:r>
          </w:p>
        </w:tc>
        <w:tc>
          <w:tcPr>
            <w:tcW w:w="545" w:type="pct"/>
            <w:vAlign w:val="center"/>
          </w:tcPr>
          <w:p>
            <w:pPr>
              <w:pStyle w:val="63"/>
            </w:pPr>
            <w:r>
              <w:t>/</w:t>
            </w:r>
          </w:p>
        </w:tc>
        <w:tc>
          <w:tcPr>
            <w:tcW w:w="391" w:type="pct"/>
            <w:vAlign w:val="center"/>
          </w:tcPr>
          <w:p>
            <w:pPr>
              <w:pStyle w:val="63"/>
            </w:pPr>
            <w:r>
              <w:t>/</w:t>
            </w:r>
          </w:p>
        </w:tc>
        <w:tc>
          <w:tcPr>
            <w:tcW w:w="736" w:type="pct"/>
            <w:vAlign w:val="center"/>
          </w:tcPr>
          <w:p>
            <w:pPr>
              <w:pStyle w:val="63"/>
            </w:pPr>
            <w:r>
              <w:t>/</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38</w:t>
            </w:r>
          </w:p>
        </w:tc>
        <w:tc>
          <w:tcPr>
            <w:tcW w:w="573" w:type="pct"/>
            <w:vAlign w:val="center"/>
          </w:tcPr>
          <w:p>
            <w:pPr>
              <w:pStyle w:val="63"/>
            </w:pPr>
            <w:r>
              <w:t>湖南叁禾食品有限公司</w:t>
            </w:r>
          </w:p>
        </w:tc>
        <w:tc>
          <w:tcPr>
            <w:tcW w:w="596" w:type="pct"/>
            <w:vAlign w:val="center"/>
          </w:tcPr>
          <w:p>
            <w:pPr>
              <w:pStyle w:val="63"/>
            </w:pPr>
            <w:r>
              <w:t>日产量黄豆粒（150g/瓶）3000至4000瓶，湘辣牛肉（120g/瓶）2000瓶至3000</w:t>
            </w:r>
          </w:p>
        </w:tc>
        <w:tc>
          <w:tcPr>
            <w:tcW w:w="282" w:type="pct"/>
            <w:vAlign w:val="center"/>
          </w:tcPr>
          <w:p>
            <w:pPr>
              <w:pStyle w:val="63"/>
            </w:pPr>
            <w:r>
              <w:t>食品制造业</w:t>
            </w:r>
          </w:p>
        </w:tc>
        <w:tc>
          <w:tcPr>
            <w:tcW w:w="398" w:type="pct"/>
            <w:vAlign w:val="center"/>
          </w:tcPr>
          <w:p>
            <w:pPr>
              <w:pStyle w:val="63"/>
            </w:pPr>
            <w:r>
              <w:t>电：35万度/年</w:t>
            </w:r>
          </w:p>
        </w:tc>
        <w:tc>
          <w:tcPr>
            <w:tcW w:w="335" w:type="pct"/>
            <w:vAlign w:val="center"/>
          </w:tcPr>
          <w:p>
            <w:pPr>
              <w:pStyle w:val="63"/>
            </w:pPr>
            <w:r>
              <w:t>0.27</w:t>
            </w:r>
          </w:p>
        </w:tc>
        <w:tc>
          <w:tcPr>
            <w:tcW w:w="456" w:type="pct"/>
            <w:vAlign w:val="center"/>
          </w:tcPr>
          <w:p>
            <w:pPr>
              <w:pStyle w:val="63"/>
            </w:pPr>
            <w:r>
              <w:t>COD：0.57</w:t>
            </w:r>
          </w:p>
          <w:p>
            <w:pPr>
              <w:pStyle w:val="63"/>
            </w:pPr>
            <w:r>
              <w:t>氨氮：0.04</w:t>
            </w:r>
          </w:p>
        </w:tc>
        <w:tc>
          <w:tcPr>
            <w:tcW w:w="324" w:type="pct"/>
            <w:vAlign w:val="center"/>
          </w:tcPr>
          <w:p>
            <w:pPr>
              <w:pStyle w:val="63"/>
            </w:pPr>
            <w:r>
              <w:t>/</w:t>
            </w:r>
          </w:p>
        </w:tc>
        <w:tc>
          <w:tcPr>
            <w:tcW w:w="545" w:type="pct"/>
            <w:vAlign w:val="center"/>
          </w:tcPr>
          <w:p>
            <w:pPr>
              <w:pStyle w:val="63"/>
            </w:pPr>
            <w:r>
              <w:t>/</w:t>
            </w:r>
          </w:p>
        </w:tc>
        <w:tc>
          <w:tcPr>
            <w:tcW w:w="391" w:type="pct"/>
            <w:vAlign w:val="center"/>
          </w:tcPr>
          <w:p>
            <w:pPr>
              <w:pStyle w:val="63"/>
            </w:pPr>
            <w:r>
              <w:t>/</w:t>
            </w:r>
          </w:p>
        </w:tc>
        <w:tc>
          <w:tcPr>
            <w:tcW w:w="736" w:type="pct"/>
            <w:vAlign w:val="center"/>
          </w:tcPr>
          <w:p>
            <w:pPr>
              <w:pStyle w:val="63"/>
            </w:pPr>
            <w:r>
              <w:t>生活污水：经化粪池处理后排放至大浦污水处理厂</w:t>
            </w:r>
          </w:p>
          <w:p>
            <w:pPr>
              <w:pStyle w:val="63"/>
            </w:pPr>
            <w:r>
              <w:t>生产废水：经处理后回用</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39</w:t>
            </w:r>
          </w:p>
        </w:tc>
        <w:tc>
          <w:tcPr>
            <w:tcW w:w="573" w:type="pct"/>
            <w:vAlign w:val="center"/>
          </w:tcPr>
          <w:p>
            <w:pPr>
              <w:pStyle w:val="63"/>
            </w:pPr>
            <w:r>
              <w:t>衡东胜春食品有限公司</w:t>
            </w:r>
          </w:p>
        </w:tc>
        <w:tc>
          <w:tcPr>
            <w:tcW w:w="596" w:type="pct"/>
            <w:vAlign w:val="center"/>
          </w:tcPr>
          <w:p>
            <w:pPr>
              <w:pStyle w:val="63"/>
            </w:pPr>
            <w:r>
              <w:t>年产300t/a食用米粉制品</w:t>
            </w:r>
          </w:p>
        </w:tc>
        <w:tc>
          <w:tcPr>
            <w:tcW w:w="282" w:type="pct"/>
            <w:vAlign w:val="center"/>
          </w:tcPr>
          <w:p>
            <w:pPr>
              <w:pStyle w:val="63"/>
            </w:pPr>
            <w:r>
              <w:t>食品制造业</w:t>
            </w:r>
          </w:p>
        </w:tc>
        <w:tc>
          <w:tcPr>
            <w:tcW w:w="398" w:type="pct"/>
            <w:vAlign w:val="center"/>
          </w:tcPr>
          <w:p>
            <w:pPr>
              <w:pStyle w:val="63"/>
            </w:pPr>
            <w:r>
              <w:t>电：41万度/年</w:t>
            </w:r>
          </w:p>
        </w:tc>
        <w:tc>
          <w:tcPr>
            <w:tcW w:w="335" w:type="pct"/>
            <w:vAlign w:val="center"/>
          </w:tcPr>
          <w:p>
            <w:pPr>
              <w:pStyle w:val="63"/>
            </w:pPr>
            <w:r>
              <w:t>0.91</w:t>
            </w:r>
          </w:p>
        </w:tc>
        <w:tc>
          <w:tcPr>
            <w:tcW w:w="456" w:type="pct"/>
            <w:vAlign w:val="center"/>
          </w:tcPr>
          <w:p>
            <w:pPr>
              <w:pStyle w:val="63"/>
            </w:pPr>
            <w:r>
              <w:t>COD：0.64</w:t>
            </w:r>
          </w:p>
          <w:p>
            <w:pPr>
              <w:pStyle w:val="63"/>
            </w:pPr>
            <w:r>
              <w:t>氨氮：0.051</w:t>
            </w:r>
          </w:p>
        </w:tc>
        <w:tc>
          <w:tcPr>
            <w:tcW w:w="324" w:type="pct"/>
            <w:vAlign w:val="center"/>
          </w:tcPr>
          <w:p>
            <w:pPr>
              <w:pStyle w:val="63"/>
            </w:pPr>
            <w:r>
              <w:t>/</w:t>
            </w:r>
          </w:p>
        </w:tc>
        <w:tc>
          <w:tcPr>
            <w:tcW w:w="545" w:type="pct"/>
            <w:vAlign w:val="center"/>
          </w:tcPr>
          <w:p>
            <w:pPr>
              <w:pStyle w:val="63"/>
            </w:pPr>
            <w:r>
              <w:t>/</w:t>
            </w:r>
          </w:p>
        </w:tc>
        <w:tc>
          <w:tcPr>
            <w:tcW w:w="391" w:type="pct"/>
            <w:vAlign w:val="center"/>
          </w:tcPr>
          <w:p>
            <w:pPr>
              <w:pStyle w:val="63"/>
            </w:pPr>
            <w:r>
              <w:t>/</w:t>
            </w:r>
          </w:p>
        </w:tc>
        <w:tc>
          <w:tcPr>
            <w:tcW w:w="736" w:type="pct"/>
            <w:vAlign w:val="center"/>
          </w:tcPr>
          <w:p>
            <w:pPr>
              <w:pStyle w:val="63"/>
            </w:pPr>
            <w:r>
              <w:t>生活污水：经处理后排至大浦污水处理厂</w:t>
            </w:r>
          </w:p>
          <w:p>
            <w:pPr>
              <w:pStyle w:val="63"/>
            </w:pPr>
            <w:r>
              <w:t>生产废水：经处理后回用</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40</w:t>
            </w:r>
          </w:p>
        </w:tc>
        <w:tc>
          <w:tcPr>
            <w:tcW w:w="573" w:type="pct"/>
            <w:vAlign w:val="center"/>
          </w:tcPr>
          <w:p>
            <w:pPr>
              <w:pStyle w:val="63"/>
            </w:pPr>
            <w:r>
              <w:t>中船重工衡东环境工程有限公司</w:t>
            </w:r>
          </w:p>
        </w:tc>
        <w:tc>
          <w:tcPr>
            <w:tcW w:w="596" w:type="pct"/>
            <w:vAlign w:val="center"/>
          </w:tcPr>
          <w:p>
            <w:pPr>
              <w:pStyle w:val="63"/>
            </w:pPr>
            <w:r>
              <w:t>处理含重废水1000m</w:t>
            </w:r>
            <w:r>
              <w:rPr>
                <w:vertAlign w:val="superscript"/>
              </w:rPr>
              <w:t>3</w:t>
            </w:r>
            <w:r>
              <w:t>/d，一般工业废水和生活污水9000m</w:t>
            </w:r>
            <w:r>
              <w:rPr>
                <w:vertAlign w:val="superscript"/>
              </w:rPr>
              <w:t>3</w:t>
            </w:r>
            <w:r>
              <w:t>/d</w:t>
            </w:r>
          </w:p>
        </w:tc>
        <w:tc>
          <w:tcPr>
            <w:tcW w:w="282" w:type="pct"/>
            <w:vAlign w:val="center"/>
          </w:tcPr>
          <w:p>
            <w:pPr>
              <w:pStyle w:val="63"/>
            </w:pPr>
            <w:r>
              <w:t>污水处理及其再生</w:t>
            </w:r>
          </w:p>
          <w:p>
            <w:pPr>
              <w:pStyle w:val="63"/>
            </w:pPr>
            <w:r>
              <w:t>利用</w:t>
            </w:r>
          </w:p>
        </w:tc>
        <w:tc>
          <w:tcPr>
            <w:tcW w:w="398" w:type="pct"/>
            <w:vAlign w:val="center"/>
          </w:tcPr>
          <w:p>
            <w:pPr>
              <w:pStyle w:val="63"/>
            </w:pPr>
            <w:r>
              <w:t>电：69.12万度/年</w:t>
            </w:r>
          </w:p>
        </w:tc>
        <w:tc>
          <w:tcPr>
            <w:tcW w:w="335" w:type="pct"/>
            <w:vAlign w:val="center"/>
          </w:tcPr>
          <w:p>
            <w:pPr>
              <w:pStyle w:val="63"/>
            </w:pPr>
            <w:r>
              <w:t>365</w:t>
            </w:r>
          </w:p>
        </w:tc>
        <w:tc>
          <w:tcPr>
            <w:tcW w:w="456" w:type="pct"/>
            <w:vAlign w:val="center"/>
          </w:tcPr>
          <w:p>
            <w:pPr>
              <w:pStyle w:val="63"/>
            </w:pPr>
            <w:r>
              <w:t>COD：164.25</w:t>
            </w:r>
          </w:p>
          <w:p>
            <w:pPr>
              <w:pStyle w:val="63"/>
            </w:pPr>
            <w:r>
              <w:t>氨氮：16.43</w:t>
            </w:r>
          </w:p>
        </w:tc>
        <w:tc>
          <w:tcPr>
            <w:tcW w:w="324" w:type="pct"/>
            <w:vAlign w:val="center"/>
          </w:tcPr>
          <w:p>
            <w:pPr>
              <w:pStyle w:val="63"/>
            </w:pPr>
            <w:r>
              <w:t>/</w:t>
            </w:r>
          </w:p>
        </w:tc>
        <w:tc>
          <w:tcPr>
            <w:tcW w:w="545" w:type="pct"/>
            <w:vAlign w:val="center"/>
          </w:tcPr>
          <w:p>
            <w:pPr>
              <w:pStyle w:val="63"/>
            </w:pPr>
            <w:r>
              <w:t>H</w:t>
            </w:r>
            <w:r>
              <w:rPr>
                <w:vertAlign w:val="subscript"/>
              </w:rPr>
              <w:t>2</w:t>
            </w:r>
            <w:r>
              <w:t>S：33kg/a</w:t>
            </w:r>
          </w:p>
          <w:p>
            <w:pPr>
              <w:pStyle w:val="63"/>
              <w:rPr>
                <w:kern w:val="0"/>
              </w:rPr>
            </w:pPr>
            <w:r>
              <w:rPr>
                <w:kern w:val="0"/>
              </w:rPr>
              <w:t>NH</w:t>
            </w:r>
            <w:r>
              <w:rPr>
                <w:kern w:val="0"/>
                <w:vertAlign w:val="subscript"/>
              </w:rPr>
              <w:t>3</w:t>
            </w:r>
            <w:r>
              <w:rPr>
                <w:kern w:val="0"/>
              </w:rPr>
              <w:t>：614kg/a</w:t>
            </w:r>
          </w:p>
        </w:tc>
        <w:tc>
          <w:tcPr>
            <w:tcW w:w="391" w:type="pct"/>
            <w:vAlign w:val="center"/>
          </w:tcPr>
          <w:p>
            <w:pPr>
              <w:pStyle w:val="63"/>
            </w:pPr>
            <w:r>
              <w:t>1630.15</w:t>
            </w:r>
          </w:p>
        </w:tc>
        <w:tc>
          <w:tcPr>
            <w:tcW w:w="736" w:type="pct"/>
            <w:vAlign w:val="center"/>
          </w:tcPr>
          <w:p>
            <w:pPr>
              <w:pStyle w:val="63"/>
            </w:pPr>
            <w:r>
              <w:t>采用 CASS 工艺</w:t>
            </w:r>
          </w:p>
          <w:p>
            <w:pPr>
              <w:pStyle w:val="63"/>
            </w:pPr>
            <w:r>
              <w:t>处理</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41</w:t>
            </w:r>
          </w:p>
        </w:tc>
        <w:tc>
          <w:tcPr>
            <w:tcW w:w="573" w:type="pct"/>
            <w:vAlign w:val="center"/>
          </w:tcPr>
          <w:p>
            <w:pPr>
              <w:pStyle w:val="63"/>
            </w:pPr>
            <w:r>
              <w:t>衡东大浦金鸿燃气有限公司</w:t>
            </w:r>
          </w:p>
        </w:tc>
        <w:tc>
          <w:tcPr>
            <w:tcW w:w="596" w:type="pct"/>
            <w:vAlign w:val="center"/>
          </w:tcPr>
          <w:p>
            <w:pPr>
              <w:pStyle w:val="63"/>
            </w:pPr>
            <w:r>
              <w:t>小时供气能力为9000Nm</w:t>
            </w:r>
            <w:r>
              <w:rPr>
                <w:vertAlign w:val="superscript"/>
              </w:rPr>
              <w:t>3</w:t>
            </w:r>
            <w:r>
              <w:t>，年                                                                                                                                                                                                                                                                                                                                                                                                                                                                                                                                                                                                                                                                                                                                                                                                                                                                                                                                                                                                                                                                                                                                                                                                                                                      供气能力7884万Nm</w:t>
            </w:r>
            <w:r>
              <w:rPr>
                <w:vertAlign w:val="superscript"/>
              </w:rPr>
              <w:t>3</w:t>
            </w:r>
            <w:r>
              <w:t xml:space="preserve"> </w:t>
            </w:r>
          </w:p>
        </w:tc>
        <w:tc>
          <w:tcPr>
            <w:tcW w:w="282" w:type="pct"/>
            <w:vAlign w:val="center"/>
          </w:tcPr>
          <w:p>
            <w:pPr>
              <w:pStyle w:val="63"/>
            </w:pPr>
            <w:r>
              <w:t>燃气生产和供应业</w:t>
            </w:r>
          </w:p>
        </w:tc>
        <w:tc>
          <w:tcPr>
            <w:tcW w:w="398" w:type="pct"/>
            <w:vAlign w:val="center"/>
          </w:tcPr>
          <w:p>
            <w:pPr>
              <w:pStyle w:val="63"/>
            </w:pPr>
            <w:r>
              <w:t>电：45.8万度/年</w:t>
            </w:r>
          </w:p>
        </w:tc>
        <w:tc>
          <w:tcPr>
            <w:tcW w:w="335" w:type="pct"/>
            <w:vAlign w:val="center"/>
          </w:tcPr>
          <w:p>
            <w:pPr>
              <w:pStyle w:val="63"/>
            </w:pPr>
            <w:r>
              <w:t>0.028</w:t>
            </w:r>
          </w:p>
        </w:tc>
        <w:tc>
          <w:tcPr>
            <w:tcW w:w="456" w:type="pct"/>
            <w:vAlign w:val="center"/>
          </w:tcPr>
          <w:p>
            <w:pPr>
              <w:pStyle w:val="63"/>
            </w:pPr>
            <w:r>
              <w:t>COD：0.0288</w:t>
            </w:r>
          </w:p>
          <w:p>
            <w:pPr>
              <w:pStyle w:val="63"/>
            </w:pPr>
            <w:r>
              <w:t>氨氮：0.0043</w:t>
            </w:r>
          </w:p>
        </w:tc>
        <w:tc>
          <w:tcPr>
            <w:tcW w:w="324" w:type="pct"/>
            <w:vAlign w:val="center"/>
          </w:tcPr>
          <w:p>
            <w:pPr>
              <w:pStyle w:val="63"/>
            </w:pPr>
            <w:r>
              <w:t>/</w:t>
            </w:r>
          </w:p>
        </w:tc>
        <w:tc>
          <w:tcPr>
            <w:tcW w:w="545" w:type="pct"/>
            <w:vAlign w:val="center"/>
          </w:tcPr>
          <w:p>
            <w:pPr>
              <w:pStyle w:val="63"/>
            </w:pPr>
            <w:r>
              <w:t>非甲烷总烃：1.207</w:t>
            </w:r>
          </w:p>
        </w:tc>
        <w:tc>
          <w:tcPr>
            <w:tcW w:w="391" w:type="pct"/>
            <w:vAlign w:val="center"/>
          </w:tcPr>
          <w:p>
            <w:pPr>
              <w:pStyle w:val="63"/>
            </w:pPr>
            <w:r>
              <w:t>3.6</w:t>
            </w:r>
          </w:p>
        </w:tc>
        <w:tc>
          <w:tcPr>
            <w:tcW w:w="736" w:type="pct"/>
            <w:vAlign w:val="center"/>
          </w:tcPr>
          <w:p>
            <w:pPr>
              <w:pStyle w:val="63"/>
            </w:pPr>
            <w:r>
              <w:t>非甲烷总烃：放散管集中排放</w:t>
            </w:r>
          </w:p>
          <w:p>
            <w:pPr>
              <w:pStyle w:val="63"/>
            </w:pPr>
            <w:r>
              <w:t>生活污水：改良三级化粪池+大浦污水处理厂</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42</w:t>
            </w:r>
          </w:p>
        </w:tc>
        <w:tc>
          <w:tcPr>
            <w:tcW w:w="573" w:type="pct"/>
            <w:vAlign w:val="center"/>
          </w:tcPr>
          <w:p>
            <w:pPr>
              <w:pStyle w:val="63"/>
            </w:pPr>
            <w:r>
              <w:t>衡阳蓝科新能源科技有限公司</w:t>
            </w:r>
          </w:p>
        </w:tc>
        <w:tc>
          <w:tcPr>
            <w:tcW w:w="596" w:type="pct"/>
            <w:vAlign w:val="center"/>
          </w:tcPr>
          <w:p>
            <w:pPr>
              <w:pStyle w:val="63"/>
            </w:pPr>
            <w:r>
              <w:t>年储存和销售甲醇4500吨，车用尾气清洁剂1500吨</w:t>
            </w:r>
          </w:p>
        </w:tc>
        <w:tc>
          <w:tcPr>
            <w:tcW w:w="282" w:type="pct"/>
            <w:vAlign w:val="center"/>
          </w:tcPr>
          <w:p>
            <w:pPr>
              <w:pStyle w:val="63"/>
            </w:pPr>
            <w:r>
              <w:t>危险品</w:t>
            </w:r>
          </w:p>
          <w:p>
            <w:pPr>
              <w:pStyle w:val="63"/>
            </w:pPr>
            <w:r>
              <w:t>仓储</w:t>
            </w:r>
          </w:p>
        </w:tc>
        <w:tc>
          <w:tcPr>
            <w:tcW w:w="398" w:type="pct"/>
            <w:vAlign w:val="center"/>
          </w:tcPr>
          <w:p>
            <w:pPr>
              <w:pStyle w:val="63"/>
            </w:pPr>
            <w:r>
              <w:t>电：10万度/年</w:t>
            </w:r>
          </w:p>
        </w:tc>
        <w:tc>
          <w:tcPr>
            <w:tcW w:w="335" w:type="pct"/>
            <w:vAlign w:val="center"/>
          </w:tcPr>
          <w:p>
            <w:pPr>
              <w:pStyle w:val="63"/>
            </w:pPr>
            <w:r>
              <w:t>0.0154</w:t>
            </w:r>
          </w:p>
        </w:tc>
        <w:tc>
          <w:tcPr>
            <w:tcW w:w="456" w:type="pct"/>
            <w:vAlign w:val="center"/>
          </w:tcPr>
          <w:p>
            <w:pPr>
              <w:pStyle w:val="63"/>
            </w:pPr>
            <w:r>
              <w:t>COD：0.043</w:t>
            </w:r>
          </w:p>
          <w:p>
            <w:pPr>
              <w:pStyle w:val="63"/>
            </w:pPr>
            <w:r>
              <w:t>氨氮：0.0036</w:t>
            </w:r>
          </w:p>
        </w:tc>
        <w:tc>
          <w:tcPr>
            <w:tcW w:w="324" w:type="pct"/>
            <w:vAlign w:val="center"/>
          </w:tcPr>
          <w:p>
            <w:pPr>
              <w:pStyle w:val="63"/>
            </w:pPr>
            <w:r>
              <w:t>/</w:t>
            </w:r>
          </w:p>
        </w:tc>
        <w:tc>
          <w:tcPr>
            <w:tcW w:w="545" w:type="pct"/>
            <w:vAlign w:val="center"/>
          </w:tcPr>
          <w:p>
            <w:pPr>
              <w:pStyle w:val="63"/>
            </w:pPr>
            <w:r>
              <w:t>非甲烷总烃：84.58kg/a</w:t>
            </w:r>
          </w:p>
        </w:tc>
        <w:tc>
          <w:tcPr>
            <w:tcW w:w="391" w:type="pct"/>
            <w:vAlign w:val="center"/>
          </w:tcPr>
          <w:p>
            <w:pPr>
              <w:pStyle w:val="63"/>
            </w:pPr>
            <w:r>
              <w:t>1.5</w:t>
            </w:r>
          </w:p>
        </w:tc>
        <w:tc>
          <w:tcPr>
            <w:tcW w:w="736" w:type="pct"/>
            <w:vAlign w:val="center"/>
          </w:tcPr>
          <w:p>
            <w:pPr>
              <w:pStyle w:val="63"/>
            </w:pPr>
            <w:r>
              <w:t>运输车辆尾气：通过厂区无组织扩散</w:t>
            </w:r>
          </w:p>
          <w:p>
            <w:pPr>
              <w:pStyle w:val="63"/>
              <w:rPr>
                <w:kern w:val="0"/>
              </w:rPr>
            </w:pPr>
            <w:r>
              <w:rPr>
                <w:kern w:val="0"/>
              </w:rPr>
              <w:t>所有废水（地面冲洗废水和雨水）：经排水沟进入大浦污水处理厂达标后排放；生活废水经化粪池预处理后进入大浦污水处理厂达标后排放</w:t>
            </w:r>
          </w:p>
        </w:tc>
        <w:tc>
          <w:tcPr>
            <w:tcW w:w="203" w:type="pct"/>
            <w:vAlign w:val="center"/>
          </w:tcPr>
          <w:p>
            <w:pPr>
              <w:pStyle w:val="63"/>
            </w:pPr>
            <w:r>
              <w:t>运行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0" w:type="pct"/>
            <w:vAlign w:val="center"/>
          </w:tcPr>
          <w:p>
            <w:pPr>
              <w:pStyle w:val="63"/>
            </w:pPr>
            <w:r>
              <w:rPr>
                <w:lang w:bidi="ar"/>
              </w:rPr>
              <w:t>43</w:t>
            </w:r>
          </w:p>
        </w:tc>
        <w:tc>
          <w:tcPr>
            <w:tcW w:w="573" w:type="pct"/>
            <w:vAlign w:val="center"/>
          </w:tcPr>
          <w:p>
            <w:pPr>
              <w:pStyle w:val="63"/>
            </w:pPr>
            <w:r>
              <w:t>衡东凯迪乐器制造有限公司</w:t>
            </w:r>
          </w:p>
        </w:tc>
        <w:tc>
          <w:tcPr>
            <w:tcW w:w="596" w:type="pct"/>
            <w:vAlign w:val="center"/>
          </w:tcPr>
          <w:p>
            <w:pPr>
              <w:pStyle w:val="63"/>
            </w:pPr>
            <w:r>
              <w:t>年产12000支吉他</w:t>
            </w:r>
          </w:p>
        </w:tc>
        <w:tc>
          <w:tcPr>
            <w:tcW w:w="282" w:type="pct"/>
            <w:vAlign w:val="center"/>
          </w:tcPr>
          <w:p>
            <w:pPr>
              <w:pStyle w:val="63"/>
            </w:pPr>
            <w:r>
              <w:t>中乐器</w:t>
            </w:r>
          </w:p>
          <w:p>
            <w:pPr>
              <w:pStyle w:val="63"/>
            </w:pPr>
            <w:r>
              <w:t>制造</w:t>
            </w:r>
          </w:p>
        </w:tc>
        <w:tc>
          <w:tcPr>
            <w:tcW w:w="398" w:type="pct"/>
            <w:vAlign w:val="center"/>
          </w:tcPr>
          <w:p>
            <w:pPr>
              <w:pStyle w:val="63"/>
            </w:pPr>
            <w:r>
              <w:t>电：50万度/年</w:t>
            </w:r>
          </w:p>
        </w:tc>
        <w:tc>
          <w:tcPr>
            <w:tcW w:w="335" w:type="pct"/>
            <w:vAlign w:val="center"/>
          </w:tcPr>
          <w:p>
            <w:pPr>
              <w:pStyle w:val="63"/>
            </w:pPr>
            <w:r>
              <w:t>0.036</w:t>
            </w:r>
          </w:p>
        </w:tc>
        <w:tc>
          <w:tcPr>
            <w:tcW w:w="456" w:type="pct"/>
            <w:vAlign w:val="center"/>
          </w:tcPr>
          <w:p>
            <w:pPr>
              <w:pStyle w:val="63"/>
            </w:pPr>
            <w:r>
              <w:t>COD：0.013</w:t>
            </w:r>
          </w:p>
          <w:p>
            <w:pPr>
              <w:pStyle w:val="63"/>
              <w:rPr>
                <w:kern w:val="0"/>
              </w:rPr>
            </w:pPr>
            <w:r>
              <w:rPr>
                <w:kern w:val="0"/>
              </w:rPr>
              <w:t>氨氮：0.125</w:t>
            </w:r>
          </w:p>
        </w:tc>
        <w:tc>
          <w:tcPr>
            <w:tcW w:w="324" w:type="pct"/>
            <w:vAlign w:val="center"/>
          </w:tcPr>
          <w:p>
            <w:pPr>
              <w:pStyle w:val="63"/>
            </w:pPr>
            <w:r>
              <w:t>/</w:t>
            </w:r>
          </w:p>
        </w:tc>
        <w:tc>
          <w:tcPr>
            <w:tcW w:w="545" w:type="pct"/>
            <w:vAlign w:val="center"/>
          </w:tcPr>
          <w:p>
            <w:pPr>
              <w:pStyle w:val="63"/>
            </w:pPr>
            <w:r>
              <w:t>漆雾：0.78</w:t>
            </w:r>
          </w:p>
          <w:p>
            <w:pPr>
              <w:pStyle w:val="63"/>
            </w:pPr>
            <w:r>
              <w:t>VOCS：0.069</w:t>
            </w:r>
          </w:p>
        </w:tc>
        <w:tc>
          <w:tcPr>
            <w:tcW w:w="391" w:type="pct"/>
            <w:vAlign w:val="center"/>
          </w:tcPr>
          <w:p>
            <w:pPr>
              <w:pStyle w:val="63"/>
            </w:pPr>
            <w:r>
              <w:t>11.3</w:t>
            </w:r>
          </w:p>
        </w:tc>
        <w:tc>
          <w:tcPr>
            <w:tcW w:w="736" w:type="pct"/>
            <w:vAlign w:val="center"/>
          </w:tcPr>
          <w:p>
            <w:pPr>
              <w:pStyle w:val="63"/>
            </w:pPr>
            <w:r>
              <w:t>二甲苯、VOCs：过滤棉+光催化氧化+活性炭装置+15米高排气筒（P2）达标排放生活污水：改良三级化粪池+大浦污水处理厂</w:t>
            </w:r>
          </w:p>
        </w:tc>
        <w:tc>
          <w:tcPr>
            <w:tcW w:w="203" w:type="pct"/>
            <w:vAlign w:val="center"/>
          </w:tcPr>
          <w:p>
            <w:pPr>
              <w:pStyle w:val="63"/>
            </w:pPr>
            <w:r>
              <w:t>运行</w:t>
            </w:r>
          </w:p>
        </w:tc>
      </w:tr>
    </w:tbl>
    <w:p>
      <w:pPr>
        <w:rPr>
          <w:rFonts w:ascii="Times New Roman" w:hAnsi="Times New Roman" w:cs="Times New Roman"/>
        </w:rPr>
        <w:sectPr>
          <w:pgSz w:w="16838" w:h="11906" w:orient="landscape"/>
          <w:pgMar w:top="1800" w:right="1440" w:bottom="1800" w:left="1440" w:header="851" w:footer="992" w:gutter="0"/>
          <w:cols w:space="425" w:num="1"/>
          <w:docGrid w:type="lines" w:linePitch="326" w:charSpace="0"/>
        </w:sectPr>
      </w:pPr>
    </w:p>
    <w:p>
      <w:pPr>
        <w:pStyle w:val="2"/>
        <w:spacing w:before="156" w:after="156"/>
        <w:rPr>
          <w:rFonts w:ascii="Times New Roman" w:hAnsi="Times New Roman" w:cs="Times New Roman"/>
        </w:rPr>
      </w:pPr>
      <w:bookmarkStart w:id="237" w:name="_Toc144236784"/>
      <w:bookmarkStart w:id="238" w:name="_Toc144276914"/>
      <w:bookmarkStart w:id="239" w:name="_Toc147848032"/>
      <w:r>
        <w:rPr>
          <w:rFonts w:ascii="Times New Roman" w:hAnsi="Times New Roman" w:cs="Times New Roman"/>
        </w:rPr>
        <w:t>第5章 环境质量现状调查与评价</w:t>
      </w:r>
      <w:bookmarkEnd w:id="237"/>
      <w:bookmarkEnd w:id="238"/>
      <w:bookmarkEnd w:id="239"/>
    </w:p>
    <w:p>
      <w:pPr>
        <w:pStyle w:val="3"/>
        <w:rPr>
          <w:rFonts w:ascii="Times New Roman" w:hAnsi="Times New Roman" w:cs="Times New Roman" w:eastAsiaTheme="minorEastAsia"/>
        </w:rPr>
      </w:pPr>
      <w:bookmarkStart w:id="240" w:name="_Toc144236785"/>
      <w:bookmarkStart w:id="241" w:name="_Toc147848033"/>
      <w:bookmarkStart w:id="242" w:name="_Toc144276915"/>
      <w:r>
        <w:rPr>
          <w:rFonts w:ascii="Times New Roman" w:hAnsi="Times New Roman" w:cs="Times New Roman" w:eastAsiaTheme="minorEastAsia"/>
        </w:rPr>
        <w:t>5.1 环境空气质量现状监测与评价</w:t>
      </w:r>
      <w:bookmarkEnd w:id="240"/>
      <w:bookmarkEnd w:id="241"/>
      <w:bookmarkEnd w:id="242"/>
    </w:p>
    <w:p>
      <w:pPr>
        <w:pStyle w:val="4"/>
        <w:rPr>
          <w:rFonts w:ascii="Times New Roman" w:hAnsi="Times New Roman" w:cs="Times New Roman"/>
        </w:rPr>
      </w:pPr>
      <w:bookmarkStart w:id="243" w:name="_Toc144236786"/>
      <w:bookmarkStart w:id="244" w:name="_Toc144276916"/>
      <w:bookmarkStart w:id="245" w:name="_Toc147848034"/>
      <w:r>
        <w:rPr>
          <w:rFonts w:ascii="Times New Roman" w:hAnsi="Times New Roman" w:cs="Times New Roman"/>
        </w:rPr>
        <w:t>5.1.1 空气质量达标性分析</w:t>
      </w:r>
      <w:bookmarkEnd w:id="243"/>
      <w:bookmarkEnd w:id="244"/>
      <w:bookmarkEnd w:id="245"/>
    </w:p>
    <w:p>
      <w:pPr>
        <w:spacing w:line="360" w:lineRule="auto"/>
        <w:ind w:firstLine="480" w:firstLineChars="200"/>
        <w:rPr>
          <w:rFonts w:ascii="Times New Roman" w:hAnsi="Times New Roman" w:cs="Times New Roman"/>
        </w:rPr>
      </w:pPr>
      <w:r>
        <w:rPr>
          <w:rFonts w:ascii="Times New Roman" w:hAnsi="Times New Roman" w:cs="Times New Roman"/>
        </w:rPr>
        <w:t>根据衡阳市生态环境局发布的《关于2022年12月及1-12月全市环境质量状况的通报》，衡东县2022年城市环境空气质量达标情况如下表5.1-1。</w:t>
      </w:r>
    </w:p>
    <w:p>
      <w:pPr>
        <w:pStyle w:val="6"/>
        <w:rPr>
          <w:rFonts w:ascii="Times New Roman" w:hAnsi="Times New Roman" w:cs="Times New Roman"/>
        </w:rPr>
      </w:pPr>
      <w:r>
        <w:rPr>
          <w:rFonts w:ascii="Times New Roman" w:hAnsi="Times New Roman" w:cs="Times New Roman"/>
        </w:rPr>
        <w:t>表5.1-1  衡东县常规空气质量现状评价表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56"/>
        <w:gridCol w:w="2142"/>
        <w:gridCol w:w="1813"/>
        <w:gridCol w:w="1650"/>
        <w:gridCol w:w="176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678" w:type="pct"/>
            <w:tcBorders>
              <w:right w:val="single" w:color="auto" w:sz="4" w:space="0"/>
            </w:tcBorders>
            <w:vAlign w:val="center"/>
          </w:tcPr>
          <w:p>
            <w:pPr>
              <w:pStyle w:val="63"/>
            </w:pPr>
            <w:r>
              <w:t>污染物</w:t>
            </w:r>
          </w:p>
        </w:tc>
        <w:tc>
          <w:tcPr>
            <w:tcW w:w="1257" w:type="pct"/>
            <w:tcBorders>
              <w:left w:val="single" w:color="auto" w:sz="4" w:space="0"/>
              <w:right w:val="single" w:color="auto" w:sz="4" w:space="0"/>
            </w:tcBorders>
            <w:vAlign w:val="center"/>
          </w:tcPr>
          <w:p>
            <w:pPr>
              <w:pStyle w:val="63"/>
            </w:pPr>
            <w:r>
              <w:t>年评价指标</w:t>
            </w:r>
          </w:p>
        </w:tc>
        <w:tc>
          <w:tcPr>
            <w:tcW w:w="1064" w:type="pct"/>
            <w:tcBorders>
              <w:left w:val="single" w:color="auto" w:sz="4" w:space="0"/>
              <w:right w:val="single" w:color="auto" w:sz="4" w:space="0"/>
            </w:tcBorders>
            <w:vAlign w:val="center"/>
          </w:tcPr>
          <w:p>
            <w:pPr>
              <w:pStyle w:val="63"/>
            </w:pPr>
            <w:r>
              <w:t>现状浓度</w:t>
            </w:r>
          </w:p>
          <w:p>
            <w:pPr>
              <w:pStyle w:val="63"/>
            </w:pPr>
            <w:r>
              <w:t>µg/m3</w:t>
            </w:r>
          </w:p>
        </w:tc>
        <w:tc>
          <w:tcPr>
            <w:tcW w:w="968" w:type="pct"/>
            <w:tcBorders>
              <w:left w:val="single" w:color="auto" w:sz="4" w:space="0"/>
            </w:tcBorders>
            <w:vAlign w:val="center"/>
          </w:tcPr>
          <w:p>
            <w:pPr>
              <w:pStyle w:val="63"/>
            </w:pPr>
            <w:r>
              <w:t>标准值</w:t>
            </w:r>
          </w:p>
          <w:p>
            <w:pPr>
              <w:pStyle w:val="63"/>
            </w:pPr>
            <w:r>
              <w:t>µg/m3</w:t>
            </w:r>
          </w:p>
        </w:tc>
        <w:tc>
          <w:tcPr>
            <w:tcW w:w="1033" w:type="pct"/>
            <w:tcBorders>
              <w:left w:val="single" w:color="auto" w:sz="4" w:space="0"/>
            </w:tcBorders>
            <w:vAlign w:val="center"/>
          </w:tcPr>
          <w:p>
            <w:pPr>
              <w:pStyle w:val="63"/>
            </w:pPr>
            <w:r>
              <w:t>达标情况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678" w:type="pct"/>
            <w:tcBorders>
              <w:right w:val="single" w:color="auto" w:sz="4" w:space="0"/>
            </w:tcBorders>
            <w:vAlign w:val="center"/>
          </w:tcPr>
          <w:p>
            <w:pPr>
              <w:pStyle w:val="63"/>
            </w:pPr>
            <w:r>
              <w:t>SO</w:t>
            </w:r>
            <w:r>
              <w:rPr>
                <w:vertAlign w:val="subscript"/>
              </w:rPr>
              <w:t>2</w:t>
            </w:r>
          </w:p>
        </w:tc>
        <w:tc>
          <w:tcPr>
            <w:tcW w:w="1257" w:type="pct"/>
            <w:tcBorders>
              <w:left w:val="single" w:color="auto" w:sz="4" w:space="0"/>
              <w:right w:val="single" w:color="auto" w:sz="4" w:space="0"/>
            </w:tcBorders>
            <w:vAlign w:val="center"/>
          </w:tcPr>
          <w:p>
            <w:pPr>
              <w:pStyle w:val="63"/>
            </w:pPr>
            <w:r>
              <w:t>年平均质量浓度</w:t>
            </w:r>
          </w:p>
        </w:tc>
        <w:tc>
          <w:tcPr>
            <w:tcW w:w="1064" w:type="pct"/>
            <w:tcBorders>
              <w:left w:val="single" w:color="auto" w:sz="4" w:space="0"/>
              <w:right w:val="single" w:color="auto" w:sz="4" w:space="0"/>
            </w:tcBorders>
            <w:vAlign w:val="center"/>
          </w:tcPr>
          <w:p>
            <w:pPr>
              <w:pStyle w:val="63"/>
            </w:pPr>
            <w:r>
              <w:t>7</w:t>
            </w:r>
          </w:p>
        </w:tc>
        <w:tc>
          <w:tcPr>
            <w:tcW w:w="968" w:type="pct"/>
            <w:tcBorders>
              <w:left w:val="single" w:color="auto" w:sz="4" w:space="0"/>
            </w:tcBorders>
            <w:vAlign w:val="center"/>
          </w:tcPr>
          <w:p>
            <w:pPr>
              <w:pStyle w:val="63"/>
            </w:pPr>
            <w:r>
              <w:t>60</w:t>
            </w:r>
          </w:p>
        </w:tc>
        <w:tc>
          <w:tcPr>
            <w:tcW w:w="1033" w:type="pct"/>
            <w:tcBorders>
              <w:left w:val="single" w:color="auto" w:sz="4" w:space="0"/>
            </w:tcBorders>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678" w:type="pct"/>
            <w:tcBorders>
              <w:right w:val="single" w:color="auto" w:sz="4" w:space="0"/>
            </w:tcBorders>
            <w:vAlign w:val="center"/>
          </w:tcPr>
          <w:p>
            <w:pPr>
              <w:pStyle w:val="63"/>
            </w:pPr>
            <w:r>
              <w:t>NO</w:t>
            </w:r>
            <w:r>
              <w:rPr>
                <w:vertAlign w:val="subscript"/>
              </w:rPr>
              <w:t>2</w:t>
            </w:r>
          </w:p>
        </w:tc>
        <w:tc>
          <w:tcPr>
            <w:tcW w:w="1257" w:type="pct"/>
            <w:tcBorders>
              <w:left w:val="single" w:color="auto" w:sz="4" w:space="0"/>
              <w:right w:val="single" w:color="auto" w:sz="4" w:space="0"/>
            </w:tcBorders>
            <w:vAlign w:val="center"/>
          </w:tcPr>
          <w:p>
            <w:pPr>
              <w:pStyle w:val="63"/>
            </w:pPr>
            <w:r>
              <w:t>年平均质量浓度</w:t>
            </w:r>
          </w:p>
        </w:tc>
        <w:tc>
          <w:tcPr>
            <w:tcW w:w="1064" w:type="pct"/>
            <w:tcBorders>
              <w:left w:val="single" w:color="auto" w:sz="4" w:space="0"/>
              <w:right w:val="single" w:color="auto" w:sz="4" w:space="0"/>
            </w:tcBorders>
            <w:vAlign w:val="center"/>
          </w:tcPr>
          <w:p>
            <w:pPr>
              <w:pStyle w:val="63"/>
            </w:pPr>
            <w:r>
              <w:t>9</w:t>
            </w:r>
          </w:p>
        </w:tc>
        <w:tc>
          <w:tcPr>
            <w:tcW w:w="968" w:type="pct"/>
            <w:tcBorders>
              <w:left w:val="single" w:color="auto" w:sz="4" w:space="0"/>
            </w:tcBorders>
            <w:vAlign w:val="center"/>
          </w:tcPr>
          <w:p>
            <w:pPr>
              <w:pStyle w:val="63"/>
            </w:pPr>
            <w:r>
              <w:t>40</w:t>
            </w:r>
          </w:p>
        </w:tc>
        <w:tc>
          <w:tcPr>
            <w:tcW w:w="1033" w:type="pct"/>
            <w:tcBorders>
              <w:left w:val="single" w:color="auto" w:sz="4" w:space="0"/>
            </w:tcBorders>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678" w:type="pct"/>
            <w:tcBorders>
              <w:right w:val="single" w:color="auto" w:sz="4" w:space="0"/>
            </w:tcBorders>
            <w:vAlign w:val="center"/>
          </w:tcPr>
          <w:p>
            <w:pPr>
              <w:pStyle w:val="63"/>
            </w:pPr>
            <w:r>
              <w:t>PM</w:t>
            </w:r>
            <w:r>
              <w:rPr>
                <w:vertAlign w:val="subscript"/>
              </w:rPr>
              <w:t>10</w:t>
            </w:r>
          </w:p>
        </w:tc>
        <w:tc>
          <w:tcPr>
            <w:tcW w:w="1257" w:type="pct"/>
            <w:tcBorders>
              <w:left w:val="single" w:color="auto" w:sz="4" w:space="0"/>
              <w:right w:val="single" w:color="auto" w:sz="4" w:space="0"/>
            </w:tcBorders>
            <w:vAlign w:val="center"/>
          </w:tcPr>
          <w:p>
            <w:pPr>
              <w:pStyle w:val="63"/>
            </w:pPr>
            <w:r>
              <w:t>年平均质量浓度</w:t>
            </w:r>
          </w:p>
        </w:tc>
        <w:tc>
          <w:tcPr>
            <w:tcW w:w="1064" w:type="pct"/>
            <w:tcBorders>
              <w:left w:val="single" w:color="auto" w:sz="4" w:space="0"/>
              <w:right w:val="single" w:color="auto" w:sz="4" w:space="0"/>
            </w:tcBorders>
            <w:vAlign w:val="center"/>
          </w:tcPr>
          <w:p>
            <w:pPr>
              <w:pStyle w:val="63"/>
            </w:pPr>
            <w:r>
              <w:t>44</w:t>
            </w:r>
          </w:p>
        </w:tc>
        <w:tc>
          <w:tcPr>
            <w:tcW w:w="968" w:type="pct"/>
            <w:tcBorders>
              <w:left w:val="single" w:color="auto" w:sz="4" w:space="0"/>
            </w:tcBorders>
            <w:vAlign w:val="center"/>
          </w:tcPr>
          <w:p>
            <w:pPr>
              <w:pStyle w:val="63"/>
            </w:pPr>
            <w:r>
              <w:t>70</w:t>
            </w:r>
          </w:p>
        </w:tc>
        <w:tc>
          <w:tcPr>
            <w:tcW w:w="1033" w:type="pct"/>
            <w:tcBorders>
              <w:left w:val="single" w:color="auto" w:sz="4" w:space="0"/>
            </w:tcBorders>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678" w:type="pct"/>
            <w:tcBorders>
              <w:right w:val="single" w:color="auto" w:sz="4" w:space="0"/>
            </w:tcBorders>
            <w:vAlign w:val="center"/>
          </w:tcPr>
          <w:p>
            <w:pPr>
              <w:pStyle w:val="63"/>
            </w:pPr>
            <w:r>
              <w:t>PM</w:t>
            </w:r>
            <w:r>
              <w:rPr>
                <w:vertAlign w:val="subscript"/>
              </w:rPr>
              <w:t>2.5</w:t>
            </w:r>
          </w:p>
        </w:tc>
        <w:tc>
          <w:tcPr>
            <w:tcW w:w="1257" w:type="pct"/>
            <w:tcBorders>
              <w:left w:val="single" w:color="auto" w:sz="4" w:space="0"/>
              <w:right w:val="single" w:color="auto" w:sz="4" w:space="0"/>
            </w:tcBorders>
            <w:vAlign w:val="center"/>
          </w:tcPr>
          <w:p>
            <w:pPr>
              <w:pStyle w:val="63"/>
            </w:pPr>
            <w:r>
              <w:t>年平均质量浓度</w:t>
            </w:r>
          </w:p>
        </w:tc>
        <w:tc>
          <w:tcPr>
            <w:tcW w:w="1064" w:type="pct"/>
            <w:tcBorders>
              <w:left w:val="single" w:color="auto" w:sz="4" w:space="0"/>
              <w:right w:val="single" w:color="auto" w:sz="4" w:space="0"/>
            </w:tcBorders>
            <w:vAlign w:val="center"/>
          </w:tcPr>
          <w:p>
            <w:pPr>
              <w:pStyle w:val="63"/>
            </w:pPr>
            <w:r>
              <w:t>31</w:t>
            </w:r>
          </w:p>
        </w:tc>
        <w:tc>
          <w:tcPr>
            <w:tcW w:w="968" w:type="pct"/>
            <w:tcBorders>
              <w:left w:val="single" w:color="auto" w:sz="4" w:space="0"/>
            </w:tcBorders>
            <w:vAlign w:val="center"/>
          </w:tcPr>
          <w:p>
            <w:pPr>
              <w:pStyle w:val="63"/>
            </w:pPr>
            <w:r>
              <w:t>35</w:t>
            </w:r>
          </w:p>
        </w:tc>
        <w:tc>
          <w:tcPr>
            <w:tcW w:w="1033" w:type="pct"/>
            <w:tcBorders>
              <w:left w:val="single" w:color="auto" w:sz="4" w:space="0"/>
            </w:tcBorders>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678" w:type="pct"/>
            <w:tcBorders>
              <w:right w:val="single" w:color="auto" w:sz="4" w:space="0"/>
            </w:tcBorders>
            <w:vAlign w:val="center"/>
          </w:tcPr>
          <w:p>
            <w:pPr>
              <w:pStyle w:val="63"/>
            </w:pPr>
            <w:r>
              <w:t>CO</w:t>
            </w:r>
          </w:p>
        </w:tc>
        <w:tc>
          <w:tcPr>
            <w:tcW w:w="1257" w:type="pct"/>
            <w:tcBorders>
              <w:left w:val="single" w:color="auto" w:sz="4" w:space="0"/>
              <w:right w:val="single" w:color="auto" w:sz="4" w:space="0"/>
            </w:tcBorders>
            <w:vAlign w:val="center"/>
          </w:tcPr>
          <w:p>
            <w:pPr>
              <w:pStyle w:val="63"/>
            </w:pPr>
            <w:r>
              <w:t>95百分位日平均</w:t>
            </w:r>
          </w:p>
        </w:tc>
        <w:tc>
          <w:tcPr>
            <w:tcW w:w="1064" w:type="pct"/>
            <w:tcBorders>
              <w:left w:val="single" w:color="auto" w:sz="4" w:space="0"/>
              <w:right w:val="single" w:color="auto" w:sz="4" w:space="0"/>
            </w:tcBorders>
            <w:vAlign w:val="center"/>
          </w:tcPr>
          <w:p>
            <w:pPr>
              <w:pStyle w:val="63"/>
            </w:pPr>
            <w:r>
              <w:t>1.0</w:t>
            </w:r>
          </w:p>
        </w:tc>
        <w:tc>
          <w:tcPr>
            <w:tcW w:w="968" w:type="pct"/>
            <w:tcBorders>
              <w:left w:val="single" w:color="auto" w:sz="4" w:space="0"/>
            </w:tcBorders>
            <w:vAlign w:val="center"/>
          </w:tcPr>
          <w:p>
            <w:pPr>
              <w:pStyle w:val="63"/>
            </w:pPr>
            <w:r>
              <w:t>4000</w:t>
            </w:r>
          </w:p>
        </w:tc>
        <w:tc>
          <w:tcPr>
            <w:tcW w:w="1033" w:type="pct"/>
            <w:tcBorders>
              <w:left w:val="single" w:color="auto" w:sz="4" w:space="0"/>
            </w:tcBorders>
            <w:vAlign w:val="center"/>
          </w:tcPr>
          <w:p>
            <w:pPr>
              <w:pStyle w:val="63"/>
            </w:pPr>
            <w: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678" w:type="pct"/>
            <w:tcBorders>
              <w:right w:val="single" w:color="auto" w:sz="4" w:space="0"/>
            </w:tcBorders>
            <w:vAlign w:val="center"/>
          </w:tcPr>
          <w:p>
            <w:pPr>
              <w:pStyle w:val="63"/>
            </w:pPr>
            <w:r>
              <w:t>O</w:t>
            </w:r>
            <w:r>
              <w:rPr>
                <w:vertAlign w:val="subscript"/>
              </w:rPr>
              <w:t>3</w:t>
            </w:r>
          </w:p>
        </w:tc>
        <w:tc>
          <w:tcPr>
            <w:tcW w:w="1257" w:type="pct"/>
            <w:tcBorders>
              <w:left w:val="single" w:color="auto" w:sz="4" w:space="0"/>
              <w:right w:val="single" w:color="auto" w:sz="4" w:space="0"/>
            </w:tcBorders>
            <w:vAlign w:val="center"/>
          </w:tcPr>
          <w:p>
            <w:pPr>
              <w:pStyle w:val="63"/>
            </w:pPr>
            <w:r>
              <w:t>90百分位8h平均</w:t>
            </w:r>
          </w:p>
        </w:tc>
        <w:tc>
          <w:tcPr>
            <w:tcW w:w="1064" w:type="pct"/>
            <w:tcBorders>
              <w:left w:val="single" w:color="auto" w:sz="4" w:space="0"/>
              <w:right w:val="single" w:color="auto" w:sz="4" w:space="0"/>
            </w:tcBorders>
            <w:vAlign w:val="center"/>
          </w:tcPr>
          <w:p>
            <w:pPr>
              <w:pStyle w:val="63"/>
            </w:pPr>
            <w:r>
              <w:t>144</w:t>
            </w:r>
          </w:p>
        </w:tc>
        <w:tc>
          <w:tcPr>
            <w:tcW w:w="968" w:type="pct"/>
            <w:tcBorders>
              <w:left w:val="single" w:color="auto" w:sz="4" w:space="0"/>
            </w:tcBorders>
            <w:vAlign w:val="center"/>
          </w:tcPr>
          <w:p>
            <w:pPr>
              <w:pStyle w:val="63"/>
            </w:pPr>
            <w:r>
              <w:t>160</w:t>
            </w:r>
          </w:p>
        </w:tc>
        <w:tc>
          <w:tcPr>
            <w:tcW w:w="1033" w:type="pct"/>
            <w:tcBorders>
              <w:left w:val="single" w:color="auto" w:sz="4" w:space="0"/>
            </w:tcBorders>
            <w:vAlign w:val="center"/>
          </w:tcPr>
          <w:p>
            <w:pPr>
              <w:pStyle w:val="63"/>
            </w:pPr>
            <w:r>
              <w:t>达标</w:t>
            </w:r>
          </w:p>
        </w:tc>
      </w:tr>
    </w:tbl>
    <w:p>
      <w:pPr>
        <w:spacing w:line="360" w:lineRule="auto"/>
        <w:ind w:firstLine="480" w:firstLineChars="200"/>
        <w:rPr>
          <w:rFonts w:ascii="Times New Roman" w:hAnsi="Times New Roman" w:cs="Times New Roman"/>
        </w:rPr>
      </w:pPr>
      <w:r>
        <w:rPr>
          <w:rFonts w:ascii="Times New Roman" w:hAnsi="Times New Roman" w:cs="Times New Roman"/>
        </w:rPr>
        <w:t>由上表可知，2022年衡东县环境空气中SO</w:t>
      </w:r>
      <w:r>
        <w:rPr>
          <w:rFonts w:ascii="Times New Roman" w:hAnsi="Times New Roman" w:cs="Times New Roman"/>
          <w:vertAlign w:val="subscript"/>
        </w:rPr>
        <w:t>2</w:t>
      </w:r>
      <w:r>
        <w:rPr>
          <w:rFonts w:ascii="Times New Roman" w:hAnsi="Times New Roman" w:cs="Times New Roman"/>
        </w:rPr>
        <w:t>、NO</w:t>
      </w:r>
      <w:r>
        <w:rPr>
          <w:rFonts w:ascii="Times New Roman" w:hAnsi="Times New Roman" w:cs="Times New Roman"/>
          <w:vertAlign w:val="subscript"/>
        </w:rPr>
        <w:t>2</w:t>
      </w:r>
      <w:r>
        <w:rPr>
          <w:rFonts w:ascii="Times New Roman" w:hAnsi="Times New Roman" w:cs="Times New Roman"/>
        </w:rPr>
        <w:t>、PM</w:t>
      </w:r>
      <w:r>
        <w:rPr>
          <w:rFonts w:ascii="Times New Roman" w:hAnsi="Times New Roman" w:cs="Times New Roman"/>
          <w:vertAlign w:val="subscript"/>
        </w:rPr>
        <w:t>10</w:t>
      </w:r>
      <w:r>
        <w:rPr>
          <w:rFonts w:ascii="Times New Roman" w:hAnsi="Times New Roman" w:cs="Times New Roman"/>
        </w:rPr>
        <w:t>、PM</w:t>
      </w:r>
      <w:r>
        <w:rPr>
          <w:rFonts w:ascii="Times New Roman" w:hAnsi="Times New Roman" w:cs="Times New Roman"/>
          <w:vertAlign w:val="subscript"/>
        </w:rPr>
        <w:t>2.5</w:t>
      </w:r>
      <w:r>
        <w:rPr>
          <w:rFonts w:ascii="Times New Roman" w:hAnsi="Times New Roman" w:cs="Times New Roman"/>
        </w:rPr>
        <w:t>年均浓度，CO日均值（第95百分位浓度）、O</w:t>
      </w:r>
      <w:r>
        <w:rPr>
          <w:rFonts w:ascii="Times New Roman" w:hAnsi="Times New Roman" w:cs="Times New Roman"/>
          <w:vertAlign w:val="subscript"/>
        </w:rPr>
        <w:t>3</w:t>
      </w:r>
      <w:r>
        <w:rPr>
          <w:rFonts w:ascii="Times New Roman" w:hAnsi="Times New Roman" w:cs="Times New Roman"/>
        </w:rPr>
        <w:t>日最大8h平均值（第90百分位浓度）均达到《环境空气质量标准》二级标准限值要求，因此衡东县属于环境空气达标区。</w:t>
      </w:r>
    </w:p>
    <w:p>
      <w:pPr>
        <w:pStyle w:val="4"/>
        <w:rPr>
          <w:rFonts w:ascii="Times New Roman" w:hAnsi="Times New Roman" w:cs="Times New Roman"/>
        </w:rPr>
      </w:pPr>
      <w:bookmarkStart w:id="246" w:name="_Toc144236787"/>
      <w:bookmarkStart w:id="247" w:name="_Toc144276917"/>
      <w:bookmarkStart w:id="248" w:name="_Toc147848035"/>
      <w:r>
        <w:rPr>
          <w:rFonts w:ascii="Times New Roman" w:hAnsi="Times New Roman" w:cs="Times New Roman"/>
        </w:rPr>
        <w:t>5.1.2 现状监测</w:t>
      </w:r>
      <w:bookmarkEnd w:id="246"/>
      <w:bookmarkEnd w:id="247"/>
      <w:bookmarkEnd w:id="248"/>
    </w:p>
    <w:p>
      <w:pPr>
        <w:spacing w:line="360" w:lineRule="auto"/>
        <w:ind w:firstLine="480" w:firstLineChars="200"/>
        <w:rPr>
          <w:rFonts w:ascii="Times New Roman" w:hAnsi="Times New Roman" w:cs="Times New Roman"/>
        </w:rPr>
      </w:pPr>
      <w:r>
        <w:rPr>
          <w:rFonts w:ascii="Times New Roman" w:hAnsi="Times New Roman" w:cs="Times New Roman"/>
        </w:rPr>
        <w:t>（1）监测点位基本信息</w:t>
      </w:r>
    </w:p>
    <w:p>
      <w:pPr>
        <w:pStyle w:val="6"/>
        <w:rPr>
          <w:rFonts w:ascii="Times New Roman" w:hAnsi="Times New Roman" w:cs="Times New Roman"/>
        </w:rPr>
      </w:pPr>
      <w:r>
        <w:rPr>
          <w:rFonts w:ascii="Times New Roman" w:hAnsi="Times New Roman" w:cs="Times New Roman"/>
        </w:rPr>
        <w:t>表5.1-2  监测点位基本信息</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20"/>
        <w:gridCol w:w="2074"/>
        <w:gridCol w:w="1505"/>
        <w:gridCol w:w="2059"/>
        <w:gridCol w:w="196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40" w:type="pct"/>
            <w:vMerge w:val="restart"/>
            <w:vAlign w:val="center"/>
          </w:tcPr>
          <w:p>
            <w:pPr>
              <w:pStyle w:val="63"/>
            </w:pPr>
            <w:r>
              <w:t>编号</w:t>
            </w:r>
          </w:p>
        </w:tc>
        <w:tc>
          <w:tcPr>
            <w:tcW w:w="1217" w:type="pct"/>
            <w:vMerge w:val="restart"/>
            <w:vAlign w:val="center"/>
          </w:tcPr>
          <w:p>
            <w:pPr>
              <w:pStyle w:val="63"/>
            </w:pPr>
            <w:r>
              <w:t>监测点位</w:t>
            </w:r>
          </w:p>
        </w:tc>
        <w:tc>
          <w:tcPr>
            <w:tcW w:w="3243" w:type="pct"/>
            <w:gridSpan w:val="3"/>
            <w:vAlign w:val="center"/>
          </w:tcPr>
          <w:p>
            <w:pPr>
              <w:pStyle w:val="63"/>
            </w:pPr>
            <w:r>
              <w:t>监测因子与监测频率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40" w:type="pct"/>
            <w:vMerge w:val="continue"/>
            <w:vAlign w:val="center"/>
          </w:tcPr>
          <w:p>
            <w:pPr>
              <w:pStyle w:val="63"/>
            </w:pPr>
          </w:p>
        </w:tc>
        <w:tc>
          <w:tcPr>
            <w:tcW w:w="1217" w:type="pct"/>
            <w:vMerge w:val="continue"/>
            <w:vAlign w:val="center"/>
          </w:tcPr>
          <w:p>
            <w:pPr>
              <w:pStyle w:val="63"/>
            </w:pPr>
          </w:p>
        </w:tc>
        <w:tc>
          <w:tcPr>
            <w:tcW w:w="883" w:type="pct"/>
            <w:vAlign w:val="center"/>
          </w:tcPr>
          <w:p>
            <w:pPr>
              <w:pStyle w:val="63"/>
            </w:pPr>
            <w:r>
              <w:t>一次浓度</w:t>
            </w:r>
          </w:p>
        </w:tc>
        <w:tc>
          <w:tcPr>
            <w:tcW w:w="1208" w:type="pct"/>
            <w:vAlign w:val="center"/>
          </w:tcPr>
          <w:p>
            <w:pPr>
              <w:pStyle w:val="63"/>
            </w:pPr>
            <w:r>
              <w:t>小时均值</w:t>
            </w:r>
          </w:p>
        </w:tc>
        <w:tc>
          <w:tcPr>
            <w:tcW w:w="1152" w:type="pct"/>
            <w:vAlign w:val="center"/>
          </w:tcPr>
          <w:p>
            <w:pPr>
              <w:pStyle w:val="63"/>
            </w:pPr>
            <w:r>
              <w:t>日均值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0" w:type="pct"/>
            <w:vAlign w:val="center"/>
          </w:tcPr>
          <w:p>
            <w:pPr>
              <w:pStyle w:val="63"/>
            </w:pPr>
            <w:r>
              <w:t>G1</w:t>
            </w:r>
          </w:p>
        </w:tc>
        <w:tc>
          <w:tcPr>
            <w:tcW w:w="1217" w:type="pct"/>
            <w:vAlign w:val="center"/>
          </w:tcPr>
          <w:p>
            <w:pPr>
              <w:pStyle w:val="63"/>
            </w:pPr>
            <w:r>
              <w:t>永宁村（彭家屋场）</w:t>
            </w:r>
          </w:p>
        </w:tc>
        <w:tc>
          <w:tcPr>
            <w:tcW w:w="883" w:type="pct"/>
            <w:vMerge w:val="restart"/>
            <w:vAlign w:val="center"/>
          </w:tcPr>
          <w:p>
            <w:pPr>
              <w:pStyle w:val="63"/>
              <w:rPr>
                <w:kern w:val="0"/>
              </w:rPr>
            </w:pPr>
            <w:r>
              <w:rPr>
                <w:kern w:val="0"/>
                <w:szCs w:val="24"/>
              </w:rPr>
              <w:t>臭气浓度</w:t>
            </w:r>
          </w:p>
        </w:tc>
        <w:tc>
          <w:tcPr>
            <w:tcW w:w="1208" w:type="pct"/>
            <w:vMerge w:val="restart"/>
            <w:vAlign w:val="center"/>
          </w:tcPr>
          <w:p>
            <w:pPr>
              <w:pStyle w:val="63"/>
            </w:pPr>
            <w:r>
              <w:rPr>
                <w:kern w:val="0"/>
                <w:szCs w:val="24"/>
              </w:rPr>
              <w:t>H</w:t>
            </w:r>
            <w:r>
              <w:rPr>
                <w:kern w:val="0"/>
                <w:szCs w:val="24"/>
                <w:vertAlign w:val="subscript"/>
              </w:rPr>
              <w:t>2</w:t>
            </w:r>
            <w:r>
              <w:rPr>
                <w:kern w:val="0"/>
                <w:szCs w:val="24"/>
              </w:rPr>
              <w:t>S、NH</w:t>
            </w:r>
            <w:r>
              <w:rPr>
                <w:kern w:val="0"/>
                <w:szCs w:val="24"/>
                <w:vertAlign w:val="subscript"/>
              </w:rPr>
              <w:t>3</w:t>
            </w:r>
            <w:r>
              <w:rPr>
                <w:kern w:val="0"/>
                <w:szCs w:val="24"/>
              </w:rPr>
              <w:t>、TVOC、氟化物、硫酸雾、HCl</w:t>
            </w:r>
          </w:p>
        </w:tc>
        <w:tc>
          <w:tcPr>
            <w:tcW w:w="1152" w:type="pct"/>
            <w:vMerge w:val="restart"/>
            <w:vAlign w:val="center"/>
          </w:tcPr>
          <w:p>
            <w:pPr>
              <w:pStyle w:val="63"/>
            </w:pPr>
            <w:r>
              <w:rPr>
                <w:kern w:val="0"/>
              </w:rPr>
              <w:t>TSP、镍及其化合物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0" w:type="pct"/>
            <w:vAlign w:val="center"/>
          </w:tcPr>
          <w:p>
            <w:pPr>
              <w:pStyle w:val="63"/>
            </w:pPr>
            <w:r>
              <w:t>G2</w:t>
            </w:r>
          </w:p>
        </w:tc>
        <w:tc>
          <w:tcPr>
            <w:tcW w:w="1217" w:type="pct"/>
            <w:vAlign w:val="center"/>
          </w:tcPr>
          <w:p>
            <w:pPr>
              <w:pStyle w:val="63"/>
            </w:pPr>
            <w:r>
              <w:t>大浦镇</w:t>
            </w:r>
          </w:p>
        </w:tc>
        <w:tc>
          <w:tcPr>
            <w:tcW w:w="883" w:type="pct"/>
            <w:vMerge w:val="continue"/>
            <w:vAlign w:val="center"/>
          </w:tcPr>
          <w:p>
            <w:pPr>
              <w:pStyle w:val="63"/>
              <w:rPr>
                <w:kern w:val="0"/>
              </w:rPr>
            </w:pPr>
          </w:p>
        </w:tc>
        <w:tc>
          <w:tcPr>
            <w:tcW w:w="1208" w:type="pct"/>
            <w:vMerge w:val="continue"/>
            <w:vAlign w:val="center"/>
          </w:tcPr>
          <w:p>
            <w:pPr>
              <w:pStyle w:val="63"/>
            </w:pPr>
          </w:p>
        </w:tc>
        <w:tc>
          <w:tcPr>
            <w:tcW w:w="1152"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0" w:type="pct"/>
            <w:vAlign w:val="center"/>
          </w:tcPr>
          <w:p>
            <w:pPr>
              <w:pStyle w:val="63"/>
            </w:pPr>
            <w:r>
              <w:t>G3</w:t>
            </w:r>
          </w:p>
        </w:tc>
        <w:tc>
          <w:tcPr>
            <w:tcW w:w="1217" w:type="pct"/>
            <w:vAlign w:val="center"/>
          </w:tcPr>
          <w:p>
            <w:pPr>
              <w:pStyle w:val="63"/>
              <w:jc w:val="both"/>
            </w:pPr>
            <w:r>
              <w:t>管委会东侧居民点猪头湾北侧</w:t>
            </w:r>
          </w:p>
        </w:tc>
        <w:tc>
          <w:tcPr>
            <w:tcW w:w="883" w:type="pct"/>
            <w:vAlign w:val="center"/>
          </w:tcPr>
          <w:p>
            <w:pPr>
              <w:pStyle w:val="63"/>
              <w:rPr>
                <w:kern w:val="0"/>
              </w:rPr>
            </w:pPr>
            <w:r>
              <w:t>臭气浓度</w:t>
            </w:r>
          </w:p>
        </w:tc>
        <w:tc>
          <w:tcPr>
            <w:tcW w:w="1208" w:type="pct"/>
            <w:vAlign w:val="center"/>
          </w:tcPr>
          <w:p>
            <w:pPr>
              <w:pStyle w:val="63"/>
            </w:pPr>
            <w:r>
              <w:t>硫化氢、氨、TVOC、氟化物</w:t>
            </w:r>
          </w:p>
        </w:tc>
        <w:tc>
          <w:tcPr>
            <w:tcW w:w="1152" w:type="pct"/>
            <w:vAlign w:val="center"/>
          </w:tcPr>
          <w:p>
            <w:pPr>
              <w:pStyle w:val="63"/>
            </w:pPr>
            <w:r>
              <w:t>TSP、镍及其化合物、*钴及其化合</w:t>
            </w:r>
          </w:p>
          <w:p>
            <w:pPr>
              <w:pStyle w:val="63"/>
            </w:pPr>
            <w:r>
              <w:t>物、锰及其化合物、</w:t>
            </w:r>
          </w:p>
        </w:tc>
      </w:tr>
    </w:tbl>
    <w:p>
      <w:pPr>
        <w:spacing w:line="360" w:lineRule="auto"/>
        <w:ind w:firstLine="480" w:firstLineChars="200"/>
        <w:rPr>
          <w:rFonts w:ascii="Times New Roman" w:hAnsi="Times New Roman" w:cs="Times New Roman"/>
        </w:rPr>
      </w:pPr>
      <w:r>
        <w:rPr>
          <w:rFonts w:ascii="Times New Roman" w:hAnsi="Times New Roman" w:cs="Times New Roman"/>
        </w:rPr>
        <w:t>（2）监测时间、频次</w:t>
      </w:r>
    </w:p>
    <w:p>
      <w:pPr>
        <w:spacing w:line="360" w:lineRule="auto"/>
        <w:ind w:firstLine="480" w:firstLineChars="200"/>
        <w:rPr>
          <w:rFonts w:ascii="Times New Roman" w:hAnsi="Times New Roman" w:cs="Times New Roman"/>
        </w:rPr>
      </w:pPr>
      <w:r>
        <w:rPr>
          <w:rFonts w:ascii="Times New Roman" w:hAnsi="Times New Roman" w:cs="Times New Roman"/>
        </w:rPr>
        <w:t>G1、G2监测时间为2022年11月12日-2022年11月18日；G3监测时间为2023年3月20日-2023年3月26日。</w:t>
      </w:r>
    </w:p>
    <w:p>
      <w:pPr>
        <w:spacing w:line="360" w:lineRule="auto"/>
        <w:ind w:firstLine="480" w:firstLineChars="200"/>
        <w:rPr>
          <w:rFonts w:ascii="Times New Roman" w:hAnsi="Times New Roman" w:cs="Times New Roman"/>
        </w:rPr>
      </w:pPr>
      <w:r>
        <w:rPr>
          <w:rFonts w:ascii="Times New Roman" w:hAnsi="Times New Roman" w:cs="Times New Roman"/>
        </w:rPr>
        <w:t>（3）监测单位：</w:t>
      </w:r>
    </w:p>
    <w:p>
      <w:pPr>
        <w:spacing w:line="360" w:lineRule="auto"/>
        <w:ind w:firstLine="480" w:firstLineChars="200"/>
        <w:rPr>
          <w:rFonts w:ascii="Times New Roman" w:hAnsi="Times New Roman" w:cs="Times New Roman"/>
        </w:rPr>
      </w:pPr>
      <w:r>
        <w:rPr>
          <w:rFonts w:ascii="Times New Roman" w:hAnsi="Times New Roman" w:cs="Times New Roman"/>
        </w:rPr>
        <w:t>湖南桓泓检测技术有限公司</w:t>
      </w:r>
    </w:p>
    <w:p>
      <w:pPr>
        <w:spacing w:line="360" w:lineRule="auto"/>
        <w:ind w:firstLine="480" w:firstLineChars="200"/>
        <w:rPr>
          <w:rFonts w:ascii="Times New Roman" w:hAnsi="Times New Roman" w:cs="Times New Roman"/>
        </w:rPr>
      </w:pPr>
      <w:r>
        <w:rPr>
          <w:rFonts w:ascii="Times New Roman" w:hAnsi="Times New Roman" w:cs="Times New Roman"/>
        </w:rPr>
        <w:t>（4）气象情况：</w:t>
      </w:r>
    </w:p>
    <w:p>
      <w:pPr>
        <w:spacing w:line="360" w:lineRule="auto"/>
        <w:ind w:firstLine="480" w:firstLineChars="200"/>
        <w:rPr>
          <w:rFonts w:ascii="Times New Roman" w:hAnsi="Times New Roman" w:cs="Times New Roman"/>
        </w:rPr>
      </w:pPr>
      <w:r>
        <w:rPr>
          <w:rFonts w:ascii="Times New Roman" w:hAnsi="Times New Roman" w:cs="Times New Roman"/>
        </w:rPr>
        <w:t>监测期间气象情况见下表所示。</w:t>
      </w:r>
    </w:p>
    <w:p>
      <w:pPr>
        <w:pStyle w:val="6"/>
        <w:rPr>
          <w:rFonts w:ascii="Times New Roman" w:hAnsi="Times New Roman" w:cs="Times New Roman"/>
        </w:rPr>
      </w:pPr>
      <w:r>
        <w:rPr>
          <w:rFonts w:ascii="Times New Roman" w:hAnsi="Times New Roman" w:cs="Times New Roman"/>
        </w:rPr>
        <w:t>表5.1-3  G1、G2监测期间气象条件</w:t>
      </w:r>
    </w:p>
    <w:tbl>
      <w:tblPr>
        <w:tblStyle w:val="35"/>
        <w:tblW w:w="499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09"/>
        <w:gridCol w:w="1220"/>
        <w:gridCol w:w="1216"/>
        <w:gridCol w:w="1216"/>
        <w:gridCol w:w="1216"/>
        <w:gridCol w:w="1216"/>
        <w:gridCol w:w="12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vAlign w:val="center"/>
          </w:tcPr>
          <w:p>
            <w:pPr>
              <w:pStyle w:val="63"/>
            </w:pPr>
            <w:r>
              <w:t>采样日期</w:t>
            </w:r>
          </w:p>
        </w:tc>
        <w:tc>
          <w:tcPr>
            <w:tcW w:w="717" w:type="pct"/>
            <w:vAlign w:val="center"/>
          </w:tcPr>
          <w:p>
            <w:pPr>
              <w:pStyle w:val="63"/>
            </w:pPr>
            <w:r>
              <w:t>天气</w:t>
            </w:r>
          </w:p>
        </w:tc>
        <w:tc>
          <w:tcPr>
            <w:tcW w:w="714" w:type="pct"/>
            <w:vAlign w:val="center"/>
          </w:tcPr>
          <w:p>
            <w:pPr>
              <w:pStyle w:val="63"/>
            </w:pPr>
            <w:r>
              <w:t>气温（</w:t>
            </w:r>
            <w:r>
              <w:rPr>
                <w:rFonts w:hint="eastAsia" w:ascii="宋体" w:hAnsi="宋体" w:eastAsia="宋体" w:cs="宋体"/>
              </w:rPr>
              <w:t>℃</w:t>
            </w:r>
            <w:r>
              <w:t>）</w:t>
            </w:r>
          </w:p>
        </w:tc>
        <w:tc>
          <w:tcPr>
            <w:tcW w:w="714" w:type="pct"/>
            <w:vAlign w:val="center"/>
          </w:tcPr>
          <w:p>
            <w:pPr>
              <w:pStyle w:val="63"/>
            </w:pPr>
            <w:r>
              <w:t>风向</w:t>
            </w:r>
          </w:p>
        </w:tc>
        <w:tc>
          <w:tcPr>
            <w:tcW w:w="714" w:type="pct"/>
            <w:vAlign w:val="center"/>
          </w:tcPr>
          <w:p>
            <w:pPr>
              <w:pStyle w:val="63"/>
            </w:pPr>
            <w:r>
              <w:t>风速（m/s）</w:t>
            </w:r>
          </w:p>
        </w:tc>
        <w:tc>
          <w:tcPr>
            <w:tcW w:w="714" w:type="pct"/>
            <w:vAlign w:val="center"/>
          </w:tcPr>
          <w:p>
            <w:pPr>
              <w:pStyle w:val="63"/>
            </w:pPr>
            <w:r>
              <w:t>气压（kPa）</w:t>
            </w:r>
          </w:p>
        </w:tc>
        <w:tc>
          <w:tcPr>
            <w:tcW w:w="716" w:type="pct"/>
            <w:vAlign w:val="center"/>
          </w:tcPr>
          <w:p>
            <w:pPr>
              <w:pStyle w:val="63"/>
            </w:pPr>
            <w:r>
              <w:t>湿度（%）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vAlign w:val="center"/>
          </w:tcPr>
          <w:p>
            <w:pPr>
              <w:pStyle w:val="63"/>
            </w:pPr>
            <w:r>
              <w:rPr>
                <w:rFonts w:hint="eastAsia"/>
              </w:rPr>
              <w:t>2022.11.12</w:t>
            </w:r>
          </w:p>
        </w:tc>
        <w:tc>
          <w:tcPr>
            <w:tcW w:w="717" w:type="pct"/>
            <w:vAlign w:val="center"/>
          </w:tcPr>
          <w:p>
            <w:pPr>
              <w:pStyle w:val="63"/>
            </w:pPr>
            <w:r>
              <w:t>晴</w:t>
            </w:r>
          </w:p>
        </w:tc>
        <w:tc>
          <w:tcPr>
            <w:tcW w:w="714" w:type="pct"/>
            <w:vAlign w:val="center"/>
          </w:tcPr>
          <w:p>
            <w:pPr>
              <w:pStyle w:val="63"/>
            </w:pPr>
            <w:r>
              <w:t>26~34</w:t>
            </w:r>
          </w:p>
        </w:tc>
        <w:tc>
          <w:tcPr>
            <w:tcW w:w="714" w:type="pct"/>
            <w:vAlign w:val="center"/>
          </w:tcPr>
          <w:p>
            <w:pPr>
              <w:pStyle w:val="63"/>
            </w:pPr>
            <w:r>
              <w:t>东南</w:t>
            </w:r>
          </w:p>
        </w:tc>
        <w:tc>
          <w:tcPr>
            <w:tcW w:w="714" w:type="pct"/>
            <w:vAlign w:val="center"/>
          </w:tcPr>
          <w:p>
            <w:pPr>
              <w:pStyle w:val="63"/>
            </w:pPr>
            <w:r>
              <w:t>1.6</w:t>
            </w:r>
          </w:p>
        </w:tc>
        <w:tc>
          <w:tcPr>
            <w:tcW w:w="714" w:type="pct"/>
            <w:vAlign w:val="center"/>
          </w:tcPr>
          <w:p>
            <w:pPr>
              <w:pStyle w:val="63"/>
            </w:pPr>
            <w:r>
              <w:t>100.2</w:t>
            </w:r>
          </w:p>
        </w:tc>
        <w:tc>
          <w:tcPr>
            <w:tcW w:w="716" w:type="pct"/>
            <w:vAlign w:val="center"/>
          </w:tcPr>
          <w:p>
            <w:pPr>
              <w:pStyle w:val="63"/>
            </w:pPr>
            <w:r>
              <w:t>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vAlign w:val="center"/>
          </w:tcPr>
          <w:p>
            <w:pPr>
              <w:pStyle w:val="63"/>
            </w:pPr>
            <w:r>
              <w:rPr>
                <w:rFonts w:hint="eastAsia"/>
              </w:rPr>
              <w:t>2022.11.13</w:t>
            </w:r>
          </w:p>
        </w:tc>
        <w:tc>
          <w:tcPr>
            <w:tcW w:w="717" w:type="pct"/>
            <w:vAlign w:val="center"/>
          </w:tcPr>
          <w:p>
            <w:pPr>
              <w:pStyle w:val="63"/>
            </w:pPr>
            <w:r>
              <w:t>晴</w:t>
            </w:r>
          </w:p>
        </w:tc>
        <w:tc>
          <w:tcPr>
            <w:tcW w:w="714" w:type="pct"/>
            <w:vAlign w:val="center"/>
          </w:tcPr>
          <w:p>
            <w:pPr>
              <w:pStyle w:val="63"/>
            </w:pPr>
            <w:r>
              <w:t>25~35</w:t>
            </w:r>
          </w:p>
        </w:tc>
        <w:tc>
          <w:tcPr>
            <w:tcW w:w="714" w:type="pct"/>
            <w:vAlign w:val="center"/>
          </w:tcPr>
          <w:p>
            <w:pPr>
              <w:pStyle w:val="63"/>
            </w:pPr>
            <w:r>
              <w:t>东南</w:t>
            </w:r>
          </w:p>
        </w:tc>
        <w:tc>
          <w:tcPr>
            <w:tcW w:w="714" w:type="pct"/>
            <w:vAlign w:val="center"/>
          </w:tcPr>
          <w:p>
            <w:pPr>
              <w:pStyle w:val="63"/>
            </w:pPr>
            <w:r>
              <w:t>1.9</w:t>
            </w:r>
          </w:p>
        </w:tc>
        <w:tc>
          <w:tcPr>
            <w:tcW w:w="714" w:type="pct"/>
            <w:vAlign w:val="center"/>
          </w:tcPr>
          <w:p>
            <w:pPr>
              <w:pStyle w:val="63"/>
            </w:pPr>
            <w:r>
              <w:t>100.1</w:t>
            </w:r>
          </w:p>
        </w:tc>
        <w:tc>
          <w:tcPr>
            <w:tcW w:w="716" w:type="pct"/>
            <w:vAlign w:val="center"/>
          </w:tcPr>
          <w:p>
            <w:pPr>
              <w:pStyle w:val="63"/>
            </w:pPr>
            <w: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vAlign w:val="center"/>
          </w:tcPr>
          <w:p>
            <w:pPr>
              <w:pStyle w:val="63"/>
            </w:pPr>
            <w:r>
              <w:rPr>
                <w:rFonts w:hint="eastAsia"/>
              </w:rPr>
              <w:t>2022.11.14</w:t>
            </w:r>
          </w:p>
        </w:tc>
        <w:tc>
          <w:tcPr>
            <w:tcW w:w="717" w:type="pct"/>
            <w:vAlign w:val="center"/>
          </w:tcPr>
          <w:p>
            <w:pPr>
              <w:pStyle w:val="63"/>
            </w:pPr>
            <w:r>
              <w:t>晴</w:t>
            </w:r>
          </w:p>
        </w:tc>
        <w:tc>
          <w:tcPr>
            <w:tcW w:w="714" w:type="pct"/>
            <w:vAlign w:val="center"/>
          </w:tcPr>
          <w:p>
            <w:pPr>
              <w:pStyle w:val="63"/>
            </w:pPr>
            <w:r>
              <w:t>24~33</w:t>
            </w:r>
          </w:p>
        </w:tc>
        <w:tc>
          <w:tcPr>
            <w:tcW w:w="714" w:type="pct"/>
            <w:vAlign w:val="center"/>
          </w:tcPr>
          <w:p>
            <w:pPr>
              <w:pStyle w:val="63"/>
            </w:pPr>
            <w:r>
              <w:t>东南</w:t>
            </w:r>
          </w:p>
        </w:tc>
        <w:tc>
          <w:tcPr>
            <w:tcW w:w="714" w:type="pct"/>
            <w:vAlign w:val="center"/>
          </w:tcPr>
          <w:p>
            <w:pPr>
              <w:pStyle w:val="63"/>
            </w:pPr>
            <w:r>
              <w:t>1.8</w:t>
            </w:r>
          </w:p>
        </w:tc>
        <w:tc>
          <w:tcPr>
            <w:tcW w:w="714" w:type="pct"/>
            <w:vAlign w:val="center"/>
          </w:tcPr>
          <w:p>
            <w:pPr>
              <w:pStyle w:val="63"/>
            </w:pPr>
            <w:r>
              <w:t>100.3</w:t>
            </w:r>
          </w:p>
        </w:tc>
        <w:tc>
          <w:tcPr>
            <w:tcW w:w="716" w:type="pct"/>
            <w:vAlign w:val="center"/>
          </w:tcPr>
          <w:p>
            <w:pPr>
              <w:pStyle w:val="63"/>
            </w:pPr>
            <w:r>
              <w:t>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vAlign w:val="center"/>
          </w:tcPr>
          <w:p>
            <w:pPr>
              <w:pStyle w:val="63"/>
            </w:pPr>
            <w:r>
              <w:rPr>
                <w:rFonts w:hint="eastAsia"/>
              </w:rPr>
              <w:t>2022.11.15</w:t>
            </w:r>
          </w:p>
        </w:tc>
        <w:tc>
          <w:tcPr>
            <w:tcW w:w="717" w:type="pct"/>
            <w:vAlign w:val="center"/>
          </w:tcPr>
          <w:p>
            <w:pPr>
              <w:pStyle w:val="63"/>
            </w:pPr>
            <w:r>
              <w:t>晴</w:t>
            </w:r>
          </w:p>
        </w:tc>
        <w:tc>
          <w:tcPr>
            <w:tcW w:w="714" w:type="pct"/>
            <w:vAlign w:val="center"/>
          </w:tcPr>
          <w:p>
            <w:pPr>
              <w:pStyle w:val="63"/>
            </w:pPr>
            <w:r>
              <w:t>27~35</w:t>
            </w:r>
          </w:p>
        </w:tc>
        <w:tc>
          <w:tcPr>
            <w:tcW w:w="714" w:type="pct"/>
            <w:vAlign w:val="center"/>
          </w:tcPr>
          <w:p>
            <w:pPr>
              <w:pStyle w:val="63"/>
            </w:pPr>
            <w:r>
              <w:t>东南</w:t>
            </w:r>
          </w:p>
        </w:tc>
        <w:tc>
          <w:tcPr>
            <w:tcW w:w="714" w:type="pct"/>
            <w:vAlign w:val="center"/>
          </w:tcPr>
          <w:p>
            <w:pPr>
              <w:pStyle w:val="63"/>
            </w:pPr>
            <w:r>
              <w:t>1.6</w:t>
            </w:r>
          </w:p>
        </w:tc>
        <w:tc>
          <w:tcPr>
            <w:tcW w:w="714" w:type="pct"/>
            <w:vAlign w:val="center"/>
          </w:tcPr>
          <w:p>
            <w:pPr>
              <w:pStyle w:val="63"/>
            </w:pPr>
            <w:r>
              <w:t>100.3</w:t>
            </w:r>
          </w:p>
        </w:tc>
        <w:tc>
          <w:tcPr>
            <w:tcW w:w="716" w:type="pct"/>
            <w:vAlign w:val="center"/>
          </w:tcPr>
          <w:p>
            <w:pPr>
              <w:pStyle w:val="63"/>
            </w:pPr>
            <w:r>
              <w:t>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vAlign w:val="center"/>
          </w:tcPr>
          <w:p>
            <w:pPr>
              <w:pStyle w:val="63"/>
            </w:pPr>
            <w:r>
              <w:rPr>
                <w:rFonts w:hint="eastAsia"/>
              </w:rPr>
              <w:t>2022.11.16</w:t>
            </w:r>
          </w:p>
        </w:tc>
        <w:tc>
          <w:tcPr>
            <w:tcW w:w="717" w:type="pct"/>
            <w:vAlign w:val="center"/>
          </w:tcPr>
          <w:p>
            <w:pPr>
              <w:pStyle w:val="63"/>
            </w:pPr>
            <w:r>
              <w:t>晴</w:t>
            </w:r>
          </w:p>
        </w:tc>
        <w:tc>
          <w:tcPr>
            <w:tcW w:w="714" w:type="pct"/>
            <w:vAlign w:val="center"/>
          </w:tcPr>
          <w:p>
            <w:pPr>
              <w:pStyle w:val="63"/>
            </w:pPr>
            <w:r>
              <w:t>26~33</w:t>
            </w:r>
          </w:p>
        </w:tc>
        <w:tc>
          <w:tcPr>
            <w:tcW w:w="714" w:type="pct"/>
            <w:vAlign w:val="center"/>
          </w:tcPr>
          <w:p>
            <w:pPr>
              <w:pStyle w:val="63"/>
            </w:pPr>
            <w:r>
              <w:t>东南</w:t>
            </w:r>
          </w:p>
        </w:tc>
        <w:tc>
          <w:tcPr>
            <w:tcW w:w="714" w:type="pct"/>
            <w:vAlign w:val="center"/>
          </w:tcPr>
          <w:p>
            <w:pPr>
              <w:pStyle w:val="63"/>
            </w:pPr>
            <w:r>
              <w:t>1.6</w:t>
            </w:r>
          </w:p>
        </w:tc>
        <w:tc>
          <w:tcPr>
            <w:tcW w:w="714" w:type="pct"/>
            <w:vAlign w:val="center"/>
          </w:tcPr>
          <w:p>
            <w:pPr>
              <w:pStyle w:val="63"/>
            </w:pPr>
            <w:r>
              <w:t>100.1</w:t>
            </w:r>
          </w:p>
        </w:tc>
        <w:tc>
          <w:tcPr>
            <w:tcW w:w="716" w:type="pct"/>
            <w:vAlign w:val="center"/>
          </w:tcPr>
          <w:p>
            <w:pPr>
              <w:pStyle w:val="63"/>
            </w:pPr>
            <w:r>
              <w:t>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711" w:type="pct"/>
            <w:vAlign w:val="center"/>
          </w:tcPr>
          <w:p>
            <w:pPr>
              <w:pStyle w:val="63"/>
            </w:pPr>
            <w:r>
              <w:rPr>
                <w:rFonts w:hint="eastAsia"/>
              </w:rPr>
              <w:t>2022.11.17</w:t>
            </w:r>
          </w:p>
        </w:tc>
        <w:tc>
          <w:tcPr>
            <w:tcW w:w="717" w:type="pct"/>
            <w:vAlign w:val="center"/>
          </w:tcPr>
          <w:p>
            <w:pPr>
              <w:pStyle w:val="63"/>
            </w:pPr>
            <w:r>
              <w:t>晴</w:t>
            </w:r>
          </w:p>
        </w:tc>
        <w:tc>
          <w:tcPr>
            <w:tcW w:w="714" w:type="pct"/>
            <w:vAlign w:val="center"/>
          </w:tcPr>
          <w:p>
            <w:pPr>
              <w:pStyle w:val="63"/>
            </w:pPr>
            <w:r>
              <w:t>25~34</w:t>
            </w:r>
          </w:p>
        </w:tc>
        <w:tc>
          <w:tcPr>
            <w:tcW w:w="714" w:type="pct"/>
            <w:vAlign w:val="center"/>
          </w:tcPr>
          <w:p>
            <w:pPr>
              <w:pStyle w:val="63"/>
            </w:pPr>
            <w:r>
              <w:t>东南</w:t>
            </w:r>
          </w:p>
        </w:tc>
        <w:tc>
          <w:tcPr>
            <w:tcW w:w="714" w:type="pct"/>
            <w:vAlign w:val="center"/>
          </w:tcPr>
          <w:p>
            <w:pPr>
              <w:pStyle w:val="63"/>
            </w:pPr>
            <w:r>
              <w:t>1.6</w:t>
            </w:r>
          </w:p>
        </w:tc>
        <w:tc>
          <w:tcPr>
            <w:tcW w:w="714" w:type="pct"/>
            <w:vAlign w:val="center"/>
          </w:tcPr>
          <w:p>
            <w:pPr>
              <w:pStyle w:val="63"/>
            </w:pPr>
            <w:r>
              <w:t>100.2</w:t>
            </w:r>
          </w:p>
        </w:tc>
        <w:tc>
          <w:tcPr>
            <w:tcW w:w="716" w:type="pct"/>
            <w:vAlign w:val="center"/>
          </w:tcPr>
          <w:p>
            <w:pPr>
              <w:pStyle w:val="63"/>
            </w:pPr>
            <w:r>
              <w:t>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1" w:type="pct"/>
            <w:vAlign w:val="center"/>
          </w:tcPr>
          <w:p>
            <w:pPr>
              <w:pStyle w:val="63"/>
            </w:pPr>
            <w:r>
              <w:rPr>
                <w:rFonts w:hint="eastAsia"/>
              </w:rPr>
              <w:t>2022.11.18</w:t>
            </w:r>
          </w:p>
        </w:tc>
        <w:tc>
          <w:tcPr>
            <w:tcW w:w="717" w:type="pct"/>
            <w:vAlign w:val="center"/>
          </w:tcPr>
          <w:p>
            <w:pPr>
              <w:pStyle w:val="63"/>
            </w:pPr>
            <w:r>
              <w:t>晴</w:t>
            </w:r>
          </w:p>
        </w:tc>
        <w:tc>
          <w:tcPr>
            <w:tcW w:w="714" w:type="pct"/>
            <w:vAlign w:val="center"/>
          </w:tcPr>
          <w:p>
            <w:pPr>
              <w:pStyle w:val="63"/>
            </w:pPr>
            <w:r>
              <w:t>24~33</w:t>
            </w:r>
          </w:p>
        </w:tc>
        <w:tc>
          <w:tcPr>
            <w:tcW w:w="714" w:type="pct"/>
            <w:vAlign w:val="center"/>
          </w:tcPr>
          <w:p>
            <w:pPr>
              <w:pStyle w:val="63"/>
            </w:pPr>
            <w:r>
              <w:t>东南</w:t>
            </w:r>
          </w:p>
        </w:tc>
        <w:tc>
          <w:tcPr>
            <w:tcW w:w="714" w:type="pct"/>
            <w:vAlign w:val="center"/>
          </w:tcPr>
          <w:p>
            <w:pPr>
              <w:pStyle w:val="63"/>
            </w:pPr>
            <w:r>
              <w:t>1.3</w:t>
            </w:r>
          </w:p>
        </w:tc>
        <w:tc>
          <w:tcPr>
            <w:tcW w:w="714" w:type="pct"/>
            <w:vAlign w:val="center"/>
          </w:tcPr>
          <w:p>
            <w:pPr>
              <w:pStyle w:val="63"/>
            </w:pPr>
            <w:r>
              <w:t>100.1</w:t>
            </w:r>
          </w:p>
        </w:tc>
        <w:tc>
          <w:tcPr>
            <w:tcW w:w="716" w:type="pct"/>
            <w:vAlign w:val="center"/>
          </w:tcPr>
          <w:p>
            <w:pPr>
              <w:pStyle w:val="63"/>
            </w:pPr>
            <w:r>
              <w:t>58</w:t>
            </w:r>
          </w:p>
        </w:tc>
      </w:tr>
    </w:tbl>
    <w:p>
      <w:pPr>
        <w:pStyle w:val="6"/>
        <w:rPr>
          <w:rFonts w:ascii="Times New Roman" w:hAnsi="Times New Roman" w:cs="Times New Roman"/>
        </w:rPr>
      </w:pPr>
      <w:r>
        <w:rPr>
          <w:rFonts w:ascii="Times New Roman" w:hAnsi="Times New Roman" w:cs="Times New Roman"/>
        </w:rPr>
        <w:t>表5.1-4  G3监测期间气象条件</w:t>
      </w:r>
    </w:p>
    <w:tbl>
      <w:tblPr>
        <w:tblStyle w:val="35"/>
        <w:tblW w:w="499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15"/>
        <w:gridCol w:w="1215"/>
        <w:gridCol w:w="1215"/>
        <w:gridCol w:w="1216"/>
        <w:gridCol w:w="1216"/>
        <w:gridCol w:w="1216"/>
        <w:gridCol w:w="12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4" w:type="pct"/>
            <w:vAlign w:val="center"/>
          </w:tcPr>
          <w:p>
            <w:pPr>
              <w:pStyle w:val="63"/>
            </w:pPr>
            <w:r>
              <w:t>采样日期</w:t>
            </w:r>
          </w:p>
        </w:tc>
        <w:tc>
          <w:tcPr>
            <w:tcW w:w="714" w:type="pct"/>
            <w:vAlign w:val="center"/>
          </w:tcPr>
          <w:p>
            <w:pPr>
              <w:pStyle w:val="63"/>
            </w:pPr>
            <w:r>
              <w:t>天气</w:t>
            </w:r>
          </w:p>
        </w:tc>
        <w:tc>
          <w:tcPr>
            <w:tcW w:w="714" w:type="pct"/>
            <w:vAlign w:val="center"/>
          </w:tcPr>
          <w:p>
            <w:pPr>
              <w:pStyle w:val="63"/>
            </w:pPr>
            <w:r>
              <w:t>气温（</w:t>
            </w:r>
            <w:r>
              <w:rPr>
                <w:rFonts w:hint="eastAsia" w:ascii="宋体" w:hAnsi="宋体" w:eastAsia="宋体" w:cs="宋体"/>
              </w:rPr>
              <w:t>℃</w:t>
            </w:r>
            <w:r>
              <w:t>）</w:t>
            </w:r>
          </w:p>
        </w:tc>
        <w:tc>
          <w:tcPr>
            <w:tcW w:w="714" w:type="pct"/>
            <w:vAlign w:val="center"/>
          </w:tcPr>
          <w:p>
            <w:pPr>
              <w:pStyle w:val="63"/>
            </w:pPr>
            <w:r>
              <w:t>风向</w:t>
            </w:r>
          </w:p>
        </w:tc>
        <w:tc>
          <w:tcPr>
            <w:tcW w:w="714" w:type="pct"/>
            <w:vAlign w:val="center"/>
          </w:tcPr>
          <w:p>
            <w:pPr>
              <w:pStyle w:val="63"/>
            </w:pPr>
            <w:r>
              <w:t>风速（m/s）</w:t>
            </w:r>
          </w:p>
        </w:tc>
        <w:tc>
          <w:tcPr>
            <w:tcW w:w="714" w:type="pct"/>
            <w:vAlign w:val="center"/>
          </w:tcPr>
          <w:p>
            <w:pPr>
              <w:pStyle w:val="63"/>
            </w:pPr>
            <w:r>
              <w:t>气压（kPa）</w:t>
            </w:r>
          </w:p>
        </w:tc>
        <w:tc>
          <w:tcPr>
            <w:tcW w:w="716" w:type="pct"/>
            <w:vAlign w:val="center"/>
          </w:tcPr>
          <w:p>
            <w:pPr>
              <w:pStyle w:val="63"/>
            </w:pPr>
            <w:r>
              <w:t>湿度（%）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4" w:type="pct"/>
            <w:vAlign w:val="center"/>
          </w:tcPr>
          <w:p>
            <w:pPr>
              <w:pStyle w:val="63"/>
            </w:pPr>
            <w:r>
              <w:t>2023.3.20</w:t>
            </w:r>
          </w:p>
        </w:tc>
        <w:tc>
          <w:tcPr>
            <w:tcW w:w="714" w:type="pct"/>
            <w:vAlign w:val="center"/>
          </w:tcPr>
          <w:p>
            <w:pPr>
              <w:pStyle w:val="63"/>
            </w:pPr>
            <w:r>
              <w:t>阴</w:t>
            </w:r>
          </w:p>
        </w:tc>
        <w:tc>
          <w:tcPr>
            <w:tcW w:w="714" w:type="pct"/>
            <w:vAlign w:val="center"/>
          </w:tcPr>
          <w:p>
            <w:pPr>
              <w:pStyle w:val="63"/>
            </w:pPr>
            <w:r>
              <w:t>15.9</w:t>
            </w:r>
          </w:p>
        </w:tc>
        <w:tc>
          <w:tcPr>
            <w:tcW w:w="714" w:type="pct"/>
            <w:vAlign w:val="center"/>
          </w:tcPr>
          <w:p>
            <w:pPr>
              <w:pStyle w:val="63"/>
            </w:pPr>
            <w:r>
              <w:t>北</w:t>
            </w:r>
          </w:p>
        </w:tc>
        <w:tc>
          <w:tcPr>
            <w:tcW w:w="714" w:type="pct"/>
            <w:vAlign w:val="center"/>
          </w:tcPr>
          <w:p>
            <w:pPr>
              <w:pStyle w:val="63"/>
            </w:pPr>
            <w:r>
              <w:t>1.3</w:t>
            </w:r>
          </w:p>
        </w:tc>
        <w:tc>
          <w:tcPr>
            <w:tcW w:w="714" w:type="pct"/>
            <w:vAlign w:val="center"/>
          </w:tcPr>
          <w:p>
            <w:pPr>
              <w:pStyle w:val="63"/>
            </w:pPr>
            <w:r>
              <w:t>100.5</w:t>
            </w:r>
          </w:p>
        </w:tc>
        <w:tc>
          <w:tcPr>
            <w:tcW w:w="716" w:type="pct"/>
            <w:vAlign w:val="center"/>
          </w:tcPr>
          <w:p>
            <w:pPr>
              <w:pStyle w:val="63"/>
            </w:pPr>
            <w:r>
              <w:t>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4" w:type="pct"/>
            <w:vAlign w:val="center"/>
          </w:tcPr>
          <w:p>
            <w:pPr>
              <w:pStyle w:val="63"/>
            </w:pPr>
            <w:r>
              <w:t>2023.3.21</w:t>
            </w:r>
          </w:p>
        </w:tc>
        <w:tc>
          <w:tcPr>
            <w:tcW w:w="714" w:type="pct"/>
            <w:vAlign w:val="center"/>
          </w:tcPr>
          <w:p>
            <w:pPr>
              <w:pStyle w:val="63"/>
            </w:pPr>
            <w:r>
              <w:t>阴</w:t>
            </w:r>
          </w:p>
        </w:tc>
        <w:tc>
          <w:tcPr>
            <w:tcW w:w="714" w:type="pct"/>
            <w:vAlign w:val="center"/>
          </w:tcPr>
          <w:p>
            <w:pPr>
              <w:pStyle w:val="63"/>
            </w:pPr>
            <w:r>
              <w:t>13.6</w:t>
            </w:r>
          </w:p>
        </w:tc>
        <w:tc>
          <w:tcPr>
            <w:tcW w:w="714" w:type="pct"/>
            <w:vAlign w:val="center"/>
          </w:tcPr>
          <w:p>
            <w:pPr>
              <w:pStyle w:val="63"/>
            </w:pPr>
            <w:r>
              <w:t>东北</w:t>
            </w:r>
          </w:p>
        </w:tc>
        <w:tc>
          <w:tcPr>
            <w:tcW w:w="714" w:type="pct"/>
            <w:vAlign w:val="center"/>
          </w:tcPr>
          <w:p>
            <w:pPr>
              <w:pStyle w:val="63"/>
            </w:pPr>
            <w:r>
              <w:t>1.8</w:t>
            </w:r>
          </w:p>
        </w:tc>
        <w:tc>
          <w:tcPr>
            <w:tcW w:w="714" w:type="pct"/>
            <w:vAlign w:val="center"/>
          </w:tcPr>
          <w:p>
            <w:pPr>
              <w:pStyle w:val="63"/>
            </w:pPr>
            <w:r>
              <w:t>100.7</w:t>
            </w:r>
          </w:p>
        </w:tc>
        <w:tc>
          <w:tcPr>
            <w:tcW w:w="716" w:type="pct"/>
            <w:vAlign w:val="center"/>
          </w:tcPr>
          <w:p>
            <w:pPr>
              <w:pStyle w:val="63"/>
            </w:pPr>
            <w: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4" w:type="pct"/>
            <w:vAlign w:val="center"/>
          </w:tcPr>
          <w:p>
            <w:pPr>
              <w:pStyle w:val="63"/>
            </w:pPr>
            <w:r>
              <w:t>2023.3.22</w:t>
            </w:r>
          </w:p>
        </w:tc>
        <w:tc>
          <w:tcPr>
            <w:tcW w:w="714" w:type="pct"/>
            <w:vAlign w:val="center"/>
          </w:tcPr>
          <w:p>
            <w:pPr>
              <w:pStyle w:val="63"/>
            </w:pPr>
            <w:r>
              <w:t>阴</w:t>
            </w:r>
          </w:p>
        </w:tc>
        <w:tc>
          <w:tcPr>
            <w:tcW w:w="714" w:type="pct"/>
            <w:vAlign w:val="center"/>
          </w:tcPr>
          <w:p>
            <w:pPr>
              <w:pStyle w:val="63"/>
            </w:pPr>
            <w:r>
              <w:t>11.5</w:t>
            </w:r>
          </w:p>
        </w:tc>
        <w:tc>
          <w:tcPr>
            <w:tcW w:w="714" w:type="pct"/>
            <w:vAlign w:val="center"/>
          </w:tcPr>
          <w:p>
            <w:pPr>
              <w:pStyle w:val="63"/>
            </w:pPr>
            <w:r>
              <w:t>北</w:t>
            </w:r>
          </w:p>
        </w:tc>
        <w:tc>
          <w:tcPr>
            <w:tcW w:w="714" w:type="pct"/>
            <w:vAlign w:val="center"/>
          </w:tcPr>
          <w:p>
            <w:pPr>
              <w:pStyle w:val="63"/>
            </w:pPr>
            <w:r>
              <w:t>1.1</w:t>
            </w:r>
          </w:p>
        </w:tc>
        <w:tc>
          <w:tcPr>
            <w:tcW w:w="714" w:type="pct"/>
            <w:vAlign w:val="center"/>
          </w:tcPr>
          <w:p>
            <w:pPr>
              <w:pStyle w:val="63"/>
            </w:pPr>
            <w:r>
              <w:t>100.9</w:t>
            </w:r>
          </w:p>
        </w:tc>
        <w:tc>
          <w:tcPr>
            <w:tcW w:w="716" w:type="pct"/>
            <w:vAlign w:val="center"/>
          </w:tcPr>
          <w:p>
            <w:pPr>
              <w:pStyle w:val="63"/>
            </w:pPr>
            <w:r>
              <w:t>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4" w:type="pct"/>
            <w:vAlign w:val="center"/>
          </w:tcPr>
          <w:p>
            <w:pPr>
              <w:pStyle w:val="63"/>
            </w:pPr>
            <w:r>
              <w:t>2023.3.23</w:t>
            </w:r>
          </w:p>
        </w:tc>
        <w:tc>
          <w:tcPr>
            <w:tcW w:w="714" w:type="pct"/>
            <w:vAlign w:val="center"/>
          </w:tcPr>
          <w:p>
            <w:pPr>
              <w:pStyle w:val="63"/>
            </w:pPr>
            <w:r>
              <w:t>阴</w:t>
            </w:r>
          </w:p>
        </w:tc>
        <w:tc>
          <w:tcPr>
            <w:tcW w:w="714" w:type="pct"/>
            <w:vAlign w:val="center"/>
          </w:tcPr>
          <w:p>
            <w:pPr>
              <w:pStyle w:val="63"/>
            </w:pPr>
            <w:r>
              <w:t>15.2</w:t>
            </w:r>
          </w:p>
        </w:tc>
        <w:tc>
          <w:tcPr>
            <w:tcW w:w="714" w:type="pct"/>
            <w:vAlign w:val="center"/>
          </w:tcPr>
          <w:p>
            <w:pPr>
              <w:pStyle w:val="63"/>
            </w:pPr>
            <w:r>
              <w:t>东北</w:t>
            </w:r>
          </w:p>
        </w:tc>
        <w:tc>
          <w:tcPr>
            <w:tcW w:w="714" w:type="pct"/>
            <w:vAlign w:val="center"/>
          </w:tcPr>
          <w:p>
            <w:pPr>
              <w:pStyle w:val="63"/>
            </w:pPr>
            <w:r>
              <w:t>1.0</w:t>
            </w:r>
          </w:p>
        </w:tc>
        <w:tc>
          <w:tcPr>
            <w:tcW w:w="714" w:type="pct"/>
            <w:vAlign w:val="center"/>
          </w:tcPr>
          <w:p>
            <w:pPr>
              <w:pStyle w:val="63"/>
            </w:pPr>
            <w:r>
              <w:t>100.5</w:t>
            </w:r>
          </w:p>
        </w:tc>
        <w:tc>
          <w:tcPr>
            <w:tcW w:w="716" w:type="pct"/>
            <w:vAlign w:val="center"/>
          </w:tcPr>
          <w:p>
            <w:pPr>
              <w:pStyle w:val="63"/>
            </w:pPr>
            <w:r>
              <w:t>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4" w:type="pct"/>
            <w:vAlign w:val="center"/>
          </w:tcPr>
          <w:p>
            <w:pPr>
              <w:pStyle w:val="63"/>
            </w:pPr>
            <w:r>
              <w:t>2023.3.24</w:t>
            </w:r>
          </w:p>
        </w:tc>
        <w:tc>
          <w:tcPr>
            <w:tcW w:w="714" w:type="pct"/>
            <w:vAlign w:val="center"/>
          </w:tcPr>
          <w:p>
            <w:pPr>
              <w:pStyle w:val="63"/>
            </w:pPr>
            <w:r>
              <w:t>阴</w:t>
            </w:r>
          </w:p>
        </w:tc>
        <w:tc>
          <w:tcPr>
            <w:tcW w:w="714" w:type="pct"/>
            <w:vAlign w:val="center"/>
          </w:tcPr>
          <w:p>
            <w:pPr>
              <w:pStyle w:val="63"/>
            </w:pPr>
            <w:r>
              <w:t>16.3</w:t>
            </w:r>
          </w:p>
        </w:tc>
        <w:tc>
          <w:tcPr>
            <w:tcW w:w="714" w:type="pct"/>
            <w:vAlign w:val="center"/>
          </w:tcPr>
          <w:p>
            <w:pPr>
              <w:pStyle w:val="63"/>
            </w:pPr>
            <w:r>
              <w:t>西北</w:t>
            </w:r>
          </w:p>
        </w:tc>
        <w:tc>
          <w:tcPr>
            <w:tcW w:w="714" w:type="pct"/>
            <w:vAlign w:val="center"/>
          </w:tcPr>
          <w:p>
            <w:pPr>
              <w:pStyle w:val="63"/>
            </w:pPr>
            <w:r>
              <w:t>0.6</w:t>
            </w:r>
          </w:p>
        </w:tc>
        <w:tc>
          <w:tcPr>
            <w:tcW w:w="714" w:type="pct"/>
            <w:vAlign w:val="center"/>
          </w:tcPr>
          <w:p>
            <w:pPr>
              <w:pStyle w:val="63"/>
            </w:pPr>
            <w:r>
              <w:t>100.4</w:t>
            </w:r>
          </w:p>
        </w:tc>
        <w:tc>
          <w:tcPr>
            <w:tcW w:w="716" w:type="pct"/>
            <w:vAlign w:val="center"/>
          </w:tcPr>
          <w:p>
            <w:pPr>
              <w:pStyle w:val="63"/>
            </w:pPr>
            <w:r>
              <w:t>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714" w:type="pct"/>
            <w:vAlign w:val="center"/>
          </w:tcPr>
          <w:p>
            <w:pPr>
              <w:pStyle w:val="63"/>
            </w:pPr>
            <w:r>
              <w:t>2023.3.25</w:t>
            </w:r>
          </w:p>
        </w:tc>
        <w:tc>
          <w:tcPr>
            <w:tcW w:w="714" w:type="pct"/>
            <w:vAlign w:val="center"/>
          </w:tcPr>
          <w:p>
            <w:pPr>
              <w:pStyle w:val="63"/>
            </w:pPr>
            <w:r>
              <w:t>阴</w:t>
            </w:r>
          </w:p>
        </w:tc>
        <w:tc>
          <w:tcPr>
            <w:tcW w:w="714" w:type="pct"/>
            <w:vAlign w:val="center"/>
          </w:tcPr>
          <w:p>
            <w:pPr>
              <w:pStyle w:val="63"/>
            </w:pPr>
            <w:r>
              <w:t>15.9</w:t>
            </w:r>
          </w:p>
        </w:tc>
        <w:tc>
          <w:tcPr>
            <w:tcW w:w="714" w:type="pct"/>
            <w:vAlign w:val="center"/>
          </w:tcPr>
          <w:p>
            <w:pPr>
              <w:pStyle w:val="63"/>
            </w:pPr>
            <w:r>
              <w:t>北</w:t>
            </w:r>
          </w:p>
        </w:tc>
        <w:tc>
          <w:tcPr>
            <w:tcW w:w="714" w:type="pct"/>
            <w:vAlign w:val="center"/>
          </w:tcPr>
          <w:p>
            <w:pPr>
              <w:pStyle w:val="63"/>
            </w:pPr>
            <w:r>
              <w:t>0.4</w:t>
            </w:r>
          </w:p>
        </w:tc>
        <w:tc>
          <w:tcPr>
            <w:tcW w:w="714" w:type="pct"/>
            <w:vAlign w:val="center"/>
          </w:tcPr>
          <w:p>
            <w:pPr>
              <w:pStyle w:val="63"/>
            </w:pPr>
            <w:r>
              <w:t>100.4</w:t>
            </w:r>
          </w:p>
        </w:tc>
        <w:tc>
          <w:tcPr>
            <w:tcW w:w="716" w:type="pct"/>
            <w:vAlign w:val="center"/>
          </w:tcPr>
          <w:p>
            <w:pPr>
              <w:pStyle w:val="63"/>
            </w:pPr>
            <w:r>
              <w:t>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4" w:type="pct"/>
            <w:vAlign w:val="center"/>
          </w:tcPr>
          <w:p>
            <w:pPr>
              <w:pStyle w:val="63"/>
            </w:pPr>
            <w:r>
              <w:t>2023.3.26</w:t>
            </w:r>
          </w:p>
        </w:tc>
        <w:tc>
          <w:tcPr>
            <w:tcW w:w="714" w:type="pct"/>
            <w:vAlign w:val="center"/>
          </w:tcPr>
          <w:p>
            <w:pPr>
              <w:pStyle w:val="63"/>
            </w:pPr>
            <w:r>
              <w:t>阴</w:t>
            </w:r>
          </w:p>
        </w:tc>
        <w:tc>
          <w:tcPr>
            <w:tcW w:w="714" w:type="pct"/>
            <w:vAlign w:val="center"/>
          </w:tcPr>
          <w:p>
            <w:pPr>
              <w:pStyle w:val="63"/>
            </w:pPr>
            <w:r>
              <w:t>16.4</w:t>
            </w:r>
          </w:p>
        </w:tc>
        <w:tc>
          <w:tcPr>
            <w:tcW w:w="714" w:type="pct"/>
            <w:vAlign w:val="center"/>
          </w:tcPr>
          <w:p>
            <w:pPr>
              <w:pStyle w:val="63"/>
            </w:pPr>
            <w:r>
              <w:t>北</w:t>
            </w:r>
          </w:p>
        </w:tc>
        <w:tc>
          <w:tcPr>
            <w:tcW w:w="714" w:type="pct"/>
            <w:vAlign w:val="center"/>
          </w:tcPr>
          <w:p>
            <w:pPr>
              <w:pStyle w:val="63"/>
            </w:pPr>
            <w:r>
              <w:t>1.1</w:t>
            </w:r>
          </w:p>
        </w:tc>
        <w:tc>
          <w:tcPr>
            <w:tcW w:w="714" w:type="pct"/>
            <w:vAlign w:val="center"/>
          </w:tcPr>
          <w:p>
            <w:pPr>
              <w:pStyle w:val="63"/>
            </w:pPr>
            <w:r>
              <w:t>100.3</w:t>
            </w:r>
          </w:p>
        </w:tc>
        <w:tc>
          <w:tcPr>
            <w:tcW w:w="716" w:type="pct"/>
            <w:vAlign w:val="center"/>
          </w:tcPr>
          <w:p>
            <w:pPr>
              <w:pStyle w:val="63"/>
            </w:pPr>
            <w:r>
              <w:t>58</w:t>
            </w:r>
          </w:p>
        </w:tc>
      </w:tr>
    </w:tbl>
    <w:p>
      <w:pPr>
        <w:spacing w:line="360" w:lineRule="auto"/>
        <w:ind w:firstLine="480" w:firstLineChars="200"/>
        <w:rPr>
          <w:rFonts w:ascii="Times New Roman" w:hAnsi="Times New Roman" w:cs="Times New Roman"/>
        </w:rPr>
      </w:pPr>
      <w:r>
        <w:rPr>
          <w:rFonts w:ascii="Times New Roman" w:hAnsi="Times New Roman" w:cs="Times New Roman"/>
        </w:rPr>
        <w:t>（5）执行标准</w:t>
      </w:r>
    </w:p>
    <w:p>
      <w:pPr>
        <w:spacing w:line="360" w:lineRule="auto"/>
        <w:ind w:firstLine="480" w:firstLineChars="200"/>
        <w:rPr>
          <w:rFonts w:ascii="Times New Roman" w:hAnsi="Times New Roman" w:cs="Times New Roman"/>
        </w:rPr>
      </w:pPr>
      <w:r>
        <w:rPr>
          <w:rFonts w:ascii="Times New Roman" w:hAnsi="Times New Roman" w:cs="Times New Roman"/>
        </w:rPr>
        <w:t>硫酸雾、</w:t>
      </w:r>
      <w:r>
        <w:rPr>
          <w:rFonts w:ascii="Times New Roman" w:hAnsi="Times New Roman" w:cs="Times New Roman"/>
          <w:kern w:val="0"/>
          <w:szCs w:val="24"/>
        </w:rPr>
        <w:t>HCl</w:t>
      </w: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S、NH</w:t>
      </w:r>
      <w:r>
        <w:rPr>
          <w:rFonts w:ascii="Times New Roman" w:hAnsi="Times New Roman" w:cs="Times New Roman"/>
          <w:vertAlign w:val="subscript"/>
        </w:rPr>
        <w:t>3</w:t>
      </w:r>
      <w:r>
        <w:rPr>
          <w:rFonts w:ascii="Times New Roman" w:hAnsi="Times New Roman" w:cs="Times New Roman"/>
        </w:rPr>
        <w:t>、TOVC参照《环境影响评价技术导则 大气环境》（HJ2.2-2018）附录D执行；臭气浓度参照执行《恶臭污染物排放标准》（GB14554-93）二级标准；TSP、氟化物执行《环境空气质量标准》（GB3095-2012）二级标准及修改单中的相关标准要求；镍及其化合物执行《大气污染物综合排放标准详解》中的有关限值要求。</w:t>
      </w:r>
    </w:p>
    <w:p>
      <w:pPr>
        <w:spacing w:line="360" w:lineRule="auto"/>
        <w:ind w:firstLine="480" w:firstLineChars="200"/>
        <w:rPr>
          <w:rFonts w:ascii="Times New Roman" w:hAnsi="Times New Roman" w:cs="Times New Roman"/>
        </w:rPr>
      </w:pPr>
      <w:r>
        <w:rPr>
          <w:rFonts w:ascii="Times New Roman" w:hAnsi="Times New Roman" w:cs="Times New Roman"/>
        </w:rPr>
        <w:t>（6）监测结果分析</w:t>
      </w:r>
    </w:p>
    <w:p>
      <w:pPr>
        <w:pStyle w:val="6"/>
        <w:rPr>
          <w:rFonts w:ascii="Times New Roman" w:hAnsi="Times New Roman" w:cs="Times New Roman"/>
        </w:rPr>
      </w:pPr>
      <w:r>
        <w:rPr>
          <w:rFonts w:ascii="Times New Roman" w:hAnsi="Times New Roman" w:cs="Times New Roman"/>
        </w:rPr>
        <w:t>表5.1-5  G1、G2环境空气检测结果</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01"/>
        <w:gridCol w:w="1476"/>
        <w:gridCol w:w="1912"/>
        <w:gridCol w:w="1386"/>
        <w:gridCol w:w="985"/>
        <w:gridCol w:w="1031"/>
        <w:gridCol w:w="10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411" w:type="pct"/>
            <w:shd w:val="clear" w:color="auto" w:fill="auto"/>
            <w:vAlign w:val="center"/>
          </w:tcPr>
          <w:p>
            <w:pPr>
              <w:pStyle w:val="63"/>
              <w:rPr>
                <w:szCs w:val="21"/>
              </w:rPr>
            </w:pPr>
            <w:r>
              <w:rPr>
                <w:szCs w:val="21"/>
              </w:rPr>
              <w:t>点位</w:t>
            </w:r>
          </w:p>
        </w:tc>
        <w:tc>
          <w:tcPr>
            <w:tcW w:w="866" w:type="pct"/>
            <w:shd w:val="clear" w:color="auto" w:fill="auto"/>
            <w:noWrap/>
            <w:vAlign w:val="center"/>
          </w:tcPr>
          <w:p>
            <w:pPr>
              <w:pStyle w:val="63"/>
              <w:rPr>
                <w:szCs w:val="21"/>
              </w:rPr>
            </w:pPr>
            <w:r>
              <w:rPr>
                <w:szCs w:val="21"/>
              </w:rPr>
              <w:t>项目</w:t>
            </w:r>
          </w:p>
        </w:tc>
        <w:tc>
          <w:tcPr>
            <w:tcW w:w="1122" w:type="pct"/>
            <w:shd w:val="clear" w:color="auto" w:fill="auto"/>
            <w:noWrap/>
            <w:vAlign w:val="center"/>
          </w:tcPr>
          <w:p>
            <w:pPr>
              <w:pStyle w:val="63"/>
              <w:rPr>
                <w:szCs w:val="21"/>
              </w:rPr>
            </w:pPr>
            <w:r>
              <w:rPr>
                <w:szCs w:val="21"/>
              </w:rPr>
              <w:t>浓度范围</w:t>
            </w:r>
          </w:p>
        </w:tc>
        <w:tc>
          <w:tcPr>
            <w:tcW w:w="813" w:type="pct"/>
            <w:shd w:val="clear" w:color="auto" w:fill="auto"/>
            <w:noWrap/>
            <w:vAlign w:val="center"/>
          </w:tcPr>
          <w:p>
            <w:pPr>
              <w:pStyle w:val="63"/>
              <w:rPr>
                <w:szCs w:val="21"/>
              </w:rPr>
            </w:pPr>
            <w:r>
              <w:rPr>
                <w:szCs w:val="21"/>
              </w:rPr>
              <w:t>最大占标率</w:t>
            </w:r>
          </w:p>
        </w:tc>
        <w:tc>
          <w:tcPr>
            <w:tcW w:w="578" w:type="pct"/>
            <w:shd w:val="clear" w:color="auto" w:fill="auto"/>
            <w:vAlign w:val="center"/>
          </w:tcPr>
          <w:p>
            <w:pPr>
              <w:pStyle w:val="63"/>
              <w:rPr>
                <w:szCs w:val="21"/>
              </w:rPr>
            </w:pPr>
            <w:r>
              <w:rPr>
                <w:szCs w:val="21"/>
              </w:rPr>
              <w:t>超标率</w:t>
            </w:r>
          </w:p>
        </w:tc>
        <w:tc>
          <w:tcPr>
            <w:tcW w:w="605" w:type="pct"/>
            <w:shd w:val="clear" w:color="auto" w:fill="auto"/>
            <w:vAlign w:val="center"/>
          </w:tcPr>
          <w:p>
            <w:pPr>
              <w:pStyle w:val="63"/>
              <w:rPr>
                <w:szCs w:val="21"/>
              </w:rPr>
            </w:pPr>
            <w:r>
              <w:rPr>
                <w:szCs w:val="21"/>
              </w:rPr>
              <w:t>评价结果</w:t>
            </w:r>
          </w:p>
        </w:tc>
        <w:tc>
          <w:tcPr>
            <w:tcW w:w="605" w:type="pct"/>
            <w:shd w:val="clear" w:color="auto" w:fill="auto"/>
            <w:noWrap/>
            <w:vAlign w:val="center"/>
          </w:tcPr>
          <w:p>
            <w:pPr>
              <w:pStyle w:val="63"/>
              <w:rPr>
                <w:szCs w:val="21"/>
              </w:rPr>
            </w:pPr>
            <w:r>
              <w:rPr>
                <w:szCs w:val="21"/>
              </w:rPr>
              <w:t>标准值</w:t>
            </w:r>
          </w:p>
          <w:p>
            <w:pPr>
              <w:pStyle w:val="63"/>
              <w:rPr>
                <w:szCs w:val="21"/>
              </w:rPr>
            </w:pPr>
            <w:r>
              <w:rPr>
                <w:kern w:val="0"/>
                <w:szCs w:val="21"/>
                <w:lang w:bidi="ar"/>
              </w:rPr>
              <w:t>mg/m</w:t>
            </w:r>
            <w:r>
              <w:rPr>
                <w:kern w:val="0"/>
                <w:szCs w:val="21"/>
                <w:vertAlign w:val="superscript"/>
                <w:lang w:bidi="ar"/>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vMerge w:val="restart"/>
            <w:shd w:val="clear" w:color="auto" w:fill="auto"/>
            <w:vAlign w:val="center"/>
          </w:tcPr>
          <w:p>
            <w:pPr>
              <w:pStyle w:val="63"/>
              <w:rPr>
                <w:szCs w:val="21"/>
              </w:rPr>
            </w:pPr>
            <w:r>
              <w:rPr>
                <w:szCs w:val="21"/>
              </w:rPr>
              <w:t>G1</w:t>
            </w:r>
          </w:p>
        </w:tc>
        <w:tc>
          <w:tcPr>
            <w:tcW w:w="866" w:type="pct"/>
            <w:shd w:val="clear" w:color="auto" w:fill="auto"/>
            <w:noWrap/>
            <w:vAlign w:val="center"/>
          </w:tcPr>
          <w:p>
            <w:pPr>
              <w:pStyle w:val="63"/>
              <w:rPr>
                <w:kern w:val="0"/>
                <w:szCs w:val="21"/>
                <w:lang w:bidi="ar"/>
              </w:rPr>
            </w:pPr>
            <w:r>
              <w:rPr>
                <w:kern w:val="0"/>
                <w:szCs w:val="21"/>
                <w:lang w:bidi="ar"/>
              </w:rPr>
              <w:t>臭气浓度</w:t>
            </w:r>
          </w:p>
        </w:tc>
        <w:tc>
          <w:tcPr>
            <w:tcW w:w="1122" w:type="pct"/>
            <w:shd w:val="clear" w:color="auto" w:fill="auto"/>
            <w:noWrap/>
            <w:vAlign w:val="center"/>
          </w:tcPr>
          <w:p>
            <w:pPr>
              <w:pStyle w:val="63"/>
              <w:rPr>
                <w:szCs w:val="21"/>
              </w:rPr>
            </w:pPr>
            <w:r>
              <w:rPr>
                <w:kern w:val="0"/>
                <w:szCs w:val="21"/>
              </w:rPr>
              <w:t>＜20</w:t>
            </w:r>
          </w:p>
        </w:tc>
        <w:tc>
          <w:tcPr>
            <w:tcW w:w="813" w:type="pct"/>
            <w:shd w:val="clear" w:color="auto" w:fill="auto"/>
            <w:noWrap/>
            <w:vAlign w:val="center"/>
          </w:tcPr>
          <w:p>
            <w:pPr>
              <w:pStyle w:val="63"/>
              <w:rPr>
                <w:szCs w:val="21"/>
              </w:rPr>
            </w:pPr>
            <w:r>
              <w:rPr>
                <w:szCs w:val="21"/>
              </w:rPr>
              <w:t>/</w:t>
            </w:r>
          </w:p>
        </w:tc>
        <w:tc>
          <w:tcPr>
            <w:tcW w:w="578" w:type="pct"/>
            <w:shd w:val="clear" w:color="auto" w:fill="auto"/>
            <w:vAlign w:val="center"/>
          </w:tcPr>
          <w:p>
            <w:pPr>
              <w:pStyle w:val="63"/>
              <w:rPr>
                <w:szCs w:val="21"/>
              </w:rPr>
            </w:pPr>
            <w:r>
              <w:rPr>
                <w:szCs w:val="21"/>
              </w:rPr>
              <w:t>0</w:t>
            </w:r>
          </w:p>
        </w:tc>
        <w:tc>
          <w:tcPr>
            <w:tcW w:w="605" w:type="pct"/>
            <w:shd w:val="clear" w:color="auto" w:fill="auto"/>
            <w:vAlign w:val="center"/>
          </w:tcPr>
          <w:p>
            <w:pPr>
              <w:pStyle w:val="63"/>
              <w:rPr>
                <w:szCs w:val="21"/>
              </w:rPr>
            </w:pPr>
            <w:r>
              <w:rPr>
                <w:szCs w:val="21"/>
              </w:rPr>
              <w:t>达标</w:t>
            </w:r>
          </w:p>
        </w:tc>
        <w:tc>
          <w:tcPr>
            <w:tcW w:w="605" w:type="pct"/>
            <w:shd w:val="clear" w:color="auto" w:fill="auto"/>
            <w:noWrap/>
            <w:vAlign w:val="center"/>
          </w:tcPr>
          <w:p>
            <w:pPr>
              <w:pStyle w:val="63"/>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vMerge w:val="continue"/>
            <w:shd w:val="clear" w:color="auto" w:fill="auto"/>
            <w:vAlign w:val="center"/>
          </w:tcPr>
          <w:p>
            <w:pPr>
              <w:pStyle w:val="63"/>
              <w:rPr>
                <w:szCs w:val="21"/>
              </w:rPr>
            </w:pPr>
          </w:p>
        </w:tc>
        <w:tc>
          <w:tcPr>
            <w:tcW w:w="866" w:type="pct"/>
            <w:shd w:val="clear" w:color="auto" w:fill="auto"/>
            <w:noWrap/>
            <w:vAlign w:val="center"/>
          </w:tcPr>
          <w:p>
            <w:pPr>
              <w:pStyle w:val="63"/>
              <w:rPr>
                <w:kern w:val="0"/>
                <w:szCs w:val="21"/>
                <w:lang w:bidi="ar"/>
              </w:rPr>
            </w:pPr>
            <w:r>
              <w:rPr>
                <w:kern w:val="0"/>
                <w:szCs w:val="21"/>
                <w:lang w:bidi="ar"/>
              </w:rPr>
              <w:t>硫化氢</w:t>
            </w:r>
          </w:p>
        </w:tc>
        <w:tc>
          <w:tcPr>
            <w:tcW w:w="1122" w:type="pct"/>
            <w:shd w:val="clear" w:color="auto" w:fill="auto"/>
            <w:noWrap/>
            <w:vAlign w:val="center"/>
          </w:tcPr>
          <w:p>
            <w:pPr>
              <w:pStyle w:val="63"/>
              <w:rPr>
                <w:szCs w:val="21"/>
              </w:rPr>
            </w:pPr>
            <w:r>
              <w:rPr>
                <w:kern w:val="0"/>
                <w:szCs w:val="21"/>
              </w:rPr>
              <w:t>0.001L</w:t>
            </w:r>
          </w:p>
        </w:tc>
        <w:tc>
          <w:tcPr>
            <w:tcW w:w="813" w:type="pct"/>
            <w:shd w:val="clear" w:color="auto" w:fill="auto"/>
            <w:noWrap/>
            <w:vAlign w:val="center"/>
          </w:tcPr>
          <w:p>
            <w:pPr>
              <w:pStyle w:val="63"/>
              <w:rPr>
                <w:szCs w:val="21"/>
              </w:rPr>
            </w:pPr>
            <w:r>
              <w:rPr>
                <w:szCs w:val="21"/>
              </w:rPr>
              <w:t>0</w:t>
            </w:r>
          </w:p>
        </w:tc>
        <w:tc>
          <w:tcPr>
            <w:tcW w:w="578" w:type="pct"/>
            <w:shd w:val="clear" w:color="auto" w:fill="auto"/>
            <w:vAlign w:val="center"/>
          </w:tcPr>
          <w:p>
            <w:pPr>
              <w:pStyle w:val="63"/>
              <w:rPr>
                <w:szCs w:val="21"/>
              </w:rPr>
            </w:pPr>
            <w:r>
              <w:rPr>
                <w:szCs w:val="21"/>
              </w:rPr>
              <w:t>0</w:t>
            </w:r>
          </w:p>
        </w:tc>
        <w:tc>
          <w:tcPr>
            <w:tcW w:w="605" w:type="pct"/>
            <w:shd w:val="clear" w:color="auto" w:fill="auto"/>
            <w:vAlign w:val="center"/>
          </w:tcPr>
          <w:p>
            <w:pPr>
              <w:pStyle w:val="63"/>
              <w:rPr>
                <w:szCs w:val="21"/>
              </w:rPr>
            </w:pPr>
            <w:r>
              <w:rPr>
                <w:szCs w:val="21"/>
              </w:rPr>
              <w:t>达标</w:t>
            </w:r>
          </w:p>
        </w:tc>
        <w:tc>
          <w:tcPr>
            <w:tcW w:w="605" w:type="pct"/>
            <w:shd w:val="clear" w:color="auto" w:fill="auto"/>
            <w:noWrap/>
            <w:vAlign w:val="center"/>
          </w:tcPr>
          <w:p>
            <w:pPr>
              <w:pStyle w:val="63"/>
              <w:rPr>
                <w:szCs w:val="21"/>
              </w:rPr>
            </w:pPr>
            <w:r>
              <w:rPr>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vMerge w:val="continue"/>
            <w:shd w:val="clear" w:color="auto" w:fill="auto"/>
            <w:vAlign w:val="center"/>
          </w:tcPr>
          <w:p>
            <w:pPr>
              <w:pStyle w:val="63"/>
              <w:rPr>
                <w:szCs w:val="21"/>
              </w:rPr>
            </w:pPr>
          </w:p>
        </w:tc>
        <w:tc>
          <w:tcPr>
            <w:tcW w:w="866" w:type="pct"/>
            <w:shd w:val="clear" w:color="auto" w:fill="auto"/>
            <w:noWrap/>
            <w:vAlign w:val="center"/>
          </w:tcPr>
          <w:p>
            <w:pPr>
              <w:pStyle w:val="63"/>
              <w:rPr>
                <w:kern w:val="0"/>
                <w:szCs w:val="21"/>
                <w:lang w:bidi="ar"/>
              </w:rPr>
            </w:pPr>
            <w:r>
              <w:rPr>
                <w:kern w:val="0"/>
                <w:szCs w:val="21"/>
                <w:lang w:bidi="ar"/>
              </w:rPr>
              <w:t>氨</w:t>
            </w:r>
          </w:p>
        </w:tc>
        <w:tc>
          <w:tcPr>
            <w:tcW w:w="1122" w:type="pct"/>
            <w:shd w:val="clear" w:color="auto" w:fill="auto"/>
            <w:noWrap/>
            <w:vAlign w:val="center"/>
          </w:tcPr>
          <w:p>
            <w:pPr>
              <w:pStyle w:val="63"/>
              <w:rPr>
                <w:szCs w:val="21"/>
              </w:rPr>
            </w:pPr>
            <w:r>
              <w:rPr>
                <w:szCs w:val="21"/>
              </w:rPr>
              <w:t>0.02-0.05</w:t>
            </w:r>
          </w:p>
        </w:tc>
        <w:tc>
          <w:tcPr>
            <w:tcW w:w="813" w:type="pct"/>
            <w:shd w:val="clear" w:color="auto" w:fill="auto"/>
            <w:noWrap/>
            <w:vAlign w:val="center"/>
          </w:tcPr>
          <w:p>
            <w:pPr>
              <w:pStyle w:val="63"/>
              <w:rPr>
                <w:szCs w:val="21"/>
              </w:rPr>
            </w:pPr>
            <w:r>
              <w:rPr>
                <w:szCs w:val="21"/>
              </w:rPr>
              <w:t>0.25</w:t>
            </w:r>
          </w:p>
        </w:tc>
        <w:tc>
          <w:tcPr>
            <w:tcW w:w="578" w:type="pct"/>
            <w:shd w:val="clear" w:color="auto" w:fill="auto"/>
            <w:vAlign w:val="center"/>
          </w:tcPr>
          <w:p>
            <w:pPr>
              <w:pStyle w:val="63"/>
              <w:rPr>
                <w:szCs w:val="21"/>
              </w:rPr>
            </w:pPr>
            <w:r>
              <w:rPr>
                <w:szCs w:val="21"/>
              </w:rPr>
              <w:t>0</w:t>
            </w:r>
          </w:p>
        </w:tc>
        <w:tc>
          <w:tcPr>
            <w:tcW w:w="605" w:type="pct"/>
            <w:shd w:val="clear" w:color="auto" w:fill="auto"/>
            <w:vAlign w:val="center"/>
          </w:tcPr>
          <w:p>
            <w:pPr>
              <w:pStyle w:val="63"/>
              <w:rPr>
                <w:szCs w:val="21"/>
              </w:rPr>
            </w:pPr>
            <w:r>
              <w:rPr>
                <w:szCs w:val="21"/>
              </w:rPr>
              <w:t>达标</w:t>
            </w:r>
          </w:p>
        </w:tc>
        <w:tc>
          <w:tcPr>
            <w:tcW w:w="605" w:type="pct"/>
            <w:shd w:val="clear" w:color="auto" w:fill="auto"/>
            <w:noWrap/>
            <w:vAlign w:val="center"/>
          </w:tcPr>
          <w:p>
            <w:pPr>
              <w:pStyle w:val="63"/>
              <w:rPr>
                <w:szCs w:val="21"/>
              </w:rPr>
            </w:pPr>
            <w:r>
              <w:rPr>
                <w:szCs w:val="21"/>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vMerge w:val="continue"/>
            <w:shd w:val="clear" w:color="auto" w:fill="auto"/>
            <w:vAlign w:val="center"/>
          </w:tcPr>
          <w:p>
            <w:pPr>
              <w:pStyle w:val="63"/>
              <w:rPr>
                <w:szCs w:val="21"/>
              </w:rPr>
            </w:pPr>
          </w:p>
        </w:tc>
        <w:tc>
          <w:tcPr>
            <w:tcW w:w="866" w:type="pct"/>
            <w:shd w:val="clear" w:color="auto" w:fill="auto"/>
            <w:noWrap/>
            <w:vAlign w:val="center"/>
          </w:tcPr>
          <w:p>
            <w:pPr>
              <w:pStyle w:val="63"/>
              <w:rPr>
                <w:kern w:val="0"/>
                <w:szCs w:val="21"/>
                <w:lang w:bidi="ar"/>
              </w:rPr>
            </w:pPr>
            <w:r>
              <w:rPr>
                <w:kern w:val="0"/>
                <w:szCs w:val="21"/>
                <w:lang w:bidi="ar"/>
              </w:rPr>
              <w:t>TVOC</w:t>
            </w:r>
          </w:p>
        </w:tc>
        <w:tc>
          <w:tcPr>
            <w:tcW w:w="1122" w:type="pct"/>
            <w:shd w:val="clear" w:color="auto" w:fill="auto"/>
            <w:noWrap/>
            <w:vAlign w:val="center"/>
          </w:tcPr>
          <w:p>
            <w:pPr>
              <w:pStyle w:val="63"/>
              <w:rPr>
                <w:szCs w:val="21"/>
              </w:rPr>
            </w:pPr>
            <w:r>
              <w:rPr>
                <w:szCs w:val="21"/>
              </w:rPr>
              <w:t>0.0015-0.0026</w:t>
            </w:r>
          </w:p>
        </w:tc>
        <w:tc>
          <w:tcPr>
            <w:tcW w:w="813" w:type="pct"/>
            <w:shd w:val="clear" w:color="auto" w:fill="auto"/>
            <w:noWrap/>
            <w:vAlign w:val="center"/>
          </w:tcPr>
          <w:p>
            <w:pPr>
              <w:pStyle w:val="63"/>
              <w:rPr>
                <w:szCs w:val="21"/>
              </w:rPr>
            </w:pPr>
            <w:r>
              <w:rPr>
                <w:szCs w:val="21"/>
              </w:rPr>
              <w:t>0.004</w:t>
            </w:r>
          </w:p>
        </w:tc>
        <w:tc>
          <w:tcPr>
            <w:tcW w:w="578" w:type="pct"/>
            <w:shd w:val="clear" w:color="auto" w:fill="auto"/>
            <w:vAlign w:val="center"/>
          </w:tcPr>
          <w:p>
            <w:pPr>
              <w:pStyle w:val="63"/>
              <w:rPr>
                <w:szCs w:val="21"/>
              </w:rPr>
            </w:pPr>
            <w:r>
              <w:rPr>
                <w:szCs w:val="21"/>
              </w:rPr>
              <w:t>0</w:t>
            </w:r>
          </w:p>
        </w:tc>
        <w:tc>
          <w:tcPr>
            <w:tcW w:w="605" w:type="pct"/>
            <w:shd w:val="clear" w:color="auto" w:fill="auto"/>
            <w:vAlign w:val="center"/>
          </w:tcPr>
          <w:p>
            <w:pPr>
              <w:pStyle w:val="63"/>
              <w:rPr>
                <w:szCs w:val="21"/>
              </w:rPr>
            </w:pPr>
            <w:r>
              <w:rPr>
                <w:szCs w:val="21"/>
              </w:rPr>
              <w:t>达标</w:t>
            </w:r>
          </w:p>
        </w:tc>
        <w:tc>
          <w:tcPr>
            <w:tcW w:w="605" w:type="pct"/>
            <w:shd w:val="clear" w:color="auto" w:fill="auto"/>
            <w:noWrap/>
            <w:vAlign w:val="center"/>
          </w:tcPr>
          <w:p>
            <w:pPr>
              <w:pStyle w:val="63"/>
              <w:rPr>
                <w:szCs w:val="21"/>
              </w:rPr>
            </w:pPr>
            <w:r>
              <w:rPr>
                <w:szCs w:val="21"/>
              </w:rPr>
              <w:t>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vMerge w:val="continue"/>
            <w:shd w:val="clear" w:color="auto" w:fill="auto"/>
            <w:vAlign w:val="center"/>
          </w:tcPr>
          <w:p>
            <w:pPr>
              <w:pStyle w:val="63"/>
              <w:rPr>
                <w:szCs w:val="21"/>
              </w:rPr>
            </w:pPr>
          </w:p>
        </w:tc>
        <w:tc>
          <w:tcPr>
            <w:tcW w:w="866" w:type="pct"/>
            <w:shd w:val="clear" w:color="auto" w:fill="auto"/>
            <w:noWrap/>
            <w:vAlign w:val="center"/>
          </w:tcPr>
          <w:p>
            <w:pPr>
              <w:pStyle w:val="63"/>
              <w:rPr>
                <w:kern w:val="0"/>
                <w:szCs w:val="21"/>
                <w:lang w:bidi="ar"/>
              </w:rPr>
            </w:pPr>
            <w:r>
              <w:rPr>
                <w:kern w:val="0"/>
                <w:szCs w:val="21"/>
                <w:lang w:bidi="ar"/>
              </w:rPr>
              <w:t>氟化物</w:t>
            </w:r>
          </w:p>
        </w:tc>
        <w:tc>
          <w:tcPr>
            <w:tcW w:w="1122" w:type="pct"/>
            <w:shd w:val="clear" w:color="auto" w:fill="auto"/>
            <w:noWrap/>
            <w:vAlign w:val="center"/>
          </w:tcPr>
          <w:p>
            <w:pPr>
              <w:pStyle w:val="63"/>
              <w:rPr>
                <w:szCs w:val="21"/>
              </w:rPr>
            </w:pPr>
            <w:r>
              <w:rPr>
                <w:szCs w:val="21"/>
              </w:rPr>
              <w:t>1.20×10</w:t>
            </w:r>
            <w:r>
              <w:rPr>
                <w:szCs w:val="21"/>
                <w:vertAlign w:val="superscript"/>
              </w:rPr>
              <w:t>-4</w:t>
            </w:r>
            <w:r>
              <w:rPr>
                <w:szCs w:val="21"/>
              </w:rPr>
              <w:t>-1.88×10</w:t>
            </w:r>
            <w:r>
              <w:rPr>
                <w:szCs w:val="21"/>
                <w:vertAlign w:val="superscript"/>
              </w:rPr>
              <w:t>-4</w:t>
            </w:r>
          </w:p>
        </w:tc>
        <w:tc>
          <w:tcPr>
            <w:tcW w:w="813" w:type="pct"/>
            <w:shd w:val="clear" w:color="auto" w:fill="auto"/>
            <w:noWrap/>
            <w:vAlign w:val="center"/>
          </w:tcPr>
          <w:p>
            <w:pPr>
              <w:pStyle w:val="63"/>
              <w:rPr>
                <w:szCs w:val="21"/>
              </w:rPr>
            </w:pPr>
            <w:r>
              <w:rPr>
                <w:szCs w:val="21"/>
              </w:rPr>
              <w:t>0.03</w:t>
            </w:r>
          </w:p>
        </w:tc>
        <w:tc>
          <w:tcPr>
            <w:tcW w:w="578" w:type="pct"/>
            <w:shd w:val="clear" w:color="auto" w:fill="auto"/>
            <w:vAlign w:val="center"/>
          </w:tcPr>
          <w:p>
            <w:pPr>
              <w:pStyle w:val="63"/>
              <w:rPr>
                <w:szCs w:val="21"/>
              </w:rPr>
            </w:pPr>
            <w:r>
              <w:rPr>
                <w:szCs w:val="21"/>
              </w:rPr>
              <w:t>0</w:t>
            </w:r>
          </w:p>
        </w:tc>
        <w:tc>
          <w:tcPr>
            <w:tcW w:w="605" w:type="pct"/>
            <w:shd w:val="clear" w:color="auto" w:fill="auto"/>
            <w:vAlign w:val="center"/>
          </w:tcPr>
          <w:p>
            <w:pPr>
              <w:pStyle w:val="63"/>
              <w:rPr>
                <w:szCs w:val="21"/>
              </w:rPr>
            </w:pPr>
            <w:r>
              <w:rPr>
                <w:szCs w:val="21"/>
              </w:rPr>
              <w:t>达标</w:t>
            </w:r>
          </w:p>
        </w:tc>
        <w:tc>
          <w:tcPr>
            <w:tcW w:w="605" w:type="pct"/>
            <w:shd w:val="clear" w:color="auto" w:fill="auto"/>
            <w:noWrap/>
            <w:vAlign w:val="center"/>
          </w:tcPr>
          <w:p>
            <w:pPr>
              <w:pStyle w:val="63"/>
              <w:rPr>
                <w:szCs w:val="21"/>
              </w:rPr>
            </w:pPr>
            <w:r>
              <w:rPr>
                <w:szCs w:val="21"/>
              </w:rPr>
              <w:t>0.007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vMerge w:val="continue"/>
            <w:shd w:val="clear" w:color="auto" w:fill="auto"/>
            <w:vAlign w:val="center"/>
          </w:tcPr>
          <w:p>
            <w:pPr>
              <w:pStyle w:val="63"/>
              <w:rPr>
                <w:szCs w:val="21"/>
              </w:rPr>
            </w:pPr>
          </w:p>
        </w:tc>
        <w:tc>
          <w:tcPr>
            <w:tcW w:w="866" w:type="pct"/>
            <w:shd w:val="clear" w:color="auto" w:fill="auto"/>
            <w:noWrap/>
            <w:vAlign w:val="center"/>
          </w:tcPr>
          <w:p>
            <w:pPr>
              <w:pStyle w:val="63"/>
              <w:rPr>
                <w:kern w:val="0"/>
                <w:szCs w:val="21"/>
                <w:lang w:bidi="ar"/>
              </w:rPr>
            </w:pPr>
            <w:r>
              <w:rPr>
                <w:kern w:val="0"/>
                <w:szCs w:val="21"/>
                <w:lang w:bidi="ar"/>
              </w:rPr>
              <w:t>硫酸雾</w:t>
            </w:r>
          </w:p>
        </w:tc>
        <w:tc>
          <w:tcPr>
            <w:tcW w:w="1122" w:type="pct"/>
            <w:shd w:val="clear" w:color="auto" w:fill="auto"/>
            <w:noWrap/>
            <w:vAlign w:val="center"/>
          </w:tcPr>
          <w:p>
            <w:pPr>
              <w:pStyle w:val="63"/>
              <w:rPr>
                <w:szCs w:val="21"/>
              </w:rPr>
            </w:pPr>
            <w:r>
              <w:rPr>
                <w:szCs w:val="21"/>
              </w:rPr>
              <w:t>0.158-0.161</w:t>
            </w:r>
          </w:p>
        </w:tc>
        <w:tc>
          <w:tcPr>
            <w:tcW w:w="813" w:type="pct"/>
            <w:shd w:val="clear" w:color="auto" w:fill="auto"/>
            <w:noWrap/>
            <w:vAlign w:val="center"/>
          </w:tcPr>
          <w:p>
            <w:pPr>
              <w:pStyle w:val="63"/>
              <w:rPr>
                <w:szCs w:val="21"/>
              </w:rPr>
            </w:pPr>
            <w:r>
              <w:rPr>
                <w:szCs w:val="21"/>
              </w:rPr>
              <w:t>0.53</w:t>
            </w:r>
          </w:p>
        </w:tc>
        <w:tc>
          <w:tcPr>
            <w:tcW w:w="578" w:type="pct"/>
            <w:shd w:val="clear" w:color="auto" w:fill="auto"/>
            <w:vAlign w:val="center"/>
          </w:tcPr>
          <w:p>
            <w:pPr>
              <w:pStyle w:val="63"/>
              <w:rPr>
                <w:szCs w:val="21"/>
              </w:rPr>
            </w:pPr>
            <w:r>
              <w:rPr>
                <w:szCs w:val="21"/>
              </w:rPr>
              <w:t>0</w:t>
            </w:r>
          </w:p>
        </w:tc>
        <w:tc>
          <w:tcPr>
            <w:tcW w:w="605" w:type="pct"/>
            <w:shd w:val="clear" w:color="auto" w:fill="auto"/>
            <w:vAlign w:val="center"/>
          </w:tcPr>
          <w:p>
            <w:pPr>
              <w:pStyle w:val="63"/>
              <w:rPr>
                <w:szCs w:val="21"/>
              </w:rPr>
            </w:pPr>
            <w:r>
              <w:rPr>
                <w:szCs w:val="21"/>
              </w:rPr>
              <w:t>达标</w:t>
            </w:r>
          </w:p>
        </w:tc>
        <w:tc>
          <w:tcPr>
            <w:tcW w:w="605" w:type="pct"/>
            <w:shd w:val="clear" w:color="auto" w:fill="auto"/>
            <w:noWrap/>
            <w:vAlign w:val="center"/>
          </w:tcPr>
          <w:p>
            <w:pPr>
              <w:pStyle w:val="63"/>
              <w:rPr>
                <w:szCs w:val="21"/>
              </w:rPr>
            </w:pPr>
            <w:r>
              <w:rPr>
                <w:szCs w:val="21"/>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vMerge w:val="continue"/>
            <w:shd w:val="clear" w:color="auto" w:fill="auto"/>
            <w:vAlign w:val="center"/>
          </w:tcPr>
          <w:p>
            <w:pPr>
              <w:pStyle w:val="63"/>
              <w:rPr>
                <w:szCs w:val="21"/>
              </w:rPr>
            </w:pPr>
          </w:p>
        </w:tc>
        <w:tc>
          <w:tcPr>
            <w:tcW w:w="866" w:type="pct"/>
            <w:shd w:val="clear" w:color="auto" w:fill="auto"/>
            <w:noWrap/>
            <w:vAlign w:val="center"/>
          </w:tcPr>
          <w:p>
            <w:pPr>
              <w:pStyle w:val="63"/>
              <w:rPr>
                <w:szCs w:val="21"/>
              </w:rPr>
            </w:pPr>
            <w:r>
              <w:rPr>
                <w:kern w:val="0"/>
                <w:szCs w:val="21"/>
                <w:lang w:bidi="ar"/>
              </w:rPr>
              <w:t>氯化氢</w:t>
            </w:r>
          </w:p>
        </w:tc>
        <w:tc>
          <w:tcPr>
            <w:tcW w:w="1122" w:type="pct"/>
            <w:shd w:val="clear" w:color="auto" w:fill="auto"/>
            <w:noWrap/>
            <w:vAlign w:val="center"/>
          </w:tcPr>
          <w:p>
            <w:pPr>
              <w:pStyle w:val="63"/>
              <w:rPr>
                <w:szCs w:val="21"/>
              </w:rPr>
            </w:pPr>
            <w:r>
              <w:rPr>
                <w:szCs w:val="21"/>
              </w:rPr>
              <w:t>0.036-0.037</w:t>
            </w:r>
          </w:p>
        </w:tc>
        <w:tc>
          <w:tcPr>
            <w:tcW w:w="813" w:type="pct"/>
            <w:shd w:val="clear" w:color="auto" w:fill="auto"/>
            <w:noWrap/>
            <w:vAlign w:val="center"/>
          </w:tcPr>
          <w:p>
            <w:pPr>
              <w:pStyle w:val="63"/>
              <w:rPr>
                <w:szCs w:val="21"/>
              </w:rPr>
            </w:pPr>
            <w:r>
              <w:rPr>
                <w:szCs w:val="21"/>
              </w:rPr>
              <w:t>0.25</w:t>
            </w:r>
          </w:p>
        </w:tc>
        <w:tc>
          <w:tcPr>
            <w:tcW w:w="578" w:type="pct"/>
            <w:shd w:val="clear" w:color="auto" w:fill="auto"/>
            <w:vAlign w:val="center"/>
          </w:tcPr>
          <w:p>
            <w:pPr>
              <w:pStyle w:val="63"/>
              <w:rPr>
                <w:szCs w:val="21"/>
              </w:rPr>
            </w:pPr>
            <w:r>
              <w:rPr>
                <w:szCs w:val="21"/>
              </w:rPr>
              <w:t>0</w:t>
            </w:r>
          </w:p>
        </w:tc>
        <w:tc>
          <w:tcPr>
            <w:tcW w:w="605" w:type="pct"/>
            <w:shd w:val="clear" w:color="auto" w:fill="auto"/>
            <w:vAlign w:val="center"/>
          </w:tcPr>
          <w:p>
            <w:pPr>
              <w:pStyle w:val="63"/>
              <w:rPr>
                <w:szCs w:val="21"/>
              </w:rPr>
            </w:pPr>
            <w:r>
              <w:rPr>
                <w:szCs w:val="21"/>
              </w:rPr>
              <w:t>达标</w:t>
            </w:r>
          </w:p>
        </w:tc>
        <w:tc>
          <w:tcPr>
            <w:tcW w:w="605" w:type="pct"/>
            <w:shd w:val="clear" w:color="auto" w:fill="auto"/>
            <w:noWrap/>
            <w:vAlign w:val="center"/>
          </w:tcPr>
          <w:p>
            <w:pPr>
              <w:pStyle w:val="63"/>
              <w:rPr>
                <w:szCs w:val="21"/>
              </w:rPr>
            </w:pPr>
            <w:r>
              <w:rPr>
                <w:szCs w:val="21"/>
              </w:rPr>
              <w:t>0.15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vMerge w:val="continue"/>
            <w:shd w:val="clear" w:color="auto" w:fill="auto"/>
            <w:vAlign w:val="center"/>
          </w:tcPr>
          <w:p>
            <w:pPr>
              <w:pStyle w:val="63"/>
              <w:rPr>
                <w:szCs w:val="21"/>
              </w:rPr>
            </w:pPr>
          </w:p>
        </w:tc>
        <w:tc>
          <w:tcPr>
            <w:tcW w:w="866" w:type="pct"/>
            <w:shd w:val="clear" w:color="auto" w:fill="auto"/>
            <w:noWrap/>
            <w:vAlign w:val="center"/>
          </w:tcPr>
          <w:p>
            <w:pPr>
              <w:pStyle w:val="63"/>
              <w:rPr>
                <w:kern w:val="0"/>
                <w:szCs w:val="21"/>
                <w:lang w:bidi="ar"/>
              </w:rPr>
            </w:pPr>
            <w:r>
              <w:rPr>
                <w:kern w:val="0"/>
                <w:szCs w:val="21"/>
                <w:lang w:bidi="ar"/>
              </w:rPr>
              <w:t>TSP</w:t>
            </w:r>
          </w:p>
        </w:tc>
        <w:tc>
          <w:tcPr>
            <w:tcW w:w="1122" w:type="pct"/>
            <w:shd w:val="clear" w:color="auto" w:fill="auto"/>
            <w:noWrap/>
            <w:vAlign w:val="center"/>
          </w:tcPr>
          <w:p>
            <w:pPr>
              <w:pStyle w:val="63"/>
              <w:rPr>
                <w:szCs w:val="21"/>
              </w:rPr>
            </w:pPr>
            <w:r>
              <w:rPr>
                <w:szCs w:val="21"/>
              </w:rPr>
              <w:t>0.105-0.141</w:t>
            </w:r>
          </w:p>
        </w:tc>
        <w:tc>
          <w:tcPr>
            <w:tcW w:w="813" w:type="pct"/>
            <w:shd w:val="clear" w:color="auto" w:fill="auto"/>
            <w:noWrap/>
            <w:vAlign w:val="center"/>
          </w:tcPr>
          <w:p>
            <w:pPr>
              <w:pStyle w:val="63"/>
              <w:rPr>
                <w:szCs w:val="21"/>
              </w:rPr>
            </w:pPr>
            <w:r>
              <w:rPr>
                <w:szCs w:val="21"/>
              </w:rPr>
              <w:t>0.47</w:t>
            </w:r>
          </w:p>
        </w:tc>
        <w:tc>
          <w:tcPr>
            <w:tcW w:w="578" w:type="pct"/>
            <w:shd w:val="clear" w:color="auto" w:fill="auto"/>
            <w:vAlign w:val="center"/>
          </w:tcPr>
          <w:p>
            <w:pPr>
              <w:pStyle w:val="63"/>
              <w:rPr>
                <w:szCs w:val="21"/>
              </w:rPr>
            </w:pPr>
            <w:r>
              <w:rPr>
                <w:szCs w:val="21"/>
              </w:rPr>
              <w:t>0</w:t>
            </w:r>
          </w:p>
        </w:tc>
        <w:tc>
          <w:tcPr>
            <w:tcW w:w="605" w:type="pct"/>
            <w:shd w:val="clear" w:color="auto" w:fill="auto"/>
            <w:vAlign w:val="center"/>
          </w:tcPr>
          <w:p>
            <w:pPr>
              <w:pStyle w:val="63"/>
              <w:rPr>
                <w:szCs w:val="21"/>
              </w:rPr>
            </w:pPr>
            <w:r>
              <w:rPr>
                <w:szCs w:val="21"/>
              </w:rPr>
              <w:t>达标</w:t>
            </w:r>
          </w:p>
        </w:tc>
        <w:tc>
          <w:tcPr>
            <w:tcW w:w="605" w:type="pct"/>
            <w:shd w:val="clear" w:color="auto" w:fill="auto"/>
            <w:noWrap/>
            <w:vAlign w:val="center"/>
          </w:tcPr>
          <w:p>
            <w:pPr>
              <w:pStyle w:val="63"/>
              <w:rPr>
                <w:szCs w:val="21"/>
              </w:rPr>
            </w:pPr>
            <w:r>
              <w:rPr>
                <w:szCs w:val="21"/>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vMerge w:val="continue"/>
            <w:shd w:val="clear" w:color="auto" w:fill="auto"/>
            <w:vAlign w:val="center"/>
          </w:tcPr>
          <w:p>
            <w:pPr>
              <w:pStyle w:val="63"/>
              <w:rPr>
                <w:szCs w:val="21"/>
              </w:rPr>
            </w:pPr>
          </w:p>
        </w:tc>
        <w:tc>
          <w:tcPr>
            <w:tcW w:w="866" w:type="pct"/>
            <w:shd w:val="clear" w:color="auto" w:fill="auto"/>
            <w:noWrap/>
            <w:vAlign w:val="center"/>
          </w:tcPr>
          <w:p>
            <w:pPr>
              <w:pStyle w:val="63"/>
              <w:rPr>
                <w:kern w:val="0"/>
                <w:szCs w:val="21"/>
                <w:lang w:bidi="ar"/>
              </w:rPr>
            </w:pPr>
            <w:r>
              <w:rPr>
                <w:kern w:val="0"/>
                <w:szCs w:val="21"/>
                <w:lang w:bidi="ar"/>
              </w:rPr>
              <w:t>镍及其化合物</w:t>
            </w:r>
          </w:p>
        </w:tc>
        <w:tc>
          <w:tcPr>
            <w:tcW w:w="1122" w:type="pct"/>
            <w:shd w:val="clear" w:color="auto" w:fill="auto"/>
            <w:noWrap/>
            <w:vAlign w:val="center"/>
          </w:tcPr>
          <w:p>
            <w:pPr>
              <w:pStyle w:val="63"/>
              <w:rPr>
                <w:kern w:val="0"/>
                <w:szCs w:val="21"/>
              </w:rPr>
            </w:pPr>
            <w:r>
              <w:rPr>
                <w:kern w:val="0"/>
                <w:szCs w:val="21"/>
                <w:lang w:bidi="ar"/>
              </w:rPr>
              <w:t>3×10</w:t>
            </w:r>
            <w:r>
              <w:rPr>
                <w:kern w:val="0"/>
                <w:szCs w:val="21"/>
                <w:vertAlign w:val="superscript"/>
                <w:lang w:bidi="ar"/>
              </w:rPr>
              <w:t>-5</w:t>
            </w:r>
            <w:r>
              <w:rPr>
                <w:kern w:val="0"/>
                <w:szCs w:val="21"/>
                <w:lang w:bidi="ar"/>
              </w:rPr>
              <w:t>L</w:t>
            </w:r>
          </w:p>
        </w:tc>
        <w:tc>
          <w:tcPr>
            <w:tcW w:w="813" w:type="pct"/>
            <w:shd w:val="clear" w:color="auto" w:fill="auto"/>
            <w:noWrap/>
            <w:vAlign w:val="center"/>
          </w:tcPr>
          <w:p>
            <w:pPr>
              <w:pStyle w:val="63"/>
              <w:rPr>
                <w:szCs w:val="21"/>
              </w:rPr>
            </w:pPr>
            <w:r>
              <w:rPr>
                <w:szCs w:val="21"/>
              </w:rPr>
              <w:t>/</w:t>
            </w:r>
          </w:p>
        </w:tc>
        <w:tc>
          <w:tcPr>
            <w:tcW w:w="578" w:type="pct"/>
            <w:shd w:val="clear" w:color="auto" w:fill="auto"/>
            <w:vAlign w:val="center"/>
          </w:tcPr>
          <w:p>
            <w:pPr>
              <w:pStyle w:val="63"/>
              <w:rPr>
                <w:szCs w:val="21"/>
              </w:rPr>
            </w:pPr>
            <w:r>
              <w:rPr>
                <w:szCs w:val="21"/>
              </w:rPr>
              <w:t>0</w:t>
            </w:r>
          </w:p>
        </w:tc>
        <w:tc>
          <w:tcPr>
            <w:tcW w:w="605" w:type="pct"/>
            <w:shd w:val="clear" w:color="auto" w:fill="auto"/>
            <w:vAlign w:val="center"/>
          </w:tcPr>
          <w:p>
            <w:pPr>
              <w:pStyle w:val="63"/>
              <w:rPr>
                <w:szCs w:val="21"/>
              </w:rPr>
            </w:pPr>
            <w:r>
              <w:rPr>
                <w:szCs w:val="21"/>
              </w:rPr>
              <w:t>达标</w:t>
            </w:r>
          </w:p>
        </w:tc>
        <w:tc>
          <w:tcPr>
            <w:tcW w:w="605" w:type="pct"/>
            <w:shd w:val="clear" w:color="auto" w:fill="auto"/>
            <w:noWrap/>
            <w:vAlign w:val="center"/>
          </w:tcPr>
          <w:p>
            <w:pPr>
              <w:pStyle w:val="63"/>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vMerge w:val="restart"/>
            <w:shd w:val="clear" w:color="auto" w:fill="auto"/>
            <w:vAlign w:val="center"/>
          </w:tcPr>
          <w:p>
            <w:pPr>
              <w:pStyle w:val="63"/>
              <w:rPr>
                <w:szCs w:val="21"/>
              </w:rPr>
            </w:pPr>
            <w:r>
              <w:rPr>
                <w:szCs w:val="21"/>
              </w:rPr>
              <w:t>G2</w:t>
            </w:r>
          </w:p>
        </w:tc>
        <w:tc>
          <w:tcPr>
            <w:tcW w:w="866" w:type="pct"/>
            <w:shd w:val="clear" w:color="auto" w:fill="auto"/>
            <w:noWrap/>
            <w:vAlign w:val="center"/>
          </w:tcPr>
          <w:p>
            <w:pPr>
              <w:pStyle w:val="63"/>
              <w:rPr>
                <w:kern w:val="0"/>
                <w:szCs w:val="21"/>
                <w:lang w:bidi="ar"/>
              </w:rPr>
            </w:pPr>
            <w:r>
              <w:rPr>
                <w:kern w:val="0"/>
                <w:szCs w:val="21"/>
                <w:lang w:bidi="ar"/>
              </w:rPr>
              <w:t>臭气浓度</w:t>
            </w:r>
          </w:p>
        </w:tc>
        <w:tc>
          <w:tcPr>
            <w:tcW w:w="1122" w:type="pct"/>
            <w:shd w:val="clear" w:color="auto" w:fill="auto"/>
            <w:noWrap/>
            <w:vAlign w:val="center"/>
          </w:tcPr>
          <w:p>
            <w:pPr>
              <w:pStyle w:val="63"/>
              <w:rPr>
                <w:szCs w:val="21"/>
              </w:rPr>
            </w:pPr>
            <w:r>
              <w:rPr>
                <w:kern w:val="0"/>
                <w:szCs w:val="21"/>
              </w:rPr>
              <w:t>＜20</w:t>
            </w:r>
          </w:p>
        </w:tc>
        <w:tc>
          <w:tcPr>
            <w:tcW w:w="813" w:type="pct"/>
            <w:shd w:val="clear" w:color="auto" w:fill="auto"/>
            <w:noWrap/>
            <w:vAlign w:val="center"/>
          </w:tcPr>
          <w:p>
            <w:pPr>
              <w:pStyle w:val="63"/>
              <w:rPr>
                <w:szCs w:val="21"/>
              </w:rPr>
            </w:pPr>
            <w:r>
              <w:rPr>
                <w:szCs w:val="21"/>
              </w:rPr>
              <w:t>/</w:t>
            </w:r>
          </w:p>
        </w:tc>
        <w:tc>
          <w:tcPr>
            <w:tcW w:w="578" w:type="pct"/>
            <w:shd w:val="clear" w:color="auto" w:fill="auto"/>
            <w:vAlign w:val="center"/>
          </w:tcPr>
          <w:p>
            <w:pPr>
              <w:pStyle w:val="63"/>
              <w:rPr>
                <w:szCs w:val="21"/>
              </w:rPr>
            </w:pPr>
            <w:r>
              <w:rPr>
                <w:szCs w:val="21"/>
              </w:rPr>
              <w:t>0</w:t>
            </w:r>
          </w:p>
        </w:tc>
        <w:tc>
          <w:tcPr>
            <w:tcW w:w="605" w:type="pct"/>
            <w:shd w:val="clear" w:color="auto" w:fill="auto"/>
            <w:vAlign w:val="center"/>
          </w:tcPr>
          <w:p>
            <w:pPr>
              <w:pStyle w:val="63"/>
              <w:rPr>
                <w:szCs w:val="21"/>
              </w:rPr>
            </w:pPr>
            <w:r>
              <w:rPr>
                <w:szCs w:val="21"/>
              </w:rPr>
              <w:t>达标</w:t>
            </w:r>
          </w:p>
        </w:tc>
        <w:tc>
          <w:tcPr>
            <w:tcW w:w="605" w:type="pct"/>
            <w:shd w:val="clear" w:color="auto" w:fill="auto"/>
            <w:noWrap/>
            <w:vAlign w:val="center"/>
          </w:tcPr>
          <w:p>
            <w:pPr>
              <w:pStyle w:val="63"/>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vMerge w:val="continue"/>
            <w:shd w:val="clear" w:color="auto" w:fill="auto"/>
            <w:vAlign w:val="center"/>
          </w:tcPr>
          <w:p>
            <w:pPr>
              <w:pStyle w:val="63"/>
              <w:rPr>
                <w:szCs w:val="21"/>
              </w:rPr>
            </w:pPr>
          </w:p>
        </w:tc>
        <w:tc>
          <w:tcPr>
            <w:tcW w:w="866" w:type="pct"/>
            <w:shd w:val="clear" w:color="auto" w:fill="auto"/>
            <w:noWrap/>
            <w:vAlign w:val="center"/>
          </w:tcPr>
          <w:p>
            <w:pPr>
              <w:pStyle w:val="63"/>
              <w:rPr>
                <w:kern w:val="0"/>
                <w:szCs w:val="21"/>
                <w:lang w:bidi="ar"/>
              </w:rPr>
            </w:pPr>
            <w:r>
              <w:rPr>
                <w:kern w:val="0"/>
                <w:szCs w:val="21"/>
                <w:lang w:bidi="ar"/>
              </w:rPr>
              <w:t>硫化氢</w:t>
            </w:r>
          </w:p>
        </w:tc>
        <w:tc>
          <w:tcPr>
            <w:tcW w:w="1122" w:type="pct"/>
            <w:shd w:val="clear" w:color="auto" w:fill="auto"/>
            <w:noWrap/>
            <w:vAlign w:val="center"/>
          </w:tcPr>
          <w:p>
            <w:pPr>
              <w:pStyle w:val="63"/>
              <w:rPr>
                <w:szCs w:val="21"/>
              </w:rPr>
            </w:pPr>
            <w:r>
              <w:rPr>
                <w:kern w:val="0"/>
                <w:szCs w:val="21"/>
              </w:rPr>
              <w:t>0.001L</w:t>
            </w:r>
          </w:p>
        </w:tc>
        <w:tc>
          <w:tcPr>
            <w:tcW w:w="813" w:type="pct"/>
            <w:shd w:val="clear" w:color="auto" w:fill="auto"/>
            <w:noWrap/>
            <w:vAlign w:val="center"/>
          </w:tcPr>
          <w:p>
            <w:pPr>
              <w:pStyle w:val="63"/>
              <w:rPr>
                <w:szCs w:val="21"/>
              </w:rPr>
            </w:pPr>
            <w:r>
              <w:rPr>
                <w:szCs w:val="21"/>
              </w:rPr>
              <w:t>0</w:t>
            </w:r>
          </w:p>
        </w:tc>
        <w:tc>
          <w:tcPr>
            <w:tcW w:w="578" w:type="pct"/>
            <w:shd w:val="clear" w:color="auto" w:fill="auto"/>
            <w:vAlign w:val="center"/>
          </w:tcPr>
          <w:p>
            <w:pPr>
              <w:pStyle w:val="63"/>
              <w:rPr>
                <w:szCs w:val="21"/>
              </w:rPr>
            </w:pPr>
            <w:r>
              <w:rPr>
                <w:szCs w:val="21"/>
              </w:rPr>
              <w:t>0</w:t>
            </w:r>
          </w:p>
        </w:tc>
        <w:tc>
          <w:tcPr>
            <w:tcW w:w="605" w:type="pct"/>
            <w:shd w:val="clear" w:color="auto" w:fill="auto"/>
            <w:vAlign w:val="center"/>
          </w:tcPr>
          <w:p>
            <w:pPr>
              <w:pStyle w:val="63"/>
              <w:rPr>
                <w:szCs w:val="21"/>
              </w:rPr>
            </w:pPr>
            <w:r>
              <w:rPr>
                <w:szCs w:val="21"/>
              </w:rPr>
              <w:t>达标</w:t>
            </w:r>
          </w:p>
        </w:tc>
        <w:tc>
          <w:tcPr>
            <w:tcW w:w="605" w:type="pct"/>
            <w:shd w:val="clear" w:color="auto" w:fill="auto"/>
            <w:vAlign w:val="center"/>
          </w:tcPr>
          <w:p>
            <w:pPr>
              <w:pStyle w:val="63"/>
              <w:rPr>
                <w:szCs w:val="21"/>
              </w:rPr>
            </w:pPr>
            <w:r>
              <w:rPr>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vMerge w:val="continue"/>
            <w:shd w:val="clear" w:color="auto" w:fill="auto"/>
            <w:vAlign w:val="center"/>
          </w:tcPr>
          <w:p>
            <w:pPr>
              <w:pStyle w:val="63"/>
              <w:rPr>
                <w:szCs w:val="21"/>
              </w:rPr>
            </w:pPr>
          </w:p>
        </w:tc>
        <w:tc>
          <w:tcPr>
            <w:tcW w:w="866" w:type="pct"/>
            <w:shd w:val="clear" w:color="auto" w:fill="auto"/>
            <w:noWrap/>
            <w:vAlign w:val="center"/>
          </w:tcPr>
          <w:p>
            <w:pPr>
              <w:pStyle w:val="63"/>
              <w:rPr>
                <w:kern w:val="0"/>
                <w:szCs w:val="21"/>
                <w:lang w:bidi="ar"/>
              </w:rPr>
            </w:pPr>
            <w:r>
              <w:rPr>
                <w:kern w:val="0"/>
                <w:szCs w:val="21"/>
                <w:lang w:bidi="ar"/>
              </w:rPr>
              <w:t>氨</w:t>
            </w:r>
          </w:p>
        </w:tc>
        <w:tc>
          <w:tcPr>
            <w:tcW w:w="1122" w:type="pct"/>
            <w:shd w:val="clear" w:color="auto" w:fill="auto"/>
            <w:noWrap/>
            <w:vAlign w:val="center"/>
          </w:tcPr>
          <w:p>
            <w:pPr>
              <w:pStyle w:val="63"/>
              <w:rPr>
                <w:szCs w:val="21"/>
              </w:rPr>
            </w:pPr>
            <w:r>
              <w:rPr>
                <w:kern w:val="0"/>
                <w:szCs w:val="21"/>
              </w:rPr>
              <w:t>0.02-0.04</w:t>
            </w:r>
          </w:p>
        </w:tc>
        <w:tc>
          <w:tcPr>
            <w:tcW w:w="813" w:type="pct"/>
            <w:shd w:val="clear" w:color="auto" w:fill="auto"/>
            <w:noWrap/>
            <w:vAlign w:val="center"/>
          </w:tcPr>
          <w:p>
            <w:pPr>
              <w:pStyle w:val="63"/>
              <w:rPr>
                <w:szCs w:val="21"/>
              </w:rPr>
            </w:pPr>
            <w:r>
              <w:rPr>
                <w:szCs w:val="21"/>
              </w:rPr>
              <w:t>0.2</w:t>
            </w:r>
          </w:p>
        </w:tc>
        <w:tc>
          <w:tcPr>
            <w:tcW w:w="578" w:type="pct"/>
            <w:shd w:val="clear" w:color="auto" w:fill="auto"/>
            <w:vAlign w:val="center"/>
          </w:tcPr>
          <w:p>
            <w:pPr>
              <w:pStyle w:val="63"/>
              <w:rPr>
                <w:szCs w:val="21"/>
              </w:rPr>
            </w:pPr>
            <w:r>
              <w:rPr>
                <w:szCs w:val="21"/>
              </w:rPr>
              <w:t>0</w:t>
            </w:r>
          </w:p>
        </w:tc>
        <w:tc>
          <w:tcPr>
            <w:tcW w:w="605" w:type="pct"/>
            <w:shd w:val="clear" w:color="auto" w:fill="auto"/>
            <w:vAlign w:val="center"/>
          </w:tcPr>
          <w:p>
            <w:pPr>
              <w:pStyle w:val="63"/>
              <w:rPr>
                <w:szCs w:val="21"/>
              </w:rPr>
            </w:pPr>
            <w:r>
              <w:rPr>
                <w:szCs w:val="21"/>
              </w:rPr>
              <w:t>达标</w:t>
            </w:r>
          </w:p>
        </w:tc>
        <w:tc>
          <w:tcPr>
            <w:tcW w:w="605" w:type="pct"/>
            <w:shd w:val="clear" w:color="auto" w:fill="auto"/>
            <w:vAlign w:val="center"/>
          </w:tcPr>
          <w:p>
            <w:pPr>
              <w:pStyle w:val="63"/>
              <w:rPr>
                <w:szCs w:val="21"/>
              </w:rPr>
            </w:pPr>
            <w:r>
              <w:rPr>
                <w:szCs w:val="21"/>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vMerge w:val="continue"/>
            <w:shd w:val="clear" w:color="auto" w:fill="auto"/>
            <w:vAlign w:val="center"/>
          </w:tcPr>
          <w:p>
            <w:pPr>
              <w:pStyle w:val="63"/>
              <w:rPr>
                <w:szCs w:val="21"/>
              </w:rPr>
            </w:pPr>
          </w:p>
        </w:tc>
        <w:tc>
          <w:tcPr>
            <w:tcW w:w="866" w:type="pct"/>
            <w:shd w:val="clear" w:color="auto" w:fill="auto"/>
            <w:noWrap/>
            <w:vAlign w:val="center"/>
          </w:tcPr>
          <w:p>
            <w:pPr>
              <w:pStyle w:val="63"/>
              <w:rPr>
                <w:kern w:val="0"/>
                <w:szCs w:val="21"/>
                <w:lang w:bidi="ar"/>
              </w:rPr>
            </w:pPr>
            <w:r>
              <w:rPr>
                <w:kern w:val="0"/>
                <w:szCs w:val="21"/>
                <w:lang w:bidi="ar"/>
              </w:rPr>
              <w:t>TVOC</w:t>
            </w:r>
          </w:p>
        </w:tc>
        <w:tc>
          <w:tcPr>
            <w:tcW w:w="1122" w:type="pct"/>
            <w:shd w:val="clear" w:color="auto" w:fill="auto"/>
            <w:noWrap/>
            <w:vAlign w:val="center"/>
          </w:tcPr>
          <w:p>
            <w:pPr>
              <w:pStyle w:val="63"/>
              <w:rPr>
                <w:szCs w:val="21"/>
              </w:rPr>
            </w:pPr>
            <w:r>
              <w:rPr>
                <w:szCs w:val="21"/>
              </w:rPr>
              <w:t>0.0011-0.0025</w:t>
            </w:r>
          </w:p>
        </w:tc>
        <w:tc>
          <w:tcPr>
            <w:tcW w:w="813" w:type="pct"/>
            <w:shd w:val="clear" w:color="auto" w:fill="auto"/>
            <w:noWrap/>
            <w:vAlign w:val="center"/>
          </w:tcPr>
          <w:p>
            <w:pPr>
              <w:pStyle w:val="63"/>
              <w:rPr>
                <w:szCs w:val="21"/>
              </w:rPr>
            </w:pPr>
            <w:r>
              <w:rPr>
                <w:szCs w:val="21"/>
              </w:rPr>
              <w:t>0.004</w:t>
            </w:r>
          </w:p>
        </w:tc>
        <w:tc>
          <w:tcPr>
            <w:tcW w:w="578" w:type="pct"/>
            <w:shd w:val="clear" w:color="auto" w:fill="auto"/>
            <w:vAlign w:val="center"/>
          </w:tcPr>
          <w:p>
            <w:pPr>
              <w:pStyle w:val="63"/>
              <w:rPr>
                <w:szCs w:val="21"/>
              </w:rPr>
            </w:pPr>
            <w:r>
              <w:rPr>
                <w:szCs w:val="21"/>
              </w:rPr>
              <w:t>0</w:t>
            </w:r>
          </w:p>
        </w:tc>
        <w:tc>
          <w:tcPr>
            <w:tcW w:w="605" w:type="pct"/>
            <w:shd w:val="clear" w:color="auto" w:fill="auto"/>
            <w:vAlign w:val="center"/>
          </w:tcPr>
          <w:p>
            <w:pPr>
              <w:pStyle w:val="63"/>
              <w:rPr>
                <w:szCs w:val="21"/>
              </w:rPr>
            </w:pPr>
            <w:r>
              <w:rPr>
                <w:szCs w:val="21"/>
              </w:rPr>
              <w:t>达标</w:t>
            </w:r>
          </w:p>
        </w:tc>
        <w:tc>
          <w:tcPr>
            <w:tcW w:w="605" w:type="pct"/>
            <w:shd w:val="clear" w:color="auto" w:fill="auto"/>
            <w:vAlign w:val="center"/>
          </w:tcPr>
          <w:p>
            <w:pPr>
              <w:pStyle w:val="63"/>
              <w:rPr>
                <w:szCs w:val="21"/>
              </w:rPr>
            </w:pPr>
            <w:r>
              <w:rPr>
                <w:szCs w:val="21"/>
              </w:rPr>
              <w:t>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vMerge w:val="continue"/>
            <w:shd w:val="clear" w:color="auto" w:fill="auto"/>
            <w:vAlign w:val="center"/>
          </w:tcPr>
          <w:p>
            <w:pPr>
              <w:pStyle w:val="63"/>
              <w:rPr>
                <w:szCs w:val="21"/>
              </w:rPr>
            </w:pPr>
          </w:p>
        </w:tc>
        <w:tc>
          <w:tcPr>
            <w:tcW w:w="866" w:type="pct"/>
            <w:shd w:val="clear" w:color="auto" w:fill="auto"/>
            <w:noWrap/>
            <w:vAlign w:val="center"/>
          </w:tcPr>
          <w:p>
            <w:pPr>
              <w:pStyle w:val="63"/>
              <w:rPr>
                <w:kern w:val="0"/>
                <w:szCs w:val="21"/>
                <w:lang w:bidi="ar"/>
              </w:rPr>
            </w:pPr>
            <w:r>
              <w:rPr>
                <w:kern w:val="0"/>
                <w:szCs w:val="21"/>
                <w:lang w:bidi="ar"/>
              </w:rPr>
              <w:t>氟化物</w:t>
            </w:r>
          </w:p>
        </w:tc>
        <w:tc>
          <w:tcPr>
            <w:tcW w:w="1122" w:type="pct"/>
            <w:shd w:val="clear" w:color="auto" w:fill="auto"/>
            <w:noWrap/>
            <w:vAlign w:val="center"/>
          </w:tcPr>
          <w:p>
            <w:pPr>
              <w:pStyle w:val="63"/>
              <w:rPr>
                <w:szCs w:val="21"/>
              </w:rPr>
            </w:pPr>
            <w:r>
              <w:rPr>
                <w:szCs w:val="21"/>
              </w:rPr>
              <w:t>2.13×10</w:t>
            </w:r>
            <w:r>
              <w:rPr>
                <w:szCs w:val="21"/>
                <w:vertAlign w:val="superscript"/>
              </w:rPr>
              <w:t>-4</w:t>
            </w:r>
            <w:r>
              <w:rPr>
                <w:szCs w:val="21"/>
              </w:rPr>
              <w:t>-2.39×10</w:t>
            </w:r>
            <w:r>
              <w:rPr>
                <w:szCs w:val="21"/>
                <w:vertAlign w:val="superscript"/>
              </w:rPr>
              <w:t>-4</w:t>
            </w:r>
          </w:p>
        </w:tc>
        <w:tc>
          <w:tcPr>
            <w:tcW w:w="813" w:type="pct"/>
            <w:shd w:val="clear" w:color="auto" w:fill="auto"/>
            <w:noWrap/>
            <w:vAlign w:val="center"/>
          </w:tcPr>
          <w:p>
            <w:pPr>
              <w:pStyle w:val="63"/>
              <w:rPr>
                <w:szCs w:val="21"/>
              </w:rPr>
            </w:pPr>
            <w:r>
              <w:rPr>
                <w:szCs w:val="21"/>
              </w:rPr>
              <w:t>0.034</w:t>
            </w:r>
          </w:p>
        </w:tc>
        <w:tc>
          <w:tcPr>
            <w:tcW w:w="578" w:type="pct"/>
            <w:shd w:val="clear" w:color="auto" w:fill="auto"/>
            <w:vAlign w:val="center"/>
          </w:tcPr>
          <w:p>
            <w:pPr>
              <w:pStyle w:val="63"/>
              <w:rPr>
                <w:szCs w:val="21"/>
              </w:rPr>
            </w:pPr>
            <w:r>
              <w:rPr>
                <w:szCs w:val="21"/>
              </w:rPr>
              <w:t>0</w:t>
            </w:r>
          </w:p>
        </w:tc>
        <w:tc>
          <w:tcPr>
            <w:tcW w:w="605" w:type="pct"/>
            <w:shd w:val="clear" w:color="auto" w:fill="auto"/>
            <w:vAlign w:val="center"/>
          </w:tcPr>
          <w:p>
            <w:pPr>
              <w:pStyle w:val="63"/>
              <w:rPr>
                <w:szCs w:val="21"/>
              </w:rPr>
            </w:pPr>
            <w:r>
              <w:rPr>
                <w:szCs w:val="21"/>
              </w:rPr>
              <w:t>达标</w:t>
            </w:r>
          </w:p>
        </w:tc>
        <w:tc>
          <w:tcPr>
            <w:tcW w:w="605" w:type="pct"/>
            <w:shd w:val="clear" w:color="auto" w:fill="auto"/>
            <w:vAlign w:val="center"/>
          </w:tcPr>
          <w:p>
            <w:pPr>
              <w:pStyle w:val="63"/>
              <w:rPr>
                <w:szCs w:val="21"/>
              </w:rPr>
            </w:pPr>
            <w:r>
              <w:rPr>
                <w:szCs w:val="21"/>
              </w:rPr>
              <w:t>0.007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vMerge w:val="continue"/>
            <w:shd w:val="clear" w:color="auto" w:fill="auto"/>
            <w:vAlign w:val="center"/>
          </w:tcPr>
          <w:p>
            <w:pPr>
              <w:pStyle w:val="63"/>
              <w:rPr>
                <w:szCs w:val="21"/>
              </w:rPr>
            </w:pPr>
          </w:p>
        </w:tc>
        <w:tc>
          <w:tcPr>
            <w:tcW w:w="866" w:type="pct"/>
            <w:shd w:val="clear" w:color="auto" w:fill="auto"/>
            <w:noWrap/>
            <w:vAlign w:val="center"/>
          </w:tcPr>
          <w:p>
            <w:pPr>
              <w:pStyle w:val="63"/>
              <w:rPr>
                <w:kern w:val="0"/>
                <w:szCs w:val="21"/>
                <w:lang w:bidi="ar"/>
              </w:rPr>
            </w:pPr>
            <w:r>
              <w:rPr>
                <w:kern w:val="0"/>
                <w:szCs w:val="21"/>
                <w:lang w:bidi="ar"/>
              </w:rPr>
              <w:t>硫酸雾</w:t>
            </w:r>
          </w:p>
        </w:tc>
        <w:tc>
          <w:tcPr>
            <w:tcW w:w="1122" w:type="pct"/>
            <w:shd w:val="clear" w:color="auto" w:fill="auto"/>
            <w:noWrap/>
            <w:vAlign w:val="center"/>
          </w:tcPr>
          <w:p>
            <w:pPr>
              <w:pStyle w:val="63"/>
              <w:rPr>
                <w:szCs w:val="21"/>
              </w:rPr>
            </w:pPr>
            <w:r>
              <w:rPr>
                <w:szCs w:val="21"/>
              </w:rPr>
              <w:t>0.165-0.173</w:t>
            </w:r>
          </w:p>
        </w:tc>
        <w:tc>
          <w:tcPr>
            <w:tcW w:w="813" w:type="pct"/>
            <w:shd w:val="clear" w:color="auto" w:fill="auto"/>
            <w:noWrap/>
            <w:vAlign w:val="center"/>
          </w:tcPr>
          <w:p>
            <w:pPr>
              <w:pStyle w:val="63"/>
              <w:rPr>
                <w:szCs w:val="21"/>
              </w:rPr>
            </w:pPr>
            <w:r>
              <w:rPr>
                <w:szCs w:val="21"/>
              </w:rPr>
              <w:t>0.57</w:t>
            </w:r>
          </w:p>
        </w:tc>
        <w:tc>
          <w:tcPr>
            <w:tcW w:w="578" w:type="pct"/>
            <w:shd w:val="clear" w:color="auto" w:fill="auto"/>
            <w:vAlign w:val="center"/>
          </w:tcPr>
          <w:p>
            <w:pPr>
              <w:pStyle w:val="63"/>
              <w:rPr>
                <w:szCs w:val="21"/>
              </w:rPr>
            </w:pPr>
            <w:r>
              <w:rPr>
                <w:szCs w:val="21"/>
              </w:rPr>
              <w:t>0</w:t>
            </w:r>
          </w:p>
        </w:tc>
        <w:tc>
          <w:tcPr>
            <w:tcW w:w="605" w:type="pct"/>
            <w:shd w:val="clear" w:color="auto" w:fill="auto"/>
            <w:vAlign w:val="center"/>
          </w:tcPr>
          <w:p>
            <w:pPr>
              <w:pStyle w:val="63"/>
              <w:rPr>
                <w:szCs w:val="21"/>
              </w:rPr>
            </w:pPr>
            <w:r>
              <w:rPr>
                <w:szCs w:val="21"/>
              </w:rPr>
              <w:t>达标</w:t>
            </w:r>
          </w:p>
        </w:tc>
        <w:tc>
          <w:tcPr>
            <w:tcW w:w="605" w:type="pct"/>
            <w:shd w:val="clear" w:color="auto" w:fill="auto"/>
            <w:vAlign w:val="center"/>
          </w:tcPr>
          <w:p>
            <w:pPr>
              <w:pStyle w:val="63"/>
              <w:rPr>
                <w:szCs w:val="21"/>
              </w:rPr>
            </w:pPr>
            <w:r>
              <w:rPr>
                <w:szCs w:val="21"/>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vMerge w:val="continue"/>
            <w:shd w:val="clear" w:color="auto" w:fill="auto"/>
            <w:vAlign w:val="center"/>
          </w:tcPr>
          <w:p>
            <w:pPr>
              <w:pStyle w:val="63"/>
              <w:rPr>
                <w:szCs w:val="21"/>
              </w:rPr>
            </w:pPr>
          </w:p>
        </w:tc>
        <w:tc>
          <w:tcPr>
            <w:tcW w:w="866" w:type="pct"/>
            <w:shd w:val="clear" w:color="auto" w:fill="auto"/>
            <w:noWrap/>
            <w:vAlign w:val="center"/>
          </w:tcPr>
          <w:p>
            <w:pPr>
              <w:pStyle w:val="63"/>
              <w:rPr>
                <w:szCs w:val="21"/>
              </w:rPr>
            </w:pPr>
            <w:r>
              <w:rPr>
                <w:kern w:val="0"/>
                <w:szCs w:val="21"/>
                <w:lang w:bidi="ar"/>
              </w:rPr>
              <w:t>氯化氢</w:t>
            </w:r>
          </w:p>
        </w:tc>
        <w:tc>
          <w:tcPr>
            <w:tcW w:w="1122" w:type="pct"/>
            <w:shd w:val="clear" w:color="auto" w:fill="auto"/>
            <w:noWrap/>
            <w:vAlign w:val="center"/>
          </w:tcPr>
          <w:p>
            <w:pPr>
              <w:pStyle w:val="63"/>
              <w:rPr>
                <w:szCs w:val="21"/>
              </w:rPr>
            </w:pPr>
            <w:r>
              <w:rPr>
                <w:kern w:val="0"/>
                <w:szCs w:val="21"/>
              </w:rPr>
              <w:t>0.041-0.043</w:t>
            </w:r>
          </w:p>
        </w:tc>
        <w:tc>
          <w:tcPr>
            <w:tcW w:w="813" w:type="pct"/>
            <w:shd w:val="clear" w:color="auto" w:fill="auto"/>
            <w:noWrap/>
            <w:vAlign w:val="center"/>
          </w:tcPr>
          <w:p>
            <w:pPr>
              <w:pStyle w:val="63"/>
              <w:rPr>
                <w:szCs w:val="21"/>
              </w:rPr>
            </w:pPr>
            <w:r>
              <w:rPr>
                <w:szCs w:val="21"/>
              </w:rPr>
              <w:t>0.29</w:t>
            </w:r>
          </w:p>
        </w:tc>
        <w:tc>
          <w:tcPr>
            <w:tcW w:w="578" w:type="pct"/>
            <w:shd w:val="clear" w:color="auto" w:fill="auto"/>
            <w:vAlign w:val="center"/>
          </w:tcPr>
          <w:p>
            <w:pPr>
              <w:pStyle w:val="63"/>
              <w:rPr>
                <w:szCs w:val="21"/>
              </w:rPr>
            </w:pPr>
            <w:r>
              <w:rPr>
                <w:szCs w:val="21"/>
              </w:rPr>
              <w:t>0</w:t>
            </w:r>
          </w:p>
        </w:tc>
        <w:tc>
          <w:tcPr>
            <w:tcW w:w="605" w:type="pct"/>
            <w:shd w:val="clear" w:color="auto" w:fill="auto"/>
            <w:vAlign w:val="center"/>
          </w:tcPr>
          <w:p>
            <w:pPr>
              <w:pStyle w:val="63"/>
              <w:rPr>
                <w:szCs w:val="21"/>
              </w:rPr>
            </w:pPr>
            <w:r>
              <w:rPr>
                <w:szCs w:val="21"/>
              </w:rPr>
              <w:t>达标</w:t>
            </w:r>
          </w:p>
        </w:tc>
        <w:tc>
          <w:tcPr>
            <w:tcW w:w="605" w:type="pct"/>
            <w:shd w:val="clear" w:color="auto" w:fill="auto"/>
            <w:vAlign w:val="center"/>
          </w:tcPr>
          <w:p>
            <w:pPr>
              <w:pStyle w:val="63"/>
              <w:rPr>
                <w:szCs w:val="21"/>
              </w:rPr>
            </w:pPr>
            <w:r>
              <w:rPr>
                <w:szCs w:val="21"/>
              </w:rPr>
              <w:t>0.15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vMerge w:val="continue"/>
            <w:shd w:val="clear" w:color="auto" w:fill="auto"/>
            <w:vAlign w:val="center"/>
          </w:tcPr>
          <w:p>
            <w:pPr>
              <w:pStyle w:val="63"/>
              <w:rPr>
                <w:szCs w:val="21"/>
              </w:rPr>
            </w:pPr>
          </w:p>
        </w:tc>
        <w:tc>
          <w:tcPr>
            <w:tcW w:w="866" w:type="pct"/>
            <w:shd w:val="clear" w:color="auto" w:fill="auto"/>
            <w:noWrap/>
            <w:vAlign w:val="center"/>
          </w:tcPr>
          <w:p>
            <w:pPr>
              <w:pStyle w:val="63"/>
              <w:rPr>
                <w:kern w:val="0"/>
                <w:szCs w:val="21"/>
                <w:lang w:bidi="ar"/>
              </w:rPr>
            </w:pPr>
            <w:r>
              <w:rPr>
                <w:kern w:val="0"/>
                <w:szCs w:val="21"/>
                <w:lang w:bidi="ar"/>
              </w:rPr>
              <w:t>TSP</w:t>
            </w:r>
          </w:p>
        </w:tc>
        <w:tc>
          <w:tcPr>
            <w:tcW w:w="1122" w:type="pct"/>
            <w:shd w:val="clear" w:color="auto" w:fill="auto"/>
            <w:noWrap/>
            <w:vAlign w:val="center"/>
          </w:tcPr>
          <w:p>
            <w:pPr>
              <w:pStyle w:val="63"/>
              <w:rPr>
                <w:szCs w:val="21"/>
              </w:rPr>
            </w:pPr>
            <w:r>
              <w:rPr>
                <w:szCs w:val="21"/>
              </w:rPr>
              <w:t>0.104-0.130</w:t>
            </w:r>
          </w:p>
        </w:tc>
        <w:tc>
          <w:tcPr>
            <w:tcW w:w="813" w:type="pct"/>
            <w:shd w:val="clear" w:color="auto" w:fill="auto"/>
            <w:noWrap/>
            <w:vAlign w:val="center"/>
          </w:tcPr>
          <w:p>
            <w:pPr>
              <w:pStyle w:val="63"/>
              <w:rPr>
                <w:szCs w:val="21"/>
              </w:rPr>
            </w:pPr>
            <w:r>
              <w:rPr>
                <w:szCs w:val="21"/>
              </w:rPr>
              <w:t>0.43</w:t>
            </w:r>
          </w:p>
        </w:tc>
        <w:tc>
          <w:tcPr>
            <w:tcW w:w="578" w:type="pct"/>
            <w:shd w:val="clear" w:color="auto" w:fill="auto"/>
            <w:vAlign w:val="center"/>
          </w:tcPr>
          <w:p>
            <w:pPr>
              <w:pStyle w:val="63"/>
              <w:rPr>
                <w:szCs w:val="21"/>
              </w:rPr>
            </w:pPr>
            <w:r>
              <w:rPr>
                <w:szCs w:val="21"/>
              </w:rPr>
              <w:t>0</w:t>
            </w:r>
          </w:p>
        </w:tc>
        <w:tc>
          <w:tcPr>
            <w:tcW w:w="605" w:type="pct"/>
            <w:shd w:val="clear" w:color="auto" w:fill="auto"/>
            <w:vAlign w:val="center"/>
          </w:tcPr>
          <w:p>
            <w:pPr>
              <w:pStyle w:val="63"/>
              <w:rPr>
                <w:szCs w:val="21"/>
              </w:rPr>
            </w:pPr>
            <w:r>
              <w:rPr>
                <w:szCs w:val="21"/>
              </w:rPr>
              <w:t>达标</w:t>
            </w:r>
          </w:p>
        </w:tc>
        <w:tc>
          <w:tcPr>
            <w:tcW w:w="605" w:type="pct"/>
            <w:shd w:val="clear" w:color="auto" w:fill="auto"/>
            <w:vAlign w:val="center"/>
          </w:tcPr>
          <w:p>
            <w:pPr>
              <w:pStyle w:val="63"/>
              <w:rPr>
                <w:szCs w:val="21"/>
              </w:rPr>
            </w:pPr>
            <w:r>
              <w:rPr>
                <w:szCs w:val="21"/>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1" w:type="pct"/>
            <w:vMerge w:val="continue"/>
            <w:shd w:val="clear" w:color="auto" w:fill="auto"/>
            <w:vAlign w:val="center"/>
          </w:tcPr>
          <w:p>
            <w:pPr>
              <w:pStyle w:val="63"/>
              <w:rPr>
                <w:szCs w:val="21"/>
              </w:rPr>
            </w:pPr>
          </w:p>
        </w:tc>
        <w:tc>
          <w:tcPr>
            <w:tcW w:w="866" w:type="pct"/>
            <w:shd w:val="clear" w:color="auto" w:fill="auto"/>
            <w:noWrap/>
            <w:vAlign w:val="center"/>
          </w:tcPr>
          <w:p>
            <w:pPr>
              <w:pStyle w:val="63"/>
              <w:rPr>
                <w:kern w:val="0"/>
                <w:szCs w:val="21"/>
                <w:lang w:bidi="ar"/>
              </w:rPr>
            </w:pPr>
            <w:r>
              <w:rPr>
                <w:kern w:val="0"/>
                <w:szCs w:val="21"/>
                <w:lang w:bidi="ar"/>
              </w:rPr>
              <w:t>镍及其化合物</w:t>
            </w:r>
          </w:p>
        </w:tc>
        <w:tc>
          <w:tcPr>
            <w:tcW w:w="1122" w:type="pct"/>
            <w:shd w:val="clear" w:color="auto" w:fill="auto"/>
            <w:noWrap/>
            <w:vAlign w:val="center"/>
          </w:tcPr>
          <w:p>
            <w:pPr>
              <w:pStyle w:val="63"/>
              <w:rPr>
                <w:szCs w:val="21"/>
              </w:rPr>
            </w:pPr>
            <w:r>
              <w:rPr>
                <w:kern w:val="0"/>
                <w:szCs w:val="21"/>
                <w:lang w:bidi="ar"/>
              </w:rPr>
              <w:t>3×10</w:t>
            </w:r>
            <w:r>
              <w:rPr>
                <w:kern w:val="0"/>
                <w:szCs w:val="21"/>
                <w:vertAlign w:val="superscript"/>
                <w:lang w:bidi="ar"/>
              </w:rPr>
              <w:t>-5</w:t>
            </w:r>
            <w:r>
              <w:rPr>
                <w:kern w:val="0"/>
                <w:szCs w:val="21"/>
                <w:lang w:bidi="ar"/>
              </w:rPr>
              <w:t>L</w:t>
            </w:r>
          </w:p>
        </w:tc>
        <w:tc>
          <w:tcPr>
            <w:tcW w:w="813" w:type="pct"/>
            <w:shd w:val="clear" w:color="auto" w:fill="auto"/>
            <w:noWrap/>
            <w:vAlign w:val="center"/>
          </w:tcPr>
          <w:p>
            <w:pPr>
              <w:pStyle w:val="63"/>
              <w:rPr>
                <w:szCs w:val="21"/>
              </w:rPr>
            </w:pPr>
            <w:r>
              <w:rPr>
                <w:szCs w:val="21"/>
              </w:rPr>
              <w:t>/</w:t>
            </w:r>
          </w:p>
        </w:tc>
        <w:tc>
          <w:tcPr>
            <w:tcW w:w="578" w:type="pct"/>
            <w:shd w:val="clear" w:color="auto" w:fill="auto"/>
            <w:vAlign w:val="center"/>
          </w:tcPr>
          <w:p>
            <w:pPr>
              <w:pStyle w:val="63"/>
              <w:rPr>
                <w:szCs w:val="21"/>
              </w:rPr>
            </w:pPr>
            <w:r>
              <w:rPr>
                <w:szCs w:val="21"/>
              </w:rPr>
              <w:t>0</w:t>
            </w:r>
          </w:p>
        </w:tc>
        <w:tc>
          <w:tcPr>
            <w:tcW w:w="605" w:type="pct"/>
            <w:shd w:val="clear" w:color="auto" w:fill="auto"/>
            <w:vAlign w:val="center"/>
          </w:tcPr>
          <w:p>
            <w:pPr>
              <w:pStyle w:val="63"/>
              <w:rPr>
                <w:szCs w:val="21"/>
              </w:rPr>
            </w:pPr>
            <w:r>
              <w:rPr>
                <w:szCs w:val="21"/>
              </w:rPr>
              <w:t>达标</w:t>
            </w:r>
          </w:p>
        </w:tc>
        <w:tc>
          <w:tcPr>
            <w:tcW w:w="605" w:type="pct"/>
            <w:shd w:val="clear" w:color="auto" w:fill="auto"/>
            <w:vAlign w:val="center"/>
          </w:tcPr>
          <w:p>
            <w:pPr>
              <w:pStyle w:val="63"/>
              <w:rPr>
                <w:szCs w:val="21"/>
              </w:rPr>
            </w:pPr>
            <w:r>
              <w:rPr>
                <w:szCs w:val="21"/>
              </w:rPr>
              <w:t>/</w:t>
            </w:r>
          </w:p>
        </w:tc>
      </w:tr>
    </w:tbl>
    <w:p>
      <w:pPr>
        <w:spacing w:line="360" w:lineRule="auto"/>
        <w:ind w:firstLine="480" w:firstLineChars="200"/>
        <w:rPr>
          <w:rFonts w:ascii="Times New Roman" w:hAnsi="Times New Roman" w:cs="Times New Roman"/>
        </w:rPr>
      </w:pPr>
      <w:r>
        <w:rPr>
          <w:rFonts w:ascii="Times New Roman" w:hAnsi="Times New Roman" w:cs="Times New Roman"/>
        </w:rPr>
        <w:t>由以上监测结果表明，本项目TSP、氟化物满足《环境空气质量标准》（GB3095-2012）二级标准及修改单中的相关标准要求；硫酸雾、</w:t>
      </w:r>
      <w:r>
        <w:rPr>
          <w:rFonts w:ascii="Times New Roman" w:hAnsi="Times New Roman" w:cs="Times New Roman"/>
          <w:kern w:val="0"/>
          <w:szCs w:val="24"/>
        </w:rPr>
        <w:t>HCl</w:t>
      </w: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S、NH</w:t>
      </w:r>
      <w:r>
        <w:rPr>
          <w:rFonts w:ascii="Times New Roman" w:hAnsi="Times New Roman" w:cs="Times New Roman"/>
          <w:vertAlign w:val="subscript"/>
        </w:rPr>
        <w:t>3</w:t>
      </w:r>
      <w:r>
        <w:rPr>
          <w:rFonts w:ascii="Times New Roman" w:hAnsi="Times New Roman" w:cs="Times New Roman"/>
        </w:rPr>
        <w:t>、TOVC满足《环境影响评价技术导则大气环境》（HJ2.2-2018）附录D中标准要求；镍及其化合物满足《大气污染物综合排放标准详解》中的有关限值要求。</w:t>
      </w:r>
    </w:p>
    <w:p>
      <w:pPr>
        <w:pStyle w:val="6"/>
        <w:rPr>
          <w:rFonts w:ascii="Times New Roman" w:hAnsi="Times New Roman" w:cs="Times New Roman"/>
        </w:rPr>
      </w:pPr>
      <w:r>
        <w:rPr>
          <w:rFonts w:ascii="Times New Roman" w:hAnsi="Times New Roman" w:cs="Times New Roman"/>
        </w:rPr>
        <w:t>表5.1-6  G3环境空气检测结果</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41"/>
        <w:gridCol w:w="1514"/>
        <w:gridCol w:w="1669"/>
        <w:gridCol w:w="1430"/>
        <w:gridCol w:w="1024"/>
        <w:gridCol w:w="1072"/>
        <w:gridCol w:w="10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435" w:type="pct"/>
            <w:shd w:val="clear" w:color="auto" w:fill="auto"/>
            <w:vAlign w:val="center"/>
          </w:tcPr>
          <w:p>
            <w:pPr>
              <w:pStyle w:val="63"/>
              <w:rPr>
                <w:szCs w:val="21"/>
              </w:rPr>
            </w:pPr>
            <w:r>
              <w:rPr>
                <w:szCs w:val="21"/>
              </w:rPr>
              <w:t>点位</w:t>
            </w:r>
          </w:p>
        </w:tc>
        <w:tc>
          <w:tcPr>
            <w:tcW w:w="888" w:type="pct"/>
            <w:shd w:val="clear" w:color="auto" w:fill="auto"/>
            <w:noWrap/>
            <w:vAlign w:val="center"/>
          </w:tcPr>
          <w:p>
            <w:pPr>
              <w:pStyle w:val="63"/>
              <w:rPr>
                <w:szCs w:val="21"/>
              </w:rPr>
            </w:pPr>
            <w:r>
              <w:rPr>
                <w:szCs w:val="21"/>
              </w:rPr>
              <w:t>项目</w:t>
            </w:r>
          </w:p>
        </w:tc>
        <w:tc>
          <w:tcPr>
            <w:tcW w:w="979" w:type="pct"/>
            <w:shd w:val="clear" w:color="auto" w:fill="auto"/>
            <w:noWrap/>
            <w:vAlign w:val="center"/>
          </w:tcPr>
          <w:p>
            <w:pPr>
              <w:pStyle w:val="63"/>
              <w:rPr>
                <w:szCs w:val="21"/>
              </w:rPr>
            </w:pPr>
            <w:r>
              <w:rPr>
                <w:szCs w:val="21"/>
              </w:rPr>
              <w:t>浓度范围</w:t>
            </w:r>
          </w:p>
        </w:tc>
        <w:tc>
          <w:tcPr>
            <w:tcW w:w="839" w:type="pct"/>
            <w:shd w:val="clear" w:color="auto" w:fill="auto"/>
            <w:noWrap/>
            <w:vAlign w:val="center"/>
          </w:tcPr>
          <w:p>
            <w:pPr>
              <w:pStyle w:val="63"/>
              <w:rPr>
                <w:szCs w:val="21"/>
              </w:rPr>
            </w:pPr>
            <w:r>
              <w:rPr>
                <w:szCs w:val="21"/>
              </w:rPr>
              <w:t>最大占标率</w:t>
            </w:r>
          </w:p>
        </w:tc>
        <w:tc>
          <w:tcPr>
            <w:tcW w:w="601" w:type="pct"/>
            <w:shd w:val="clear" w:color="auto" w:fill="auto"/>
            <w:vAlign w:val="center"/>
          </w:tcPr>
          <w:p>
            <w:pPr>
              <w:pStyle w:val="63"/>
              <w:rPr>
                <w:szCs w:val="21"/>
              </w:rPr>
            </w:pPr>
            <w:r>
              <w:rPr>
                <w:szCs w:val="21"/>
              </w:rPr>
              <w:t>超标率</w:t>
            </w:r>
          </w:p>
        </w:tc>
        <w:tc>
          <w:tcPr>
            <w:tcW w:w="629" w:type="pct"/>
            <w:shd w:val="clear" w:color="auto" w:fill="auto"/>
            <w:vAlign w:val="center"/>
          </w:tcPr>
          <w:p>
            <w:pPr>
              <w:pStyle w:val="63"/>
              <w:rPr>
                <w:szCs w:val="21"/>
              </w:rPr>
            </w:pPr>
            <w:r>
              <w:rPr>
                <w:szCs w:val="21"/>
              </w:rPr>
              <w:t>评价结果</w:t>
            </w:r>
          </w:p>
        </w:tc>
        <w:tc>
          <w:tcPr>
            <w:tcW w:w="629" w:type="pct"/>
            <w:shd w:val="clear" w:color="auto" w:fill="auto"/>
            <w:noWrap/>
            <w:vAlign w:val="center"/>
          </w:tcPr>
          <w:p>
            <w:pPr>
              <w:pStyle w:val="63"/>
              <w:rPr>
                <w:szCs w:val="21"/>
              </w:rPr>
            </w:pPr>
            <w:r>
              <w:rPr>
                <w:szCs w:val="21"/>
              </w:rPr>
              <w:t>标准值</w:t>
            </w:r>
          </w:p>
          <w:p>
            <w:pPr>
              <w:pStyle w:val="63"/>
              <w:rPr>
                <w:szCs w:val="21"/>
              </w:rPr>
            </w:pPr>
            <w:r>
              <w:rPr>
                <w:kern w:val="0"/>
                <w:szCs w:val="21"/>
                <w:lang w:bidi="ar"/>
              </w:rPr>
              <w:t>mg/m</w:t>
            </w:r>
            <w:r>
              <w:rPr>
                <w:kern w:val="0"/>
                <w:szCs w:val="21"/>
                <w:vertAlign w:val="superscript"/>
                <w:lang w:bidi="ar"/>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restart"/>
            <w:shd w:val="clear" w:color="auto" w:fill="auto"/>
            <w:vAlign w:val="center"/>
          </w:tcPr>
          <w:p>
            <w:pPr>
              <w:pStyle w:val="63"/>
              <w:rPr>
                <w:szCs w:val="21"/>
              </w:rPr>
            </w:pPr>
            <w:r>
              <w:rPr>
                <w:szCs w:val="21"/>
              </w:rPr>
              <w:t>G3</w:t>
            </w:r>
          </w:p>
        </w:tc>
        <w:tc>
          <w:tcPr>
            <w:tcW w:w="888" w:type="pct"/>
            <w:shd w:val="clear" w:color="auto" w:fill="auto"/>
            <w:noWrap/>
            <w:vAlign w:val="center"/>
          </w:tcPr>
          <w:p>
            <w:pPr>
              <w:pStyle w:val="63"/>
              <w:rPr>
                <w:kern w:val="0"/>
                <w:szCs w:val="21"/>
                <w:lang w:bidi="ar"/>
              </w:rPr>
            </w:pPr>
            <w:r>
              <w:rPr>
                <w:kern w:val="0"/>
                <w:szCs w:val="21"/>
                <w:lang w:bidi="ar"/>
              </w:rPr>
              <w:t>臭气浓度</w:t>
            </w:r>
          </w:p>
        </w:tc>
        <w:tc>
          <w:tcPr>
            <w:tcW w:w="979" w:type="pct"/>
            <w:shd w:val="clear" w:color="auto" w:fill="auto"/>
            <w:noWrap/>
            <w:vAlign w:val="center"/>
          </w:tcPr>
          <w:p>
            <w:pPr>
              <w:pStyle w:val="63"/>
              <w:rPr>
                <w:szCs w:val="21"/>
              </w:rPr>
            </w:pPr>
            <w:r>
              <w:rPr>
                <w:kern w:val="0"/>
                <w:szCs w:val="21"/>
              </w:rPr>
              <w:t>＜10</w:t>
            </w:r>
          </w:p>
        </w:tc>
        <w:tc>
          <w:tcPr>
            <w:tcW w:w="839" w:type="pct"/>
            <w:shd w:val="clear" w:color="auto" w:fill="auto"/>
            <w:noWrap/>
            <w:vAlign w:val="center"/>
          </w:tcPr>
          <w:p>
            <w:pPr>
              <w:pStyle w:val="63"/>
              <w:rPr>
                <w:szCs w:val="21"/>
              </w:rPr>
            </w:pPr>
            <w:r>
              <w:rPr>
                <w:szCs w:val="21"/>
              </w:rPr>
              <w:t>/</w:t>
            </w:r>
          </w:p>
        </w:tc>
        <w:tc>
          <w:tcPr>
            <w:tcW w:w="601" w:type="pct"/>
            <w:shd w:val="clear" w:color="auto" w:fill="auto"/>
            <w:vAlign w:val="center"/>
          </w:tcPr>
          <w:p>
            <w:pPr>
              <w:pStyle w:val="63"/>
              <w:rPr>
                <w:szCs w:val="21"/>
              </w:rPr>
            </w:pPr>
            <w:r>
              <w:rPr>
                <w:szCs w:val="21"/>
              </w:rPr>
              <w:t>0</w:t>
            </w:r>
          </w:p>
        </w:tc>
        <w:tc>
          <w:tcPr>
            <w:tcW w:w="629" w:type="pct"/>
            <w:shd w:val="clear" w:color="auto" w:fill="auto"/>
            <w:vAlign w:val="center"/>
          </w:tcPr>
          <w:p>
            <w:pPr>
              <w:pStyle w:val="63"/>
              <w:rPr>
                <w:szCs w:val="21"/>
              </w:rPr>
            </w:pPr>
            <w:r>
              <w:rPr>
                <w:szCs w:val="21"/>
              </w:rPr>
              <w:t>达标</w:t>
            </w:r>
          </w:p>
        </w:tc>
        <w:tc>
          <w:tcPr>
            <w:tcW w:w="629" w:type="pct"/>
            <w:shd w:val="clear" w:color="auto" w:fill="auto"/>
            <w:noWrap/>
            <w:vAlign w:val="center"/>
          </w:tcPr>
          <w:p>
            <w:pPr>
              <w:pStyle w:val="63"/>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shd w:val="clear" w:color="auto" w:fill="auto"/>
            <w:vAlign w:val="center"/>
          </w:tcPr>
          <w:p>
            <w:pPr>
              <w:pStyle w:val="63"/>
              <w:rPr>
                <w:szCs w:val="21"/>
              </w:rPr>
            </w:pPr>
          </w:p>
        </w:tc>
        <w:tc>
          <w:tcPr>
            <w:tcW w:w="888" w:type="pct"/>
            <w:shd w:val="clear" w:color="auto" w:fill="auto"/>
            <w:noWrap/>
            <w:vAlign w:val="center"/>
          </w:tcPr>
          <w:p>
            <w:pPr>
              <w:pStyle w:val="63"/>
              <w:rPr>
                <w:kern w:val="0"/>
                <w:szCs w:val="21"/>
                <w:lang w:bidi="ar"/>
              </w:rPr>
            </w:pPr>
            <w:r>
              <w:rPr>
                <w:kern w:val="0"/>
                <w:szCs w:val="21"/>
                <w:lang w:bidi="ar"/>
              </w:rPr>
              <w:t>硫化氢</w:t>
            </w:r>
          </w:p>
        </w:tc>
        <w:tc>
          <w:tcPr>
            <w:tcW w:w="979" w:type="pct"/>
            <w:shd w:val="clear" w:color="auto" w:fill="auto"/>
            <w:noWrap/>
            <w:vAlign w:val="center"/>
          </w:tcPr>
          <w:p>
            <w:pPr>
              <w:pStyle w:val="63"/>
              <w:rPr>
                <w:szCs w:val="21"/>
              </w:rPr>
            </w:pPr>
            <w:r>
              <w:rPr>
                <w:kern w:val="0"/>
                <w:szCs w:val="21"/>
              </w:rPr>
              <w:t>0.001L</w:t>
            </w:r>
          </w:p>
        </w:tc>
        <w:tc>
          <w:tcPr>
            <w:tcW w:w="839" w:type="pct"/>
            <w:shd w:val="clear" w:color="auto" w:fill="auto"/>
            <w:noWrap/>
            <w:vAlign w:val="center"/>
          </w:tcPr>
          <w:p>
            <w:pPr>
              <w:pStyle w:val="63"/>
              <w:rPr>
                <w:szCs w:val="21"/>
              </w:rPr>
            </w:pPr>
            <w:r>
              <w:rPr>
                <w:szCs w:val="21"/>
              </w:rPr>
              <w:t>/</w:t>
            </w:r>
          </w:p>
        </w:tc>
        <w:tc>
          <w:tcPr>
            <w:tcW w:w="601" w:type="pct"/>
            <w:shd w:val="clear" w:color="auto" w:fill="auto"/>
            <w:vAlign w:val="center"/>
          </w:tcPr>
          <w:p>
            <w:pPr>
              <w:pStyle w:val="63"/>
              <w:rPr>
                <w:szCs w:val="21"/>
              </w:rPr>
            </w:pPr>
            <w:r>
              <w:rPr>
                <w:szCs w:val="21"/>
              </w:rPr>
              <w:t>0</w:t>
            </w:r>
          </w:p>
        </w:tc>
        <w:tc>
          <w:tcPr>
            <w:tcW w:w="629" w:type="pct"/>
            <w:shd w:val="clear" w:color="auto" w:fill="auto"/>
            <w:vAlign w:val="center"/>
          </w:tcPr>
          <w:p>
            <w:pPr>
              <w:pStyle w:val="63"/>
              <w:rPr>
                <w:szCs w:val="21"/>
              </w:rPr>
            </w:pPr>
            <w:r>
              <w:rPr>
                <w:szCs w:val="21"/>
              </w:rPr>
              <w:t>达标</w:t>
            </w:r>
          </w:p>
        </w:tc>
        <w:tc>
          <w:tcPr>
            <w:tcW w:w="629" w:type="pct"/>
            <w:shd w:val="clear" w:color="auto" w:fill="auto"/>
            <w:noWrap/>
            <w:vAlign w:val="center"/>
          </w:tcPr>
          <w:p>
            <w:pPr>
              <w:pStyle w:val="63"/>
              <w:rPr>
                <w:szCs w:val="21"/>
              </w:rPr>
            </w:pPr>
            <w:r>
              <w:rPr>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shd w:val="clear" w:color="auto" w:fill="auto"/>
            <w:vAlign w:val="center"/>
          </w:tcPr>
          <w:p>
            <w:pPr>
              <w:pStyle w:val="63"/>
              <w:rPr>
                <w:szCs w:val="21"/>
              </w:rPr>
            </w:pPr>
          </w:p>
        </w:tc>
        <w:tc>
          <w:tcPr>
            <w:tcW w:w="888" w:type="pct"/>
            <w:shd w:val="clear" w:color="auto" w:fill="auto"/>
            <w:noWrap/>
            <w:vAlign w:val="center"/>
          </w:tcPr>
          <w:p>
            <w:pPr>
              <w:pStyle w:val="63"/>
              <w:rPr>
                <w:kern w:val="0"/>
                <w:szCs w:val="21"/>
                <w:lang w:bidi="ar"/>
              </w:rPr>
            </w:pPr>
            <w:r>
              <w:rPr>
                <w:kern w:val="0"/>
                <w:szCs w:val="21"/>
                <w:lang w:bidi="ar"/>
              </w:rPr>
              <w:t>氨</w:t>
            </w:r>
          </w:p>
        </w:tc>
        <w:tc>
          <w:tcPr>
            <w:tcW w:w="979" w:type="pct"/>
            <w:shd w:val="clear" w:color="auto" w:fill="auto"/>
            <w:noWrap/>
            <w:vAlign w:val="center"/>
          </w:tcPr>
          <w:p>
            <w:pPr>
              <w:pStyle w:val="63"/>
              <w:rPr>
                <w:szCs w:val="21"/>
              </w:rPr>
            </w:pPr>
            <w:r>
              <w:rPr>
                <w:szCs w:val="21"/>
              </w:rPr>
              <w:t>0.01L</w:t>
            </w:r>
          </w:p>
        </w:tc>
        <w:tc>
          <w:tcPr>
            <w:tcW w:w="839" w:type="pct"/>
            <w:shd w:val="clear" w:color="auto" w:fill="auto"/>
            <w:noWrap/>
            <w:vAlign w:val="center"/>
          </w:tcPr>
          <w:p>
            <w:pPr>
              <w:pStyle w:val="63"/>
              <w:rPr>
                <w:szCs w:val="21"/>
              </w:rPr>
            </w:pPr>
            <w:r>
              <w:rPr>
                <w:szCs w:val="21"/>
              </w:rPr>
              <w:t>/</w:t>
            </w:r>
          </w:p>
        </w:tc>
        <w:tc>
          <w:tcPr>
            <w:tcW w:w="601" w:type="pct"/>
            <w:shd w:val="clear" w:color="auto" w:fill="auto"/>
            <w:vAlign w:val="center"/>
          </w:tcPr>
          <w:p>
            <w:pPr>
              <w:pStyle w:val="63"/>
              <w:rPr>
                <w:szCs w:val="21"/>
              </w:rPr>
            </w:pPr>
            <w:r>
              <w:rPr>
                <w:szCs w:val="21"/>
              </w:rPr>
              <w:t>0</w:t>
            </w:r>
          </w:p>
        </w:tc>
        <w:tc>
          <w:tcPr>
            <w:tcW w:w="629" w:type="pct"/>
            <w:shd w:val="clear" w:color="auto" w:fill="auto"/>
            <w:vAlign w:val="center"/>
          </w:tcPr>
          <w:p>
            <w:pPr>
              <w:pStyle w:val="63"/>
              <w:rPr>
                <w:szCs w:val="21"/>
              </w:rPr>
            </w:pPr>
            <w:r>
              <w:rPr>
                <w:szCs w:val="21"/>
              </w:rPr>
              <w:t>达标</w:t>
            </w:r>
          </w:p>
        </w:tc>
        <w:tc>
          <w:tcPr>
            <w:tcW w:w="629" w:type="pct"/>
            <w:shd w:val="clear" w:color="auto" w:fill="auto"/>
            <w:noWrap/>
            <w:vAlign w:val="center"/>
          </w:tcPr>
          <w:p>
            <w:pPr>
              <w:pStyle w:val="63"/>
              <w:rPr>
                <w:szCs w:val="21"/>
              </w:rPr>
            </w:pPr>
            <w:r>
              <w:rPr>
                <w:szCs w:val="21"/>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shd w:val="clear" w:color="auto" w:fill="auto"/>
            <w:vAlign w:val="center"/>
          </w:tcPr>
          <w:p>
            <w:pPr>
              <w:pStyle w:val="63"/>
              <w:rPr>
                <w:szCs w:val="21"/>
              </w:rPr>
            </w:pPr>
          </w:p>
        </w:tc>
        <w:tc>
          <w:tcPr>
            <w:tcW w:w="888" w:type="pct"/>
            <w:shd w:val="clear" w:color="auto" w:fill="auto"/>
            <w:noWrap/>
            <w:vAlign w:val="center"/>
          </w:tcPr>
          <w:p>
            <w:pPr>
              <w:pStyle w:val="63"/>
              <w:rPr>
                <w:kern w:val="0"/>
                <w:szCs w:val="21"/>
                <w:lang w:bidi="ar"/>
              </w:rPr>
            </w:pPr>
            <w:r>
              <w:rPr>
                <w:kern w:val="0"/>
                <w:szCs w:val="21"/>
                <w:lang w:bidi="ar"/>
              </w:rPr>
              <w:t>TVOC</w:t>
            </w:r>
          </w:p>
        </w:tc>
        <w:tc>
          <w:tcPr>
            <w:tcW w:w="979" w:type="pct"/>
            <w:shd w:val="clear" w:color="auto" w:fill="auto"/>
            <w:noWrap/>
            <w:vAlign w:val="center"/>
          </w:tcPr>
          <w:p>
            <w:pPr>
              <w:pStyle w:val="63"/>
              <w:rPr>
                <w:szCs w:val="21"/>
              </w:rPr>
            </w:pPr>
            <w:r>
              <w:rPr>
                <w:szCs w:val="21"/>
              </w:rPr>
              <w:t>0.0644-0.108</w:t>
            </w:r>
          </w:p>
        </w:tc>
        <w:tc>
          <w:tcPr>
            <w:tcW w:w="839" w:type="pct"/>
            <w:shd w:val="clear" w:color="auto" w:fill="auto"/>
            <w:noWrap/>
            <w:vAlign w:val="center"/>
          </w:tcPr>
          <w:p>
            <w:pPr>
              <w:pStyle w:val="63"/>
              <w:rPr>
                <w:szCs w:val="21"/>
              </w:rPr>
            </w:pPr>
            <w:r>
              <w:rPr>
                <w:szCs w:val="21"/>
              </w:rPr>
              <w:t>0.18</w:t>
            </w:r>
          </w:p>
        </w:tc>
        <w:tc>
          <w:tcPr>
            <w:tcW w:w="601" w:type="pct"/>
            <w:shd w:val="clear" w:color="auto" w:fill="auto"/>
            <w:vAlign w:val="center"/>
          </w:tcPr>
          <w:p>
            <w:pPr>
              <w:pStyle w:val="63"/>
              <w:rPr>
                <w:szCs w:val="21"/>
              </w:rPr>
            </w:pPr>
            <w:r>
              <w:rPr>
                <w:szCs w:val="21"/>
              </w:rPr>
              <w:t>0</w:t>
            </w:r>
          </w:p>
        </w:tc>
        <w:tc>
          <w:tcPr>
            <w:tcW w:w="629" w:type="pct"/>
            <w:shd w:val="clear" w:color="auto" w:fill="auto"/>
            <w:vAlign w:val="center"/>
          </w:tcPr>
          <w:p>
            <w:pPr>
              <w:pStyle w:val="63"/>
              <w:rPr>
                <w:szCs w:val="21"/>
              </w:rPr>
            </w:pPr>
            <w:r>
              <w:rPr>
                <w:szCs w:val="21"/>
              </w:rPr>
              <w:t>达标</w:t>
            </w:r>
          </w:p>
        </w:tc>
        <w:tc>
          <w:tcPr>
            <w:tcW w:w="629" w:type="pct"/>
            <w:shd w:val="clear" w:color="auto" w:fill="auto"/>
            <w:noWrap/>
            <w:vAlign w:val="center"/>
          </w:tcPr>
          <w:p>
            <w:pPr>
              <w:pStyle w:val="63"/>
              <w:rPr>
                <w:szCs w:val="21"/>
              </w:rPr>
            </w:pPr>
            <w:r>
              <w:rPr>
                <w:szCs w:val="21"/>
              </w:rPr>
              <w:t>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shd w:val="clear" w:color="auto" w:fill="auto"/>
            <w:vAlign w:val="center"/>
          </w:tcPr>
          <w:p>
            <w:pPr>
              <w:pStyle w:val="63"/>
              <w:rPr>
                <w:szCs w:val="21"/>
              </w:rPr>
            </w:pPr>
          </w:p>
        </w:tc>
        <w:tc>
          <w:tcPr>
            <w:tcW w:w="888" w:type="pct"/>
            <w:shd w:val="clear" w:color="auto" w:fill="auto"/>
            <w:noWrap/>
            <w:vAlign w:val="center"/>
          </w:tcPr>
          <w:p>
            <w:pPr>
              <w:pStyle w:val="63"/>
              <w:rPr>
                <w:kern w:val="0"/>
                <w:szCs w:val="21"/>
                <w:lang w:bidi="ar"/>
              </w:rPr>
            </w:pPr>
            <w:r>
              <w:rPr>
                <w:kern w:val="0"/>
                <w:szCs w:val="21"/>
                <w:lang w:bidi="ar"/>
              </w:rPr>
              <w:t>氟化物</w:t>
            </w:r>
          </w:p>
        </w:tc>
        <w:tc>
          <w:tcPr>
            <w:tcW w:w="979" w:type="pct"/>
            <w:shd w:val="clear" w:color="auto" w:fill="auto"/>
            <w:noWrap/>
            <w:vAlign w:val="center"/>
          </w:tcPr>
          <w:p>
            <w:pPr>
              <w:pStyle w:val="63"/>
              <w:rPr>
                <w:szCs w:val="21"/>
              </w:rPr>
            </w:pPr>
            <w:r>
              <w:rPr>
                <w:szCs w:val="21"/>
              </w:rPr>
              <w:t>1.00×10</w:t>
            </w:r>
            <w:r>
              <w:rPr>
                <w:szCs w:val="21"/>
                <w:vertAlign w:val="superscript"/>
              </w:rPr>
              <w:t>-5</w:t>
            </w:r>
            <w:r>
              <w:rPr>
                <w:szCs w:val="21"/>
              </w:rPr>
              <w:t>L</w:t>
            </w:r>
          </w:p>
        </w:tc>
        <w:tc>
          <w:tcPr>
            <w:tcW w:w="839" w:type="pct"/>
            <w:shd w:val="clear" w:color="auto" w:fill="auto"/>
            <w:noWrap/>
            <w:vAlign w:val="center"/>
          </w:tcPr>
          <w:p>
            <w:pPr>
              <w:pStyle w:val="63"/>
              <w:rPr>
                <w:szCs w:val="21"/>
              </w:rPr>
            </w:pPr>
            <w:r>
              <w:rPr>
                <w:szCs w:val="21"/>
              </w:rPr>
              <w:t>/</w:t>
            </w:r>
          </w:p>
        </w:tc>
        <w:tc>
          <w:tcPr>
            <w:tcW w:w="601" w:type="pct"/>
            <w:shd w:val="clear" w:color="auto" w:fill="auto"/>
            <w:vAlign w:val="center"/>
          </w:tcPr>
          <w:p>
            <w:pPr>
              <w:pStyle w:val="63"/>
              <w:rPr>
                <w:szCs w:val="21"/>
              </w:rPr>
            </w:pPr>
            <w:r>
              <w:rPr>
                <w:szCs w:val="21"/>
              </w:rPr>
              <w:t>0</w:t>
            </w:r>
          </w:p>
        </w:tc>
        <w:tc>
          <w:tcPr>
            <w:tcW w:w="629" w:type="pct"/>
            <w:shd w:val="clear" w:color="auto" w:fill="auto"/>
            <w:vAlign w:val="center"/>
          </w:tcPr>
          <w:p>
            <w:pPr>
              <w:pStyle w:val="63"/>
              <w:rPr>
                <w:szCs w:val="21"/>
              </w:rPr>
            </w:pPr>
            <w:r>
              <w:rPr>
                <w:szCs w:val="21"/>
              </w:rPr>
              <w:t>达标</w:t>
            </w:r>
          </w:p>
        </w:tc>
        <w:tc>
          <w:tcPr>
            <w:tcW w:w="629" w:type="pct"/>
            <w:shd w:val="clear" w:color="auto" w:fill="auto"/>
            <w:noWrap/>
            <w:vAlign w:val="center"/>
          </w:tcPr>
          <w:p>
            <w:pPr>
              <w:pStyle w:val="63"/>
              <w:rPr>
                <w:szCs w:val="21"/>
              </w:rPr>
            </w:pPr>
            <w:r>
              <w:rPr>
                <w:szCs w:val="21"/>
              </w:rPr>
              <w:t>0.007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shd w:val="clear" w:color="auto" w:fill="auto"/>
            <w:vAlign w:val="center"/>
          </w:tcPr>
          <w:p>
            <w:pPr>
              <w:pStyle w:val="63"/>
              <w:rPr>
                <w:szCs w:val="21"/>
              </w:rPr>
            </w:pPr>
          </w:p>
        </w:tc>
        <w:tc>
          <w:tcPr>
            <w:tcW w:w="888" w:type="pct"/>
            <w:shd w:val="clear" w:color="auto" w:fill="auto"/>
            <w:noWrap/>
            <w:vAlign w:val="center"/>
          </w:tcPr>
          <w:p>
            <w:pPr>
              <w:pStyle w:val="63"/>
              <w:rPr>
                <w:kern w:val="0"/>
                <w:szCs w:val="21"/>
                <w:lang w:bidi="ar"/>
              </w:rPr>
            </w:pPr>
            <w:r>
              <w:rPr>
                <w:kern w:val="0"/>
                <w:szCs w:val="21"/>
                <w:lang w:bidi="ar"/>
              </w:rPr>
              <w:t>TSP</w:t>
            </w:r>
          </w:p>
        </w:tc>
        <w:tc>
          <w:tcPr>
            <w:tcW w:w="979" w:type="pct"/>
            <w:shd w:val="clear" w:color="auto" w:fill="auto"/>
            <w:noWrap/>
            <w:vAlign w:val="center"/>
          </w:tcPr>
          <w:p>
            <w:pPr>
              <w:pStyle w:val="63"/>
              <w:rPr>
                <w:szCs w:val="21"/>
              </w:rPr>
            </w:pPr>
            <w:r>
              <w:rPr>
                <w:szCs w:val="21"/>
              </w:rPr>
              <w:t>0.111-0.115</w:t>
            </w:r>
          </w:p>
        </w:tc>
        <w:tc>
          <w:tcPr>
            <w:tcW w:w="839" w:type="pct"/>
            <w:shd w:val="clear" w:color="auto" w:fill="auto"/>
            <w:noWrap/>
            <w:vAlign w:val="center"/>
          </w:tcPr>
          <w:p>
            <w:pPr>
              <w:pStyle w:val="63"/>
              <w:rPr>
                <w:szCs w:val="21"/>
              </w:rPr>
            </w:pPr>
            <w:r>
              <w:rPr>
                <w:szCs w:val="21"/>
              </w:rPr>
              <w:t>0.38</w:t>
            </w:r>
          </w:p>
        </w:tc>
        <w:tc>
          <w:tcPr>
            <w:tcW w:w="601" w:type="pct"/>
            <w:shd w:val="clear" w:color="auto" w:fill="auto"/>
            <w:vAlign w:val="center"/>
          </w:tcPr>
          <w:p>
            <w:pPr>
              <w:pStyle w:val="63"/>
              <w:rPr>
                <w:szCs w:val="21"/>
              </w:rPr>
            </w:pPr>
            <w:r>
              <w:rPr>
                <w:szCs w:val="21"/>
              </w:rPr>
              <w:t>0</w:t>
            </w:r>
          </w:p>
        </w:tc>
        <w:tc>
          <w:tcPr>
            <w:tcW w:w="629" w:type="pct"/>
            <w:shd w:val="clear" w:color="auto" w:fill="auto"/>
            <w:vAlign w:val="center"/>
          </w:tcPr>
          <w:p>
            <w:pPr>
              <w:pStyle w:val="63"/>
              <w:rPr>
                <w:szCs w:val="21"/>
              </w:rPr>
            </w:pPr>
            <w:r>
              <w:rPr>
                <w:szCs w:val="21"/>
              </w:rPr>
              <w:t>达标</w:t>
            </w:r>
          </w:p>
        </w:tc>
        <w:tc>
          <w:tcPr>
            <w:tcW w:w="629" w:type="pct"/>
            <w:shd w:val="clear" w:color="auto" w:fill="auto"/>
            <w:noWrap/>
            <w:vAlign w:val="center"/>
          </w:tcPr>
          <w:p>
            <w:pPr>
              <w:pStyle w:val="63"/>
              <w:rPr>
                <w:szCs w:val="21"/>
              </w:rPr>
            </w:pPr>
            <w:r>
              <w:rPr>
                <w:szCs w:val="21"/>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shd w:val="clear" w:color="auto" w:fill="auto"/>
            <w:vAlign w:val="center"/>
          </w:tcPr>
          <w:p>
            <w:pPr>
              <w:pStyle w:val="63"/>
              <w:rPr>
                <w:szCs w:val="21"/>
              </w:rPr>
            </w:pPr>
          </w:p>
        </w:tc>
        <w:tc>
          <w:tcPr>
            <w:tcW w:w="888" w:type="pct"/>
            <w:shd w:val="clear" w:color="auto" w:fill="auto"/>
            <w:noWrap/>
            <w:vAlign w:val="center"/>
          </w:tcPr>
          <w:p>
            <w:pPr>
              <w:pStyle w:val="63"/>
              <w:rPr>
                <w:kern w:val="0"/>
                <w:szCs w:val="21"/>
                <w:lang w:bidi="ar"/>
              </w:rPr>
            </w:pPr>
            <w:r>
              <w:rPr>
                <w:kern w:val="0"/>
                <w:szCs w:val="21"/>
                <w:lang w:bidi="ar"/>
              </w:rPr>
              <w:t>镍及其化合物</w:t>
            </w:r>
          </w:p>
        </w:tc>
        <w:tc>
          <w:tcPr>
            <w:tcW w:w="979" w:type="pct"/>
            <w:shd w:val="clear" w:color="auto" w:fill="auto"/>
            <w:noWrap/>
            <w:vAlign w:val="center"/>
          </w:tcPr>
          <w:p>
            <w:pPr>
              <w:pStyle w:val="63"/>
              <w:rPr>
                <w:kern w:val="0"/>
                <w:szCs w:val="21"/>
              </w:rPr>
            </w:pPr>
            <w:r>
              <w:rPr>
                <w:kern w:val="0"/>
                <w:szCs w:val="21"/>
                <w:lang w:bidi="ar"/>
              </w:rPr>
              <w:t>3×10</w:t>
            </w:r>
            <w:r>
              <w:rPr>
                <w:kern w:val="0"/>
                <w:szCs w:val="21"/>
                <w:vertAlign w:val="superscript"/>
                <w:lang w:bidi="ar"/>
              </w:rPr>
              <w:t>-5</w:t>
            </w:r>
            <w:r>
              <w:rPr>
                <w:kern w:val="0"/>
                <w:szCs w:val="21"/>
                <w:lang w:bidi="ar"/>
              </w:rPr>
              <w:t>L</w:t>
            </w:r>
          </w:p>
        </w:tc>
        <w:tc>
          <w:tcPr>
            <w:tcW w:w="839" w:type="pct"/>
            <w:shd w:val="clear" w:color="auto" w:fill="auto"/>
            <w:noWrap/>
            <w:vAlign w:val="center"/>
          </w:tcPr>
          <w:p>
            <w:pPr>
              <w:pStyle w:val="63"/>
              <w:rPr>
                <w:szCs w:val="21"/>
              </w:rPr>
            </w:pPr>
            <w:r>
              <w:rPr>
                <w:szCs w:val="21"/>
              </w:rPr>
              <w:t>/</w:t>
            </w:r>
          </w:p>
        </w:tc>
        <w:tc>
          <w:tcPr>
            <w:tcW w:w="601" w:type="pct"/>
            <w:shd w:val="clear" w:color="auto" w:fill="auto"/>
            <w:vAlign w:val="center"/>
          </w:tcPr>
          <w:p>
            <w:pPr>
              <w:pStyle w:val="63"/>
              <w:rPr>
                <w:szCs w:val="21"/>
              </w:rPr>
            </w:pPr>
            <w:r>
              <w:rPr>
                <w:szCs w:val="21"/>
              </w:rPr>
              <w:t>0</w:t>
            </w:r>
          </w:p>
        </w:tc>
        <w:tc>
          <w:tcPr>
            <w:tcW w:w="629" w:type="pct"/>
            <w:shd w:val="clear" w:color="auto" w:fill="auto"/>
            <w:vAlign w:val="center"/>
          </w:tcPr>
          <w:p>
            <w:pPr>
              <w:pStyle w:val="63"/>
              <w:rPr>
                <w:szCs w:val="21"/>
              </w:rPr>
            </w:pPr>
            <w:r>
              <w:rPr>
                <w:szCs w:val="21"/>
              </w:rPr>
              <w:t>达标</w:t>
            </w:r>
          </w:p>
        </w:tc>
        <w:tc>
          <w:tcPr>
            <w:tcW w:w="629" w:type="pct"/>
            <w:shd w:val="clear" w:color="auto" w:fill="auto"/>
            <w:noWrap/>
            <w:vAlign w:val="center"/>
          </w:tcPr>
          <w:p>
            <w:pPr>
              <w:pStyle w:val="63"/>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shd w:val="clear" w:color="auto" w:fill="auto"/>
            <w:vAlign w:val="center"/>
          </w:tcPr>
          <w:p>
            <w:pPr>
              <w:pStyle w:val="63"/>
              <w:rPr>
                <w:szCs w:val="21"/>
              </w:rPr>
            </w:pPr>
          </w:p>
        </w:tc>
        <w:tc>
          <w:tcPr>
            <w:tcW w:w="888" w:type="pct"/>
            <w:shd w:val="clear" w:color="auto" w:fill="auto"/>
            <w:noWrap/>
            <w:vAlign w:val="center"/>
          </w:tcPr>
          <w:p>
            <w:pPr>
              <w:pStyle w:val="63"/>
              <w:rPr>
                <w:kern w:val="0"/>
                <w:szCs w:val="21"/>
                <w:lang w:bidi="ar"/>
              </w:rPr>
            </w:pPr>
            <w:r>
              <w:rPr>
                <w:kern w:val="0"/>
                <w:szCs w:val="21"/>
                <w:lang w:bidi="ar"/>
              </w:rPr>
              <w:t>钴及其化合物</w:t>
            </w:r>
          </w:p>
        </w:tc>
        <w:tc>
          <w:tcPr>
            <w:tcW w:w="979" w:type="pct"/>
            <w:shd w:val="clear" w:color="auto" w:fill="auto"/>
            <w:noWrap/>
            <w:vAlign w:val="center"/>
          </w:tcPr>
          <w:p>
            <w:pPr>
              <w:pStyle w:val="63"/>
              <w:rPr>
                <w:kern w:val="0"/>
                <w:szCs w:val="21"/>
                <w:lang w:bidi="ar"/>
              </w:rPr>
            </w:pPr>
            <w:r>
              <w:rPr>
                <w:kern w:val="0"/>
                <w:szCs w:val="21"/>
                <w:lang w:bidi="ar"/>
              </w:rPr>
              <w:t>0.005L</w:t>
            </w:r>
          </w:p>
        </w:tc>
        <w:tc>
          <w:tcPr>
            <w:tcW w:w="839" w:type="pct"/>
            <w:shd w:val="clear" w:color="auto" w:fill="auto"/>
            <w:noWrap/>
            <w:vAlign w:val="center"/>
          </w:tcPr>
          <w:p>
            <w:pPr>
              <w:pStyle w:val="63"/>
              <w:rPr>
                <w:szCs w:val="21"/>
              </w:rPr>
            </w:pPr>
            <w:r>
              <w:rPr>
                <w:szCs w:val="21"/>
              </w:rPr>
              <w:t>/</w:t>
            </w:r>
          </w:p>
        </w:tc>
        <w:tc>
          <w:tcPr>
            <w:tcW w:w="601" w:type="pct"/>
            <w:shd w:val="clear" w:color="auto" w:fill="auto"/>
            <w:vAlign w:val="center"/>
          </w:tcPr>
          <w:p>
            <w:pPr>
              <w:pStyle w:val="63"/>
              <w:rPr>
                <w:szCs w:val="21"/>
              </w:rPr>
            </w:pPr>
            <w:r>
              <w:rPr>
                <w:szCs w:val="21"/>
              </w:rPr>
              <w:t>0</w:t>
            </w:r>
          </w:p>
        </w:tc>
        <w:tc>
          <w:tcPr>
            <w:tcW w:w="629" w:type="pct"/>
            <w:shd w:val="clear" w:color="auto" w:fill="auto"/>
            <w:vAlign w:val="center"/>
          </w:tcPr>
          <w:p>
            <w:pPr>
              <w:pStyle w:val="63"/>
              <w:rPr>
                <w:szCs w:val="21"/>
              </w:rPr>
            </w:pPr>
            <w:r>
              <w:rPr>
                <w:szCs w:val="21"/>
              </w:rPr>
              <w:t>达标</w:t>
            </w:r>
          </w:p>
        </w:tc>
        <w:tc>
          <w:tcPr>
            <w:tcW w:w="629" w:type="pct"/>
            <w:shd w:val="clear" w:color="auto" w:fill="auto"/>
            <w:noWrap/>
            <w:vAlign w:val="center"/>
          </w:tcPr>
          <w:p>
            <w:pPr>
              <w:pStyle w:val="63"/>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5" w:type="pct"/>
            <w:vMerge w:val="continue"/>
            <w:shd w:val="clear" w:color="auto" w:fill="auto"/>
            <w:vAlign w:val="center"/>
          </w:tcPr>
          <w:p>
            <w:pPr>
              <w:pStyle w:val="63"/>
              <w:rPr>
                <w:szCs w:val="21"/>
              </w:rPr>
            </w:pPr>
          </w:p>
        </w:tc>
        <w:tc>
          <w:tcPr>
            <w:tcW w:w="888" w:type="pct"/>
            <w:shd w:val="clear" w:color="auto" w:fill="auto"/>
            <w:noWrap/>
            <w:vAlign w:val="center"/>
          </w:tcPr>
          <w:p>
            <w:pPr>
              <w:pStyle w:val="63"/>
              <w:rPr>
                <w:kern w:val="0"/>
                <w:szCs w:val="21"/>
                <w:lang w:bidi="ar"/>
              </w:rPr>
            </w:pPr>
            <w:r>
              <w:rPr>
                <w:kern w:val="0"/>
                <w:szCs w:val="21"/>
                <w:lang w:bidi="ar"/>
              </w:rPr>
              <w:t>锰及其化合物</w:t>
            </w:r>
          </w:p>
        </w:tc>
        <w:tc>
          <w:tcPr>
            <w:tcW w:w="979" w:type="pct"/>
            <w:shd w:val="clear" w:color="auto" w:fill="auto"/>
            <w:noWrap/>
            <w:vAlign w:val="center"/>
          </w:tcPr>
          <w:p>
            <w:pPr>
              <w:pStyle w:val="63"/>
              <w:rPr>
                <w:kern w:val="0"/>
                <w:szCs w:val="21"/>
                <w:lang w:bidi="ar"/>
              </w:rPr>
            </w:pPr>
            <w:r>
              <w:rPr>
                <w:kern w:val="0"/>
                <w:szCs w:val="21"/>
                <w:lang w:bidi="ar"/>
              </w:rPr>
              <w:t>2×10</w:t>
            </w:r>
            <w:r>
              <w:rPr>
                <w:kern w:val="0"/>
                <w:szCs w:val="21"/>
                <w:vertAlign w:val="superscript"/>
                <w:lang w:bidi="ar"/>
              </w:rPr>
              <w:t>-4</w:t>
            </w:r>
            <w:r>
              <w:rPr>
                <w:kern w:val="0"/>
                <w:szCs w:val="21"/>
                <w:lang w:bidi="ar"/>
              </w:rPr>
              <w:t>L</w:t>
            </w:r>
          </w:p>
        </w:tc>
        <w:tc>
          <w:tcPr>
            <w:tcW w:w="839" w:type="pct"/>
            <w:shd w:val="clear" w:color="auto" w:fill="auto"/>
            <w:noWrap/>
            <w:vAlign w:val="center"/>
          </w:tcPr>
          <w:p>
            <w:pPr>
              <w:pStyle w:val="63"/>
              <w:rPr>
                <w:szCs w:val="21"/>
              </w:rPr>
            </w:pPr>
            <w:r>
              <w:rPr>
                <w:szCs w:val="21"/>
              </w:rPr>
              <w:t>/</w:t>
            </w:r>
          </w:p>
        </w:tc>
        <w:tc>
          <w:tcPr>
            <w:tcW w:w="601" w:type="pct"/>
            <w:shd w:val="clear" w:color="auto" w:fill="auto"/>
            <w:vAlign w:val="center"/>
          </w:tcPr>
          <w:p>
            <w:pPr>
              <w:pStyle w:val="63"/>
              <w:rPr>
                <w:szCs w:val="21"/>
              </w:rPr>
            </w:pPr>
            <w:r>
              <w:rPr>
                <w:szCs w:val="21"/>
              </w:rPr>
              <w:t>0</w:t>
            </w:r>
          </w:p>
        </w:tc>
        <w:tc>
          <w:tcPr>
            <w:tcW w:w="629" w:type="pct"/>
            <w:shd w:val="clear" w:color="auto" w:fill="auto"/>
            <w:vAlign w:val="center"/>
          </w:tcPr>
          <w:p>
            <w:pPr>
              <w:pStyle w:val="63"/>
              <w:rPr>
                <w:szCs w:val="21"/>
              </w:rPr>
            </w:pPr>
            <w:r>
              <w:rPr>
                <w:szCs w:val="21"/>
              </w:rPr>
              <w:t>达标</w:t>
            </w:r>
          </w:p>
        </w:tc>
        <w:tc>
          <w:tcPr>
            <w:tcW w:w="629" w:type="pct"/>
            <w:shd w:val="clear" w:color="auto" w:fill="auto"/>
            <w:noWrap/>
            <w:vAlign w:val="center"/>
          </w:tcPr>
          <w:p>
            <w:pPr>
              <w:pStyle w:val="63"/>
              <w:rPr>
                <w:szCs w:val="21"/>
              </w:rPr>
            </w:pPr>
            <w:r>
              <w:rPr>
                <w:szCs w:val="21"/>
              </w:rPr>
              <w:t>/</w:t>
            </w:r>
          </w:p>
        </w:tc>
      </w:tr>
    </w:tbl>
    <w:p>
      <w:pPr>
        <w:spacing w:line="360" w:lineRule="auto"/>
        <w:ind w:firstLine="480" w:firstLineChars="200"/>
        <w:rPr>
          <w:rFonts w:ascii="Times New Roman" w:hAnsi="Times New Roman" w:cs="Times New Roman"/>
        </w:rPr>
      </w:pPr>
      <w:r>
        <w:rPr>
          <w:rFonts w:ascii="Times New Roman" w:hAnsi="Times New Roman" w:cs="Times New Roman"/>
        </w:rPr>
        <w:t>由以上监测结果表明，本项目TSP、氟化物满足《环境空气质量标准》（GB3095-2012）二级标准及修改单中的相关标准要求；H</w:t>
      </w:r>
      <w:r>
        <w:rPr>
          <w:rFonts w:ascii="Times New Roman" w:hAnsi="Times New Roman" w:cs="Times New Roman"/>
          <w:vertAlign w:val="subscript"/>
        </w:rPr>
        <w:t>2</w:t>
      </w:r>
      <w:r>
        <w:rPr>
          <w:rFonts w:ascii="Times New Roman" w:hAnsi="Times New Roman" w:cs="Times New Roman"/>
        </w:rPr>
        <w:t>S、NH</w:t>
      </w:r>
      <w:r>
        <w:rPr>
          <w:rFonts w:ascii="Times New Roman" w:hAnsi="Times New Roman" w:cs="Times New Roman"/>
          <w:vertAlign w:val="subscript"/>
        </w:rPr>
        <w:t>3</w:t>
      </w:r>
      <w:r>
        <w:rPr>
          <w:rFonts w:ascii="Times New Roman" w:hAnsi="Times New Roman" w:cs="Times New Roman"/>
        </w:rPr>
        <w:t>、TOVC满足《环境影响评价技术导则大气环境》（HJ2.2-2018）附录D中标准要求；镍及其化合物、钴及其化合物、锰及其化合物满足《大气污染物综合排放标准详解》中的有关限值要求。</w:t>
      </w:r>
    </w:p>
    <w:p>
      <w:pPr>
        <w:pStyle w:val="3"/>
        <w:rPr>
          <w:rFonts w:ascii="Times New Roman" w:hAnsi="Times New Roman" w:cs="Times New Roman" w:eastAsiaTheme="minorEastAsia"/>
        </w:rPr>
      </w:pPr>
      <w:bookmarkStart w:id="249" w:name="_Toc144236788"/>
      <w:bookmarkStart w:id="250" w:name="_Toc147848036"/>
      <w:bookmarkStart w:id="251" w:name="_Toc144276918"/>
      <w:r>
        <w:rPr>
          <w:rFonts w:ascii="Times New Roman" w:hAnsi="Times New Roman" w:cs="Times New Roman" w:eastAsiaTheme="minorEastAsia"/>
        </w:rPr>
        <w:t>5.2 地表水环境质量现状评价</w:t>
      </w:r>
      <w:bookmarkEnd w:id="249"/>
      <w:bookmarkEnd w:id="250"/>
      <w:bookmarkEnd w:id="251"/>
    </w:p>
    <w:p>
      <w:pPr>
        <w:pStyle w:val="4"/>
        <w:rPr>
          <w:rFonts w:ascii="Times New Roman" w:hAnsi="Times New Roman" w:cs="Times New Roman"/>
        </w:rPr>
      </w:pPr>
      <w:bookmarkStart w:id="252" w:name="_Toc144276919"/>
      <w:bookmarkStart w:id="253" w:name="_Toc144236789"/>
      <w:bookmarkStart w:id="254" w:name="_Toc147848037"/>
      <w:r>
        <w:rPr>
          <w:rFonts w:ascii="Times New Roman" w:hAnsi="Times New Roman" w:cs="Times New Roman"/>
        </w:rPr>
        <w:t>5.2.1 区域地表水断面环境质量现状</w:t>
      </w:r>
      <w:bookmarkEnd w:id="252"/>
      <w:bookmarkEnd w:id="253"/>
      <w:bookmarkEnd w:id="254"/>
    </w:p>
    <w:p>
      <w:pPr>
        <w:spacing w:line="480" w:lineRule="exact"/>
        <w:ind w:firstLine="480" w:firstLineChars="200"/>
        <w:rPr>
          <w:rFonts w:ascii="Times New Roman" w:hAnsi="Times New Roman" w:cs="Times New Roman"/>
        </w:rPr>
      </w:pPr>
      <w:r>
        <w:rPr>
          <w:rFonts w:ascii="Times New Roman" w:hAnsi="Times New Roman" w:cs="Times New Roman"/>
        </w:rPr>
        <w:t>根据衡阳市生态环境局发布的《关于2022年12月及1-12月全市环境质量状况的通报》，衡东县大埔镇下游断面水质为</w:t>
      </w:r>
      <w:r>
        <w:rPr>
          <w:rFonts w:hint="eastAsia" w:ascii="宋体" w:hAnsi="宋体" w:eastAsia="宋体" w:cs="宋体"/>
        </w:rPr>
        <w:t>Ⅱ</w:t>
      </w:r>
      <w:r>
        <w:rPr>
          <w:rFonts w:ascii="Times New Roman" w:hAnsi="Times New Roman" w:cs="Times New Roman"/>
        </w:rPr>
        <w:t>类，满足《地表水环境质量标准》（GB3838-2002）中</w:t>
      </w:r>
      <w:r>
        <w:rPr>
          <w:rFonts w:hint="eastAsia" w:ascii="宋体" w:hAnsi="宋体" w:eastAsia="宋体" w:cs="宋体"/>
        </w:rPr>
        <w:t>Ⅱ</w:t>
      </w:r>
      <w:r>
        <w:rPr>
          <w:rFonts w:ascii="Times New Roman" w:hAnsi="Times New Roman" w:cs="Times New Roman"/>
        </w:rPr>
        <w:t>类标准限值要求。</w:t>
      </w:r>
    </w:p>
    <w:p>
      <w:pPr>
        <w:pStyle w:val="4"/>
        <w:rPr>
          <w:rFonts w:ascii="Times New Roman" w:hAnsi="Times New Roman" w:cs="Times New Roman"/>
        </w:rPr>
      </w:pPr>
      <w:bookmarkStart w:id="255" w:name="_Toc144236790"/>
      <w:bookmarkStart w:id="256" w:name="_Toc144276920"/>
      <w:bookmarkStart w:id="257" w:name="_Toc147848038"/>
      <w:r>
        <w:rPr>
          <w:rFonts w:ascii="Times New Roman" w:hAnsi="Times New Roman" w:cs="Times New Roman"/>
        </w:rPr>
        <w:t>5.2.2 地表水环境现状监测</w:t>
      </w:r>
      <w:bookmarkEnd w:id="255"/>
      <w:bookmarkEnd w:id="256"/>
      <w:bookmarkEnd w:id="257"/>
    </w:p>
    <w:p>
      <w:pPr>
        <w:spacing w:line="360" w:lineRule="auto"/>
        <w:ind w:firstLine="480" w:firstLineChars="200"/>
        <w:rPr>
          <w:rFonts w:ascii="Times New Roman" w:hAnsi="Times New Roman" w:cs="Times New Roman"/>
        </w:rPr>
      </w:pPr>
      <w:r>
        <w:rPr>
          <w:rFonts w:ascii="Times New Roman" w:hAnsi="Times New Roman" w:cs="Times New Roman"/>
        </w:rPr>
        <w:t>（1）监测点位</w:t>
      </w:r>
    </w:p>
    <w:p>
      <w:pPr>
        <w:spacing w:line="360" w:lineRule="auto"/>
        <w:ind w:firstLine="480" w:firstLineChars="200"/>
        <w:rPr>
          <w:rFonts w:ascii="Times New Roman" w:hAnsi="Times New Roman" w:cs="Times New Roman"/>
        </w:rPr>
      </w:pPr>
      <w:r>
        <w:rPr>
          <w:rFonts w:ascii="Times New Roman" w:hAnsi="Times New Roman" w:cs="Times New Roman"/>
        </w:rPr>
        <w:t>本次布设4个监测断面数据，连续监测3天，每天1次。具体点位见下表。</w:t>
      </w:r>
    </w:p>
    <w:p>
      <w:pPr>
        <w:pStyle w:val="6"/>
        <w:rPr>
          <w:rFonts w:ascii="Times New Roman" w:hAnsi="Times New Roman" w:cs="Times New Roman"/>
        </w:rPr>
      </w:pPr>
      <w:r>
        <w:rPr>
          <w:rFonts w:ascii="Times New Roman" w:hAnsi="Times New Roman" w:cs="Times New Roman"/>
        </w:rPr>
        <w:t>表5.2-1 地表水监测点位情况一览表</w:t>
      </w:r>
    </w:p>
    <w:tbl>
      <w:tblPr>
        <w:tblStyle w:val="36"/>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3260"/>
        <w:gridCol w:w="1747"/>
        <w:gridCol w:w="21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10" w:hRule="atLeast"/>
        </w:trPr>
        <w:tc>
          <w:tcPr>
            <w:tcW w:w="1384" w:type="dxa"/>
            <w:vAlign w:val="center"/>
          </w:tcPr>
          <w:p>
            <w:pPr>
              <w:pStyle w:val="63"/>
            </w:pPr>
            <w:r>
              <w:t>监测点号</w:t>
            </w:r>
          </w:p>
        </w:tc>
        <w:tc>
          <w:tcPr>
            <w:tcW w:w="3260" w:type="dxa"/>
            <w:vAlign w:val="center"/>
          </w:tcPr>
          <w:p>
            <w:pPr>
              <w:pStyle w:val="63"/>
            </w:pPr>
            <w:r>
              <w:t>断面位置</w:t>
            </w:r>
          </w:p>
        </w:tc>
        <w:tc>
          <w:tcPr>
            <w:tcW w:w="1747" w:type="dxa"/>
            <w:vAlign w:val="center"/>
          </w:tcPr>
          <w:p>
            <w:pPr>
              <w:pStyle w:val="63"/>
            </w:pPr>
            <w:r>
              <w:t>所在河流</w:t>
            </w:r>
          </w:p>
        </w:tc>
        <w:tc>
          <w:tcPr>
            <w:tcW w:w="2131" w:type="dxa"/>
            <w:vAlign w:val="center"/>
          </w:tcPr>
          <w:p>
            <w:pPr>
              <w:pStyle w:val="63"/>
            </w:pPr>
            <w: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384" w:type="dxa"/>
            <w:vAlign w:val="center"/>
          </w:tcPr>
          <w:p>
            <w:pPr>
              <w:pStyle w:val="63"/>
            </w:pPr>
            <w:r>
              <w:t>W1</w:t>
            </w:r>
          </w:p>
        </w:tc>
        <w:tc>
          <w:tcPr>
            <w:tcW w:w="3260" w:type="dxa"/>
            <w:vAlign w:val="center"/>
          </w:tcPr>
          <w:p>
            <w:pPr>
              <w:pStyle w:val="63"/>
            </w:pPr>
            <w:r>
              <w:t>白依港朱家大屋断面</w:t>
            </w:r>
          </w:p>
        </w:tc>
        <w:tc>
          <w:tcPr>
            <w:tcW w:w="1747" w:type="dxa"/>
            <w:vAlign w:val="center"/>
          </w:tcPr>
          <w:p>
            <w:pPr>
              <w:pStyle w:val="63"/>
            </w:pPr>
            <w:r>
              <w:t>白依港</w:t>
            </w:r>
          </w:p>
        </w:tc>
        <w:tc>
          <w:tcPr>
            <w:tcW w:w="2131" w:type="dxa"/>
            <w:vAlign w:val="center"/>
          </w:tcPr>
          <w:p>
            <w:pPr>
              <w:pStyle w:val="63"/>
            </w:pPr>
            <w:r>
              <w:t>GB3838-2002</w:t>
            </w:r>
            <w:r>
              <w:rPr>
                <w:rFonts w:hint="eastAsia" w:ascii="宋体" w:hAnsi="宋体" w:eastAsia="宋体" w:cs="宋体"/>
              </w:rPr>
              <w:t>Ⅲ</w:t>
            </w:r>
            <w:r>
              <w:t>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384" w:type="dxa"/>
            <w:vAlign w:val="center"/>
          </w:tcPr>
          <w:p>
            <w:pPr>
              <w:pStyle w:val="63"/>
            </w:pPr>
            <w:r>
              <w:t>W2</w:t>
            </w:r>
          </w:p>
        </w:tc>
        <w:tc>
          <w:tcPr>
            <w:tcW w:w="3260" w:type="dxa"/>
            <w:vAlign w:val="center"/>
          </w:tcPr>
          <w:p>
            <w:pPr>
              <w:pStyle w:val="63"/>
            </w:pPr>
            <w:r>
              <w:t>白依港陈家新屋断面</w:t>
            </w:r>
          </w:p>
        </w:tc>
        <w:tc>
          <w:tcPr>
            <w:tcW w:w="1747" w:type="dxa"/>
            <w:vAlign w:val="center"/>
          </w:tcPr>
          <w:p>
            <w:pPr>
              <w:pStyle w:val="63"/>
            </w:pPr>
            <w:r>
              <w:t>白依港</w:t>
            </w:r>
          </w:p>
        </w:tc>
        <w:tc>
          <w:tcPr>
            <w:tcW w:w="2131" w:type="dxa"/>
            <w:vAlign w:val="center"/>
          </w:tcPr>
          <w:p>
            <w:pPr>
              <w:pStyle w:val="63"/>
            </w:pPr>
            <w:r>
              <w:t>GB3838-2002</w:t>
            </w:r>
            <w:r>
              <w:rPr>
                <w:rFonts w:hint="eastAsia" w:ascii="宋体" w:hAnsi="宋体" w:eastAsia="宋体" w:cs="宋体"/>
              </w:rPr>
              <w:t>Ⅲ</w:t>
            </w:r>
            <w:r>
              <w:t>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384" w:type="dxa"/>
            <w:vAlign w:val="center"/>
          </w:tcPr>
          <w:p>
            <w:pPr>
              <w:pStyle w:val="63"/>
            </w:pPr>
            <w:r>
              <w:t>W3</w:t>
            </w:r>
          </w:p>
        </w:tc>
        <w:tc>
          <w:tcPr>
            <w:tcW w:w="3260" w:type="dxa"/>
            <w:vAlign w:val="center"/>
          </w:tcPr>
          <w:p>
            <w:pPr>
              <w:pStyle w:val="63"/>
            </w:pPr>
            <w:r>
              <w:t>大浦污水处理厂排污口上游 500m</w:t>
            </w:r>
          </w:p>
        </w:tc>
        <w:tc>
          <w:tcPr>
            <w:tcW w:w="1747" w:type="dxa"/>
            <w:vAlign w:val="center"/>
          </w:tcPr>
          <w:p>
            <w:pPr>
              <w:pStyle w:val="63"/>
            </w:pPr>
            <w:r>
              <w:t>湘江</w:t>
            </w:r>
          </w:p>
        </w:tc>
        <w:tc>
          <w:tcPr>
            <w:tcW w:w="2131" w:type="dxa"/>
            <w:vAlign w:val="center"/>
          </w:tcPr>
          <w:p>
            <w:pPr>
              <w:pStyle w:val="63"/>
            </w:pPr>
            <w:r>
              <w:t>GB3838-2002</w:t>
            </w:r>
            <w:r>
              <w:rPr>
                <w:rFonts w:hint="eastAsia" w:ascii="宋体" w:hAnsi="宋体" w:eastAsia="宋体" w:cs="宋体"/>
              </w:rPr>
              <w:t>Ⅲ</w:t>
            </w:r>
            <w:r>
              <w:t>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384" w:type="dxa"/>
            <w:vAlign w:val="center"/>
          </w:tcPr>
          <w:p>
            <w:pPr>
              <w:pStyle w:val="63"/>
            </w:pPr>
            <w:r>
              <w:t>W4</w:t>
            </w:r>
          </w:p>
        </w:tc>
        <w:tc>
          <w:tcPr>
            <w:tcW w:w="3260" w:type="dxa"/>
            <w:vAlign w:val="center"/>
          </w:tcPr>
          <w:p>
            <w:pPr>
              <w:pStyle w:val="63"/>
            </w:pPr>
            <w:r>
              <w:t>大浦污水处理厂排污口下游1000m</w:t>
            </w:r>
          </w:p>
        </w:tc>
        <w:tc>
          <w:tcPr>
            <w:tcW w:w="1747" w:type="dxa"/>
            <w:vAlign w:val="center"/>
          </w:tcPr>
          <w:p>
            <w:pPr>
              <w:pStyle w:val="63"/>
            </w:pPr>
            <w:r>
              <w:t>湘江</w:t>
            </w:r>
          </w:p>
        </w:tc>
        <w:tc>
          <w:tcPr>
            <w:tcW w:w="2131" w:type="dxa"/>
            <w:vAlign w:val="center"/>
          </w:tcPr>
          <w:p>
            <w:pPr>
              <w:pStyle w:val="63"/>
            </w:pPr>
            <w:r>
              <w:t>GB3838-2002</w:t>
            </w:r>
            <w:r>
              <w:rPr>
                <w:rFonts w:hint="eastAsia" w:ascii="宋体" w:hAnsi="宋体" w:eastAsia="宋体" w:cs="宋体"/>
              </w:rPr>
              <w:t>Ⅲ</w:t>
            </w:r>
            <w:r>
              <w:t>类</w:t>
            </w:r>
          </w:p>
        </w:tc>
      </w:tr>
    </w:tbl>
    <w:p>
      <w:pPr>
        <w:spacing w:line="360" w:lineRule="auto"/>
        <w:ind w:firstLine="480" w:firstLineChars="200"/>
        <w:rPr>
          <w:rFonts w:ascii="Times New Roman" w:hAnsi="Times New Roman" w:cs="Times New Roman"/>
        </w:rPr>
      </w:pPr>
      <w:r>
        <w:rPr>
          <w:rFonts w:ascii="Times New Roman" w:hAnsi="Times New Roman" w:cs="Times New Roman"/>
        </w:rPr>
        <w:t>（2）监测时间、频次</w:t>
      </w:r>
    </w:p>
    <w:p>
      <w:pPr>
        <w:spacing w:line="360" w:lineRule="auto"/>
        <w:ind w:firstLine="480" w:firstLineChars="200"/>
        <w:rPr>
          <w:rFonts w:ascii="Times New Roman" w:hAnsi="Times New Roman" w:cs="Times New Roman"/>
        </w:rPr>
      </w:pPr>
      <w:r>
        <w:rPr>
          <w:rFonts w:ascii="Times New Roman" w:hAnsi="Times New Roman" w:cs="Times New Roman"/>
        </w:rPr>
        <w:t>2023年3月20日-2023年3月22日。</w:t>
      </w:r>
    </w:p>
    <w:p>
      <w:pPr>
        <w:spacing w:line="360" w:lineRule="auto"/>
        <w:ind w:firstLine="480" w:firstLineChars="200"/>
        <w:rPr>
          <w:rFonts w:ascii="Times New Roman" w:hAnsi="Times New Roman" w:cs="Times New Roman"/>
        </w:rPr>
      </w:pPr>
      <w:r>
        <w:rPr>
          <w:rFonts w:ascii="Times New Roman" w:hAnsi="Times New Roman" w:cs="Times New Roman"/>
        </w:rPr>
        <w:t>（3）监测单位：</w:t>
      </w:r>
    </w:p>
    <w:p>
      <w:pPr>
        <w:spacing w:line="360" w:lineRule="auto"/>
        <w:ind w:firstLine="480" w:firstLineChars="200"/>
        <w:rPr>
          <w:rFonts w:ascii="Times New Roman" w:hAnsi="Times New Roman" w:cs="Times New Roman"/>
        </w:rPr>
      </w:pPr>
      <w:r>
        <w:rPr>
          <w:rFonts w:ascii="Times New Roman" w:hAnsi="Times New Roman" w:cs="Times New Roman"/>
        </w:rPr>
        <w:t>湖南桓泓检测技术有限公司</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（4）监测因子：</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pH值、化学需氧量、五日生化需氧量、氨氮、悬浮物、总磷、总氮、溶解氧、挥发酚、粪大肠菌群、石油类、氟化物、氯化物、氰化物、硫化物、阴离子表面活性剂、砷、汞、铅、锌、总镉、总铬、总钴、总镍、总锰、总铜、*总铝、铊、水温、流量、流速。</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（5）监测及评价结果监测结果见下表</w:t>
      </w:r>
    </w:p>
    <w:p>
      <w:pPr>
        <w:pStyle w:val="6"/>
        <w:rPr>
          <w:rFonts w:ascii="Times New Roman" w:hAnsi="Times New Roman" w:cs="Times New Roman"/>
        </w:rPr>
      </w:pPr>
      <w:r>
        <w:rPr>
          <w:rFonts w:ascii="Times New Roman" w:hAnsi="Times New Roman" w:cs="Times New Roman"/>
        </w:rPr>
        <w:t>表5.2-2 地表水环境质量监测结果一览表</w:t>
      </w:r>
    </w:p>
    <w:tbl>
      <w:tblPr>
        <w:tblStyle w:val="35"/>
        <w:tblW w:w="9288"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84"/>
        <w:gridCol w:w="1908"/>
        <w:gridCol w:w="1242"/>
        <w:gridCol w:w="1314"/>
        <w:gridCol w:w="1229"/>
        <w:gridCol w:w="1008"/>
        <w:gridCol w:w="838"/>
        <w:gridCol w:w="96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784" w:type="dxa"/>
            <w:vMerge w:val="restart"/>
            <w:tcBorders>
              <w:top w:val="single" w:color="auto" w:sz="12" w:space="0"/>
              <w:left w:val="single" w:color="auto" w:sz="12" w:space="0"/>
            </w:tcBorders>
            <w:vAlign w:val="center"/>
          </w:tcPr>
          <w:p>
            <w:pPr>
              <w:pStyle w:val="63"/>
            </w:pPr>
            <w:r>
              <w:t>检测点位</w:t>
            </w:r>
          </w:p>
        </w:tc>
        <w:tc>
          <w:tcPr>
            <w:tcW w:w="1908" w:type="dxa"/>
            <w:vMerge w:val="restart"/>
            <w:tcBorders>
              <w:top w:val="single" w:color="auto" w:sz="12" w:space="0"/>
            </w:tcBorders>
            <w:vAlign w:val="center"/>
          </w:tcPr>
          <w:p>
            <w:pPr>
              <w:pStyle w:val="63"/>
            </w:pPr>
            <w:r>
              <w:t>检测项目</w:t>
            </w:r>
          </w:p>
        </w:tc>
        <w:tc>
          <w:tcPr>
            <w:tcW w:w="3785" w:type="dxa"/>
            <w:gridSpan w:val="3"/>
            <w:tcBorders>
              <w:top w:val="single" w:color="auto" w:sz="12" w:space="0"/>
            </w:tcBorders>
            <w:vAlign w:val="center"/>
          </w:tcPr>
          <w:p>
            <w:pPr>
              <w:pStyle w:val="63"/>
            </w:pPr>
            <w:r>
              <w:t>检测结果</w:t>
            </w:r>
          </w:p>
        </w:tc>
        <w:tc>
          <w:tcPr>
            <w:tcW w:w="1008" w:type="dxa"/>
            <w:vMerge w:val="restart"/>
            <w:tcBorders>
              <w:top w:val="single" w:color="auto" w:sz="12" w:space="0"/>
            </w:tcBorders>
            <w:vAlign w:val="center"/>
          </w:tcPr>
          <w:p>
            <w:pPr>
              <w:pStyle w:val="63"/>
              <w:rPr>
                <w:bCs/>
                <w:kern w:val="20"/>
              </w:rPr>
            </w:pPr>
            <w:r>
              <w:rPr>
                <w:bCs/>
                <w:kern w:val="20"/>
              </w:rPr>
              <w:t>标准值</w:t>
            </w:r>
          </w:p>
          <w:p>
            <w:pPr>
              <w:pStyle w:val="63"/>
              <w:rPr>
                <w:bCs/>
                <w:kern w:val="20"/>
              </w:rPr>
            </w:pPr>
            <w:r>
              <w:rPr>
                <w:bCs/>
                <w:kern w:val="20"/>
              </w:rPr>
              <w:t>（mg/L）</w:t>
            </w:r>
          </w:p>
        </w:tc>
        <w:tc>
          <w:tcPr>
            <w:tcW w:w="838" w:type="dxa"/>
            <w:vMerge w:val="restart"/>
            <w:tcBorders>
              <w:top w:val="single" w:color="auto" w:sz="12" w:space="0"/>
            </w:tcBorders>
            <w:vAlign w:val="center"/>
          </w:tcPr>
          <w:p>
            <w:pPr>
              <w:pStyle w:val="63"/>
              <w:rPr>
                <w:bCs/>
                <w:kern w:val="20"/>
              </w:rPr>
            </w:pPr>
            <w:r>
              <w:rPr>
                <w:bCs/>
                <w:kern w:val="20"/>
              </w:rPr>
              <w:t>超标率%</w:t>
            </w:r>
          </w:p>
        </w:tc>
        <w:tc>
          <w:tcPr>
            <w:tcW w:w="965" w:type="dxa"/>
            <w:vMerge w:val="restart"/>
            <w:tcBorders>
              <w:top w:val="single" w:color="auto" w:sz="12" w:space="0"/>
              <w:right w:val="single" w:color="auto" w:sz="12" w:space="0"/>
            </w:tcBorders>
            <w:vAlign w:val="center"/>
          </w:tcPr>
          <w:p>
            <w:pPr>
              <w:pStyle w:val="63"/>
              <w:rPr>
                <w:bCs/>
                <w:kern w:val="20"/>
              </w:rPr>
            </w:pPr>
            <w:r>
              <w:rPr>
                <w:bCs/>
                <w:kern w:val="20"/>
              </w:rPr>
              <w:t>最大超标倍数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784" w:type="dxa"/>
            <w:vMerge w:val="continue"/>
            <w:tcBorders>
              <w:left w:val="single" w:color="auto" w:sz="12" w:space="0"/>
              <w:bottom w:val="single" w:color="auto" w:sz="4" w:space="0"/>
            </w:tcBorders>
            <w:vAlign w:val="center"/>
          </w:tcPr>
          <w:p>
            <w:pPr>
              <w:pStyle w:val="63"/>
            </w:pPr>
          </w:p>
        </w:tc>
        <w:tc>
          <w:tcPr>
            <w:tcW w:w="1908" w:type="dxa"/>
            <w:vMerge w:val="continue"/>
            <w:tcBorders>
              <w:bottom w:val="single" w:color="auto" w:sz="4" w:space="0"/>
            </w:tcBorders>
            <w:vAlign w:val="center"/>
          </w:tcPr>
          <w:p>
            <w:pPr>
              <w:pStyle w:val="63"/>
            </w:pPr>
          </w:p>
        </w:tc>
        <w:tc>
          <w:tcPr>
            <w:tcW w:w="1242" w:type="dxa"/>
            <w:vAlign w:val="center"/>
          </w:tcPr>
          <w:p>
            <w:pPr>
              <w:pStyle w:val="63"/>
            </w:pPr>
            <w:r>
              <w:t>2023.3.20</w:t>
            </w:r>
          </w:p>
        </w:tc>
        <w:tc>
          <w:tcPr>
            <w:tcW w:w="1314" w:type="dxa"/>
            <w:vAlign w:val="center"/>
          </w:tcPr>
          <w:p>
            <w:pPr>
              <w:pStyle w:val="63"/>
            </w:pPr>
            <w:r>
              <w:t>2023.3.21</w:t>
            </w:r>
          </w:p>
        </w:tc>
        <w:tc>
          <w:tcPr>
            <w:tcW w:w="1229" w:type="dxa"/>
            <w:vAlign w:val="center"/>
          </w:tcPr>
          <w:p>
            <w:pPr>
              <w:pStyle w:val="63"/>
            </w:pPr>
            <w:r>
              <w:t>2023.3.22</w:t>
            </w:r>
          </w:p>
        </w:tc>
        <w:tc>
          <w:tcPr>
            <w:tcW w:w="1008" w:type="dxa"/>
            <w:vMerge w:val="continue"/>
            <w:vAlign w:val="center"/>
          </w:tcPr>
          <w:p>
            <w:pPr>
              <w:pStyle w:val="63"/>
            </w:pPr>
          </w:p>
        </w:tc>
        <w:tc>
          <w:tcPr>
            <w:tcW w:w="838" w:type="dxa"/>
            <w:vMerge w:val="continue"/>
            <w:vAlign w:val="center"/>
          </w:tcPr>
          <w:p>
            <w:pPr>
              <w:pStyle w:val="63"/>
            </w:pPr>
          </w:p>
        </w:tc>
        <w:tc>
          <w:tcPr>
            <w:tcW w:w="965" w:type="dxa"/>
            <w:vMerge w:val="continue"/>
            <w:tcBorders>
              <w:right w:val="single" w:color="auto" w:sz="12" w:space="0"/>
            </w:tcBorders>
            <w:vAlign w:val="center"/>
          </w:tcPr>
          <w:p>
            <w:pPr>
              <w:pStyle w:val="63"/>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restart"/>
            <w:tcBorders>
              <w:top w:val="single" w:color="auto" w:sz="4" w:space="0"/>
              <w:left w:val="single" w:color="auto" w:sz="12" w:space="0"/>
            </w:tcBorders>
            <w:vAlign w:val="center"/>
          </w:tcPr>
          <w:p>
            <w:pPr>
              <w:pStyle w:val="63"/>
            </w:pPr>
            <w:r>
              <w:t>W1</w:t>
            </w:r>
          </w:p>
        </w:tc>
        <w:tc>
          <w:tcPr>
            <w:tcW w:w="1908" w:type="dxa"/>
            <w:tcBorders>
              <w:top w:val="single" w:color="auto" w:sz="4" w:space="0"/>
            </w:tcBorders>
            <w:vAlign w:val="center"/>
          </w:tcPr>
          <w:p>
            <w:pPr>
              <w:pStyle w:val="63"/>
            </w:pPr>
            <w:r>
              <w:t>pH</w:t>
            </w:r>
          </w:p>
        </w:tc>
        <w:tc>
          <w:tcPr>
            <w:tcW w:w="1242" w:type="dxa"/>
            <w:vAlign w:val="center"/>
          </w:tcPr>
          <w:p>
            <w:pPr>
              <w:pStyle w:val="63"/>
            </w:pPr>
            <w:r>
              <w:t>8.0</w:t>
            </w:r>
          </w:p>
        </w:tc>
        <w:tc>
          <w:tcPr>
            <w:tcW w:w="1314" w:type="dxa"/>
            <w:vAlign w:val="center"/>
          </w:tcPr>
          <w:p>
            <w:pPr>
              <w:pStyle w:val="63"/>
            </w:pPr>
            <w:r>
              <w:t>8.0</w:t>
            </w:r>
          </w:p>
        </w:tc>
        <w:tc>
          <w:tcPr>
            <w:tcW w:w="1229" w:type="dxa"/>
            <w:vAlign w:val="center"/>
          </w:tcPr>
          <w:p>
            <w:pPr>
              <w:pStyle w:val="63"/>
            </w:pPr>
            <w:r>
              <w:t>7.9</w:t>
            </w:r>
          </w:p>
        </w:tc>
        <w:tc>
          <w:tcPr>
            <w:tcW w:w="1008" w:type="dxa"/>
            <w:vAlign w:val="center"/>
          </w:tcPr>
          <w:p>
            <w:pPr>
              <w:pStyle w:val="63"/>
            </w:pPr>
            <w:r>
              <w:t>6-9</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top w:val="single" w:color="auto" w:sz="4" w:space="0"/>
              <w:left w:val="single" w:color="auto" w:sz="12" w:space="0"/>
            </w:tcBorders>
            <w:vAlign w:val="center"/>
          </w:tcPr>
          <w:p>
            <w:pPr>
              <w:pStyle w:val="63"/>
            </w:pPr>
          </w:p>
        </w:tc>
        <w:tc>
          <w:tcPr>
            <w:tcW w:w="1908" w:type="dxa"/>
            <w:tcBorders>
              <w:top w:val="single" w:color="auto" w:sz="4" w:space="0"/>
            </w:tcBorders>
            <w:vAlign w:val="center"/>
          </w:tcPr>
          <w:p>
            <w:pPr>
              <w:pStyle w:val="63"/>
            </w:pPr>
            <w:r>
              <w:t>化学需氧量</w:t>
            </w:r>
          </w:p>
        </w:tc>
        <w:tc>
          <w:tcPr>
            <w:tcW w:w="1242" w:type="dxa"/>
            <w:vAlign w:val="center"/>
          </w:tcPr>
          <w:p>
            <w:pPr>
              <w:pStyle w:val="63"/>
            </w:pPr>
            <w:r>
              <w:t>12</w:t>
            </w:r>
          </w:p>
        </w:tc>
        <w:tc>
          <w:tcPr>
            <w:tcW w:w="1314" w:type="dxa"/>
            <w:vAlign w:val="center"/>
          </w:tcPr>
          <w:p>
            <w:pPr>
              <w:pStyle w:val="63"/>
            </w:pPr>
            <w:r>
              <w:t>12</w:t>
            </w:r>
          </w:p>
        </w:tc>
        <w:tc>
          <w:tcPr>
            <w:tcW w:w="1229" w:type="dxa"/>
            <w:vAlign w:val="center"/>
          </w:tcPr>
          <w:p>
            <w:pPr>
              <w:pStyle w:val="63"/>
            </w:pPr>
            <w:r>
              <w:t>12</w:t>
            </w:r>
          </w:p>
        </w:tc>
        <w:tc>
          <w:tcPr>
            <w:tcW w:w="1008" w:type="dxa"/>
            <w:vAlign w:val="center"/>
          </w:tcPr>
          <w:p>
            <w:pPr>
              <w:pStyle w:val="63"/>
            </w:pPr>
            <w:r>
              <w:t>20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top w:val="single" w:color="auto" w:sz="4" w:space="0"/>
              <w:left w:val="single" w:color="auto" w:sz="12" w:space="0"/>
            </w:tcBorders>
            <w:vAlign w:val="center"/>
          </w:tcPr>
          <w:p>
            <w:pPr>
              <w:pStyle w:val="63"/>
            </w:pPr>
          </w:p>
        </w:tc>
        <w:tc>
          <w:tcPr>
            <w:tcW w:w="1908" w:type="dxa"/>
            <w:tcBorders>
              <w:top w:val="single" w:color="auto" w:sz="4" w:space="0"/>
            </w:tcBorders>
            <w:vAlign w:val="center"/>
          </w:tcPr>
          <w:p>
            <w:pPr>
              <w:pStyle w:val="63"/>
            </w:pPr>
            <w:r>
              <w:t>五日生化需氧量</w:t>
            </w:r>
          </w:p>
        </w:tc>
        <w:tc>
          <w:tcPr>
            <w:tcW w:w="1242" w:type="dxa"/>
            <w:vAlign w:val="center"/>
          </w:tcPr>
          <w:p>
            <w:pPr>
              <w:pStyle w:val="63"/>
            </w:pPr>
            <w:r>
              <w:t>2.7</w:t>
            </w:r>
          </w:p>
        </w:tc>
        <w:tc>
          <w:tcPr>
            <w:tcW w:w="1314" w:type="dxa"/>
            <w:vAlign w:val="center"/>
          </w:tcPr>
          <w:p>
            <w:pPr>
              <w:pStyle w:val="63"/>
            </w:pPr>
            <w:r>
              <w:t>2.6</w:t>
            </w:r>
          </w:p>
        </w:tc>
        <w:tc>
          <w:tcPr>
            <w:tcW w:w="1229" w:type="dxa"/>
            <w:vAlign w:val="center"/>
          </w:tcPr>
          <w:p>
            <w:pPr>
              <w:pStyle w:val="63"/>
            </w:pPr>
            <w:r>
              <w:t>2.6</w:t>
            </w:r>
          </w:p>
        </w:tc>
        <w:tc>
          <w:tcPr>
            <w:tcW w:w="1008" w:type="dxa"/>
            <w:vAlign w:val="center"/>
          </w:tcPr>
          <w:p>
            <w:pPr>
              <w:pStyle w:val="63"/>
            </w:pPr>
            <w:r>
              <w:t>4</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top w:val="single" w:color="auto" w:sz="4" w:space="0"/>
              <w:left w:val="single" w:color="auto" w:sz="12" w:space="0"/>
            </w:tcBorders>
            <w:vAlign w:val="center"/>
          </w:tcPr>
          <w:p>
            <w:pPr>
              <w:pStyle w:val="63"/>
            </w:pPr>
          </w:p>
        </w:tc>
        <w:tc>
          <w:tcPr>
            <w:tcW w:w="1908" w:type="dxa"/>
            <w:tcBorders>
              <w:top w:val="single" w:color="auto" w:sz="4" w:space="0"/>
            </w:tcBorders>
            <w:vAlign w:val="center"/>
          </w:tcPr>
          <w:p>
            <w:pPr>
              <w:pStyle w:val="63"/>
            </w:pPr>
            <w:r>
              <w:t>氨氮</w:t>
            </w:r>
          </w:p>
        </w:tc>
        <w:tc>
          <w:tcPr>
            <w:tcW w:w="1242" w:type="dxa"/>
            <w:vAlign w:val="center"/>
          </w:tcPr>
          <w:p>
            <w:pPr>
              <w:pStyle w:val="63"/>
            </w:pPr>
            <w:r>
              <w:t>0.230</w:t>
            </w:r>
          </w:p>
        </w:tc>
        <w:tc>
          <w:tcPr>
            <w:tcW w:w="1314" w:type="dxa"/>
            <w:vAlign w:val="center"/>
          </w:tcPr>
          <w:p>
            <w:pPr>
              <w:pStyle w:val="63"/>
            </w:pPr>
            <w:r>
              <w:t>0.235</w:t>
            </w:r>
          </w:p>
        </w:tc>
        <w:tc>
          <w:tcPr>
            <w:tcW w:w="1229" w:type="dxa"/>
            <w:vAlign w:val="center"/>
          </w:tcPr>
          <w:p>
            <w:pPr>
              <w:pStyle w:val="63"/>
            </w:pPr>
            <w:r>
              <w:t>0.241</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top w:val="single" w:color="auto" w:sz="4" w:space="0"/>
              <w:left w:val="single" w:color="auto" w:sz="12" w:space="0"/>
            </w:tcBorders>
            <w:vAlign w:val="center"/>
          </w:tcPr>
          <w:p>
            <w:pPr>
              <w:pStyle w:val="63"/>
            </w:pPr>
          </w:p>
        </w:tc>
        <w:tc>
          <w:tcPr>
            <w:tcW w:w="1908" w:type="dxa"/>
            <w:tcBorders>
              <w:top w:val="single" w:color="auto" w:sz="4" w:space="0"/>
            </w:tcBorders>
            <w:vAlign w:val="center"/>
          </w:tcPr>
          <w:p>
            <w:pPr>
              <w:pStyle w:val="63"/>
            </w:pPr>
            <w:r>
              <w:t>悬浮物</w:t>
            </w:r>
          </w:p>
        </w:tc>
        <w:tc>
          <w:tcPr>
            <w:tcW w:w="1242" w:type="dxa"/>
            <w:vAlign w:val="center"/>
          </w:tcPr>
          <w:p>
            <w:pPr>
              <w:pStyle w:val="63"/>
            </w:pPr>
            <w:r>
              <w:t>12</w:t>
            </w:r>
          </w:p>
        </w:tc>
        <w:tc>
          <w:tcPr>
            <w:tcW w:w="1314" w:type="dxa"/>
            <w:vAlign w:val="center"/>
          </w:tcPr>
          <w:p>
            <w:pPr>
              <w:pStyle w:val="63"/>
            </w:pPr>
            <w:r>
              <w:t>13</w:t>
            </w:r>
          </w:p>
        </w:tc>
        <w:tc>
          <w:tcPr>
            <w:tcW w:w="1229" w:type="dxa"/>
            <w:vAlign w:val="center"/>
          </w:tcPr>
          <w:p>
            <w:pPr>
              <w:pStyle w:val="63"/>
            </w:pPr>
            <w:r>
              <w:t>12</w:t>
            </w:r>
          </w:p>
        </w:tc>
        <w:tc>
          <w:tcPr>
            <w:tcW w:w="1008" w:type="dxa"/>
            <w:vAlign w:val="center"/>
          </w:tcPr>
          <w:p>
            <w:pPr>
              <w:pStyle w:val="63"/>
            </w:pPr>
            <w:r>
              <w:t>/</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top w:val="single" w:color="auto" w:sz="4" w:space="0"/>
              <w:left w:val="single" w:color="auto" w:sz="12" w:space="0"/>
            </w:tcBorders>
            <w:vAlign w:val="center"/>
          </w:tcPr>
          <w:p>
            <w:pPr>
              <w:pStyle w:val="63"/>
            </w:pPr>
          </w:p>
        </w:tc>
        <w:tc>
          <w:tcPr>
            <w:tcW w:w="1908" w:type="dxa"/>
            <w:tcBorders>
              <w:top w:val="single" w:color="auto" w:sz="4" w:space="0"/>
            </w:tcBorders>
            <w:vAlign w:val="center"/>
          </w:tcPr>
          <w:p>
            <w:pPr>
              <w:pStyle w:val="63"/>
            </w:pPr>
            <w:r>
              <w:t>总磷</w:t>
            </w:r>
          </w:p>
        </w:tc>
        <w:tc>
          <w:tcPr>
            <w:tcW w:w="1242" w:type="dxa"/>
            <w:vAlign w:val="center"/>
          </w:tcPr>
          <w:p>
            <w:pPr>
              <w:pStyle w:val="63"/>
            </w:pPr>
            <w:r>
              <w:t>0.06</w:t>
            </w:r>
          </w:p>
        </w:tc>
        <w:tc>
          <w:tcPr>
            <w:tcW w:w="1314" w:type="dxa"/>
            <w:vAlign w:val="center"/>
          </w:tcPr>
          <w:p>
            <w:pPr>
              <w:pStyle w:val="63"/>
            </w:pPr>
            <w:r>
              <w:t>0.06</w:t>
            </w:r>
          </w:p>
        </w:tc>
        <w:tc>
          <w:tcPr>
            <w:tcW w:w="1229" w:type="dxa"/>
            <w:vAlign w:val="center"/>
          </w:tcPr>
          <w:p>
            <w:pPr>
              <w:pStyle w:val="63"/>
            </w:pPr>
            <w:r>
              <w:t>0.06</w:t>
            </w:r>
          </w:p>
        </w:tc>
        <w:tc>
          <w:tcPr>
            <w:tcW w:w="1008" w:type="dxa"/>
            <w:vAlign w:val="center"/>
          </w:tcPr>
          <w:p>
            <w:pPr>
              <w:pStyle w:val="63"/>
            </w:pPr>
            <w:r>
              <w:t>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top w:val="single" w:color="auto" w:sz="4" w:space="0"/>
              <w:left w:val="single" w:color="auto" w:sz="12" w:space="0"/>
            </w:tcBorders>
            <w:vAlign w:val="center"/>
          </w:tcPr>
          <w:p>
            <w:pPr>
              <w:pStyle w:val="63"/>
            </w:pPr>
          </w:p>
        </w:tc>
        <w:tc>
          <w:tcPr>
            <w:tcW w:w="1908" w:type="dxa"/>
            <w:tcBorders>
              <w:top w:val="single" w:color="auto" w:sz="4" w:space="0"/>
            </w:tcBorders>
            <w:vAlign w:val="center"/>
          </w:tcPr>
          <w:p>
            <w:pPr>
              <w:pStyle w:val="63"/>
            </w:pPr>
            <w:r>
              <w:t>总氮</w:t>
            </w:r>
          </w:p>
        </w:tc>
        <w:tc>
          <w:tcPr>
            <w:tcW w:w="1242" w:type="dxa"/>
            <w:vAlign w:val="center"/>
          </w:tcPr>
          <w:p>
            <w:pPr>
              <w:pStyle w:val="63"/>
            </w:pPr>
            <w:r>
              <w:t>0.46</w:t>
            </w:r>
          </w:p>
        </w:tc>
        <w:tc>
          <w:tcPr>
            <w:tcW w:w="1314" w:type="dxa"/>
            <w:vAlign w:val="center"/>
          </w:tcPr>
          <w:p>
            <w:pPr>
              <w:pStyle w:val="63"/>
            </w:pPr>
            <w:r>
              <w:t>0.46</w:t>
            </w:r>
          </w:p>
        </w:tc>
        <w:tc>
          <w:tcPr>
            <w:tcW w:w="1229" w:type="dxa"/>
            <w:vAlign w:val="center"/>
          </w:tcPr>
          <w:p>
            <w:pPr>
              <w:pStyle w:val="63"/>
            </w:pPr>
            <w:r>
              <w:t>0.47</w:t>
            </w:r>
          </w:p>
        </w:tc>
        <w:tc>
          <w:tcPr>
            <w:tcW w:w="1008" w:type="dxa"/>
            <w:vAlign w:val="center"/>
          </w:tcPr>
          <w:p>
            <w:pPr>
              <w:pStyle w:val="63"/>
            </w:pPr>
            <w:r>
              <w:t>1.0</w:t>
            </w:r>
          </w:p>
        </w:tc>
        <w:tc>
          <w:tcPr>
            <w:tcW w:w="838" w:type="dxa"/>
            <w:vAlign w:val="center"/>
          </w:tcPr>
          <w:p>
            <w:pPr>
              <w:pStyle w:val="63"/>
            </w:pPr>
          </w:p>
        </w:tc>
        <w:tc>
          <w:tcPr>
            <w:tcW w:w="965" w:type="dxa"/>
            <w:tcBorders>
              <w:right w:val="single" w:color="auto" w:sz="12" w:space="0"/>
            </w:tcBorders>
            <w:vAlign w:val="center"/>
          </w:tcPr>
          <w:p>
            <w:pPr>
              <w:pStyle w:val="63"/>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top w:val="single" w:color="auto" w:sz="4" w:space="0"/>
              <w:left w:val="single" w:color="auto" w:sz="12" w:space="0"/>
            </w:tcBorders>
            <w:vAlign w:val="center"/>
          </w:tcPr>
          <w:p>
            <w:pPr>
              <w:pStyle w:val="63"/>
            </w:pPr>
          </w:p>
        </w:tc>
        <w:tc>
          <w:tcPr>
            <w:tcW w:w="1908" w:type="dxa"/>
            <w:tcBorders>
              <w:top w:val="single" w:color="auto" w:sz="4" w:space="0"/>
            </w:tcBorders>
            <w:vAlign w:val="center"/>
          </w:tcPr>
          <w:p>
            <w:pPr>
              <w:pStyle w:val="63"/>
            </w:pPr>
            <w:r>
              <w:t>溶解氧</w:t>
            </w:r>
          </w:p>
        </w:tc>
        <w:tc>
          <w:tcPr>
            <w:tcW w:w="1242" w:type="dxa"/>
            <w:vAlign w:val="center"/>
          </w:tcPr>
          <w:p>
            <w:pPr>
              <w:pStyle w:val="63"/>
            </w:pPr>
            <w:r>
              <w:t>5.1</w:t>
            </w:r>
          </w:p>
        </w:tc>
        <w:tc>
          <w:tcPr>
            <w:tcW w:w="1314" w:type="dxa"/>
            <w:vAlign w:val="center"/>
          </w:tcPr>
          <w:p>
            <w:pPr>
              <w:pStyle w:val="63"/>
            </w:pPr>
            <w:r>
              <w:t>5.2</w:t>
            </w:r>
          </w:p>
        </w:tc>
        <w:tc>
          <w:tcPr>
            <w:tcW w:w="1229" w:type="dxa"/>
            <w:vAlign w:val="center"/>
          </w:tcPr>
          <w:p>
            <w:pPr>
              <w:pStyle w:val="63"/>
            </w:pPr>
            <w:r>
              <w:t>5.2</w:t>
            </w:r>
          </w:p>
        </w:tc>
        <w:tc>
          <w:tcPr>
            <w:tcW w:w="1008" w:type="dxa"/>
            <w:vAlign w:val="center"/>
          </w:tcPr>
          <w:p>
            <w:pPr>
              <w:pStyle w:val="63"/>
            </w:pPr>
            <w:r>
              <w:t>≥5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top w:val="single" w:color="auto" w:sz="4" w:space="0"/>
              <w:left w:val="single" w:color="auto" w:sz="12" w:space="0"/>
            </w:tcBorders>
            <w:vAlign w:val="center"/>
          </w:tcPr>
          <w:p>
            <w:pPr>
              <w:pStyle w:val="63"/>
            </w:pPr>
          </w:p>
        </w:tc>
        <w:tc>
          <w:tcPr>
            <w:tcW w:w="1908" w:type="dxa"/>
            <w:tcBorders>
              <w:top w:val="single" w:color="auto" w:sz="4" w:space="0"/>
            </w:tcBorders>
            <w:vAlign w:val="center"/>
          </w:tcPr>
          <w:p>
            <w:pPr>
              <w:pStyle w:val="63"/>
            </w:pPr>
            <w:r>
              <w:t>挥发酚</w:t>
            </w:r>
          </w:p>
        </w:tc>
        <w:tc>
          <w:tcPr>
            <w:tcW w:w="1242" w:type="dxa"/>
            <w:vAlign w:val="center"/>
          </w:tcPr>
          <w:p>
            <w:pPr>
              <w:pStyle w:val="63"/>
            </w:pPr>
            <w:r>
              <w:t>0.0003L</w:t>
            </w:r>
          </w:p>
        </w:tc>
        <w:tc>
          <w:tcPr>
            <w:tcW w:w="1314" w:type="dxa"/>
            <w:vAlign w:val="center"/>
          </w:tcPr>
          <w:p>
            <w:pPr>
              <w:pStyle w:val="63"/>
            </w:pPr>
            <w:r>
              <w:t>0.0003L</w:t>
            </w:r>
          </w:p>
        </w:tc>
        <w:tc>
          <w:tcPr>
            <w:tcW w:w="1229" w:type="dxa"/>
            <w:vAlign w:val="center"/>
          </w:tcPr>
          <w:p>
            <w:pPr>
              <w:pStyle w:val="63"/>
            </w:pPr>
            <w:r>
              <w:t>0.0003L</w:t>
            </w:r>
          </w:p>
        </w:tc>
        <w:tc>
          <w:tcPr>
            <w:tcW w:w="1008" w:type="dxa"/>
            <w:vAlign w:val="center"/>
          </w:tcPr>
          <w:p>
            <w:pPr>
              <w:pStyle w:val="63"/>
            </w:pPr>
            <w:r>
              <w:t>0.005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top w:val="single" w:color="auto" w:sz="4" w:space="0"/>
              <w:left w:val="single" w:color="auto" w:sz="12" w:space="0"/>
            </w:tcBorders>
            <w:vAlign w:val="center"/>
          </w:tcPr>
          <w:p>
            <w:pPr>
              <w:pStyle w:val="63"/>
            </w:pPr>
          </w:p>
        </w:tc>
        <w:tc>
          <w:tcPr>
            <w:tcW w:w="1908" w:type="dxa"/>
            <w:tcBorders>
              <w:top w:val="single" w:color="auto" w:sz="4" w:space="0"/>
            </w:tcBorders>
            <w:vAlign w:val="center"/>
          </w:tcPr>
          <w:p>
            <w:pPr>
              <w:pStyle w:val="63"/>
            </w:pPr>
            <w:r>
              <w:t>粪大肠菌群</w:t>
            </w:r>
          </w:p>
        </w:tc>
        <w:tc>
          <w:tcPr>
            <w:tcW w:w="1242" w:type="dxa"/>
            <w:vAlign w:val="center"/>
          </w:tcPr>
          <w:p>
            <w:pPr>
              <w:pStyle w:val="63"/>
            </w:pPr>
            <w:r>
              <w:t>310</w:t>
            </w:r>
          </w:p>
        </w:tc>
        <w:tc>
          <w:tcPr>
            <w:tcW w:w="1314" w:type="dxa"/>
            <w:vAlign w:val="center"/>
          </w:tcPr>
          <w:p>
            <w:pPr>
              <w:pStyle w:val="63"/>
            </w:pPr>
            <w:r>
              <w:t>320</w:t>
            </w:r>
          </w:p>
        </w:tc>
        <w:tc>
          <w:tcPr>
            <w:tcW w:w="1229" w:type="dxa"/>
            <w:vAlign w:val="center"/>
          </w:tcPr>
          <w:p>
            <w:pPr>
              <w:pStyle w:val="63"/>
            </w:pPr>
            <w:r>
              <w:t>340</w:t>
            </w:r>
          </w:p>
        </w:tc>
        <w:tc>
          <w:tcPr>
            <w:tcW w:w="1008" w:type="dxa"/>
            <w:vAlign w:val="center"/>
          </w:tcPr>
          <w:p>
            <w:pPr>
              <w:pStyle w:val="63"/>
            </w:pPr>
            <w:r>
              <w:t>10000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top w:val="single" w:color="auto" w:sz="4" w:space="0"/>
              <w:left w:val="single" w:color="auto" w:sz="12" w:space="0"/>
            </w:tcBorders>
            <w:vAlign w:val="center"/>
          </w:tcPr>
          <w:p>
            <w:pPr>
              <w:pStyle w:val="63"/>
            </w:pPr>
          </w:p>
        </w:tc>
        <w:tc>
          <w:tcPr>
            <w:tcW w:w="1908" w:type="dxa"/>
            <w:tcBorders>
              <w:top w:val="single" w:color="auto" w:sz="4" w:space="0"/>
            </w:tcBorders>
            <w:vAlign w:val="center"/>
          </w:tcPr>
          <w:p>
            <w:pPr>
              <w:pStyle w:val="63"/>
            </w:pPr>
            <w:r>
              <w:t>石油类</w:t>
            </w:r>
          </w:p>
        </w:tc>
        <w:tc>
          <w:tcPr>
            <w:tcW w:w="1242" w:type="dxa"/>
            <w:vAlign w:val="center"/>
          </w:tcPr>
          <w:p>
            <w:pPr>
              <w:pStyle w:val="63"/>
            </w:pPr>
            <w:r>
              <w:t>0.02</w:t>
            </w:r>
          </w:p>
        </w:tc>
        <w:tc>
          <w:tcPr>
            <w:tcW w:w="1314" w:type="dxa"/>
            <w:vAlign w:val="center"/>
          </w:tcPr>
          <w:p>
            <w:pPr>
              <w:pStyle w:val="63"/>
            </w:pPr>
            <w:r>
              <w:t>0.04</w:t>
            </w:r>
          </w:p>
        </w:tc>
        <w:tc>
          <w:tcPr>
            <w:tcW w:w="1229" w:type="dxa"/>
            <w:vAlign w:val="center"/>
          </w:tcPr>
          <w:p>
            <w:pPr>
              <w:pStyle w:val="63"/>
            </w:pPr>
            <w:r>
              <w:t>0.03</w:t>
            </w:r>
          </w:p>
        </w:tc>
        <w:tc>
          <w:tcPr>
            <w:tcW w:w="1008" w:type="dxa"/>
            <w:vAlign w:val="center"/>
          </w:tcPr>
          <w:p>
            <w:pPr>
              <w:pStyle w:val="63"/>
            </w:pPr>
            <w:r>
              <w:t>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top w:val="single" w:color="auto" w:sz="4" w:space="0"/>
              <w:left w:val="single" w:color="auto" w:sz="12" w:space="0"/>
            </w:tcBorders>
            <w:vAlign w:val="center"/>
          </w:tcPr>
          <w:p>
            <w:pPr>
              <w:pStyle w:val="63"/>
            </w:pPr>
          </w:p>
        </w:tc>
        <w:tc>
          <w:tcPr>
            <w:tcW w:w="1908" w:type="dxa"/>
            <w:tcBorders>
              <w:top w:val="single" w:color="auto" w:sz="4" w:space="0"/>
            </w:tcBorders>
            <w:vAlign w:val="center"/>
          </w:tcPr>
          <w:p>
            <w:pPr>
              <w:pStyle w:val="63"/>
            </w:pPr>
            <w:r>
              <w:t>氟化物</w:t>
            </w:r>
          </w:p>
        </w:tc>
        <w:tc>
          <w:tcPr>
            <w:tcW w:w="1242" w:type="dxa"/>
            <w:vAlign w:val="center"/>
          </w:tcPr>
          <w:p>
            <w:pPr>
              <w:pStyle w:val="63"/>
            </w:pPr>
            <w:r>
              <w:t>0.313</w:t>
            </w:r>
          </w:p>
        </w:tc>
        <w:tc>
          <w:tcPr>
            <w:tcW w:w="1314" w:type="dxa"/>
            <w:vAlign w:val="center"/>
          </w:tcPr>
          <w:p>
            <w:pPr>
              <w:pStyle w:val="63"/>
            </w:pPr>
            <w:r>
              <w:t>0.328</w:t>
            </w:r>
          </w:p>
        </w:tc>
        <w:tc>
          <w:tcPr>
            <w:tcW w:w="1229" w:type="dxa"/>
            <w:vAlign w:val="center"/>
          </w:tcPr>
          <w:p>
            <w:pPr>
              <w:pStyle w:val="63"/>
            </w:pPr>
            <w:r>
              <w:t>0.337</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top w:val="single" w:color="auto" w:sz="4" w:space="0"/>
              <w:left w:val="single" w:color="auto" w:sz="12" w:space="0"/>
            </w:tcBorders>
            <w:vAlign w:val="center"/>
          </w:tcPr>
          <w:p>
            <w:pPr>
              <w:pStyle w:val="63"/>
            </w:pPr>
          </w:p>
        </w:tc>
        <w:tc>
          <w:tcPr>
            <w:tcW w:w="1908" w:type="dxa"/>
            <w:tcBorders>
              <w:top w:val="single" w:color="auto" w:sz="4" w:space="0"/>
            </w:tcBorders>
            <w:vAlign w:val="center"/>
          </w:tcPr>
          <w:p>
            <w:pPr>
              <w:pStyle w:val="63"/>
            </w:pPr>
            <w:r>
              <w:t>氯化物</w:t>
            </w:r>
          </w:p>
        </w:tc>
        <w:tc>
          <w:tcPr>
            <w:tcW w:w="1242" w:type="dxa"/>
            <w:vAlign w:val="center"/>
          </w:tcPr>
          <w:p>
            <w:pPr>
              <w:pStyle w:val="63"/>
            </w:pPr>
            <w:r>
              <w:t>21.3</w:t>
            </w:r>
          </w:p>
        </w:tc>
        <w:tc>
          <w:tcPr>
            <w:tcW w:w="1314" w:type="dxa"/>
            <w:vAlign w:val="center"/>
          </w:tcPr>
          <w:p>
            <w:pPr>
              <w:pStyle w:val="63"/>
            </w:pPr>
            <w:r>
              <w:t>21.4</w:t>
            </w:r>
          </w:p>
        </w:tc>
        <w:tc>
          <w:tcPr>
            <w:tcW w:w="1229" w:type="dxa"/>
            <w:vAlign w:val="center"/>
          </w:tcPr>
          <w:p>
            <w:pPr>
              <w:pStyle w:val="63"/>
            </w:pPr>
            <w:r>
              <w:t>22.1</w:t>
            </w:r>
          </w:p>
        </w:tc>
        <w:tc>
          <w:tcPr>
            <w:tcW w:w="1008" w:type="dxa"/>
            <w:vAlign w:val="center"/>
          </w:tcPr>
          <w:p>
            <w:pPr>
              <w:pStyle w:val="63"/>
            </w:pPr>
            <w:r>
              <w:t>250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top w:val="single" w:color="auto" w:sz="4" w:space="0"/>
              <w:left w:val="single" w:color="auto" w:sz="12" w:space="0"/>
            </w:tcBorders>
            <w:vAlign w:val="center"/>
          </w:tcPr>
          <w:p>
            <w:pPr>
              <w:pStyle w:val="63"/>
            </w:pPr>
          </w:p>
        </w:tc>
        <w:tc>
          <w:tcPr>
            <w:tcW w:w="1908" w:type="dxa"/>
            <w:tcBorders>
              <w:top w:val="single" w:color="auto" w:sz="4" w:space="0"/>
            </w:tcBorders>
            <w:vAlign w:val="center"/>
          </w:tcPr>
          <w:p>
            <w:pPr>
              <w:pStyle w:val="63"/>
            </w:pPr>
            <w:r>
              <w:t>氰化物</w:t>
            </w:r>
          </w:p>
        </w:tc>
        <w:tc>
          <w:tcPr>
            <w:tcW w:w="1242" w:type="dxa"/>
            <w:vAlign w:val="center"/>
          </w:tcPr>
          <w:p>
            <w:pPr>
              <w:pStyle w:val="63"/>
            </w:pPr>
            <w:r>
              <w:t>0.004L</w:t>
            </w:r>
          </w:p>
        </w:tc>
        <w:tc>
          <w:tcPr>
            <w:tcW w:w="1314" w:type="dxa"/>
            <w:vAlign w:val="center"/>
          </w:tcPr>
          <w:p>
            <w:pPr>
              <w:pStyle w:val="63"/>
            </w:pPr>
            <w:r>
              <w:t>0.004L</w:t>
            </w:r>
          </w:p>
        </w:tc>
        <w:tc>
          <w:tcPr>
            <w:tcW w:w="1229" w:type="dxa"/>
            <w:vAlign w:val="center"/>
          </w:tcPr>
          <w:p>
            <w:pPr>
              <w:pStyle w:val="63"/>
            </w:pPr>
            <w:r>
              <w:t>0.004L</w:t>
            </w:r>
          </w:p>
        </w:tc>
        <w:tc>
          <w:tcPr>
            <w:tcW w:w="1008" w:type="dxa"/>
            <w:vAlign w:val="center"/>
          </w:tcPr>
          <w:p>
            <w:pPr>
              <w:pStyle w:val="63"/>
            </w:pPr>
            <w:r>
              <w:t>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top w:val="single" w:color="auto" w:sz="4" w:space="0"/>
              <w:left w:val="single" w:color="auto" w:sz="12" w:space="0"/>
            </w:tcBorders>
            <w:vAlign w:val="center"/>
          </w:tcPr>
          <w:p>
            <w:pPr>
              <w:pStyle w:val="63"/>
            </w:pPr>
          </w:p>
        </w:tc>
        <w:tc>
          <w:tcPr>
            <w:tcW w:w="1908" w:type="dxa"/>
            <w:tcBorders>
              <w:top w:val="single" w:color="auto" w:sz="4" w:space="0"/>
            </w:tcBorders>
            <w:vAlign w:val="center"/>
          </w:tcPr>
          <w:p>
            <w:pPr>
              <w:pStyle w:val="63"/>
            </w:pPr>
            <w:r>
              <w:t>硫化物</w:t>
            </w:r>
          </w:p>
        </w:tc>
        <w:tc>
          <w:tcPr>
            <w:tcW w:w="1242" w:type="dxa"/>
            <w:vAlign w:val="center"/>
          </w:tcPr>
          <w:p>
            <w:pPr>
              <w:pStyle w:val="63"/>
            </w:pPr>
            <w:r>
              <w:t>0.003L</w:t>
            </w:r>
          </w:p>
        </w:tc>
        <w:tc>
          <w:tcPr>
            <w:tcW w:w="1314" w:type="dxa"/>
            <w:vAlign w:val="center"/>
          </w:tcPr>
          <w:p>
            <w:pPr>
              <w:pStyle w:val="63"/>
            </w:pPr>
            <w:r>
              <w:t>0.003L</w:t>
            </w:r>
          </w:p>
        </w:tc>
        <w:tc>
          <w:tcPr>
            <w:tcW w:w="1229" w:type="dxa"/>
            <w:vAlign w:val="center"/>
          </w:tcPr>
          <w:p>
            <w:pPr>
              <w:pStyle w:val="63"/>
            </w:pPr>
            <w:r>
              <w:t>0.003L</w:t>
            </w:r>
          </w:p>
        </w:tc>
        <w:tc>
          <w:tcPr>
            <w:tcW w:w="1008" w:type="dxa"/>
            <w:vAlign w:val="center"/>
          </w:tcPr>
          <w:p>
            <w:pPr>
              <w:pStyle w:val="63"/>
            </w:pPr>
            <w:r>
              <w:t>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top w:val="single" w:color="auto" w:sz="4" w:space="0"/>
              <w:left w:val="single" w:color="auto" w:sz="12" w:space="0"/>
            </w:tcBorders>
            <w:vAlign w:val="center"/>
          </w:tcPr>
          <w:p>
            <w:pPr>
              <w:pStyle w:val="63"/>
            </w:pPr>
          </w:p>
        </w:tc>
        <w:tc>
          <w:tcPr>
            <w:tcW w:w="1908" w:type="dxa"/>
            <w:tcBorders>
              <w:top w:val="single" w:color="auto" w:sz="4" w:space="0"/>
            </w:tcBorders>
            <w:vAlign w:val="center"/>
          </w:tcPr>
          <w:p>
            <w:pPr>
              <w:pStyle w:val="63"/>
            </w:pPr>
            <w:r>
              <w:t>阴离子表面活性剂</w:t>
            </w:r>
          </w:p>
        </w:tc>
        <w:tc>
          <w:tcPr>
            <w:tcW w:w="1242" w:type="dxa"/>
            <w:vAlign w:val="center"/>
          </w:tcPr>
          <w:p>
            <w:pPr>
              <w:pStyle w:val="63"/>
            </w:pPr>
            <w:r>
              <w:t>0.05L</w:t>
            </w:r>
          </w:p>
        </w:tc>
        <w:tc>
          <w:tcPr>
            <w:tcW w:w="1314" w:type="dxa"/>
            <w:vAlign w:val="center"/>
          </w:tcPr>
          <w:p>
            <w:pPr>
              <w:pStyle w:val="63"/>
            </w:pPr>
            <w:r>
              <w:t>0.05L</w:t>
            </w:r>
          </w:p>
        </w:tc>
        <w:tc>
          <w:tcPr>
            <w:tcW w:w="1229" w:type="dxa"/>
            <w:vAlign w:val="center"/>
          </w:tcPr>
          <w:p>
            <w:pPr>
              <w:pStyle w:val="63"/>
            </w:pPr>
            <w:r>
              <w:t>0.05L</w:t>
            </w:r>
          </w:p>
        </w:tc>
        <w:tc>
          <w:tcPr>
            <w:tcW w:w="1008" w:type="dxa"/>
            <w:vAlign w:val="center"/>
          </w:tcPr>
          <w:p>
            <w:pPr>
              <w:pStyle w:val="63"/>
            </w:pPr>
            <w:r>
              <w:t>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top w:val="single" w:color="auto" w:sz="4" w:space="0"/>
              <w:left w:val="single" w:color="auto" w:sz="12" w:space="0"/>
            </w:tcBorders>
            <w:vAlign w:val="center"/>
          </w:tcPr>
          <w:p>
            <w:pPr>
              <w:pStyle w:val="63"/>
            </w:pPr>
          </w:p>
        </w:tc>
        <w:tc>
          <w:tcPr>
            <w:tcW w:w="1908" w:type="dxa"/>
            <w:tcBorders>
              <w:top w:val="single" w:color="auto" w:sz="4" w:space="0"/>
            </w:tcBorders>
            <w:vAlign w:val="center"/>
          </w:tcPr>
          <w:p>
            <w:pPr>
              <w:pStyle w:val="63"/>
            </w:pPr>
            <w:r>
              <w:t>砷</w:t>
            </w:r>
          </w:p>
        </w:tc>
        <w:tc>
          <w:tcPr>
            <w:tcW w:w="1242" w:type="dxa"/>
            <w:vAlign w:val="center"/>
          </w:tcPr>
          <w:p>
            <w:pPr>
              <w:pStyle w:val="63"/>
            </w:pPr>
            <w:r>
              <w:t>0.0003L</w:t>
            </w:r>
          </w:p>
        </w:tc>
        <w:tc>
          <w:tcPr>
            <w:tcW w:w="1314" w:type="dxa"/>
            <w:vAlign w:val="center"/>
          </w:tcPr>
          <w:p>
            <w:pPr>
              <w:pStyle w:val="63"/>
            </w:pPr>
            <w:r>
              <w:t>0.0003L</w:t>
            </w:r>
          </w:p>
        </w:tc>
        <w:tc>
          <w:tcPr>
            <w:tcW w:w="1229" w:type="dxa"/>
            <w:vAlign w:val="center"/>
          </w:tcPr>
          <w:p>
            <w:pPr>
              <w:pStyle w:val="63"/>
            </w:pPr>
            <w:r>
              <w:t>0.0003L</w:t>
            </w:r>
          </w:p>
        </w:tc>
        <w:tc>
          <w:tcPr>
            <w:tcW w:w="1008" w:type="dxa"/>
            <w:vAlign w:val="center"/>
          </w:tcPr>
          <w:p>
            <w:pPr>
              <w:pStyle w:val="63"/>
            </w:pPr>
            <w:r>
              <w:t>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汞</w:t>
            </w:r>
          </w:p>
        </w:tc>
        <w:tc>
          <w:tcPr>
            <w:tcW w:w="1242" w:type="dxa"/>
            <w:vAlign w:val="center"/>
          </w:tcPr>
          <w:p>
            <w:pPr>
              <w:pStyle w:val="63"/>
            </w:pPr>
            <w:r>
              <w:t>0.00004L</w:t>
            </w:r>
          </w:p>
        </w:tc>
        <w:tc>
          <w:tcPr>
            <w:tcW w:w="1314" w:type="dxa"/>
            <w:vAlign w:val="center"/>
          </w:tcPr>
          <w:p>
            <w:pPr>
              <w:pStyle w:val="63"/>
            </w:pPr>
            <w:r>
              <w:t>0.00004L</w:t>
            </w:r>
          </w:p>
        </w:tc>
        <w:tc>
          <w:tcPr>
            <w:tcW w:w="1229" w:type="dxa"/>
            <w:vAlign w:val="center"/>
          </w:tcPr>
          <w:p>
            <w:pPr>
              <w:pStyle w:val="63"/>
            </w:pPr>
            <w:r>
              <w:t>0.00004L</w:t>
            </w:r>
          </w:p>
        </w:tc>
        <w:tc>
          <w:tcPr>
            <w:tcW w:w="1008" w:type="dxa"/>
            <w:vAlign w:val="center"/>
          </w:tcPr>
          <w:p>
            <w:pPr>
              <w:pStyle w:val="63"/>
            </w:pPr>
            <w:r>
              <w:t>0.0001</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铅</w:t>
            </w:r>
          </w:p>
        </w:tc>
        <w:tc>
          <w:tcPr>
            <w:tcW w:w="1242" w:type="dxa"/>
            <w:vAlign w:val="center"/>
          </w:tcPr>
          <w:p>
            <w:pPr>
              <w:pStyle w:val="63"/>
            </w:pPr>
            <w:r>
              <w:t>0.001L</w:t>
            </w:r>
          </w:p>
        </w:tc>
        <w:tc>
          <w:tcPr>
            <w:tcW w:w="1314" w:type="dxa"/>
            <w:vAlign w:val="center"/>
          </w:tcPr>
          <w:p>
            <w:pPr>
              <w:pStyle w:val="63"/>
            </w:pPr>
            <w:r>
              <w:t>0.001L</w:t>
            </w:r>
          </w:p>
        </w:tc>
        <w:tc>
          <w:tcPr>
            <w:tcW w:w="1229" w:type="dxa"/>
            <w:vAlign w:val="center"/>
          </w:tcPr>
          <w:p>
            <w:pPr>
              <w:pStyle w:val="63"/>
            </w:pPr>
            <w:r>
              <w:t>0.001L</w:t>
            </w:r>
          </w:p>
        </w:tc>
        <w:tc>
          <w:tcPr>
            <w:tcW w:w="1008" w:type="dxa"/>
            <w:vAlign w:val="center"/>
          </w:tcPr>
          <w:p>
            <w:pPr>
              <w:pStyle w:val="63"/>
            </w:pPr>
            <w:r>
              <w:t>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锌</w:t>
            </w:r>
          </w:p>
        </w:tc>
        <w:tc>
          <w:tcPr>
            <w:tcW w:w="1242" w:type="dxa"/>
            <w:vAlign w:val="center"/>
          </w:tcPr>
          <w:p>
            <w:pPr>
              <w:pStyle w:val="63"/>
            </w:pPr>
            <w:r>
              <w:t>0.05L</w:t>
            </w:r>
          </w:p>
        </w:tc>
        <w:tc>
          <w:tcPr>
            <w:tcW w:w="1314" w:type="dxa"/>
            <w:vAlign w:val="center"/>
          </w:tcPr>
          <w:p>
            <w:pPr>
              <w:pStyle w:val="63"/>
            </w:pPr>
            <w:r>
              <w:t>0.05L</w:t>
            </w:r>
          </w:p>
        </w:tc>
        <w:tc>
          <w:tcPr>
            <w:tcW w:w="1229" w:type="dxa"/>
            <w:vAlign w:val="center"/>
          </w:tcPr>
          <w:p>
            <w:pPr>
              <w:pStyle w:val="63"/>
            </w:pPr>
            <w:r>
              <w:t>0.05L</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总镉</w:t>
            </w:r>
          </w:p>
        </w:tc>
        <w:tc>
          <w:tcPr>
            <w:tcW w:w="1242" w:type="dxa"/>
            <w:vAlign w:val="center"/>
          </w:tcPr>
          <w:p>
            <w:pPr>
              <w:pStyle w:val="63"/>
            </w:pPr>
            <w:r>
              <w:t>0.0001L</w:t>
            </w:r>
          </w:p>
        </w:tc>
        <w:tc>
          <w:tcPr>
            <w:tcW w:w="1314" w:type="dxa"/>
            <w:vAlign w:val="center"/>
          </w:tcPr>
          <w:p>
            <w:pPr>
              <w:pStyle w:val="63"/>
            </w:pPr>
            <w:r>
              <w:t>0.0001L</w:t>
            </w:r>
          </w:p>
        </w:tc>
        <w:tc>
          <w:tcPr>
            <w:tcW w:w="1229" w:type="dxa"/>
            <w:vAlign w:val="center"/>
          </w:tcPr>
          <w:p>
            <w:pPr>
              <w:pStyle w:val="63"/>
            </w:pPr>
            <w:r>
              <w:t>0.0001L</w:t>
            </w:r>
          </w:p>
        </w:tc>
        <w:tc>
          <w:tcPr>
            <w:tcW w:w="1008" w:type="dxa"/>
            <w:vAlign w:val="center"/>
          </w:tcPr>
          <w:p>
            <w:pPr>
              <w:pStyle w:val="63"/>
            </w:pPr>
            <w:r>
              <w:t>0.005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总铬</w:t>
            </w:r>
          </w:p>
        </w:tc>
        <w:tc>
          <w:tcPr>
            <w:tcW w:w="1242" w:type="dxa"/>
            <w:vAlign w:val="center"/>
          </w:tcPr>
          <w:p>
            <w:pPr>
              <w:pStyle w:val="63"/>
            </w:pPr>
            <w:r>
              <w:t>0.03L</w:t>
            </w:r>
          </w:p>
        </w:tc>
        <w:tc>
          <w:tcPr>
            <w:tcW w:w="1314" w:type="dxa"/>
            <w:vAlign w:val="center"/>
          </w:tcPr>
          <w:p>
            <w:pPr>
              <w:pStyle w:val="63"/>
            </w:pPr>
            <w:r>
              <w:t>0.03L</w:t>
            </w:r>
          </w:p>
        </w:tc>
        <w:tc>
          <w:tcPr>
            <w:tcW w:w="1229" w:type="dxa"/>
            <w:vAlign w:val="center"/>
          </w:tcPr>
          <w:p>
            <w:pPr>
              <w:pStyle w:val="63"/>
            </w:pPr>
            <w:r>
              <w:t>0.03L</w:t>
            </w:r>
          </w:p>
        </w:tc>
        <w:tc>
          <w:tcPr>
            <w:tcW w:w="1008" w:type="dxa"/>
            <w:vAlign w:val="center"/>
          </w:tcPr>
          <w:p>
            <w:pPr>
              <w:pStyle w:val="63"/>
            </w:pPr>
            <w:r>
              <w:t>/</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总钴</w:t>
            </w:r>
          </w:p>
        </w:tc>
        <w:tc>
          <w:tcPr>
            <w:tcW w:w="1242" w:type="dxa"/>
            <w:vAlign w:val="center"/>
          </w:tcPr>
          <w:p>
            <w:pPr>
              <w:pStyle w:val="63"/>
            </w:pPr>
            <w:r>
              <w:t>0.002L</w:t>
            </w:r>
          </w:p>
        </w:tc>
        <w:tc>
          <w:tcPr>
            <w:tcW w:w="1314" w:type="dxa"/>
            <w:vAlign w:val="center"/>
          </w:tcPr>
          <w:p>
            <w:pPr>
              <w:pStyle w:val="63"/>
            </w:pPr>
            <w:r>
              <w:t>0.002L</w:t>
            </w:r>
          </w:p>
        </w:tc>
        <w:tc>
          <w:tcPr>
            <w:tcW w:w="1229" w:type="dxa"/>
            <w:vAlign w:val="center"/>
          </w:tcPr>
          <w:p>
            <w:pPr>
              <w:pStyle w:val="63"/>
            </w:pPr>
            <w:r>
              <w:t>0.002L</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总镍</w:t>
            </w:r>
          </w:p>
        </w:tc>
        <w:tc>
          <w:tcPr>
            <w:tcW w:w="1242" w:type="dxa"/>
            <w:vAlign w:val="center"/>
          </w:tcPr>
          <w:p>
            <w:pPr>
              <w:pStyle w:val="63"/>
            </w:pPr>
            <w:r>
              <w:t>0.005L</w:t>
            </w:r>
          </w:p>
        </w:tc>
        <w:tc>
          <w:tcPr>
            <w:tcW w:w="1314" w:type="dxa"/>
            <w:vAlign w:val="center"/>
          </w:tcPr>
          <w:p>
            <w:pPr>
              <w:pStyle w:val="63"/>
            </w:pPr>
            <w:r>
              <w:t>0.005L</w:t>
            </w:r>
          </w:p>
        </w:tc>
        <w:tc>
          <w:tcPr>
            <w:tcW w:w="1229" w:type="dxa"/>
            <w:vAlign w:val="center"/>
          </w:tcPr>
          <w:p>
            <w:pPr>
              <w:pStyle w:val="63"/>
            </w:pPr>
            <w:r>
              <w:t>0.005L</w:t>
            </w:r>
          </w:p>
        </w:tc>
        <w:tc>
          <w:tcPr>
            <w:tcW w:w="1008" w:type="dxa"/>
            <w:vAlign w:val="center"/>
          </w:tcPr>
          <w:p>
            <w:pPr>
              <w:pStyle w:val="63"/>
            </w:pPr>
            <w:r>
              <w:t>0.02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总锰</w:t>
            </w:r>
          </w:p>
        </w:tc>
        <w:tc>
          <w:tcPr>
            <w:tcW w:w="1242" w:type="dxa"/>
            <w:vAlign w:val="center"/>
          </w:tcPr>
          <w:p>
            <w:pPr>
              <w:pStyle w:val="63"/>
            </w:pPr>
            <w:r>
              <w:t>0.01L</w:t>
            </w:r>
          </w:p>
        </w:tc>
        <w:tc>
          <w:tcPr>
            <w:tcW w:w="1314" w:type="dxa"/>
            <w:vAlign w:val="center"/>
          </w:tcPr>
          <w:p>
            <w:pPr>
              <w:pStyle w:val="63"/>
            </w:pPr>
            <w:r>
              <w:t>0.01L</w:t>
            </w:r>
          </w:p>
        </w:tc>
        <w:tc>
          <w:tcPr>
            <w:tcW w:w="1229" w:type="dxa"/>
            <w:vAlign w:val="center"/>
          </w:tcPr>
          <w:p>
            <w:pPr>
              <w:pStyle w:val="63"/>
            </w:pPr>
            <w:r>
              <w:t>0.01L</w:t>
            </w:r>
          </w:p>
        </w:tc>
        <w:tc>
          <w:tcPr>
            <w:tcW w:w="1008" w:type="dxa"/>
            <w:vAlign w:val="center"/>
          </w:tcPr>
          <w:p>
            <w:pPr>
              <w:pStyle w:val="63"/>
            </w:pPr>
            <w:r>
              <w:t>0.1</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总铜</w:t>
            </w:r>
          </w:p>
        </w:tc>
        <w:tc>
          <w:tcPr>
            <w:tcW w:w="1242" w:type="dxa"/>
            <w:vAlign w:val="center"/>
          </w:tcPr>
          <w:p>
            <w:pPr>
              <w:pStyle w:val="63"/>
            </w:pPr>
            <w:r>
              <w:t>0.05L</w:t>
            </w:r>
          </w:p>
        </w:tc>
        <w:tc>
          <w:tcPr>
            <w:tcW w:w="1314" w:type="dxa"/>
            <w:vAlign w:val="center"/>
          </w:tcPr>
          <w:p>
            <w:pPr>
              <w:pStyle w:val="63"/>
            </w:pPr>
            <w:r>
              <w:t>0.05L</w:t>
            </w:r>
          </w:p>
        </w:tc>
        <w:tc>
          <w:tcPr>
            <w:tcW w:w="1229" w:type="dxa"/>
            <w:vAlign w:val="center"/>
          </w:tcPr>
          <w:p>
            <w:pPr>
              <w:pStyle w:val="63"/>
            </w:pPr>
            <w:r>
              <w:t>0.05L</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总铝</w:t>
            </w:r>
          </w:p>
        </w:tc>
        <w:tc>
          <w:tcPr>
            <w:tcW w:w="1242" w:type="dxa"/>
            <w:vAlign w:val="center"/>
          </w:tcPr>
          <w:p>
            <w:pPr>
              <w:pStyle w:val="63"/>
            </w:pPr>
            <w:r>
              <w:t>0.010</w:t>
            </w:r>
          </w:p>
        </w:tc>
        <w:tc>
          <w:tcPr>
            <w:tcW w:w="1314" w:type="dxa"/>
            <w:vAlign w:val="center"/>
          </w:tcPr>
          <w:p>
            <w:pPr>
              <w:pStyle w:val="63"/>
            </w:pPr>
            <w:r>
              <w:t>0.009L</w:t>
            </w:r>
          </w:p>
        </w:tc>
        <w:tc>
          <w:tcPr>
            <w:tcW w:w="1229" w:type="dxa"/>
            <w:vAlign w:val="center"/>
          </w:tcPr>
          <w:p>
            <w:pPr>
              <w:pStyle w:val="63"/>
            </w:pPr>
            <w:r>
              <w:t>0.009</w:t>
            </w:r>
          </w:p>
        </w:tc>
        <w:tc>
          <w:tcPr>
            <w:tcW w:w="1008" w:type="dxa"/>
            <w:vAlign w:val="center"/>
          </w:tcPr>
          <w:p>
            <w:pPr>
              <w:pStyle w:val="63"/>
            </w:pPr>
            <w:r>
              <w:t>/</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铊</w:t>
            </w:r>
          </w:p>
        </w:tc>
        <w:tc>
          <w:tcPr>
            <w:tcW w:w="1242" w:type="dxa"/>
            <w:vAlign w:val="center"/>
          </w:tcPr>
          <w:p>
            <w:pPr>
              <w:pStyle w:val="63"/>
            </w:pPr>
            <w:r>
              <w:t>0.00003L</w:t>
            </w:r>
          </w:p>
        </w:tc>
        <w:tc>
          <w:tcPr>
            <w:tcW w:w="1314" w:type="dxa"/>
            <w:vAlign w:val="center"/>
          </w:tcPr>
          <w:p>
            <w:pPr>
              <w:pStyle w:val="63"/>
            </w:pPr>
            <w:r>
              <w:t>0.00003L</w:t>
            </w:r>
          </w:p>
        </w:tc>
        <w:tc>
          <w:tcPr>
            <w:tcW w:w="1229" w:type="dxa"/>
            <w:vAlign w:val="center"/>
          </w:tcPr>
          <w:p>
            <w:pPr>
              <w:pStyle w:val="63"/>
            </w:pPr>
            <w:r>
              <w:t>0.00003L</w:t>
            </w:r>
          </w:p>
        </w:tc>
        <w:tc>
          <w:tcPr>
            <w:tcW w:w="1008" w:type="dxa"/>
            <w:vAlign w:val="center"/>
          </w:tcPr>
          <w:p>
            <w:pPr>
              <w:pStyle w:val="63"/>
            </w:pPr>
            <w:r>
              <w:t>0.0001</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restart"/>
            <w:tcBorders>
              <w:left w:val="single" w:color="auto" w:sz="12" w:space="0"/>
            </w:tcBorders>
            <w:vAlign w:val="center"/>
          </w:tcPr>
          <w:p>
            <w:pPr>
              <w:pStyle w:val="63"/>
            </w:pPr>
            <w:r>
              <w:t>W2</w:t>
            </w:r>
          </w:p>
        </w:tc>
        <w:tc>
          <w:tcPr>
            <w:tcW w:w="1908" w:type="dxa"/>
            <w:vAlign w:val="center"/>
          </w:tcPr>
          <w:p>
            <w:pPr>
              <w:pStyle w:val="63"/>
            </w:pPr>
            <w:r>
              <w:t>pH</w:t>
            </w:r>
          </w:p>
        </w:tc>
        <w:tc>
          <w:tcPr>
            <w:tcW w:w="1242" w:type="dxa"/>
            <w:vAlign w:val="center"/>
          </w:tcPr>
          <w:p>
            <w:pPr>
              <w:pStyle w:val="63"/>
            </w:pPr>
            <w:r>
              <w:t>8.2</w:t>
            </w:r>
          </w:p>
        </w:tc>
        <w:tc>
          <w:tcPr>
            <w:tcW w:w="1314" w:type="dxa"/>
            <w:vAlign w:val="center"/>
          </w:tcPr>
          <w:p>
            <w:pPr>
              <w:pStyle w:val="63"/>
            </w:pPr>
            <w:r>
              <w:t>8.1</w:t>
            </w:r>
          </w:p>
        </w:tc>
        <w:tc>
          <w:tcPr>
            <w:tcW w:w="1229" w:type="dxa"/>
            <w:vAlign w:val="center"/>
          </w:tcPr>
          <w:p>
            <w:pPr>
              <w:pStyle w:val="63"/>
            </w:pPr>
            <w:r>
              <w:t>8.0</w:t>
            </w:r>
          </w:p>
        </w:tc>
        <w:tc>
          <w:tcPr>
            <w:tcW w:w="1008" w:type="dxa"/>
            <w:vAlign w:val="center"/>
          </w:tcPr>
          <w:p>
            <w:pPr>
              <w:pStyle w:val="63"/>
            </w:pPr>
            <w:r>
              <w:t>6-9</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化学需氧量</w:t>
            </w:r>
          </w:p>
        </w:tc>
        <w:tc>
          <w:tcPr>
            <w:tcW w:w="1242" w:type="dxa"/>
            <w:vAlign w:val="center"/>
          </w:tcPr>
          <w:p>
            <w:pPr>
              <w:pStyle w:val="63"/>
            </w:pPr>
            <w:r>
              <w:t>17</w:t>
            </w:r>
          </w:p>
        </w:tc>
        <w:tc>
          <w:tcPr>
            <w:tcW w:w="1314" w:type="dxa"/>
            <w:vAlign w:val="center"/>
          </w:tcPr>
          <w:p>
            <w:pPr>
              <w:pStyle w:val="63"/>
            </w:pPr>
            <w:r>
              <w:t>18</w:t>
            </w:r>
          </w:p>
        </w:tc>
        <w:tc>
          <w:tcPr>
            <w:tcW w:w="1229" w:type="dxa"/>
            <w:vAlign w:val="center"/>
          </w:tcPr>
          <w:p>
            <w:pPr>
              <w:pStyle w:val="63"/>
            </w:pPr>
            <w:r>
              <w:t>17</w:t>
            </w:r>
          </w:p>
        </w:tc>
        <w:tc>
          <w:tcPr>
            <w:tcW w:w="1008" w:type="dxa"/>
            <w:vAlign w:val="center"/>
          </w:tcPr>
          <w:p>
            <w:pPr>
              <w:pStyle w:val="63"/>
            </w:pPr>
            <w:r>
              <w:t>20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五日生化需氧量</w:t>
            </w:r>
          </w:p>
        </w:tc>
        <w:tc>
          <w:tcPr>
            <w:tcW w:w="1242" w:type="dxa"/>
            <w:vAlign w:val="center"/>
          </w:tcPr>
          <w:p>
            <w:pPr>
              <w:pStyle w:val="63"/>
            </w:pPr>
            <w:r>
              <w:t>3.8</w:t>
            </w:r>
          </w:p>
        </w:tc>
        <w:tc>
          <w:tcPr>
            <w:tcW w:w="1314" w:type="dxa"/>
            <w:vAlign w:val="center"/>
          </w:tcPr>
          <w:p>
            <w:pPr>
              <w:pStyle w:val="63"/>
            </w:pPr>
            <w:r>
              <w:t>3.9</w:t>
            </w:r>
          </w:p>
        </w:tc>
        <w:tc>
          <w:tcPr>
            <w:tcW w:w="1229" w:type="dxa"/>
            <w:vAlign w:val="center"/>
          </w:tcPr>
          <w:p>
            <w:pPr>
              <w:pStyle w:val="63"/>
            </w:pPr>
            <w:r>
              <w:t>3.8</w:t>
            </w:r>
          </w:p>
        </w:tc>
        <w:tc>
          <w:tcPr>
            <w:tcW w:w="1008" w:type="dxa"/>
            <w:vAlign w:val="center"/>
          </w:tcPr>
          <w:p>
            <w:pPr>
              <w:pStyle w:val="63"/>
            </w:pPr>
            <w:r>
              <w:t>4</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氨氮</w:t>
            </w:r>
          </w:p>
        </w:tc>
        <w:tc>
          <w:tcPr>
            <w:tcW w:w="1242" w:type="dxa"/>
            <w:vAlign w:val="center"/>
          </w:tcPr>
          <w:p>
            <w:pPr>
              <w:pStyle w:val="63"/>
            </w:pPr>
            <w:r>
              <w:t>0.273</w:t>
            </w:r>
          </w:p>
        </w:tc>
        <w:tc>
          <w:tcPr>
            <w:tcW w:w="1314" w:type="dxa"/>
            <w:vAlign w:val="center"/>
          </w:tcPr>
          <w:p>
            <w:pPr>
              <w:pStyle w:val="63"/>
            </w:pPr>
            <w:r>
              <w:t>0.275</w:t>
            </w:r>
          </w:p>
        </w:tc>
        <w:tc>
          <w:tcPr>
            <w:tcW w:w="1229" w:type="dxa"/>
            <w:vAlign w:val="center"/>
          </w:tcPr>
          <w:p>
            <w:pPr>
              <w:pStyle w:val="63"/>
            </w:pPr>
            <w:r>
              <w:t>0.281</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悬浮物</w:t>
            </w:r>
          </w:p>
        </w:tc>
        <w:tc>
          <w:tcPr>
            <w:tcW w:w="1242" w:type="dxa"/>
            <w:vAlign w:val="center"/>
          </w:tcPr>
          <w:p>
            <w:pPr>
              <w:pStyle w:val="63"/>
            </w:pPr>
            <w:r>
              <w:t>18</w:t>
            </w:r>
          </w:p>
        </w:tc>
        <w:tc>
          <w:tcPr>
            <w:tcW w:w="1314" w:type="dxa"/>
            <w:vAlign w:val="center"/>
          </w:tcPr>
          <w:p>
            <w:pPr>
              <w:pStyle w:val="63"/>
            </w:pPr>
            <w:r>
              <w:t>17</w:t>
            </w:r>
          </w:p>
        </w:tc>
        <w:tc>
          <w:tcPr>
            <w:tcW w:w="1229" w:type="dxa"/>
            <w:vAlign w:val="center"/>
          </w:tcPr>
          <w:p>
            <w:pPr>
              <w:pStyle w:val="63"/>
            </w:pPr>
            <w:r>
              <w:t>17</w:t>
            </w:r>
          </w:p>
        </w:tc>
        <w:tc>
          <w:tcPr>
            <w:tcW w:w="1008" w:type="dxa"/>
            <w:vAlign w:val="center"/>
          </w:tcPr>
          <w:p>
            <w:pPr>
              <w:pStyle w:val="63"/>
            </w:pPr>
            <w:r>
              <w:t>/</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总磷</w:t>
            </w:r>
          </w:p>
        </w:tc>
        <w:tc>
          <w:tcPr>
            <w:tcW w:w="1242" w:type="dxa"/>
            <w:vAlign w:val="center"/>
          </w:tcPr>
          <w:p>
            <w:pPr>
              <w:pStyle w:val="63"/>
            </w:pPr>
            <w:r>
              <w:t>0.10</w:t>
            </w:r>
          </w:p>
        </w:tc>
        <w:tc>
          <w:tcPr>
            <w:tcW w:w="1314" w:type="dxa"/>
            <w:vAlign w:val="center"/>
          </w:tcPr>
          <w:p>
            <w:pPr>
              <w:pStyle w:val="63"/>
            </w:pPr>
            <w:r>
              <w:t>0.10</w:t>
            </w:r>
          </w:p>
        </w:tc>
        <w:tc>
          <w:tcPr>
            <w:tcW w:w="1229" w:type="dxa"/>
            <w:vAlign w:val="center"/>
          </w:tcPr>
          <w:p>
            <w:pPr>
              <w:pStyle w:val="63"/>
            </w:pPr>
            <w:r>
              <w:t>0.10</w:t>
            </w:r>
          </w:p>
        </w:tc>
        <w:tc>
          <w:tcPr>
            <w:tcW w:w="1008" w:type="dxa"/>
            <w:vAlign w:val="center"/>
          </w:tcPr>
          <w:p>
            <w:pPr>
              <w:pStyle w:val="63"/>
            </w:pPr>
            <w:r>
              <w:t>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总氮</w:t>
            </w:r>
          </w:p>
        </w:tc>
        <w:tc>
          <w:tcPr>
            <w:tcW w:w="1242" w:type="dxa"/>
            <w:vAlign w:val="center"/>
          </w:tcPr>
          <w:p>
            <w:pPr>
              <w:pStyle w:val="63"/>
            </w:pPr>
            <w:r>
              <w:t>0.59</w:t>
            </w:r>
          </w:p>
        </w:tc>
        <w:tc>
          <w:tcPr>
            <w:tcW w:w="1314" w:type="dxa"/>
            <w:vAlign w:val="center"/>
          </w:tcPr>
          <w:p>
            <w:pPr>
              <w:pStyle w:val="63"/>
            </w:pPr>
            <w:r>
              <w:t>0.60</w:t>
            </w:r>
          </w:p>
        </w:tc>
        <w:tc>
          <w:tcPr>
            <w:tcW w:w="1229" w:type="dxa"/>
            <w:vAlign w:val="center"/>
          </w:tcPr>
          <w:p>
            <w:pPr>
              <w:pStyle w:val="63"/>
            </w:pPr>
            <w:r>
              <w:t>0.63</w:t>
            </w:r>
          </w:p>
        </w:tc>
        <w:tc>
          <w:tcPr>
            <w:tcW w:w="1008" w:type="dxa"/>
            <w:vAlign w:val="center"/>
          </w:tcPr>
          <w:p>
            <w:pPr>
              <w:pStyle w:val="63"/>
            </w:pPr>
            <w:r>
              <w:t>1.0</w:t>
            </w:r>
          </w:p>
        </w:tc>
        <w:tc>
          <w:tcPr>
            <w:tcW w:w="838" w:type="dxa"/>
            <w:vAlign w:val="center"/>
          </w:tcPr>
          <w:p>
            <w:pPr>
              <w:pStyle w:val="63"/>
            </w:pPr>
          </w:p>
        </w:tc>
        <w:tc>
          <w:tcPr>
            <w:tcW w:w="965" w:type="dxa"/>
            <w:tcBorders>
              <w:right w:val="single" w:color="auto" w:sz="12" w:space="0"/>
            </w:tcBorders>
            <w:vAlign w:val="center"/>
          </w:tcPr>
          <w:p>
            <w:pPr>
              <w:pStyle w:val="63"/>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溶解氧</w:t>
            </w:r>
          </w:p>
        </w:tc>
        <w:tc>
          <w:tcPr>
            <w:tcW w:w="1242" w:type="dxa"/>
            <w:vAlign w:val="center"/>
          </w:tcPr>
          <w:p>
            <w:pPr>
              <w:pStyle w:val="63"/>
            </w:pPr>
            <w:r>
              <w:t>5.1</w:t>
            </w:r>
          </w:p>
        </w:tc>
        <w:tc>
          <w:tcPr>
            <w:tcW w:w="1314" w:type="dxa"/>
            <w:vAlign w:val="center"/>
          </w:tcPr>
          <w:p>
            <w:pPr>
              <w:pStyle w:val="63"/>
            </w:pPr>
            <w:r>
              <w:t>5.2</w:t>
            </w:r>
          </w:p>
        </w:tc>
        <w:tc>
          <w:tcPr>
            <w:tcW w:w="1229" w:type="dxa"/>
            <w:vAlign w:val="center"/>
          </w:tcPr>
          <w:p>
            <w:pPr>
              <w:pStyle w:val="63"/>
            </w:pPr>
            <w:r>
              <w:t>5.1</w:t>
            </w:r>
          </w:p>
        </w:tc>
        <w:tc>
          <w:tcPr>
            <w:tcW w:w="1008" w:type="dxa"/>
            <w:vAlign w:val="center"/>
          </w:tcPr>
          <w:p>
            <w:pPr>
              <w:pStyle w:val="63"/>
            </w:pPr>
            <w:r>
              <w:t>≥5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挥发酚</w:t>
            </w:r>
          </w:p>
        </w:tc>
        <w:tc>
          <w:tcPr>
            <w:tcW w:w="1242" w:type="dxa"/>
            <w:vAlign w:val="center"/>
          </w:tcPr>
          <w:p>
            <w:pPr>
              <w:pStyle w:val="63"/>
            </w:pPr>
            <w:r>
              <w:t>0.0003L</w:t>
            </w:r>
          </w:p>
        </w:tc>
        <w:tc>
          <w:tcPr>
            <w:tcW w:w="1314" w:type="dxa"/>
            <w:vAlign w:val="center"/>
          </w:tcPr>
          <w:p>
            <w:pPr>
              <w:pStyle w:val="63"/>
            </w:pPr>
            <w:r>
              <w:t>0.0003L</w:t>
            </w:r>
          </w:p>
        </w:tc>
        <w:tc>
          <w:tcPr>
            <w:tcW w:w="1229" w:type="dxa"/>
            <w:vAlign w:val="center"/>
          </w:tcPr>
          <w:p>
            <w:pPr>
              <w:pStyle w:val="63"/>
            </w:pPr>
            <w:r>
              <w:t>0.0003L</w:t>
            </w:r>
          </w:p>
        </w:tc>
        <w:tc>
          <w:tcPr>
            <w:tcW w:w="1008" w:type="dxa"/>
            <w:vAlign w:val="center"/>
          </w:tcPr>
          <w:p>
            <w:pPr>
              <w:pStyle w:val="63"/>
            </w:pPr>
            <w:r>
              <w:t>0.005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粪大肠菌群</w:t>
            </w:r>
          </w:p>
        </w:tc>
        <w:tc>
          <w:tcPr>
            <w:tcW w:w="1242" w:type="dxa"/>
            <w:vAlign w:val="center"/>
          </w:tcPr>
          <w:p>
            <w:pPr>
              <w:pStyle w:val="63"/>
            </w:pPr>
            <w:r>
              <w:t>360</w:t>
            </w:r>
          </w:p>
        </w:tc>
        <w:tc>
          <w:tcPr>
            <w:tcW w:w="1314" w:type="dxa"/>
            <w:vAlign w:val="center"/>
          </w:tcPr>
          <w:p>
            <w:pPr>
              <w:pStyle w:val="63"/>
            </w:pPr>
            <w:r>
              <w:t>330</w:t>
            </w:r>
          </w:p>
        </w:tc>
        <w:tc>
          <w:tcPr>
            <w:tcW w:w="1229" w:type="dxa"/>
            <w:vAlign w:val="center"/>
          </w:tcPr>
          <w:p>
            <w:pPr>
              <w:pStyle w:val="63"/>
            </w:pPr>
            <w:r>
              <w:t>400</w:t>
            </w:r>
          </w:p>
        </w:tc>
        <w:tc>
          <w:tcPr>
            <w:tcW w:w="1008" w:type="dxa"/>
            <w:vAlign w:val="center"/>
          </w:tcPr>
          <w:p>
            <w:pPr>
              <w:pStyle w:val="63"/>
            </w:pPr>
            <w:r>
              <w:t>10000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石油类</w:t>
            </w:r>
          </w:p>
        </w:tc>
        <w:tc>
          <w:tcPr>
            <w:tcW w:w="1242" w:type="dxa"/>
            <w:vAlign w:val="center"/>
          </w:tcPr>
          <w:p>
            <w:pPr>
              <w:pStyle w:val="63"/>
            </w:pPr>
            <w:r>
              <w:t>0.03</w:t>
            </w:r>
          </w:p>
        </w:tc>
        <w:tc>
          <w:tcPr>
            <w:tcW w:w="1314" w:type="dxa"/>
            <w:vAlign w:val="center"/>
          </w:tcPr>
          <w:p>
            <w:pPr>
              <w:pStyle w:val="63"/>
            </w:pPr>
            <w:r>
              <w:t>0.03</w:t>
            </w:r>
          </w:p>
        </w:tc>
        <w:tc>
          <w:tcPr>
            <w:tcW w:w="1229" w:type="dxa"/>
            <w:vAlign w:val="center"/>
          </w:tcPr>
          <w:p>
            <w:pPr>
              <w:pStyle w:val="63"/>
            </w:pPr>
            <w:r>
              <w:t>0.03</w:t>
            </w:r>
          </w:p>
        </w:tc>
        <w:tc>
          <w:tcPr>
            <w:tcW w:w="1008" w:type="dxa"/>
            <w:vAlign w:val="center"/>
          </w:tcPr>
          <w:p>
            <w:pPr>
              <w:pStyle w:val="63"/>
            </w:pPr>
            <w:r>
              <w:t>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氟化物</w:t>
            </w:r>
          </w:p>
        </w:tc>
        <w:tc>
          <w:tcPr>
            <w:tcW w:w="1242" w:type="dxa"/>
            <w:vAlign w:val="center"/>
          </w:tcPr>
          <w:p>
            <w:pPr>
              <w:pStyle w:val="63"/>
            </w:pPr>
            <w:r>
              <w:t>0.382</w:t>
            </w:r>
          </w:p>
        </w:tc>
        <w:tc>
          <w:tcPr>
            <w:tcW w:w="1314" w:type="dxa"/>
            <w:vAlign w:val="center"/>
          </w:tcPr>
          <w:p>
            <w:pPr>
              <w:pStyle w:val="63"/>
            </w:pPr>
            <w:r>
              <w:t>0.386</w:t>
            </w:r>
          </w:p>
        </w:tc>
        <w:tc>
          <w:tcPr>
            <w:tcW w:w="1229" w:type="dxa"/>
            <w:vAlign w:val="center"/>
          </w:tcPr>
          <w:p>
            <w:pPr>
              <w:pStyle w:val="63"/>
            </w:pPr>
            <w:r>
              <w:t>0.397</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氯化物</w:t>
            </w:r>
          </w:p>
        </w:tc>
        <w:tc>
          <w:tcPr>
            <w:tcW w:w="1242" w:type="dxa"/>
            <w:vAlign w:val="center"/>
          </w:tcPr>
          <w:p>
            <w:pPr>
              <w:pStyle w:val="63"/>
            </w:pPr>
            <w:r>
              <w:t>13.8</w:t>
            </w:r>
          </w:p>
        </w:tc>
        <w:tc>
          <w:tcPr>
            <w:tcW w:w="1314" w:type="dxa"/>
            <w:vAlign w:val="center"/>
          </w:tcPr>
          <w:p>
            <w:pPr>
              <w:pStyle w:val="63"/>
            </w:pPr>
            <w:r>
              <w:t>14.2</w:t>
            </w:r>
          </w:p>
        </w:tc>
        <w:tc>
          <w:tcPr>
            <w:tcW w:w="1229" w:type="dxa"/>
            <w:vAlign w:val="center"/>
          </w:tcPr>
          <w:p>
            <w:pPr>
              <w:pStyle w:val="63"/>
            </w:pPr>
            <w:r>
              <w:t>14.3</w:t>
            </w:r>
          </w:p>
        </w:tc>
        <w:tc>
          <w:tcPr>
            <w:tcW w:w="1008" w:type="dxa"/>
            <w:vAlign w:val="center"/>
          </w:tcPr>
          <w:p>
            <w:pPr>
              <w:pStyle w:val="63"/>
            </w:pPr>
            <w:r>
              <w:t>250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氰化物</w:t>
            </w:r>
          </w:p>
        </w:tc>
        <w:tc>
          <w:tcPr>
            <w:tcW w:w="1242" w:type="dxa"/>
            <w:vAlign w:val="center"/>
          </w:tcPr>
          <w:p>
            <w:pPr>
              <w:pStyle w:val="63"/>
            </w:pPr>
            <w:r>
              <w:t>0.004L</w:t>
            </w:r>
          </w:p>
        </w:tc>
        <w:tc>
          <w:tcPr>
            <w:tcW w:w="1314" w:type="dxa"/>
            <w:vAlign w:val="center"/>
          </w:tcPr>
          <w:p>
            <w:pPr>
              <w:pStyle w:val="63"/>
            </w:pPr>
            <w:r>
              <w:t>0.004L</w:t>
            </w:r>
          </w:p>
        </w:tc>
        <w:tc>
          <w:tcPr>
            <w:tcW w:w="1229" w:type="dxa"/>
            <w:vAlign w:val="center"/>
          </w:tcPr>
          <w:p>
            <w:pPr>
              <w:pStyle w:val="63"/>
            </w:pPr>
            <w:r>
              <w:t>0.004L</w:t>
            </w:r>
          </w:p>
        </w:tc>
        <w:tc>
          <w:tcPr>
            <w:tcW w:w="1008" w:type="dxa"/>
            <w:vAlign w:val="center"/>
          </w:tcPr>
          <w:p>
            <w:pPr>
              <w:pStyle w:val="63"/>
            </w:pPr>
            <w:r>
              <w:t>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硫化物</w:t>
            </w:r>
          </w:p>
        </w:tc>
        <w:tc>
          <w:tcPr>
            <w:tcW w:w="1242" w:type="dxa"/>
            <w:vAlign w:val="center"/>
          </w:tcPr>
          <w:p>
            <w:pPr>
              <w:pStyle w:val="63"/>
            </w:pPr>
            <w:r>
              <w:t>0.003L</w:t>
            </w:r>
          </w:p>
        </w:tc>
        <w:tc>
          <w:tcPr>
            <w:tcW w:w="1314" w:type="dxa"/>
            <w:vAlign w:val="center"/>
          </w:tcPr>
          <w:p>
            <w:pPr>
              <w:pStyle w:val="63"/>
            </w:pPr>
            <w:r>
              <w:t>0.003L</w:t>
            </w:r>
          </w:p>
        </w:tc>
        <w:tc>
          <w:tcPr>
            <w:tcW w:w="1229" w:type="dxa"/>
            <w:vAlign w:val="center"/>
          </w:tcPr>
          <w:p>
            <w:pPr>
              <w:pStyle w:val="63"/>
            </w:pPr>
            <w:r>
              <w:t>0.003L</w:t>
            </w:r>
          </w:p>
        </w:tc>
        <w:tc>
          <w:tcPr>
            <w:tcW w:w="1008" w:type="dxa"/>
            <w:vAlign w:val="center"/>
          </w:tcPr>
          <w:p>
            <w:pPr>
              <w:pStyle w:val="63"/>
            </w:pPr>
            <w:r>
              <w:t>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阴离子表面活性剂</w:t>
            </w:r>
          </w:p>
        </w:tc>
        <w:tc>
          <w:tcPr>
            <w:tcW w:w="1242" w:type="dxa"/>
            <w:vAlign w:val="center"/>
          </w:tcPr>
          <w:p>
            <w:pPr>
              <w:pStyle w:val="63"/>
            </w:pPr>
            <w:r>
              <w:t>0.05L</w:t>
            </w:r>
          </w:p>
        </w:tc>
        <w:tc>
          <w:tcPr>
            <w:tcW w:w="1314" w:type="dxa"/>
            <w:vAlign w:val="center"/>
          </w:tcPr>
          <w:p>
            <w:pPr>
              <w:pStyle w:val="63"/>
            </w:pPr>
            <w:r>
              <w:t>0.05L</w:t>
            </w:r>
          </w:p>
        </w:tc>
        <w:tc>
          <w:tcPr>
            <w:tcW w:w="1229" w:type="dxa"/>
            <w:vAlign w:val="center"/>
          </w:tcPr>
          <w:p>
            <w:pPr>
              <w:pStyle w:val="63"/>
            </w:pPr>
            <w:r>
              <w:t>0.05L</w:t>
            </w:r>
          </w:p>
        </w:tc>
        <w:tc>
          <w:tcPr>
            <w:tcW w:w="1008" w:type="dxa"/>
            <w:vAlign w:val="center"/>
          </w:tcPr>
          <w:p>
            <w:pPr>
              <w:pStyle w:val="63"/>
            </w:pPr>
            <w:r>
              <w:t>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砷</w:t>
            </w:r>
          </w:p>
        </w:tc>
        <w:tc>
          <w:tcPr>
            <w:tcW w:w="1242" w:type="dxa"/>
            <w:vAlign w:val="center"/>
          </w:tcPr>
          <w:p>
            <w:pPr>
              <w:pStyle w:val="63"/>
            </w:pPr>
            <w:r>
              <w:t>0.0003L</w:t>
            </w:r>
          </w:p>
        </w:tc>
        <w:tc>
          <w:tcPr>
            <w:tcW w:w="1314" w:type="dxa"/>
            <w:vAlign w:val="center"/>
          </w:tcPr>
          <w:p>
            <w:pPr>
              <w:pStyle w:val="63"/>
            </w:pPr>
            <w:r>
              <w:t>0.0003L</w:t>
            </w:r>
          </w:p>
        </w:tc>
        <w:tc>
          <w:tcPr>
            <w:tcW w:w="1229" w:type="dxa"/>
            <w:vAlign w:val="center"/>
          </w:tcPr>
          <w:p>
            <w:pPr>
              <w:pStyle w:val="63"/>
            </w:pPr>
            <w:r>
              <w:t>0.0003L</w:t>
            </w:r>
          </w:p>
        </w:tc>
        <w:tc>
          <w:tcPr>
            <w:tcW w:w="1008" w:type="dxa"/>
            <w:vAlign w:val="center"/>
          </w:tcPr>
          <w:p>
            <w:pPr>
              <w:pStyle w:val="63"/>
            </w:pPr>
            <w:r>
              <w:t>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汞</w:t>
            </w:r>
          </w:p>
        </w:tc>
        <w:tc>
          <w:tcPr>
            <w:tcW w:w="1242" w:type="dxa"/>
            <w:vAlign w:val="center"/>
          </w:tcPr>
          <w:p>
            <w:pPr>
              <w:pStyle w:val="63"/>
            </w:pPr>
            <w:r>
              <w:t>0.00004L</w:t>
            </w:r>
          </w:p>
        </w:tc>
        <w:tc>
          <w:tcPr>
            <w:tcW w:w="1314" w:type="dxa"/>
            <w:vAlign w:val="center"/>
          </w:tcPr>
          <w:p>
            <w:pPr>
              <w:pStyle w:val="63"/>
            </w:pPr>
            <w:r>
              <w:t>0.00004L</w:t>
            </w:r>
          </w:p>
        </w:tc>
        <w:tc>
          <w:tcPr>
            <w:tcW w:w="1229" w:type="dxa"/>
            <w:vAlign w:val="center"/>
          </w:tcPr>
          <w:p>
            <w:pPr>
              <w:pStyle w:val="63"/>
            </w:pPr>
            <w:r>
              <w:t>0.00004L</w:t>
            </w:r>
          </w:p>
        </w:tc>
        <w:tc>
          <w:tcPr>
            <w:tcW w:w="1008" w:type="dxa"/>
            <w:vAlign w:val="center"/>
          </w:tcPr>
          <w:p>
            <w:pPr>
              <w:pStyle w:val="63"/>
            </w:pPr>
            <w:r>
              <w:t>0.0001</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铅</w:t>
            </w:r>
          </w:p>
        </w:tc>
        <w:tc>
          <w:tcPr>
            <w:tcW w:w="1242" w:type="dxa"/>
            <w:vAlign w:val="center"/>
          </w:tcPr>
          <w:p>
            <w:pPr>
              <w:pStyle w:val="63"/>
            </w:pPr>
            <w:r>
              <w:t>0.001L</w:t>
            </w:r>
          </w:p>
        </w:tc>
        <w:tc>
          <w:tcPr>
            <w:tcW w:w="1314" w:type="dxa"/>
            <w:vAlign w:val="center"/>
          </w:tcPr>
          <w:p>
            <w:pPr>
              <w:pStyle w:val="63"/>
            </w:pPr>
            <w:r>
              <w:t>0.001L</w:t>
            </w:r>
          </w:p>
        </w:tc>
        <w:tc>
          <w:tcPr>
            <w:tcW w:w="1229" w:type="dxa"/>
            <w:vAlign w:val="center"/>
          </w:tcPr>
          <w:p>
            <w:pPr>
              <w:pStyle w:val="63"/>
            </w:pPr>
            <w:r>
              <w:t>0.001L</w:t>
            </w:r>
          </w:p>
        </w:tc>
        <w:tc>
          <w:tcPr>
            <w:tcW w:w="1008" w:type="dxa"/>
            <w:vAlign w:val="center"/>
          </w:tcPr>
          <w:p>
            <w:pPr>
              <w:pStyle w:val="63"/>
            </w:pPr>
            <w:r>
              <w:t>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锌</w:t>
            </w:r>
          </w:p>
        </w:tc>
        <w:tc>
          <w:tcPr>
            <w:tcW w:w="1242" w:type="dxa"/>
            <w:vAlign w:val="center"/>
          </w:tcPr>
          <w:p>
            <w:pPr>
              <w:pStyle w:val="63"/>
            </w:pPr>
            <w:r>
              <w:t>0.05L</w:t>
            </w:r>
          </w:p>
        </w:tc>
        <w:tc>
          <w:tcPr>
            <w:tcW w:w="1314" w:type="dxa"/>
            <w:vAlign w:val="center"/>
          </w:tcPr>
          <w:p>
            <w:pPr>
              <w:pStyle w:val="63"/>
            </w:pPr>
            <w:r>
              <w:t>0.05L</w:t>
            </w:r>
          </w:p>
        </w:tc>
        <w:tc>
          <w:tcPr>
            <w:tcW w:w="1229" w:type="dxa"/>
            <w:vAlign w:val="center"/>
          </w:tcPr>
          <w:p>
            <w:pPr>
              <w:pStyle w:val="63"/>
            </w:pPr>
            <w:r>
              <w:t>0.05L</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总镉</w:t>
            </w:r>
          </w:p>
        </w:tc>
        <w:tc>
          <w:tcPr>
            <w:tcW w:w="1242" w:type="dxa"/>
            <w:vAlign w:val="center"/>
          </w:tcPr>
          <w:p>
            <w:pPr>
              <w:pStyle w:val="63"/>
            </w:pPr>
            <w:r>
              <w:t>0.0001L</w:t>
            </w:r>
          </w:p>
        </w:tc>
        <w:tc>
          <w:tcPr>
            <w:tcW w:w="1314" w:type="dxa"/>
            <w:vAlign w:val="center"/>
          </w:tcPr>
          <w:p>
            <w:pPr>
              <w:pStyle w:val="63"/>
            </w:pPr>
            <w:r>
              <w:t>0.0001L</w:t>
            </w:r>
          </w:p>
        </w:tc>
        <w:tc>
          <w:tcPr>
            <w:tcW w:w="1229" w:type="dxa"/>
            <w:vAlign w:val="center"/>
          </w:tcPr>
          <w:p>
            <w:pPr>
              <w:pStyle w:val="63"/>
            </w:pPr>
            <w:r>
              <w:t>0.0001L</w:t>
            </w:r>
          </w:p>
        </w:tc>
        <w:tc>
          <w:tcPr>
            <w:tcW w:w="1008" w:type="dxa"/>
            <w:vAlign w:val="center"/>
          </w:tcPr>
          <w:p>
            <w:pPr>
              <w:pStyle w:val="63"/>
            </w:pPr>
            <w:r>
              <w:t>0.005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总铬</w:t>
            </w:r>
          </w:p>
        </w:tc>
        <w:tc>
          <w:tcPr>
            <w:tcW w:w="1242" w:type="dxa"/>
            <w:vAlign w:val="center"/>
          </w:tcPr>
          <w:p>
            <w:pPr>
              <w:pStyle w:val="63"/>
            </w:pPr>
            <w:r>
              <w:t>0.03L</w:t>
            </w:r>
          </w:p>
        </w:tc>
        <w:tc>
          <w:tcPr>
            <w:tcW w:w="1314" w:type="dxa"/>
            <w:vAlign w:val="center"/>
          </w:tcPr>
          <w:p>
            <w:pPr>
              <w:pStyle w:val="63"/>
            </w:pPr>
            <w:r>
              <w:t>0.03L</w:t>
            </w:r>
          </w:p>
        </w:tc>
        <w:tc>
          <w:tcPr>
            <w:tcW w:w="1229" w:type="dxa"/>
            <w:vAlign w:val="center"/>
          </w:tcPr>
          <w:p>
            <w:pPr>
              <w:pStyle w:val="63"/>
            </w:pPr>
            <w:r>
              <w:t>0.03L</w:t>
            </w:r>
          </w:p>
        </w:tc>
        <w:tc>
          <w:tcPr>
            <w:tcW w:w="1008" w:type="dxa"/>
            <w:vAlign w:val="center"/>
          </w:tcPr>
          <w:p>
            <w:pPr>
              <w:pStyle w:val="63"/>
            </w:pPr>
            <w:r>
              <w:t>/</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总钴</w:t>
            </w:r>
          </w:p>
        </w:tc>
        <w:tc>
          <w:tcPr>
            <w:tcW w:w="1242" w:type="dxa"/>
            <w:vAlign w:val="center"/>
          </w:tcPr>
          <w:p>
            <w:pPr>
              <w:pStyle w:val="63"/>
            </w:pPr>
            <w:r>
              <w:t>0.002L</w:t>
            </w:r>
          </w:p>
        </w:tc>
        <w:tc>
          <w:tcPr>
            <w:tcW w:w="1314" w:type="dxa"/>
            <w:vAlign w:val="center"/>
          </w:tcPr>
          <w:p>
            <w:pPr>
              <w:pStyle w:val="63"/>
            </w:pPr>
            <w:r>
              <w:t>0.002L</w:t>
            </w:r>
          </w:p>
        </w:tc>
        <w:tc>
          <w:tcPr>
            <w:tcW w:w="1229" w:type="dxa"/>
            <w:vAlign w:val="center"/>
          </w:tcPr>
          <w:p>
            <w:pPr>
              <w:pStyle w:val="63"/>
            </w:pPr>
            <w:r>
              <w:t>0.002L</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总镍</w:t>
            </w:r>
          </w:p>
        </w:tc>
        <w:tc>
          <w:tcPr>
            <w:tcW w:w="1242" w:type="dxa"/>
            <w:vAlign w:val="center"/>
          </w:tcPr>
          <w:p>
            <w:pPr>
              <w:pStyle w:val="63"/>
            </w:pPr>
            <w:r>
              <w:t>0.005L</w:t>
            </w:r>
          </w:p>
        </w:tc>
        <w:tc>
          <w:tcPr>
            <w:tcW w:w="1314" w:type="dxa"/>
            <w:vAlign w:val="center"/>
          </w:tcPr>
          <w:p>
            <w:pPr>
              <w:pStyle w:val="63"/>
            </w:pPr>
            <w:r>
              <w:t>0.005L</w:t>
            </w:r>
          </w:p>
        </w:tc>
        <w:tc>
          <w:tcPr>
            <w:tcW w:w="1229" w:type="dxa"/>
            <w:vAlign w:val="center"/>
          </w:tcPr>
          <w:p>
            <w:pPr>
              <w:pStyle w:val="63"/>
            </w:pPr>
            <w:r>
              <w:t>0.005L</w:t>
            </w:r>
          </w:p>
        </w:tc>
        <w:tc>
          <w:tcPr>
            <w:tcW w:w="1008" w:type="dxa"/>
            <w:vAlign w:val="center"/>
          </w:tcPr>
          <w:p>
            <w:pPr>
              <w:pStyle w:val="63"/>
            </w:pPr>
            <w:r>
              <w:t>0.02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总锰</w:t>
            </w:r>
          </w:p>
        </w:tc>
        <w:tc>
          <w:tcPr>
            <w:tcW w:w="1242" w:type="dxa"/>
            <w:vAlign w:val="center"/>
          </w:tcPr>
          <w:p>
            <w:pPr>
              <w:pStyle w:val="63"/>
            </w:pPr>
            <w:r>
              <w:t>0.01L</w:t>
            </w:r>
          </w:p>
        </w:tc>
        <w:tc>
          <w:tcPr>
            <w:tcW w:w="1314" w:type="dxa"/>
            <w:vAlign w:val="center"/>
          </w:tcPr>
          <w:p>
            <w:pPr>
              <w:pStyle w:val="63"/>
            </w:pPr>
            <w:r>
              <w:t>0.01L</w:t>
            </w:r>
          </w:p>
        </w:tc>
        <w:tc>
          <w:tcPr>
            <w:tcW w:w="1229" w:type="dxa"/>
            <w:vAlign w:val="center"/>
          </w:tcPr>
          <w:p>
            <w:pPr>
              <w:pStyle w:val="63"/>
            </w:pPr>
            <w:r>
              <w:t>0.01L</w:t>
            </w:r>
          </w:p>
        </w:tc>
        <w:tc>
          <w:tcPr>
            <w:tcW w:w="1008" w:type="dxa"/>
            <w:vAlign w:val="center"/>
          </w:tcPr>
          <w:p>
            <w:pPr>
              <w:pStyle w:val="63"/>
            </w:pPr>
            <w:r>
              <w:t>0.1</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总铜</w:t>
            </w:r>
          </w:p>
        </w:tc>
        <w:tc>
          <w:tcPr>
            <w:tcW w:w="1242" w:type="dxa"/>
            <w:vAlign w:val="center"/>
          </w:tcPr>
          <w:p>
            <w:pPr>
              <w:pStyle w:val="63"/>
            </w:pPr>
            <w:r>
              <w:t>0.05L</w:t>
            </w:r>
          </w:p>
        </w:tc>
        <w:tc>
          <w:tcPr>
            <w:tcW w:w="1314" w:type="dxa"/>
            <w:vAlign w:val="center"/>
          </w:tcPr>
          <w:p>
            <w:pPr>
              <w:pStyle w:val="63"/>
            </w:pPr>
            <w:r>
              <w:t>0.05L</w:t>
            </w:r>
          </w:p>
        </w:tc>
        <w:tc>
          <w:tcPr>
            <w:tcW w:w="1229" w:type="dxa"/>
            <w:vAlign w:val="center"/>
          </w:tcPr>
          <w:p>
            <w:pPr>
              <w:pStyle w:val="63"/>
            </w:pPr>
            <w:r>
              <w:t>0.05L</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总铝</w:t>
            </w:r>
          </w:p>
        </w:tc>
        <w:tc>
          <w:tcPr>
            <w:tcW w:w="1242" w:type="dxa"/>
            <w:vAlign w:val="center"/>
          </w:tcPr>
          <w:p>
            <w:pPr>
              <w:pStyle w:val="63"/>
            </w:pPr>
            <w:r>
              <w:t>0.013</w:t>
            </w:r>
          </w:p>
        </w:tc>
        <w:tc>
          <w:tcPr>
            <w:tcW w:w="1314" w:type="dxa"/>
            <w:vAlign w:val="center"/>
          </w:tcPr>
          <w:p>
            <w:pPr>
              <w:pStyle w:val="63"/>
            </w:pPr>
            <w:r>
              <w:t>0.013</w:t>
            </w:r>
          </w:p>
        </w:tc>
        <w:tc>
          <w:tcPr>
            <w:tcW w:w="1229" w:type="dxa"/>
            <w:vAlign w:val="center"/>
          </w:tcPr>
          <w:p>
            <w:pPr>
              <w:pStyle w:val="63"/>
            </w:pPr>
            <w:r>
              <w:t>0.016</w:t>
            </w:r>
          </w:p>
        </w:tc>
        <w:tc>
          <w:tcPr>
            <w:tcW w:w="1008" w:type="dxa"/>
            <w:vAlign w:val="center"/>
          </w:tcPr>
          <w:p>
            <w:pPr>
              <w:pStyle w:val="63"/>
            </w:pPr>
            <w:r>
              <w:t>/</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铊</w:t>
            </w:r>
          </w:p>
        </w:tc>
        <w:tc>
          <w:tcPr>
            <w:tcW w:w="1242" w:type="dxa"/>
            <w:vAlign w:val="center"/>
          </w:tcPr>
          <w:p>
            <w:pPr>
              <w:pStyle w:val="63"/>
            </w:pPr>
            <w:r>
              <w:t>0.00003L</w:t>
            </w:r>
          </w:p>
        </w:tc>
        <w:tc>
          <w:tcPr>
            <w:tcW w:w="1314" w:type="dxa"/>
            <w:vAlign w:val="center"/>
          </w:tcPr>
          <w:p>
            <w:pPr>
              <w:pStyle w:val="63"/>
            </w:pPr>
            <w:r>
              <w:t>0.00003L</w:t>
            </w:r>
          </w:p>
        </w:tc>
        <w:tc>
          <w:tcPr>
            <w:tcW w:w="1229" w:type="dxa"/>
            <w:vAlign w:val="center"/>
          </w:tcPr>
          <w:p>
            <w:pPr>
              <w:pStyle w:val="63"/>
            </w:pPr>
            <w:r>
              <w:t>0.00003L</w:t>
            </w:r>
          </w:p>
        </w:tc>
        <w:tc>
          <w:tcPr>
            <w:tcW w:w="1008" w:type="dxa"/>
            <w:vAlign w:val="center"/>
          </w:tcPr>
          <w:p>
            <w:pPr>
              <w:pStyle w:val="63"/>
            </w:pPr>
            <w:r>
              <w:t>0.0001</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restart"/>
            <w:tcBorders>
              <w:left w:val="single" w:color="auto" w:sz="12" w:space="0"/>
            </w:tcBorders>
            <w:vAlign w:val="center"/>
          </w:tcPr>
          <w:p>
            <w:pPr>
              <w:pStyle w:val="63"/>
            </w:pPr>
            <w:r>
              <w:t>W3</w:t>
            </w:r>
          </w:p>
        </w:tc>
        <w:tc>
          <w:tcPr>
            <w:tcW w:w="1908" w:type="dxa"/>
            <w:vAlign w:val="center"/>
          </w:tcPr>
          <w:p>
            <w:pPr>
              <w:pStyle w:val="63"/>
            </w:pPr>
            <w:r>
              <w:t>pH</w:t>
            </w:r>
          </w:p>
        </w:tc>
        <w:tc>
          <w:tcPr>
            <w:tcW w:w="1242" w:type="dxa"/>
            <w:vAlign w:val="center"/>
          </w:tcPr>
          <w:p>
            <w:pPr>
              <w:pStyle w:val="63"/>
            </w:pPr>
            <w:r>
              <w:t>7.8</w:t>
            </w:r>
          </w:p>
        </w:tc>
        <w:tc>
          <w:tcPr>
            <w:tcW w:w="1314" w:type="dxa"/>
            <w:vAlign w:val="center"/>
          </w:tcPr>
          <w:p>
            <w:pPr>
              <w:pStyle w:val="63"/>
            </w:pPr>
            <w:r>
              <w:t>7.7</w:t>
            </w:r>
          </w:p>
        </w:tc>
        <w:tc>
          <w:tcPr>
            <w:tcW w:w="1229" w:type="dxa"/>
            <w:vAlign w:val="center"/>
          </w:tcPr>
          <w:p>
            <w:pPr>
              <w:pStyle w:val="63"/>
            </w:pPr>
            <w:r>
              <w:t>7.6</w:t>
            </w:r>
          </w:p>
        </w:tc>
        <w:tc>
          <w:tcPr>
            <w:tcW w:w="1008" w:type="dxa"/>
            <w:vAlign w:val="center"/>
          </w:tcPr>
          <w:p>
            <w:pPr>
              <w:pStyle w:val="63"/>
            </w:pPr>
            <w:r>
              <w:t>6-9</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化学需氧量</w:t>
            </w:r>
          </w:p>
        </w:tc>
        <w:tc>
          <w:tcPr>
            <w:tcW w:w="1242" w:type="dxa"/>
            <w:vAlign w:val="center"/>
          </w:tcPr>
          <w:p>
            <w:pPr>
              <w:pStyle w:val="63"/>
            </w:pPr>
            <w:r>
              <w:t>15</w:t>
            </w:r>
          </w:p>
        </w:tc>
        <w:tc>
          <w:tcPr>
            <w:tcW w:w="1314" w:type="dxa"/>
            <w:vAlign w:val="center"/>
          </w:tcPr>
          <w:p>
            <w:pPr>
              <w:pStyle w:val="63"/>
            </w:pPr>
            <w:r>
              <w:t>14</w:t>
            </w:r>
          </w:p>
        </w:tc>
        <w:tc>
          <w:tcPr>
            <w:tcW w:w="1229" w:type="dxa"/>
            <w:vAlign w:val="center"/>
          </w:tcPr>
          <w:p>
            <w:pPr>
              <w:pStyle w:val="63"/>
            </w:pPr>
            <w:r>
              <w:t>14</w:t>
            </w:r>
          </w:p>
        </w:tc>
        <w:tc>
          <w:tcPr>
            <w:tcW w:w="1008" w:type="dxa"/>
            <w:vAlign w:val="center"/>
          </w:tcPr>
          <w:p>
            <w:pPr>
              <w:pStyle w:val="63"/>
            </w:pPr>
            <w:r>
              <w:t>20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五日生化需氧量</w:t>
            </w:r>
          </w:p>
        </w:tc>
        <w:tc>
          <w:tcPr>
            <w:tcW w:w="1242" w:type="dxa"/>
            <w:vAlign w:val="center"/>
          </w:tcPr>
          <w:p>
            <w:pPr>
              <w:pStyle w:val="63"/>
            </w:pPr>
            <w:r>
              <w:t>3.2</w:t>
            </w:r>
          </w:p>
        </w:tc>
        <w:tc>
          <w:tcPr>
            <w:tcW w:w="1314" w:type="dxa"/>
            <w:vAlign w:val="center"/>
          </w:tcPr>
          <w:p>
            <w:pPr>
              <w:pStyle w:val="63"/>
            </w:pPr>
            <w:r>
              <w:t>3.1</w:t>
            </w:r>
          </w:p>
        </w:tc>
        <w:tc>
          <w:tcPr>
            <w:tcW w:w="1229" w:type="dxa"/>
            <w:vAlign w:val="center"/>
          </w:tcPr>
          <w:p>
            <w:pPr>
              <w:pStyle w:val="63"/>
            </w:pPr>
            <w:r>
              <w:t>3.1</w:t>
            </w:r>
          </w:p>
        </w:tc>
        <w:tc>
          <w:tcPr>
            <w:tcW w:w="1008" w:type="dxa"/>
            <w:vAlign w:val="center"/>
          </w:tcPr>
          <w:p>
            <w:pPr>
              <w:pStyle w:val="63"/>
            </w:pPr>
            <w:r>
              <w:t>4</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氨氮</w:t>
            </w:r>
          </w:p>
        </w:tc>
        <w:tc>
          <w:tcPr>
            <w:tcW w:w="1242" w:type="dxa"/>
            <w:vAlign w:val="center"/>
          </w:tcPr>
          <w:p>
            <w:pPr>
              <w:pStyle w:val="63"/>
            </w:pPr>
            <w:r>
              <w:t>0.238</w:t>
            </w:r>
          </w:p>
        </w:tc>
        <w:tc>
          <w:tcPr>
            <w:tcW w:w="1314" w:type="dxa"/>
            <w:vAlign w:val="center"/>
          </w:tcPr>
          <w:p>
            <w:pPr>
              <w:pStyle w:val="63"/>
            </w:pPr>
            <w:r>
              <w:t>0.246</w:t>
            </w:r>
          </w:p>
        </w:tc>
        <w:tc>
          <w:tcPr>
            <w:tcW w:w="1229" w:type="dxa"/>
            <w:vAlign w:val="center"/>
          </w:tcPr>
          <w:p>
            <w:pPr>
              <w:pStyle w:val="63"/>
            </w:pPr>
            <w:r>
              <w:t>0.251</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悬浮物</w:t>
            </w:r>
          </w:p>
        </w:tc>
        <w:tc>
          <w:tcPr>
            <w:tcW w:w="1242" w:type="dxa"/>
            <w:vAlign w:val="center"/>
          </w:tcPr>
          <w:p>
            <w:pPr>
              <w:pStyle w:val="63"/>
            </w:pPr>
            <w:r>
              <w:t>14</w:t>
            </w:r>
          </w:p>
        </w:tc>
        <w:tc>
          <w:tcPr>
            <w:tcW w:w="1314" w:type="dxa"/>
            <w:vAlign w:val="center"/>
          </w:tcPr>
          <w:p>
            <w:pPr>
              <w:pStyle w:val="63"/>
            </w:pPr>
            <w:r>
              <w:t>15</w:t>
            </w:r>
          </w:p>
        </w:tc>
        <w:tc>
          <w:tcPr>
            <w:tcW w:w="1229" w:type="dxa"/>
            <w:vAlign w:val="center"/>
          </w:tcPr>
          <w:p>
            <w:pPr>
              <w:pStyle w:val="63"/>
            </w:pPr>
            <w:r>
              <w:t>14</w:t>
            </w:r>
          </w:p>
        </w:tc>
        <w:tc>
          <w:tcPr>
            <w:tcW w:w="1008" w:type="dxa"/>
            <w:vAlign w:val="center"/>
          </w:tcPr>
          <w:p>
            <w:pPr>
              <w:pStyle w:val="63"/>
            </w:pPr>
            <w:r>
              <w:t>/</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总磷</w:t>
            </w:r>
          </w:p>
        </w:tc>
        <w:tc>
          <w:tcPr>
            <w:tcW w:w="1242" w:type="dxa"/>
            <w:vAlign w:val="center"/>
          </w:tcPr>
          <w:p>
            <w:pPr>
              <w:pStyle w:val="63"/>
            </w:pPr>
            <w:r>
              <w:t>0.08</w:t>
            </w:r>
          </w:p>
        </w:tc>
        <w:tc>
          <w:tcPr>
            <w:tcW w:w="1314" w:type="dxa"/>
            <w:vAlign w:val="center"/>
          </w:tcPr>
          <w:p>
            <w:pPr>
              <w:pStyle w:val="63"/>
            </w:pPr>
            <w:r>
              <w:t>0.08</w:t>
            </w:r>
          </w:p>
        </w:tc>
        <w:tc>
          <w:tcPr>
            <w:tcW w:w="1229" w:type="dxa"/>
            <w:vAlign w:val="center"/>
          </w:tcPr>
          <w:p>
            <w:pPr>
              <w:pStyle w:val="63"/>
            </w:pPr>
            <w:r>
              <w:t>0.09</w:t>
            </w:r>
          </w:p>
        </w:tc>
        <w:tc>
          <w:tcPr>
            <w:tcW w:w="1008" w:type="dxa"/>
            <w:vAlign w:val="center"/>
          </w:tcPr>
          <w:p>
            <w:pPr>
              <w:pStyle w:val="63"/>
            </w:pPr>
            <w:r>
              <w:t>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总氮</w:t>
            </w:r>
          </w:p>
        </w:tc>
        <w:tc>
          <w:tcPr>
            <w:tcW w:w="1242" w:type="dxa"/>
            <w:vAlign w:val="center"/>
          </w:tcPr>
          <w:p>
            <w:pPr>
              <w:pStyle w:val="63"/>
            </w:pPr>
            <w:r>
              <w:t>0.46</w:t>
            </w:r>
          </w:p>
        </w:tc>
        <w:tc>
          <w:tcPr>
            <w:tcW w:w="1314" w:type="dxa"/>
            <w:vAlign w:val="center"/>
          </w:tcPr>
          <w:p>
            <w:pPr>
              <w:pStyle w:val="63"/>
            </w:pPr>
            <w:r>
              <w:t>0.52</w:t>
            </w:r>
          </w:p>
        </w:tc>
        <w:tc>
          <w:tcPr>
            <w:tcW w:w="1229" w:type="dxa"/>
            <w:vAlign w:val="center"/>
          </w:tcPr>
          <w:p>
            <w:pPr>
              <w:pStyle w:val="63"/>
            </w:pPr>
            <w:r>
              <w:t>0.23</w:t>
            </w:r>
          </w:p>
        </w:tc>
        <w:tc>
          <w:tcPr>
            <w:tcW w:w="1008" w:type="dxa"/>
            <w:vAlign w:val="center"/>
          </w:tcPr>
          <w:p>
            <w:pPr>
              <w:pStyle w:val="63"/>
            </w:pPr>
            <w:r>
              <w:t>1.0</w:t>
            </w:r>
          </w:p>
        </w:tc>
        <w:tc>
          <w:tcPr>
            <w:tcW w:w="838" w:type="dxa"/>
            <w:vAlign w:val="center"/>
          </w:tcPr>
          <w:p>
            <w:pPr>
              <w:pStyle w:val="63"/>
            </w:pPr>
          </w:p>
        </w:tc>
        <w:tc>
          <w:tcPr>
            <w:tcW w:w="965" w:type="dxa"/>
            <w:tcBorders>
              <w:right w:val="single" w:color="auto" w:sz="12" w:space="0"/>
            </w:tcBorders>
            <w:vAlign w:val="center"/>
          </w:tcPr>
          <w:p>
            <w:pPr>
              <w:pStyle w:val="63"/>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溶解氧</w:t>
            </w:r>
          </w:p>
        </w:tc>
        <w:tc>
          <w:tcPr>
            <w:tcW w:w="1242" w:type="dxa"/>
            <w:vAlign w:val="center"/>
          </w:tcPr>
          <w:p>
            <w:pPr>
              <w:pStyle w:val="63"/>
            </w:pPr>
            <w:r>
              <w:t>5.4</w:t>
            </w:r>
          </w:p>
        </w:tc>
        <w:tc>
          <w:tcPr>
            <w:tcW w:w="1314" w:type="dxa"/>
            <w:vAlign w:val="center"/>
          </w:tcPr>
          <w:p>
            <w:pPr>
              <w:pStyle w:val="63"/>
            </w:pPr>
            <w:r>
              <w:t>5.4</w:t>
            </w:r>
          </w:p>
        </w:tc>
        <w:tc>
          <w:tcPr>
            <w:tcW w:w="1229" w:type="dxa"/>
            <w:vAlign w:val="center"/>
          </w:tcPr>
          <w:p>
            <w:pPr>
              <w:pStyle w:val="63"/>
            </w:pPr>
            <w:r>
              <w:t>5.3</w:t>
            </w:r>
          </w:p>
        </w:tc>
        <w:tc>
          <w:tcPr>
            <w:tcW w:w="1008" w:type="dxa"/>
            <w:vAlign w:val="center"/>
          </w:tcPr>
          <w:p>
            <w:pPr>
              <w:pStyle w:val="63"/>
            </w:pPr>
            <w:r>
              <w:t>≥5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挥发酚</w:t>
            </w:r>
          </w:p>
        </w:tc>
        <w:tc>
          <w:tcPr>
            <w:tcW w:w="1242" w:type="dxa"/>
            <w:vAlign w:val="center"/>
          </w:tcPr>
          <w:p>
            <w:pPr>
              <w:pStyle w:val="63"/>
            </w:pPr>
            <w:r>
              <w:t>0.0003L</w:t>
            </w:r>
          </w:p>
        </w:tc>
        <w:tc>
          <w:tcPr>
            <w:tcW w:w="1314" w:type="dxa"/>
            <w:vAlign w:val="center"/>
          </w:tcPr>
          <w:p>
            <w:pPr>
              <w:pStyle w:val="63"/>
            </w:pPr>
            <w:r>
              <w:t>0.0003L</w:t>
            </w:r>
          </w:p>
        </w:tc>
        <w:tc>
          <w:tcPr>
            <w:tcW w:w="1229" w:type="dxa"/>
            <w:vAlign w:val="center"/>
          </w:tcPr>
          <w:p>
            <w:pPr>
              <w:pStyle w:val="63"/>
            </w:pPr>
            <w:r>
              <w:t>0.0003L</w:t>
            </w:r>
          </w:p>
        </w:tc>
        <w:tc>
          <w:tcPr>
            <w:tcW w:w="1008" w:type="dxa"/>
            <w:vAlign w:val="center"/>
          </w:tcPr>
          <w:p>
            <w:pPr>
              <w:pStyle w:val="63"/>
            </w:pPr>
            <w:r>
              <w:t>0.005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粪大肠菌群</w:t>
            </w:r>
          </w:p>
        </w:tc>
        <w:tc>
          <w:tcPr>
            <w:tcW w:w="1242" w:type="dxa"/>
            <w:vAlign w:val="center"/>
          </w:tcPr>
          <w:p>
            <w:pPr>
              <w:pStyle w:val="63"/>
            </w:pPr>
            <w:r>
              <w:t>320</w:t>
            </w:r>
          </w:p>
        </w:tc>
        <w:tc>
          <w:tcPr>
            <w:tcW w:w="1314" w:type="dxa"/>
            <w:vAlign w:val="center"/>
          </w:tcPr>
          <w:p>
            <w:pPr>
              <w:pStyle w:val="63"/>
            </w:pPr>
            <w:r>
              <w:t>360</w:t>
            </w:r>
          </w:p>
        </w:tc>
        <w:tc>
          <w:tcPr>
            <w:tcW w:w="1229" w:type="dxa"/>
            <w:vAlign w:val="center"/>
          </w:tcPr>
          <w:p>
            <w:pPr>
              <w:pStyle w:val="63"/>
            </w:pPr>
            <w:r>
              <w:t>330</w:t>
            </w:r>
          </w:p>
        </w:tc>
        <w:tc>
          <w:tcPr>
            <w:tcW w:w="1008" w:type="dxa"/>
            <w:vAlign w:val="center"/>
          </w:tcPr>
          <w:p>
            <w:pPr>
              <w:pStyle w:val="63"/>
            </w:pPr>
            <w:r>
              <w:t>10000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石油类</w:t>
            </w:r>
          </w:p>
        </w:tc>
        <w:tc>
          <w:tcPr>
            <w:tcW w:w="1242" w:type="dxa"/>
            <w:vAlign w:val="center"/>
          </w:tcPr>
          <w:p>
            <w:pPr>
              <w:pStyle w:val="63"/>
            </w:pPr>
            <w:r>
              <w:t>0.03</w:t>
            </w:r>
          </w:p>
        </w:tc>
        <w:tc>
          <w:tcPr>
            <w:tcW w:w="1314" w:type="dxa"/>
            <w:vAlign w:val="center"/>
          </w:tcPr>
          <w:p>
            <w:pPr>
              <w:pStyle w:val="63"/>
            </w:pPr>
            <w:r>
              <w:t>0.03</w:t>
            </w:r>
          </w:p>
        </w:tc>
        <w:tc>
          <w:tcPr>
            <w:tcW w:w="1229" w:type="dxa"/>
            <w:vAlign w:val="center"/>
          </w:tcPr>
          <w:p>
            <w:pPr>
              <w:pStyle w:val="63"/>
            </w:pPr>
            <w:r>
              <w:t>0.03</w:t>
            </w:r>
          </w:p>
        </w:tc>
        <w:tc>
          <w:tcPr>
            <w:tcW w:w="1008" w:type="dxa"/>
            <w:vAlign w:val="center"/>
          </w:tcPr>
          <w:p>
            <w:pPr>
              <w:pStyle w:val="63"/>
            </w:pPr>
            <w:r>
              <w:t>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氟化物</w:t>
            </w:r>
          </w:p>
        </w:tc>
        <w:tc>
          <w:tcPr>
            <w:tcW w:w="1242" w:type="dxa"/>
            <w:vAlign w:val="center"/>
          </w:tcPr>
          <w:p>
            <w:pPr>
              <w:pStyle w:val="63"/>
            </w:pPr>
            <w:r>
              <w:t>0.332</w:t>
            </w:r>
          </w:p>
        </w:tc>
        <w:tc>
          <w:tcPr>
            <w:tcW w:w="1314" w:type="dxa"/>
            <w:vAlign w:val="center"/>
          </w:tcPr>
          <w:p>
            <w:pPr>
              <w:pStyle w:val="63"/>
            </w:pPr>
            <w:r>
              <w:t>0.348</w:t>
            </w:r>
          </w:p>
        </w:tc>
        <w:tc>
          <w:tcPr>
            <w:tcW w:w="1229" w:type="dxa"/>
            <w:vAlign w:val="center"/>
          </w:tcPr>
          <w:p>
            <w:pPr>
              <w:pStyle w:val="63"/>
            </w:pPr>
            <w:r>
              <w:t>0.358</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氯化物</w:t>
            </w:r>
          </w:p>
        </w:tc>
        <w:tc>
          <w:tcPr>
            <w:tcW w:w="1242" w:type="dxa"/>
            <w:vAlign w:val="center"/>
          </w:tcPr>
          <w:p>
            <w:pPr>
              <w:pStyle w:val="63"/>
            </w:pPr>
            <w:r>
              <w:t>32.7</w:t>
            </w:r>
          </w:p>
        </w:tc>
        <w:tc>
          <w:tcPr>
            <w:tcW w:w="1314" w:type="dxa"/>
            <w:vAlign w:val="center"/>
          </w:tcPr>
          <w:p>
            <w:pPr>
              <w:pStyle w:val="63"/>
            </w:pPr>
            <w:r>
              <w:t>33.2</w:t>
            </w:r>
          </w:p>
        </w:tc>
        <w:tc>
          <w:tcPr>
            <w:tcW w:w="1229" w:type="dxa"/>
            <w:vAlign w:val="center"/>
          </w:tcPr>
          <w:p>
            <w:pPr>
              <w:pStyle w:val="63"/>
            </w:pPr>
            <w:r>
              <w:t>34.8</w:t>
            </w:r>
          </w:p>
        </w:tc>
        <w:tc>
          <w:tcPr>
            <w:tcW w:w="1008" w:type="dxa"/>
            <w:vAlign w:val="center"/>
          </w:tcPr>
          <w:p>
            <w:pPr>
              <w:pStyle w:val="63"/>
            </w:pPr>
            <w:r>
              <w:t>250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氰化物</w:t>
            </w:r>
          </w:p>
        </w:tc>
        <w:tc>
          <w:tcPr>
            <w:tcW w:w="1242" w:type="dxa"/>
            <w:vAlign w:val="center"/>
          </w:tcPr>
          <w:p>
            <w:pPr>
              <w:pStyle w:val="63"/>
            </w:pPr>
            <w:r>
              <w:t>0.004L</w:t>
            </w:r>
          </w:p>
        </w:tc>
        <w:tc>
          <w:tcPr>
            <w:tcW w:w="1314" w:type="dxa"/>
            <w:vAlign w:val="center"/>
          </w:tcPr>
          <w:p>
            <w:pPr>
              <w:pStyle w:val="63"/>
            </w:pPr>
            <w:r>
              <w:t>0.004L</w:t>
            </w:r>
          </w:p>
        </w:tc>
        <w:tc>
          <w:tcPr>
            <w:tcW w:w="1229" w:type="dxa"/>
            <w:vAlign w:val="center"/>
          </w:tcPr>
          <w:p>
            <w:pPr>
              <w:pStyle w:val="63"/>
            </w:pPr>
            <w:r>
              <w:t>0.004L</w:t>
            </w:r>
          </w:p>
        </w:tc>
        <w:tc>
          <w:tcPr>
            <w:tcW w:w="1008" w:type="dxa"/>
            <w:vAlign w:val="center"/>
          </w:tcPr>
          <w:p>
            <w:pPr>
              <w:pStyle w:val="63"/>
            </w:pPr>
            <w:r>
              <w:t>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硫化物</w:t>
            </w:r>
          </w:p>
        </w:tc>
        <w:tc>
          <w:tcPr>
            <w:tcW w:w="1242" w:type="dxa"/>
            <w:vAlign w:val="center"/>
          </w:tcPr>
          <w:p>
            <w:pPr>
              <w:pStyle w:val="63"/>
            </w:pPr>
            <w:r>
              <w:t>0.003L</w:t>
            </w:r>
          </w:p>
        </w:tc>
        <w:tc>
          <w:tcPr>
            <w:tcW w:w="1314" w:type="dxa"/>
            <w:vAlign w:val="center"/>
          </w:tcPr>
          <w:p>
            <w:pPr>
              <w:pStyle w:val="63"/>
            </w:pPr>
            <w:r>
              <w:t>0.003L</w:t>
            </w:r>
          </w:p>
        </w:tc>
        <w:tc>
          <w:tcPr>
            <w:tcW w:w="1229" w:type="dxa"/>
            <w:vAlign w:val="center"/>
          </w:tcPr>
          <w:p>
            <w:pPr>
              <w:pStyle w:val="63"/>
            </w:pPr>
            <w:r>
              <w:t>0.003L</w:t>
            </w:r>
          </w:p>
        </w:tc>
        <w:tc>
          <w:tcPr>
            <w:tcW w:w="1008" w:type="dxa"/>
            <w:vAlign w:val="center"/>
          </w:tcPr>
          <w:p>
            <w:pPr>
              <w:pStyle w:val="63"/>
            </w:pPr>
            <w:r>
              <w:t>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阴离子表面活性剂</w:t>
            </w:r>
          </w:p>
        </w:tc>
        <w:tc>
          <w:tcPr>
            <w:tcW w:w="1242" w:type="dxa"/>
            <w:vAlign w:val="center"/>
          </w:tcPr>
          <w:p>
            <w:pPr>
              <w:pStyle w:val="63"/>
            </w:pPr>
            <w:r>
              <w:t>0.05L</w:t>
            </w:r>
          </w:p>
        </w:tc>
        <w:tc>
          <w:tcPr>
            <w:tcW w:w="1314" w:type="dxa"/>
            <w:vAlign w:val="center"/>
          </w:tcPr>
          <w:p>
            <w:pPr>
              <w:pStyle w:val="63"/>
            </w:pPr>
            <w:r>
              <w:t>0.05L</w:t>
            </w:r>
          </w:p>
        </w:tc>
        <w:tc>
          <w:tcPr>
            <w:tcW w:w="1229" w:type="dxa"/>
            <w:vAlign w:val="center"/>
          </w:tcPr>
          <w:p>
            <w:pPr>
              <w:pStyle w:val="63"/>
            </w:pPr>
            <w:r>
              <w:t>0.05L</w:t>
            </w:r>
          </w:p>
        </w:tc>
        <w:tc>
          <w:tcPr>
            <w:tcW w:w="1008" w:type="dxa"/>
            <w:vAlign w:val="center"/>
          </w:tcPr>
          <w:p>
            <w:pPr>
              <w:pStyle w:val="63"/>
            </w:pPr>
            <w:r>
              <w:t>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砷</w:t>
            </w:r>
          </w:p>
        </w:tc>
        <w:tc>
          <w:tcPr>
            <w:tcW w:w="1242" w:type="dxa"/>
            <w:vAlign w:val="center"/>
          </w:tcPr>
          <w:p>
            <w:pPr>
              <w:pStyle w:val="63"/>
            </w:pPr>
            <w:r>
              <w:t>0.0003L</w:t>
            </w:r>
          </w:p>
        </w:tc>
        <w:tc>
          <w:tcPr>
            <w:tcW w:w="1314" w:type="dxa"/>
            <w:vAlign w:val="center"/>
          </w:tcPr>
          <w:p>
            <w:pPr>
              <w:pStyle w:val="63"/>
            </w:pPr>
            <w:r>
              <w:t>0.0003L</w:t>
            </w:r>
          </w:p>
        </w:tc>
        <w:tc>
          <w:tcPr>
            <w:tcW w:w="1229" w:type="dxa"/>
            <w:vAlign w:val="center"/>
          </w:tcPr>
          <w:p>
            <w:pPr>
              <w:pStyle w:val="63"/>
            </w:pPr>
            <w:r>
              <w:t>0.0003L</w:t>
            </w:r>
          </w:p>
        </w:tc>
        <w:tc>
          <w:tcPr>
            <w:tcW w:w="1008" w:type="dxa"/>
            <w:vAlign w:val="center"/>
          </w:tcPr>
          <w:p>
            <w:pPr>
              <w:pStyle w:val="63"/>
            </w:pPr>
            <w:r>
              <w:t>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汞</w:t>
            </w:r>
          </w:p>
        </w:tc>
        <w:tc>
          <w:tcPr>
            <w:tcW w:w="1242" w:type="dxa"/>
            <w:vAlign w:val="center"/>
          </w:tcPr>
          <w:p>
            <w:pPr>
              <w:pStyle w:val="63"/>
            </w:pPr>
            <w:r>
              <w:t>0.00004L</w:t>
            </w:r>
          </w:p>
        </w:tc>
        <w:tc>
          <w:tcPr>
            <w:tcW w:w="1314" w:type="dxa"/>
            <w:vAlign w:val="center"/>
          </w:tcPr>
          <w:p>
            <w:pPr>
              <w:pStyle w:val="63"/>
            </w:pPr>
            <w:r>
              <w:t>0.00004L</w:t>
            </w:r>
          </w:p>
        </w:tc>
        <w:tc>
          <w:tcPr>
            <w:tcW w:w="1229" w:type="dxa"/>
            <w:vAlign w:val="center"/>
          </w:tcPr>
          <w:p>
            <w:pPr>
              <w:pStyle w:val="63"/>
            </w:pPr>
            <w:r>
              <w:t>0.00004L</w:t>
            </w:r>
          </w:p>
        </w:tc>
        <w:tc>
          <w:tcPr>
            <w:tcW w:w="1008" w:type="dxa"/>
            <w:vAlign w:val="center"/>
          </w:tcPr>
          <w:p>
            <w:pPr>
              <w:pStyle w:val="63"/>
            </w:pPr>
            <w:r>
              <w:t>0.0001</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铅</w:t>
            </w:r>
          </w:p>
        </w:tc>
        <w:tc>
          <w:tcPr>
            <w:tcW w:w="1242" w:type="dxa"/>
            <w:vAlign w:val="center"/>
          </w:tcPr>
          <w:p>
            <w:pPr>
              <w:pStyle w:val="63"/>
            </w:pPr>
            <w:r>
              <w:t>0.001L</w:t>
            </w:r>
          </w:p>
        </w:tc>
        <w:tc>
          <w:tcPr>
            <w:tcW w:w="1314" w:type="dxa"/>
            <w:vAlign w:val="center"/>
          </w:tcPr>
          <w:p>
            <w:pPr>
              <w:pStyle w:val="63"/>
            </w:pPr>
            <w:r>
              <w:t>0.001L</w:t>
            </w:r>
          </w:p>
        </w:tc>
        <w:tc>
          <w:tcPr>
            <w:tcW w:w="1229" w:type="dxa"/>
            <w:vAlign w:val="center"/>
          </w:tcPr>
          <w:p>
            <w:pPr>
              <w:pStyle w:val="63"/>
            </w:pPr>
            <w:r>
              <w:t>0.001L</w:t>
            </w:r>
          </w:p>
        </w:tc>
        <w:tc>
          <w:tcPr>
            <w:tcW w:w="1008" w:type="dxa"/>
            <w:vAlign w:val="center"/>
          </w:tcPr>
          <w:p>
            <w:pPr>
              <w:pStyle w:val="63"/>
            </w:pPr>
            <w:r>
              <w:t>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锌</w:t>
            </w:r>
          </w:p>
        </w:tc>
        <w:tc>
          <w:tcPr>
            <w:tcW w:w="1242" w:type="dxa"/>
            <w:vAlign w:val="center"/>
          </w:tcPr>
          <w:p>
            <w:pPr>
              <w:pStyle w:val="63"/>
            </w:pPr>
            <w:r>
              <w:t>0.05L</w:t>
            </w:r>
          </w:p>
        </w:tc>
        <w:tc>
          <w:tcPr>
            <w:tcW w:w="1314" w:type="dxa"/>
            <w:vAlign w:val="center"/>
          </w:tcPr>
          <w:p>
            <w:pPr>
              <w:pStyle w:val="63"/>
            </w:pPr>
            <w:r>
              <w:t>0.05L</w:t>
            </w:r>
          </w:p>
        </w:tc>
        <w:tc>
          <w:tcPr>
            <w:tcW w:w="1229" w:type="dxa"/>
            <w:vAlign w:val="center"/>
          </w:tcPr>
          <w:p>
            <w:pPr>
              <w:pStyle w:val="63"/>
            </w:pPr>
            <w:r>
              <w:t>0.05L</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总镉</w:t>
            </w:r>
          </w:p>
        </w:tc>
        <w:tc>
          <w:tcPr>
            <w:tcW w:w="1242" w:type="dxa"/>
            <w:vAlign w:val="center"/>
          </w:tcPr>
          <w:p>
            <w:pPr>
              <w:pStyle w:val="63"/>
            </w:pPr>
            <w:r>
              <w:t>0.0001L</w:t>
            </w:r>
          </w:p>
        </w:tc>
        <w:tc>
          <w:tcPr>
            <w:tcW w:w="1314" w:type="dxa"/>
            <w:vAlign w:val="center"/>
          </w:tcPr>
          <w:p>
            <w:pPr>
              <w:pStyle w:val="63"/>
            </w:pPr>
            <w:r>
              <w:t>0.0001L</w:t>
            </w:r>
          </w:p>
        </w:tc>
        <w:tc>
          <w:tcPr>
            <w:tcW w:w="1229" w:type="dxa"/>
            <w:vAlign w:val="center"/>
          </w:tcPr>
          <w:p>
            <w:pPr>
              <w:pStyle w:val="63"/>
            </w:pPr>
            <w:r>
              <w:t>0.0001L</w:t>
            </w:r>
          </w:p>
        </w:tc>
        <w:tc>
          <w:tcPr>
            <w:tcW w:w="1008" w:type="dxa"/>
            <w:vAlign w:val="center"/>
          </w:tcPr>
          <w:p>
            <w:pPr>
              <w:pStyle w:val="63"/>
            </w:pPr>
            <w:r>
              <w:t>0.005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总铬</w:t>
            </w:r>
          </w:p>
        </w:tc>
        <w:tc>
          <w:tcPr>
            <w:tcW w:w="1242" w:type="dxa"/>
            <w:vAlign w:val="center"/>
          </w:tcPr>
          <w:p>
            <w:pPr>
              <w:pStyle w:val="63"/>
            </w:pPr>
            <w:r>
              <w:t>0.03L</w:t>
            </w:r>
          </w:p>
        </w:tc>
        <w:tc>
          <w:tcPr>
            <w:tcW w:w="1314" w:type="dxa"/>
            <w:vAlign w:val="center"/>
          </w:tcPr>
          <w:p>
            <w:pPr>
              <w:pStyle w:val="63"/>
            </w:pPr>
            <w:r>
              <w:t>0.03L</w:t>
            </w:r>
          </w:p>
        </w:tc>
        <w:tc>
          <w:tcPr>
            <w:tcW w:w="1229" w:type="dxa"/>
            <w:vAlign w:val="center"/>
          </w:tcPr>
          <w:p>
            <w:pPr>
              <w:pStyle w:val="63"/>
            </w:pPr>
            <w:r>
              <w:t>0.03L</w:t>
            </w:r>
          </w:p>
        </w:tc>
        <w:tc>
          <w:tcPr>
            <w:tcW w:w="1008" w:type="dxa"/>
            <w:vAlign w:val="center"/>
          </w:tcPr>
          <w:p>
            <w:pPr>
              <w:pStyle w:val="63"/>
            </w:pPr>
            <w:r>
              <w:t>/</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总钴</w:t>
            </w:r>
          </w:p>
        </w:tc>
        <w:tc>
          <w:tcPr>
            <w:tcW w:w="1242" w:type="dxa"/>
            <w:vAlign w:val="center"/>
          </w:tcPr>
          <w:p>
            <w:pPr>
              <w:pStyle w:val="63"/>
            </w:pPr>
            <w:r>
              <w:t>0.002L</w:t>
            </w:r>
          </w:p>
        </w:tc>
        <w:tc>
          <w:tcPr>
            <w:tcW w:w="1314" w:type="dxa"/>
            <w:vAlign w:val="center"/>
          </w:tcPr>
          <w:p>
            <w:pPr>
              <w:pStyle w:val="63"/>
            </w:pPr>
            <w:r>
              <w:t>0.002L</w:t>
            </w:r>
          </w:p>
        </w:tc>
        <w:tc>
          <w:tcPr>
            <w:tcW w:w="1229" w:type="dxa"/>
            <w:vAlign w:val="center"/>
          </w:tcPr>
          <w:p>
            <w:pPr>
              <w:pStyle w:val="63"/>
            </w:pPr>
            <w:r>
              <w:t>0.002L</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总镍</w:t>
            </w:r>
          </w:p>
        </w:tc>
        <w:tc>
          <w:tcPr>
            <w:tcW w:w="1242" w:type="dxa"/>
            <w:vAlign w:val="center"/>
          </w:tcPr>
          <w:p>
            <w:pPr>
              <w:pStyle w:val="63"/>
            </w:pPr>
            <w:r>
              <w:t>0.005L</w:t>
            </w:r>
          </w:p>
        </w:tc>
        <w:tc>
          <w:tcPr>
            <w:tcW w:w="1314" w:type="dxa"/>
            <w:vAlign w:val="center"/>
          </w:tcPr>
          <w:p>
            <w:pPr>
              <w:pStyle w:val="63"/>
            </w:pPr>
            <w:r>
              <w:t>0.005L</w:t>
            </w:r>
          </w:p>
        </w:tc>
        <w:tc>
          <w:tcPr>
            <w:tcW w:w="1229" w:type="dxa"/>
            <w:vAlign w:val="center"/>
          </w:tcPr>
          <w:p>
            <w:pPr>
              <w:pStyle w:val="63"/>
            </w:pPr>
            <w:r>
              <w:t>0.005L</w:t>
            </w:r>
          </w:p>
        </w:tc>
        <w:tc>
          <w:tcPr>
            <w:tcW w:w="1008" w:type="dxa"/>
            <w:vAlign w:val="center"/>
          </w:tcPr>
          <w:p>
            <w:pPr>
              <w:pStyle w:val="63"/>
            </w:pPr>
            <w:r>
              <w:t>0.02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总锰</w:t>
            </w:r>
          </w:p>
        </w:tc>
        <w:tc>
          <w:tcPr>
            <w:tcW w:w="1242" w:type="dxa"/>
            <w:vAlign w:val="center"/>
          </w:tcPr>
          <w:p>
            <w:pPr>
              <w:pStyle w:val="63"/>
            </w:pPr>
            <w:r>
              <w:t>0.01L</w:t>
            </w:r>
          </w:p>
        </w:tc>
        <w:tc>
          <w:tcPr>
            <w:tcW w:w="1314" w:type="dxa"/>
            <w:vAlign w:val="center"/>
          </w:tcPr>
          <w:p>
            <w:pPr>
              <w:pStyle w:val="63"/>
            </w:pPr>
            <w:r>
              <w:t>0.01L</w:t>
            </w:r>
          </w:p>
        </w:tc>
        <w:tc>
          <w:tcPr>
            <w:tcW w:w="1229" w:type="dxa"/>
            <w:vAlign w:val="center"/>
          </w:tcPr>
          <w:p>
            <w:pPr>
              <w:pStyle w:val="63"/>
            </w:pPr>
            <w:r>
              <w:t>0.01L</w:t>
            </w:r>
          </w:p>
        </w:tc>
        <w:tc>
          <w:tcPr>
            <w:tcW w:w="1008" w:type="dxa"/>
            <w:vAlign w:val="center"/>
          </w:tcPr>
          <w:p>
            <w:pPr>
              <w:pStyle w:val="63"/>
            </w:pPr>
            <w:r>
              <w:t>0.1</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总铜</w:t>
            </w:r>
          </w:p>
        </w:tc>
        <w:tc>
          <w:tcPr>
            <w:tcW w:w="1242" w:type="dxa"/>
            <w:vAlign w:val="center"/>
          </w:tcPr>
          <w:p>
            <w:pPr>
              <w:pStyle w:val="63"/>
            </w:pPr>
            <w:r>
              <w:t>0.05L</w:t>
            </w:r>
          </w:p>
        </w:tc>
        <w:tc>
          <w:tcPr>
            <w:tcW w:w="1314" w:type="dxa"/>
            <w:vAlign w:val="center"/>
          </w:tcPr>
          <w:p>
            <w:pPr>
              <w:pStyle w:val="63"/>
            </w:pPr>
            <w:r>
              <w:t>0.05L</w:t>
            </w:r>
          </w:p>
        </w:tc>
        <w:tc>
          <w:tcPr>
            <w:tcW w:w="1229" w:type="dxa"/>
            <w:vAlign w:val="center"/>
          </w:tcPr>
          <w:p>
            <w:pPr>
              <w:pStyle w:val="63"/>
            </w:pPr>
            <w:r>
              <w:t>0.05L</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总铝</w:t>
            </w:r>
          </w:p>
        </w:tc>
        <w:tc>
          <w:tcPr>
            <w:tcW w:w="1242" w:type="dxa"/>
            <w:vAlign w:val="center"/>
          </w:tcPr>
          <w:p>
            <w:pPr>
              <w:pStyle w:val="63"/>
            </w:pPr>
            <w:r>
              <w:t>0.009L</w:t>
            </w:r>
          </w:p>
        </w:tc>
        <w:tc>
          <w:tcPr>
            <w:tcW w:w="1314" w:type="dxa"/>
            <w:vAlign w:val="center"/>
          </w:tcPr>
          <w:p>
            <w:pPr>
              <w:pStyle w:val="63"/>
            </w:pPr>
            <w:r>
              <w:t>0.009L</w:t>
            </w:r>
          </w:p>
        </w:tc>
        <w:tc>
          <w:tcPr>
            <w:tcW w:w="1229" w:type="dxa"/>
            <w:vAlign w:val="center"/>
          </w:tcPr>
          <w:p>
            <w:pPr>
              <w:pStyle w:val="63"/>
            </w:pPr>
            <w:r>
              <w:t>0.009L</w:t>
            </w:r>
          </w:p>
        </w:tc>
        <w:tc>
          <w:tcPr>
            <w:tcW w:w="1008" w:type="dxa"/>
            <w:vAlign w:val="center"/>
          </w:tcPr>
          <w:p>
            <w:pPr>
              <w:pStyle w:val="63"/>
            </w:pPr>
            <w:r>
              <w:t>/</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铊</w:t>
            </w:r>
          </w:p>
        </w:tc>
        <w:tc>
          <w:tcPr>
            <w:tcW w:w="1242" w:type="dxa"/>
            <w:vAlign w:val="center"/>
          </w:tcPr>
          <w:p>
            <w:pPr>
              <w:pStyle w:val="63"/>
            </w:pPr>
            <w:r>
              <w:t>0.00003L</w:t>
            </w:r>
          </w:p>
        </w:tc>
        <w:tc>
          <w:tcPr>
            <w:tcW w:w="1314" w:type="dxa"/>
            <w:vAlign w:val="center"/>
          </w:tcPr>
          <w:p>
            <w:pPr>
              <w:pStyle w:val="63"/>
            </w:pPr>
            <w:r>
              <w:t>0.00003L</w:t>
            </w:r>
          </w:p>
        </w:tc>
        <w:tc>
          <w:tcPr>
            <w:tcW w:w="1229" w:type="dxa"/>
            <w:vAlign w:val="center"/>
          </w:tcPr>
          <w:p>
            <w:pPr>
              <w:pStyle w:val="63"/>
            </w:pPr>
            <w:r>
              <w:t>0.00003L</w:t>
            </w:r>
          </w:p>
        </w:tc>
        <w:tc>
          <w:tcPr>
            <w:tcW w:w="1008" w:type="dxa"/>
            <w:vAlign w:val="center"/>
          </w:tcPr>
          <w:p>
            <w:pPr>
              <w:pStyle w:val="63"/>
            </w:pPr>
            <w:r>
              <w:t>0.0001</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restart"/>
            <w:tcBorders>
              <w:left w:val="single" w:color="auto" w:sz="12" w:space="0"/>
            </w:tcBorders>
            <w:vAlign w:val="center"/>
          </w:tcPr>
          <w:p>
            <w:pPr>
              <w:pStyle w:val="63"/>
            </w:pPr>
            <w:r>
              <w:t>W4</w:t>
            </w:r>
          </w:p>
        </w:tc>
        <w:tc>
          <w:tcPr>
            <w:tcW w:w="1908" w:type="dxa"/>
            <w:vAlign w:val="center"/>
          </w:tcPr>
          <w:p>
            <w:pPr>
              <w:pStyle w:val="63"/>
            </w:pPr>
            <w:r>
              <w:t>pH</w:t>
            </w:r>
          </w:p>
        </w:tc>
        <w:tc>
          <w:tcPr>
            <w:tcW w:w="1242" w:type="dxa"/>
            <w:vAlign w:val="center"/>
          </w:tcPr>
          <w:p>
            <w:pPr>
              <w:pStyle w:val="63"/>
            </w:pPr>
            <w:r>
              <w:t>7.9</w:t>
            </w:r>
          </w:p>
        </w:tc>
        <w:tc>
          <w:tcPr>
            <w:tcW w:w="1314" w:type="dxa"/>
            <w:vAlign w:val="center"/>
          </w:tcPr>
          <w:p>
            <w:pPr>
              <w:pStyle w:val="63"/>
            </w:pPr>
            <w:r>
              <w:t>7.9</w:t>
            </w:r>
          </w:p>
        </w:tc>
        <w:tc>
          <w:tcPr>
            <w:tcW w:w="1229" w:type="dxa"/>
            <w:vAlign w:val="center"/>
          </w:tcPr>
          <w:p>
            <w:pPr>
              <w:pStyle w:val="63"/>
            </w:pPr>
            <w:r>
              <w:t>7.8</w:t>
            </w:r>
          </w:p>
        </w:tc>
        <w:tc>
          <w:tcPr>
            <w:tcW w:w="1008" w:type="dxa"/>
            <w:vAlign w:val="center"/>
          </w:tcPr>
          <w:p>
            <w:pPr>
              <w:pStyle w:val="63"/>
            </w:pPr>
            <w:r>
              <w:t>6-9</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化学需氧量</w:t>
            </w:r>
          </w:p>
        </w:tc>
        <w:tc>
          <w:tcPr>
            <w:tcW w:w="1242" w:type="dxa"/>
            <w:vAlign w:val="center"/>
          </w:tcPr>
          <w:p>
            <w:pPr>
              <w:pStyle w:val="63"/>
            </w:pPr>
            <w:r>
              <w:t>10</w:t>
            </w:r>
          </w:p>
        </w:tc>
        <w:tc>
          <w:tcPr>
            <w:tcW w:w="1314" w:type="dxa"/>
            <w:vAlign w:val="center"/>
          </w:tcPr>
          <w:p>
            <w:pPr>
              <w:pStyle w:val="63"/>
            </w:pPr>
            <w:r>
              <w:t>11</w:t>
            </w:r>
          </w:p>
        </w:tc>
        <w:tc>
          <w:tcPr>
            <w:tcW w:w="1229" w:type="dxa"/>
            <w:vAlign w:val="center"/>
          </w:tcPr>
          <w:p>
            <w:pPr>
              <w:pStyle w:val="63"/>
            </w:pPr>
            <w:r>
              <w:t>11</w:t>
            </w:r>
          </w:p>
        </w:tc>
        <w:tc>
          <w:tcPr>
            <w:tcW w:w="1008" w:type="dxa"/>
            <w:vAlign w:val="center"/>
          </w:tcPr>
          <w:p>
            <w:pPr>
              <w:pStyle w:val="63"/>
            </w:pPr>
            <w:r>
              <w:t>20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五日生化需氧量</w:t>
            </w:r>
          </w:p>
        </w:tc>
        <w:tc>
          <w:tcPr>
            <w:tcW w:w="1242" w:type="dxa"/>
            <w:vAlign w:val="center"/>
          </w:tcPr>
          <w:p>
            <w:pPr>
              <w:pStyle w:val="63"/>
            </w:pPr>
            <w:r>
              <w:t>2.3</w:t>
            </w:r>
          </w:p>
        </w:tc>
        <w:tc>
          <w:tcPr>
            <w:tcW w:w="1314" w:type="dxa"/>
            <w:vAlign w:val="center"/>
          </w:tcPr>
          <w:p>
            <w:pPr>
              <w:pStyle w:val="63"/>
            </w:pPr>
            <w:r>
              <w:t>2.5</w:t>
            </w:r>
          </w:p>
        </w:tc>
        <w:tc>
          <w:tcPr>
            <w:tcW w:w="1229" w:type="dxa"/>
            <w:vAlign w:val="center"/>
          </w:tcPr>
          <w:p>
            <w:pPr>
              <w:pStyle w:val="63"/>
            </w:pPr>
            <w:r>
              <w:t>2.5</w:t>
            </w:r>
          </w:p>
        </w:tc>
        <w:tc>
          <w:tcPr>
            <w:tcW w:w="1008" w:type="dxa"/>
            <w:vAlign w:val="center"/>
          </w:tcPr>
          <w:p>
            <w:pPr>
              <w:pStyle w:val="63"/>
            </w:pPr>
            <w:r>
              <w:t>4</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氨氮</w:t>
            </w:r>
          </w:p>
        </w:tc>
        <w:tc>
          <w:tcPr>
            <w:tcW w:w="1242" w:type="dxa"/>
            <w:vAlign w:val="center"/>
          </w:tcPr>
          <w:p>
            <w:pPr>
              <w:pStyle w:val="63"/>
            </w:pPr>
            <w:r>
              <w:t>0.291</w:t>
            </w:r>
          </w:p>
        </w:tc>
        <w:tc>
          <w:tcPr>
            <w:tcW w:w="1314" w:type="dxa"/>
            <w:vAlign w:val="center"/>
          </w:tcPr>
          <w:p>
            <w:pPr>
              <w:pStyle w:val="63"/>
            </w:pPr>
            <w:r>
              <w:t>0.297</w:t>
            </w:r>
          </w:p>
        </w:tc>
        <w:tc>
          <w:tcPr>
            <w:tcW w:w="1229" w:type="dxa"/>
            <w:vAlign w:val="center"/>
          </w:tcPr>
          <w:p>
            <w:pPr>
              <w:pStyle w:val="63"/>
            </w:pPr>
            <w:r>
              <w:t>0.302</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悬浮物</w:t>
            </w:r>
          </w:p>
        </w:tc>
        <w:tc>
          <w:tcPr>
            <w:tcW w:w="1242" w:type="dxa"/>
            <w:vAlign w:val="center"/>
          </w:tcPr>
          <w:p>
            <w:pPr>
              <w:pStyle w:val="63"/>
            </w:pPr>
            <w:r>
              <w:t>16</w:t>
            </w:r>
          </w:p>
        </w:tc>
        <w:tc>
          <w:tcPr>
            <w:tcW w:w="1314" w:type="dxa"/>
            <w:vAlign w:val="center"/>
          </w:tcPr>
          <w:p>
            <w:pPr>
              <w:pStyle w:val="63"/>
            </w:pPr>
            <w:r>
              <w:t>17</w:t>
            </w:r>
          </w:p>
        </w:tc>
        <w:tc>
          <w:tcPr>
            <w:tcW w:w="1229" w:type="dxa"/>
            <w:vAlign w:val="center"/>
          </w:tcPr>
          <w:p>
            <w:pPr>
              <w:pStyle w:val="63"/>
            </w:pPr>
            <w:r>
              <w:t>16</w:t>
            </w:r>
          </w:p>
        </w:tc>
        <w:tc>
          <w:tcPr>
            <w:tcW w:w="1008" w:type="dxa"/>
            <w:vAlign w:val="center"/>
          </w:tcPr>
          <w:p>
            <w:pPr>
              <w:pStyle w:val="63"/>
            </w:pPr>
            <w:r>
              <w:t>/</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总磷</w:t>
            </w:r>
          </w:p>
        </w:tc>
        <w:tc>
          <w:tcPr>
            <w:tcW w:w="1242" w:type="dxa"/>
            <w:vAlign w:val="center"/>
          </w:tcPr>
          <w:p>
            <w:pPr>
              <w:pStyle w:val="63"/>
            </w:pPr>
            <w:r>
              <w:t>0.04</w:t>
            </w:r>
          </w:p>
        </w:tc>
        <w:tc>
          <w:tcPr>
            <w:tcW w:w="1314" w:type="dxa"/>
            <w:vAlign w:val="center"/>
          </w:tcPr>
          <w:p>
            <w:pPr>
              <w:pStyle w:val="63"/>
            </w:pPr>
            <w:r>
              <w:t>0.05</w:t>
            </w:r>
          </w:p>
        </w:tc>
        <w:tc>
          <w:tcPr>
            <w:tcW w:w="1229" w:type="dxa"/>
            <w:vAlign w:val="center"/>
          </w:tcPr>
          <w:p>
            <w:pPr>
              <w:pStyle w:val="63"/>
            </w:pPr>
            <w:r>
              <w:t>0.04</w:t>
            </w:r>
          </w:p>
        </w:tc>
        <w:tc>
          <w:tcPr>
            <w:tcW w:w="1008" w:type="dxa"/>
            <w:vAlign w:val="center"/>
          </w:tcPr>
          <w:p>
            <w:pPr>
              <w:pStyle w:val="63"/>
            </w:pPr>
            <w:r>
              <w:t>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总氮</w:t>
            </w:r>
          </w:p>
        </w:tc>
        <w:tc>
          <w:tcPr>
            <w:tcW w:w="1242" w:type="dxa"/>
            <w:vAlign w:val="center"/>
          </w:tcPr>
          <w:p>
            <w:pPr>
              <w:pStyle w:val="63"/>
            </w:pPr>
            <w:r>
              <w:t>0.68</w:t>
            </w:r>
          </w:p>
        </w:tc>
        <w:tc>
          <w:tcPr>
            <w:tcW w:w="1314" w:type="dxa"/>
            <w:vAlign w:val="center"/>
          </w:tcPr>
          <w:p>
            <w:pPr>
              <w:pStyle w:val="63"/>
            </w:pPr>
            <w:r>
              <w:t>0.71</w:t>
            </w:r>
          </w:p>
        </w:tc>
        <w:tc>
          <w:tcPr>
            <w:tcW w:w="1229" w:type="dxa"/>
            <w:vAlign w:val="center"/>
          </w:tcPr>
          <w:p>
            <w:pPr>
              <w:pStyle w:val="63"/>
            </w:pPr>
            <w:r>
              <w:t>0.71</w:t>
            </w:r>
          </w:p>
        </w:tc>
        <w:tc>
          <w:tcPr>
            <w:tcW w:w="1008" w:type="dxa"/>
            <w:vAlign w:val="center"/>
          </w:tcPr>
          <w:p>
            <w:pPr>
              <w:pStyle w:val="63"/>
            </w:pPr>
            <w:r>
              <w:t>1.0</w:t>
            </w:r>
          </w:p>
        </w:tc>
        <w:tc>
          <w:tcPr>
            <w:tcW w:w="838" w:type="dxa"/>
            <w:vAlign w:val="center"/>
          </w:tcPr>
          <w:p>
            <w:pPr>
              <w:pStyle w:val="63"/>
            </w:pPr>
          </w:p>
        </w:tc>
        <w:tc>
          <w:tcPr>
            <w:tcW w:w="965" w:type="dxa"/>
            <w:tcBorders>
              <w:right w:val="single" w:color="auto" w:sz="12" w:space="0"/>
            </w:tcBorders>
            <w:vAlign w:val="center"/>
          </w:tcPr>
          <w:p>
            <w:pPr>
              <w:pStyle w:val="63"/>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溶解氧</w:t>
            </w:r>
          </w:p>
        </w:tc>
        <w:tc>
          <w:tcPr>
            <w:tcW w:w="1242" w:type="dxa"/>
            <w:vAlign w:val="center"/>
          </w:tcPr>
          <w:p>
            <w:pPr>
              <w:pStyle w:val="63"/>
            </w:pPr>
            <w:r>
              <w:t>5.3</w:t>
            </w:r>
          </w:p>
        </w:tc>
        <w:tc>
          <w:tcPr>
            <w:tcW w:w="1314" w:type="dxa"/>
            <w:vAlign w:val="center"/>
          </w:tcPr>
          <w:p>
            <w:pPr>
              <w:pStyle w:val="63"/>
            </w:pPr>
            <w:r>
              <w:t>5.2</w:t>
            </w:r>
          </w:p>
        </w:tc>
        <w:tc>
          <w:tcPr>
            <w:tcW w:w="1229" w:type="dxa"/>
            <w:vAlign w:val="center"/>
          </w:tcPr>
          <w:p>
            <w:pPr>
              <w:pStyle w:val="63"/>
            </w:pPr>
            <w:r>
              <w:t>5.1</w:t>
            </w:r>
          </w:p>
        </w:tc>
        <w:tc>
          <w:tcPr>
            <w:tcW w:w="1008" w:type="dxa"/>
            <w:vAlign w:val="center"/>
          </w:tcPr>
          <w:p>
            <w:pPr>
              <w:pStyle w:val="63"/>
            </w:pPr>
            <w:r>
              <w:t>≥5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挥发酚</w:t>
            </w:r>
          </w:p>
        </w:tc>
        <w:tc>
          <w:tcPr>
            <w:tcW w:w="1242" w:type="dxa"/>
            <w:vAlign w:val="center"/>
          </w:tcPr>
          <w:p>
            <w:pPr>
              <w:pStyle w:val="63"/>
            </w:pPr>
            <w:r>
              <w:t>0.0003L</w:t>
            </w:r>
          </w:p>
        </w:tc>
        <w:tc>
          <w:tcPr>
            <w:tcW w:w="1314" w:type="dxa"/>
            <w:vAlign w:val="center"/>
          </w:tcPr>
          <w:p>
            <w:pPr>
              <w:pStyle w:val="63"/>
            </w:pPr>
            <w:r>
              <w:t>0.0003L</w:t>
            </w:r>
          </w:p>
        </w:tc>
        <w:tc>
          <w:tcPr>
            <w:tcW w:w="1229" w:type="dxa"/>
            <w:vAlign w:val="center"/>
          </w:tcPr>
          <w:p>
            <w:pPr>
              <w:pStyle w:val="63"/>
            </w:pPr>
            <w:r>
              <w:t>0.0003L</w:t>
            </w:r>
          </w:p>
        </w:tc>
        <w:tc>
          <w:tcPr>
            <w:tcW w:w="1008" w:type="dxa"/>
            <w:vAlign w:val="center"/>
          </w:tcPr>
          <w:p>
            <w:pPr>
              <w:pStyle w:val="63"/>
            </w:pPr>
            <w:r>
              <w:t>0.005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粪大肠菌群</w:t>
            </w:r>
          </w:p>
        </w:tc>
        <w:tc>
          <w:tcPr>
            <w:tcW w:w="1242" w:type="dxa"/>
            <w:vAlign w:val="center"/>
          </w:tcPr>
          <w:p>
            <w:pPr>
              <w:pStyle w:val="63"/>
            </w:pPr>
            <w:r>
              <w:t>300</w:t>
            </w:r>
          </w:p>
        </w:tc>
        <w:tc>
          <w:tcPr>
            <w:tcW w:w="1314" w:type="dxa"/>
            <w:vAlign w:val="center"/>
          </w:tcPr>
          <w:p>
            <w:pPr>
              <w:pStyle w:val="63"/>
            </w:pPr>
            <w:r>
              <w:t>300</w:t>
            </w:r>
          </w:p>
        </w:tc>
        <w:tc>
          <w:tcPr>
            <w:tcW w:w="1229" w:type="dxa"/>
            <w:vAlign w:val="center"/>
          </w:tcPr>
          <w:p>
            <w:pPr>
              <w:pStyle w:val="63"/>
            </w:pPr>
            <w:r>
              <w:t>410</w:t>
            </w:r>
          </w:p>
        </w:tc>
        <w:tc>
          <w:tcPr>
            <w:tcW w:w="1008" w:type="dxa"/>
            <w:vAlign w:val="center"/>
          </w:tcPr>
          <w:p>
            <w:pPr>
              <w:pStyle w:val="63"/>
            </w:pPr>
            <w:r>
              <w:t>10000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石油类</w:t>
            </w:r>
          </w:p>
        </w:tc>
        <w:tc>
          <w:tcPr>
            <w:tcW w:w="1242" w:type="dxa"/>
            <w:vAlign w:val="center"/>
          </w:tcPr>
          <w:p>
            <w:pPr>
              <w:pStyle w:val="63"/>
            </w:pPr>
            <w:r>
              <w:t>0.02</w:t>
            </w:r>
          </w:p>
        </w:tc>
        <w:tc>
          <w:tcPr>
            <w:tcW w:w="1314" w:type="dxa"/>
            <w:vAlign w:val="center"/>
          </w:tcPr>
          <w:p>
            <w:pPr>
              <w:pStyle w:val="63"/>
            </w:pPr>
            <w:r>
              <w:t>0.03</w:t>
            </w:r>
          </w:p>
        </w:tc>
        <w:tc>
          <w:tcPr>
            <w:tcW w:w="1229" w:type="dxa"/>
            <w:vAlign w:val="center"/>
          </w:tcPr>
          <w:p>
            <w:pPr>
              <w:pStyle w:val="63"/>
            </w:pPr>
            <w:r>
              <w:t>0.03</w:t>
            </w:r>
          </w:p>
        </w:tc>
        <w:tc>
          <w:tcPr>
            <w:tcW w:w="1008" w:type="dxa"/>
            <w:vAlign w:val="center"/>
          </w:tcPr>
          <w:p>
            <w:pPr>
              <w:pStyle w:val="63"/>
            </w:pPr>
            <w:r>
              <w:t>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氟化物</w:t>
            </w:r>
          </w:p>
        </w:tc>
        <w:tc>
          <w:tcPr>
            <w:tcW w:w="1242" w:type="dxa"/>
            <w:vAlign w:val="center"/>
          </w:tcPr>
          <w:p>
            <w:pPr>
              <w:pStyle w:val="63"/>
            </w:pPr>
            <w:r>
              <w:t>0.006L</w:t>
            </w:r>
          </w:p>
        </w:tc>
        <w:tc>
          <w:tcPr>
            <w:tcW w:w="1314" w:type="dxa"/>
            <w:vAlign w:val="center"/>
          </w:tcPr>
          <w:p>
            <w:pPr>
              <w:pStyle w:val="63"/>
            </w:pPr>
            <w:r>
              <w:t>0.006L</w:t>
            </w:r>
          </w:p>
        </w:tc>
        <w:tc>
          <w:tcPr>
            <w:tcW w:w="1229" w:type="dxa"/>
            <w:vAlign w:val="center"/>
          </w:tcPr>
          <w:p>
            <w:pPr>
              <w:pStyle w:val="63"/>
            </w:pPr>
            <w:r>
              <w:t>0.006L</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氯化物</w:t>
            </w:r>
          </w:p>
        </w:tc>
        <w:tc>
          <w:tcPr>
            <w:tcW w:w="1242" w:type="dxa"/>
            <w:vAlign w:val="center"/>
          </w:tcPr>
          <w:p>
            <w:pPr>
              <w:pStyle w:val="63"/>
            </w:pPr>
            <w:r>
              <w:t>12.3</w:t>
            </w:r>
          </w:p>
        </w:tc>
        <w:tc>
          <w:tcPr>
            <w:tcW w:w="1314" w:type="dxa"/>
            <w:vAlign w:val="center"/>
          </w:tcPr>
          <w:p>
            <w:pPr>
              <w:pStyle w:val="63"/>
            </w:pPr>
            <w:r>
              <w:t>12.6</w:t>
            </w:r>
          </w:p>
        </w:tc>
        <w:tc>
          <w:tcPr>
            <w:tcW w:w="1229" w:type="dxa"/>
            <w:vAlign w:val="center"/>
          </w:tcPr>
          <w:p>
            <w:pPr>
              <w:pStyle w:val="63"/>
            </w:pPr>
            <w:r>
              <w:t>13.5</w:t>
            </w:r>
          </w:p>
        </w:tc>
        <w:tc>
          <w:tcPr>
            <w:tcW w:w="1008" w:type="dxa"/>
            <w:vAlign w:val="center"/>
          </w:tcPr>
          <w:p>
            <w:pPr>
              <w:pStyle w:val="63"/>
            </w:pPr>
            <w:r>
              <w:t>250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氰化物</w:t>
            </w:r>
          </w:p>
        </w:tc>
        <w:tc>
          <w:tcPr>
            <w:tcW w:w="1242" w:type="dxa"/>
            <w:vAlign w:val="center"/>
          </w:tcPr>
          <w:p>
            <w:pPr>
              <w:pStyle w:val="63"/>
            </w:pPr>
            <w:r>
              <w:t>0.004L</w:t>
            </w:r>
          </w:p>
        </w:tc>
        <w:tc>
          <w:tcPr>
            <w:tcW w:w="1314" w:type="dxa"/>
            <w:vAlign w:val="center"/>
          </w:tcPr>
          <w:p>
            <w:pPr>
              <w:pStyle w:val="63"/>
            </w:pPr>
            <w:r>
              <w:t>0.004L</w:t>
            </w:r>
          </w:p>
        </w:tc>
        <w:tc>
          <w:tcPr>
            <w:tcW w:w="1229" w:type="dxa"/>
            <w:vAlign w:val="center"/>
          </w:tcPr>
          <w:p>
            <w:pPr>
              <w:pStyle w:val="63"/>
            </w:pPr>
            <w:r>
              <w:t>0.004L</w:t>
            </w:r>
          </w:p>
        </w:tc>
        <w:tc>
          <w:tcPr>
            <w:tcW w:w="1008" w:type="dxa"/>
            <w:vAlign w:val="center"/>
          </w:tcPr>
          <w:p>
            <w:pPr>
              <w:pStyle w:val="63"/>
            </w:pPr>
            <w:r>
              <w:t>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硫化物</w:t>
            </w:r>
          </w:p>
        </w:tc>
        <w:tc>
          <w:tcPr>
            <w:tcW w:w="1242" w:type="dxa"/>
            <w:vAlign w:val="center"/>
          </w:tcPr>
          <w:p>
            <w:pPr>
              <w:pStyle w:val="63"/>
            </w:pPr>
            <w:r>
              <w:t>0.003L</w:t>
            </w:r>
          </w:p>
        </w:tc>
        <w:tc>
          <w:tcPr>
            <w:tcW w:w="1314" w:type="dxa"/>
            <w:vAlign w:val="center"/>
          </w:tcPr>
          <w:p>
            <w:pPr>
              <w:pStyle w:val="63"/>
            </w:pPr>
            <w:r>
              <w:t>0.003L</w:t>
            </w:r>
          </w:p>
        </w:tc>
        <w:tc>
          <w:tcPr>
            <w:tcW w:w="1229" w:type="dxa"/>
            <w:vAlign w:val="center"/>
          </w:tcPr>
          <w:p>
            <w:pPr>
              <w:pStyle w:val="63"/>
            </w:pPr>
            <w:r>
              <w:t>0.003L</w:t>
            </w:r>
          </w:p>
        </w:tc>
        <w:tc>
          <w:tcPr>
            <w:tcW w:w="1008" w:type="dxa"/>
            <w:vAlign w:val="center"/>
          </w:tcPr>
          <w:p>
            <w:pPr>
              <w:pStyle w:val="63"/>
            </w:pPr>
            <w:r>
              <w:t>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阴离子表面活性剂</w:t>
            </w:r>
          </w:p>
        </w:tc>
        <w:tc>
          <w:tcPr>
            <w:tcW w:w="1242" w:type="dxa"/>
            <w:vAlign w:val="center"/>
          </w:tcPr>
          <w:p>
            <w:pPr>
              <w:pStyle w:val="63"/>
            </w:pPr>
            <w:r>
              <w:t>0.05L</w:t>
            </w:r>
          </w:p>
        </w:tc>
        <w:tc>
          <w:tcPr>
            <w:tcW w:w="1314" w:type="dxa"/>
            <w:vAlign w:val="center"/>
          </w:tcPr>
          <w:p>
            <w:pPr>
              <w:pStyle w:val="63"/>
            </w:pPr>
            <w:r>
              <w:t>0.05L</w:t>
            </w:r>
          </w:p>
        </w:tc>
        <w:tc>
          <w:tcPr>
            <w:tcW w:w="1229" w:type="dxa"/>
            <w:vAlign w:val="center"/>
          </w:tcPr>
          <w:p>
            <w:pPr>
              <w:pStyle w:val="63"/>
            </w:pPr>
            <w:r>
              <w:t>0.05L</w:t>
            </w:r>
          </w:p>
        </w:tc>
        <w:tc>
          <w:tcPr>
            <w:tcW w:w="1008" w:type="dxa"/>
            <w:vAlign w:val="center"/>
          </w:tcPr>
          <w:p>
            <w:pPr>
              <w:pStyle w:val="63"/>
            </w:pPr>
            <w:r>
              <w:t>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砷</w:t>
            </w:r>
          </w:p>
        </w:tc>
        <w:tc>
          <w:tcPr>
            <w:tcW w:w="1242" w:type="dxa"/>
            <w:vAlign w:val="center"/>
          </w:tcPr>
          <w:p>
            <w:pPr>
              <w:pStyle w:val="63"/>
            </w:pPr>
            <w:r>
              <w:t>0.0003L</w:t>
            </w:r>
          </w:p>
        </w:tc>
        <w:tc>
          <w:tcPr>
            <w:tcW w:w="1314" w:type="dxa"/>
            <w:vAlign w:val="center"/>
          </w:tcPr>
          <w:p>
            <w:pPr>
              <w:pStyle w:val="63"/>
            </w:pPr>
            <w:r>
              <w:t>0.0003L</w:t>
            </w:r>
          </w:p>
        </w:tc>
        <w:tc>
          <w:tcPr>
            <w:tcW w:w="1229" w:type="dxa"/>
            <w:vAlign w:val="center"/>
          </w:tcPr>
          <w:p>
            <w:pPr>
              <w:pStyle w:val="63"/>
            </w:pPr>
            <w:r>
              <w:t>0.0003L</w:t>
            </w:r>
          </w:p>
        </w:tc>
        <w:tc>
          <w:tcPr>
            <w:tcW w:w="1008" w:type="dxa"/>
            <w:vAlign w:val="center"/>
          </w:tcPr>
          <w:p>
            <w:pPr>
              <w:pStyle w:val="63"/>
            </w:pPr>
            <w:r>
              <w:t>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汞</w:t>
            </w:r>
          </w:p>
        </w:tc>
        <w:tc>
          <w:tcPr>
            <w:tcW w:w="1242" w:type="dxa"/>
            <w:vAlign w:val="center"/>
          </w:tcPr>
          <w:p>
            <w:pPr>
              <w:pStyle w:val="63"/>
            </w:pPr>
            <w:r>
              <w:t>0.00004L</w:t>
            </w:r>
          </w:p>
        </w:tc>
        <w:tc>
          <w:tcPr>
            <w:tcW w:w="1314" w:type="dxa"/>
            <w:vAlign w:val="center"/>
          </w:tcPr>
          <w:p>
            <w:pPr>
              <w:pStyle w:val="63"/>
            </w:pPr>
            <w:r>
              <w:t>0.00004L</w:t>
            </w:r>
          </w:p>
        </w:tc>
        <w:tc>
          <w:tcPr>
            <w:tcW w:w="1229" w:type="dxa"/>
            <w:vAlign w:val="center"/>
          </w:tcPr>
          <w:p>
            <w:pPr>
              <w:pStyle w:val="63"/>
            </w:pPr>
            <w:r>
              <w:t>0.00004L</w:t>
            </w:r>
          </w:p>
        </w:tc>
        <w:tc>
          <w:tcPr>
            <w:tcW w:w="1008" w:type="dxa"/>
            <w:vAlign w:val="center"/>
          </w:tcPr>
          <w:p>
            <w:pPr>
              <w:pStyle w:val="63"/>
            </w:pPr>
            <w:r>
              <w:t>0.0001</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铅</w:t>
            </w:r>
          </w:p>
        </w:tc>
        <w:tc>
          <w:tcPr>
            <w:tcW w:w="1242" w:type="dxa"/>
            <w:vAlign w:val="center"/>
          </w:tcPr>
          <w:p>
            <w:pPr>
              <w:pStyle w:val="63"/>
            </w:pPr>
            <w:r>
              <w:t>0.001L</w:t>
            </w:r>
          </w:p>
        </w:tc>
        <w:tc>
          <w:tcPr>
            <w:tcW w:w="1314" w:type="dxa"/>
            <w:vAlign w:val="center"/>
          </w:tcPr>
          <w:p>
            <w:pPr>
              <w:pStyle w:val="63"/>
            </w:pPr>
            <w:r>
              <w:t>0.001L</w:t>
            </w:r>
          </w:p>
        </w:tc>
        <w:tc>
          <w:tcPr>
            <w:tcW w:w="1229" w:type="dxa"/>
            <w:vAlign w:val="center"/>
          </w:tcPr>
          <w:p>
            <w:pPr>
              <w:pStyle w:val="63"/>
            </w:pPr>
            <w:r>
              <w:t>0.001L</w:t>
            </w:r>
          </w:p>
        </w:tc>
        <w:tc>
          <w:tcPr>
            <w:tcW w:w="1008" w:type="dxa"/>
            <w:vAlign w:val="center"/>
          </w:tcPr>
          <w:p>
            <w:pPr>
              <w:pStyle w:val="63"/>
            </w:pPr>
            <w:r>
              <w:t>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锌</w:t>
            </w:r>
          </w:p>
        </w:tc>
        <w:tc>
          <w:tcPr>
            <w:tcW w:w="1242" w:type="dxa"/>
            <w:vAlign w:val="center"/>
          </w:tcPr>
          <w:p>
            <w:pPr>
              <w:pStyle w:val="63"/>
            </w:pPr>
            <w:r>
              <w:t>0.05L</w:t>
            </w:r>
          </w:p>
        </w:tc>
        <w:tc>
          <w:tcPr>
            <w:tcW w:w="1314" w:type="dxa"/>
            <w:vAlign w:val="center"/>
          </w:tcPr>
          <w:p>
            <w:pPr>
              <w:pStyle w:val="63"/>
            </w:pPr>
            <w:r>
              <w:t>0.05L</w:t>
            </w:r>
          </w:p>
        </w:tc>
        <w:tc>
          <w:tcPr>
            <w:tcW w:w="1229" w:type="dxa"/>
            <w:vAlign w:val="center"/>
          </w:tcPr>
          <w:p>
            <w:pPr>
              <w:pStyle w:val="63"/>
            </w:pPr>
            <w:r>
              <w:t>0.05L</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总镉</w:t>
            </w:r>
          </w:p>
        </w:tc>
        <w:tc>
          <w:tcPr>
            <w:tcW w:w="1242" w:type="dxa"/>
            <w:vAlign w:val="center"/>
          </w:tcPr>
          <w:p>
            <w:pPr>
              <w:pStyle w:val="63"/>
            </w:pPr>
            <w:r>
              <w:t>0.0001L</w:t>
            </w:r>
          </w:p>
        </w:tc>
        <w:tc>
          <w:tcPr>
            <w:tcW w:w="1314" w:type="dxa"/>
            <w:vAlign w:val="center"/>
          </w:tcPr>
          <w:p>
            <w:pPr>
              <w:pStyle w:val="63"/>
            </w:pPr>
            <w:r>
              <w:t>0.0001L</w:t>
            </w:r>
          </w:p>
        </w:tc>
        <w:tc>
          <w:tcPr>
            <w:tcW w:w="1229" w:type="dxa"/>
            <w:vAlign w:val="center"/>
          </w:tcPr>
          <w:p>
            <w:pPr>
              <w:pStyle w:val="63"/>
            </w:pPr>
            <w:r>
              <w:t>0.0001L</w:t>
            </w:r>
          </w:p>
        </w:tc>
        <w:tc>
          <w:tcPr>
            <w:tcW w:w="1008" w:type="dxa"/>
            <w:vAlign w:val="center"/>
          </w:tcPr>
          <w:p>
            <w:pPr>
              <w:pStyle w:val="63"/>
            </w:pPr>
            <w:r>
              <w:t>0.005</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总铬</w:t>
            </w:r>
          </w:p>
        </w:tc>
        <w:tc>
          <w:tcPr>
            <w:tcW w:w="1242" w:type="dxa"/>
            <w:vAlign w:val="center"/>
          </w:tcPr>
          <w:p>
            <w:pPr>
              <w:pStyle w:val="63"/>
            </w:pPr>
            <w:r>
              <w:t>0.03L</w:t>
            </w:r>
          </w:p>
        </w:tc>
        <w:tc>
          <w:tcPr>
            <w:tcW w:w="1314" w:type="dxa"/>
            <w:vAlign w:val="center"/>
          </w:tcPr>
          <w:p>
            <w:pPr>
              <w:pStyle w:val="63"/>
            </w:pPr>
            <w:r>
              <w:t>0.03L</w:t>
            </w:r>
          </w:p>
        </w:tc>
        <w:tc>
          <w:tcPr>
            <w:tcW w:w="1229" w:type="dxa"/>
            <w:vAlign w:val="center"/>
          </w:tcPr>
          <w:p>
            <w:pPr>
              <w:pStyle w:val="63"/>
            </w:pPr>
            <w:r>
              <w:t>0.03L</w:t>
            </w:r>
          </w:p>
        </w:tc>
        <w:tc>
          <w:tcPr>
            <w:tcW w:w="1008" w:type="dxa"/>
            <w:vAlign w:val="center"/>
          </w:tcPr>
          <w:p>
            <w:pPr>
              <w:pStyle w:val="63"/>
            </w:pPr>
            <w:r>
              <w:t>/</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总钴</w:t>
            </w:r>
          </w:p>
        </w:tc>
        <w:tc>
          <w:tcPr>
            <w:tcW w:w="1242" w:type="dxa"/>
            <w:vAlign w:val="center"/>
          </w:tcPr>
          <w:p>
            <w:pPr>
              <w:pStyle w:val="63"/>
            </w:pPr>
            <w:r>
              <w:t>0.002L</w:t>
            </w:r>
          </w:p>
        </w:tc>
        <w:tc>
          <w:tcPr>
            <w:tcW w:w="1314" w:type="dxa"/>
            <w:vAlign w:val="center"/>
          </w:tcPr>
          <w:p>
            <w:pPr>
              <w:pStyle w:val="63"/>
            </w:pPr>
            <w:r>
              <w:t>0.002L</w:t>
            </w:r>
          </w:p>
        </w:tc>
        <w:tc>
          <w:tcPr>
            <w:tcW w:w="1229" w:type="dxa"/>
            <w:vAlign w:val="center"/>
          </w:tcPr>
          <w:p>
            <w:pPr>
              <w:pStyle w:val="63"/>
            </w:pPr>
            <w:r>
              <w:t>0.002L</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总镍</w:t>
            </w:r>
          </w:p>
        </w:tc>
        <w:tc>
          <w:tcPr>
            <w:tcW w:w="1242" w:type="dxa"/>
            <w:vAlign w:val="center"/>
          </w:tcPr>
          <w:p>
            <w:pPr>
              <w:pStyle w:val="63"/>
            </w:pPr>
            <w:r>
              <w:t>0.005L</w:t>
            </w:r>
          </w:p>
        </w:tc>
        <w:tc>
          <w:tcPr>
            <w:tcW w:w="1314" w:type="dxa"/>
            <w:vAlign w:val="center"/>
          </w:tcPr>
          <w:p>
            <w:pPr>
              <w:pStyle w:val="63"/>
            </w:pPr>
            <w:r>
              <w:t>0.005L</w:t>
            </w:r>
          </w:p>
        </w:tc>
        <w:tc>
          <w:tcPr>
            <w:tcW w:w="1229" w:type="dxa"/>
            <w:vAlign w:val="center"/>
          </w:tcPr>
          <w:p>
            <w:pPr>
              <w:pStyle w:val="63"/>
            </w:pPr>
            <w:r>
              <w:t>0.005L</w:t>
            </w:r>
          </w:p>
        </w:tc>
        <w:tc>
          <w:tcPr>
            <w:tcW w:w="1008" w:type="dxa"/>
            <w:vAlign w:val="center"/>
          </w:tcPr>
          <w:p>
            <w:pPr>
              <w:pStyle w:val="63"/>
            </w:pPr>
            <w:r>
              <w:t>0.02</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总锰</w:t>
            </w:r>
          </w:p>
        </w:tc>
        <w:tc>
          <w:tcPr>
            <w:tcW w:w="1242" w:type="dxa"/>
            <w:vAlign w:val="center"/>
          </w:tcPr>
          <w:p>
            <w:pPr>
              <w:pStyle w:val="63"/>
            </w:pPr>
            <w:r>
              <w:t>0.01L</w:t>
            </w:r>
          </w:p>
        </w:tc>
        <w:tc>
          <w:tcPr>
            <w:tcW w:w="1314" w:type="dxa"/>
            <w:vAlign w:val="center"/>
          </w:tcPr>
          <w:p>
            <w:pPr>
              <w:pStyle w:val="63"/>
            </w:pPr>
            <w:r>
              <w:t>0.01L</w:t>
            </w:r>
          </w:p>
        </w:tc>
        <w:tc>
          <w:tcPr>
            <w:tcW w:w="1229" w:type="dxa"/>
            <w:vAlign w:val="center"/>
          </w:tcPr>
          <w:p>
            <w:pPr>
              <w:pStyle w:val="63"/>
            </w:pPr>
            <w:r>
              <w:t>0.01L</w:t>
            </w:r>
          </w:p>
        </w:tc>
        <w:tc>
          <w:tcPr>
            <w:tcW w:w="1008" w:type="dxa"/>
            <w:vAlign w:val="center"/>
          </w:tcPr>
          <w:p>
            <w:pPr>
              <w:pStyle w:val="63"/>
            </w:pPr>
            <w:r>
              <w:t>0.1</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总铜</w:t>
            </w:r>
          </w:p>
        </w:tc>
        <w:tc>
          <w:tcPr>
            <w:tcW w:w="1242" w:type="dxa"/>
            <w:vAlign w:val="center"/>
          </w:tcPr>
          <w:p>
            <w:pPr>
              <w:pStyle w:val="63"/>
            </w:pPr>
            <w:r>
              <w:t>0.05L</w:t>
            </w:r>
          </w:p>
        </w:tc>
        <w:tc>
          <w:tcPr>
            <w:tcW w:w="1314" w:type="dxa"/>
            <w:vAlign w:val="center"/>
          </w:tcPr>
          <w:p>
            <w:pPr>
              <w:pStyle w:val="63"/>
            </w:pPr>
            <w:r>
              <w:t>0.05L</w:t>
            </w:r>
          </w:p>
        </w:tc>
        <w:tc>
          <w:tcPr>
            <w:tcW w:w="1229" w:type="dxa"/>
            <w:vAlign w:val="center"/>
          </w:tcPr>
          <w:p>
            <w:pPr>
              <w:pStyle w:val="63"/>
            </w:pPr>
            <w:r>
              <w:t>0.05L</w:t>
            </w:r>
          </w:p>
        </w:tc>
        <w:tc>
          <w:tcPr>
            <w:tcW w:w="1008" w:type="dxa"/>
            <w:vAlign w:val="center"/>
          </w:tcPr>
          <w:p>
            <w:pPr>
              <w:pStyle w:val="63"/>
            </w:pPr>
            <w:r>
              <w:t>1.0</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总铝</w:t>
            </w:r>
          </w:p>
        </w:tc>
        <w:tc>
          <w:tcPr>
            <w:tcW w:w="1242" w:type="dxa"/>
            <w:vAlign w:val="center"/>
          </w:tcPr>
          <w:p>
            <w:pPr>
              <w:pStyle w:val="63"/>
            </w:pPr>
            <w:r>
              <w:t>0.009L</w:t>
            </w:r>
          </w:p>
        </w:tc>
        <w:tc>
          <w:tcPr>
            <w:tcW w:w="1314" w:type="dxa"/>
            <w:vAlign w:val="center"/>
          </w:tcPr>
          <w:p>
            <w:pPr>
              <w:pStyle w:val="63"/>
            </w:pPr>
            <w:r>
              <w:t>0.009L</w:t>
            </w:r>
          </w:p>
        </w:tc>
        <w:tc>
          <w:tcPr>
            <w:tcW w:w="1229" w:type="dxa"/>
            <w:vAlign w:val="center"/>
          </w:tcPr>
          <w:p>
            <w:pPr>
              <w:pStyle w:val="63"/>
            </w:pPr>
            <w:r>
              <w:t>0.009</w:t>
            </w:r>
          </w:p>
        </w:tc>
        <w:tc>
          <w:tcPr>
            <w:tcW w:w="1008" w:type="dxa"/>
            <w:vAlign w:val="center"/>
          </w:tcPr>
          <w:p>
            <w:pPr>
              <w:pStyle w:val="63"/>
            </w:pPr>
            <w:r>
              <w:t>/</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84" w:type="dxa"/>
            <w:vMerge w:val="continue"/>
            <w:tcBorders>
              <w:left w:val="single" w:color="auto" w:sz="12" w:space="0"/>
            </w:tcBorders>
            <w:vAlign w:val="center"/>
          </w:tcPr>
          <w:p>
            <w:pPr>
              <w:pStyle w:val="63"/>
            </w:pPr>
          </w:p>
        </w:tc>
        <w:tc>
          <w:tcPr>
            <w:tcW w:w="1908" w:type="dxa"/>
            <w:vAlign w:val="center"/>
          </w:tcPr>
          <w:p>
            <w:pPr>
              <w:pStyle w:val="63"/>
            </w:pPr>
            <w:r>
              <w:t>铊</w:t>
            </w:r>
          </w:p>
        </w:tc>
        <w:tc>
          <w:tcPr>
            <w:tcW w:w="1242" w:type="dxa"/>
            <w:vAlign w:val="center"/>
          </w:tcPr>
          <w:p>
            <w:pPr>
              <w:pStyle w:val="63"/>
            </w:pPr>
            <w:r>
              <w:t>0.00003L</w:t>
            </w:r>
          </w:p>
        </w:tc>
        <w:tc>
          <w:tcPr>
            <w:tcW w:w="1314" w:type="dxa"/>
            <w:vAlign w:val="center"/>
          </w:tcPr>
          <w:p>
            <w:pPr>
              <w:pStyle w:val="63"/>
            </w:pPr>
            <w:r>
              <w:t>0.00003L</w:t>
            </w:r>
          </w:p>
        </w:tc>
        <w:tc>
          <w:tcPr>
            <w:tcW w:w="1229" w:type="dxa"/>
            <w:vAlign w:val="center"/>
          </w:tcPr>
          <w:p>
            <w:pPr>
              <w:pStyle w:val="63"/>
            </w:pPr>
            <w:r>
              <w:t>0.00003L</w:t>
            </w:r>
          </w:p>
        </w:tc>
        <w:tc>
          <w:tcPr>
            <w:tcW w:w="1008" w:type="dxa"/>
            <w:vAlign w:val="center"/>
          </w:tcPr>
          <w:p>
            <w:pPr>
              <w:pStyle w:val="63"/>
            </w:pPr>
            <w:r>
              <w:t>0.0001</w:t>
            </w:r>
          </w:p>
        </w:tc>
        <w:tc>
          <w:tcPr>
            <w:tcW w:w="838" w:type="dxa"/>
            <w:vAlign w:val="center"/>
          </w:tcPr>
          <w:p>
            <w:pPr>
              <w:pStyle w:val="63"/>
            </w:pPr>
            <w:r>
              <w:t>/</w:t>
            </w:r>
          </w:p>
        </w:tc>
        <w:tc>
          <w:tcPr>
            <w:tcW w:w="965" w:type="dxa"/>
            <w:tcBorders>
              <w:right w:val="single" w:color="auto" w:sz="12" w:space="0"/>
            </w:tcBorders>
            <w:vAlign w:val="center"/>
          </w:tcPr>
          <w:p>
            <w:pPr>
              <w:pStyle w:val="63"/>
            </w:pPr>
            <w:r>
              <w:t>/</w:t>
            </w:r>
          </w:p>
        </w:tc>
      </w:tr>
    </w:tbl>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由上表监测结果显示，各监测断面的各项监测因子均能满足《地表水环境质量标准》（GB3838-2002）中的</w:t>
      </w:r>
      <w:r>
        <w:rPr>
          <w:rFonts w:hint="eastAsia" w:ascii="宋体" w:hAnsi="宋体" w:eastAsia="宋体" w:cs="宋体"/>
        </w:rPr>
        <w:t>Ⅲ</w:t>
      </w:r>
      <w:r>
        <w:rPr>
          <w:rFonts w:ascii="Times New Roman" w:hAnsi="Times New Roman" w:cs="Times New Roman"/>
        </w:rPr>
        <w:t>类标准要求。区域地表水环境质量现状较好。</w:t>
      </w:r>
    </w:p>
    <w:p>
      <w:pPr>
        <w:pStyle w:val="3"/>
        <w:rPr>
          <w:rFonts w:ascii="Times New Roman" w:hAnsi="Times New Roman" w:cs="Times New Roman" w:eastAsiaTheme="minorEastAsia"/>
        </w:rPr>
      </w:pPr>
      <w:bookmarkStart w:id="258" w:name="_Toc144236791"/>
      <w:bookmarkStart w:id="259" w:name="_Toc144276921"/>
      <w:bookmarkStart w:id="260" w:name="_Toc147848039"/>
      <w:r>
        <w:rPr>
          <w:rFonts w:ascii="Times New Roman" w:hAnsi="Times New Roman" w:cs="Times New Roman" w:eastAsiaTheme="minorEastAsia"/>
        </w:rPr>
        <w:t>5.3 地下水环境质量现状评价</w:t>
      </w:r>
      <w:bookmarkEnd w:id="258"/>
      <w:bookmarkEnd w:id="259"/>
      <w:bookmarkEnd w:id="260"/>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（1）监测布点</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本项目地下水监测共布设</w:t>
      </w:r>
      <w:r>
        <w:rPr>
          <w:rFonts w:hint="eastAsia" w:ascii="Times New Roman" w:hAnsi="Times New Roman" w:cs="Times New Roman"/>
        </w:rPr>
        <w:t>5</w:t>
      </w:r>
      <w:r>
        <w:rPr>
          <w:rFonts w:ascii="Times New Roman" w:hAnsi="Times New Roman" w:cs="Times New Roman"/>
        </w:rPr>
        <w:t>个监测点位，具体见下表所示。</w:t>
      </w:r>
    </w:p>
    <w:p>
      <w:pPr>
        <w:pStyle w:val="6"/>
        <w:rPr>
          <w:rFonts w:ascii="Times New Roman" w:hAnsi="Times New Roman" w:cs="Times New Roman"/>
        </w:rPr>
      </w:pPr>
      <w:r>
        <w:rPr>
          <w:rFonts w:ascii="Times New Roman" w:hAnsi="Times New Roman" w:cs="Times New Roman"/>
        </w:rPr>
        <w:t>表5.3-1  地下水监测点位及监测因子</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2126"/>
        <w:gridCol w:w="55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9" w:type="pct"/>
            <w:shd w:val="clear" w:color="auto" w:fill="auto"/>
            <w:vAlign w:val="center"/>
          </w:tcPr>
          <w:p>
            <w:pPr>
              <w:pStyle w:val="63"/>
            </w:pPr>
            <w:r>
              <w:t>点位</w:t>
            </w:r>
          </w:p>
        </w:tc>
        <w:tc>
          <w:tcPr>
            <w:tcW w:w="1247" w:type="pct"/>
            <w:shd w:val="clear" w:color="auto" w:fill="auto"/>
            <w:vAlign w:val="center"/>
          </w:tcPr>
          <w:p>
            <w:pPr>
              <w:pStyle w:val="63"/>
            </w:pPr>
            <w:r>
              <w:t>地点</w:t>
            </w:r>
          </w:p>
        </w:tc>
        <w:tc>
          <w:tcPr>
            <w:tcW w:w="3273" w:type="pct"/>
            <w:shd w:val="clear" w:color="auto" w:fill="auto"/>
            <w:vAlign w:val="center"/>
          </w:tcPr>
          <w:p>
            <w:pPr>
              <w:pStyle w:val="63"/>
            </w:pPr>
            <w:r>
              <w:t>监测项目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9" w:type="pct"/>
            <w:shd w:val="clear" w:color="auto" w:fill="auto"/>
            <w:vAlign w:val="center"/>
          </w:tcPr>
          <w:p>
            <w:pPr>
              <w:pStyle w:val="63"/>
            </w:pPr>
            <w:r>
              <w:t>D1</w:t>
            </w:r>
          </w:p>
        </w:tc>
        <w:tc>
          <w:tcPr>
            <w:tcW w:w="1247" w:type="pct"/>
            <w:shd w:val="clear" w:color="auto" w:fill="auto"/>
            <w:vAlign w:val="center"/>
          </w:tcPr>
          <w:p>
            <w:pPr>
              <w:pStyle w:val="63"/>
              <w:rPr>
                <w:bCs/>
              </w:rPr>
            </w:pPr>
            <w:r>
              <w:t>永宁村（彭家屋场）</w:t>
            </w:r>
          </w:p>
        </w:tc>
        <w:tc>
          <w:tcPr>
            <w:tcW w:w="3273" w:type="pct"/>
            <w:vMerge w:val="restart"/>
            <w:shd w:val="clear" w:color="auto" w:fill="auto"/>
            <w:vAlign w:val="center"/>
          </w:tcPr>
          <w:p>
            <w:pPr>
              <w:pStyle w:val="63"/>
            </w:pPr>
            <w:r>
              <w:t>K</w:t>
            </w:r>
            <w:r>
              <w:rPr>
                <w:vertAlign w:val="superscript"/>
              </w:rPr>
              <w:t>+</w:t>
            </w:r>
            <w:r>
              <w:t>、Na</w:t>
            </w:r>
            <w:r>
              <w:rPr>
                <w:vertAlign w:val="superscript"/>
              </w:rPr>
              <w:t>+</w:t>
            </w:r>
            <w:r>
              <w:t>、Ca</w:t>
            </w:r>
            <w:r>
              <w:rPr>
                <w:vertAlign w:val="superscript"/>
              </w:rPr>
              <w:t>2+</w:t>
            </w:r>
            <w:r>
              <w:t>、Mg</w:t>
            </w:r>
            <w:r>
              <w:rPr>
                <w:vertAlign w:val="superscript"/>
              </w:rPr>
              <w:t>2+</w:t>
            </w:r>
            <w:r>
              <w:t>、CO</w:t>
            </w:r>
            <w:r>
              <w:rPr>
                <w:vertAlign w:val="subscript"/>
              </w:rPr>
              <w:t>3</w:t>
            </w:r>
            <w:r>
              <w:rPr>
                <w:vertAlign w:val="superscript"/>
              </w:rPr>
              <w:t>2-</w:t>
            </w:r>
            <w:r>
              <w:t>、HCO</w:t>
            </w:r>
            <w:r>
              <w:rPr>
                <w:vertAlign w:val="subscript"/>
              </w:rPr>
              <w:t>3</w:t>
            </w:r>
            <w:r>
              <w:rPr>
                <w:vertAlign w:val="superscript"/>
              </w:rPr>
              <w:t>-</w:t>
            </w:r>
            <w:r>
              <w:t>、SO</w:t>
            </w:r>
            <w:r>
              <w:rPr>
                <w:vertAlign w:val="subscript"/>
              </w:rPr>
              <w:t>4</w:t>
            </w:r>
            <w:r>
              <w:rPr>
                <w:vertAlign w:val="superscript"/>
              </w:rPr>
              <w:t>2-</w:t>
            </w:r>
            <w:r>
              <w:t>、Cl</w:t>
            </w:r>
            <w:r>
              <w:rPr>
                <w:vertAlign w:val="superscript"/>
              </w:rPr>
              <w:t>-</w:t>
            </w:r>
            <w:r>
              <w:t>、pH、总硬度、溶解性总固体、硫酸盐、氯化物、铁、锰、铜、锌、耗氧量、氨氮、挥发性酚类、硫化物、总大肠菌群、亚硝酸盐、硝酸盐、氟化物、汞、砷、镉、六价铬、铅、镍、铊、钴、水位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9" w:type="pct"/>
            <w:shd w:val="clear" w:color="auto" w:fill="auto"/>
            <w:vAlign w:val="center"/>
          </w:tcPr>
          <w:p>
            <w:pPr>
              <w:pStyle w:val="63"/>
            </w:pPr>
            <w:r>
              <w:t>D2</w:t>
            </w:r>
          </w:p>
        </w:tc>
        <w:tc>
          <w:tcPr>
            <w:tcW w:w="1247" w:type="pct"/>
            <w:shd w:val="clear" w:color="auto" w:fill="auto"/>
            <w:vAlign w:val="center"/>
          </w:tcPr>
          <w:p>
            <w:pPr>
              <w:pStyle w:val="63"/>
              <w:rPr>
                <w:bCs/>
              </w:rPr>
            </w:pPr>
            <w:r>
              <w:rPr>
                <w:bCs/>
              </w:rPr>
              <w:t>浦泉村</w:t>
            </w:r>
          </w:p>
        </w:tc>
        <w:tc>
          <w:tcPr>
            <w:tcW w:w="3273" w:type="pct"/>
            <w:vMerge w:val="continue"/>
            <w:shd w:val="clear" w:color="auto" w:fill="auto"/>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9" w:type="pct"/>
            <w:shd w:val="clear" w:color="auto" w:fill="auto"/>
            <w:vAlign w:val="center"/>
          </w:tcPr>
          <w:p>
            <w:pPr>
              <w:pStyle w:val="63"/>
            </w:pPr>
            <w:r>
              <w:t>D3</w:t>
            </w:r>
          </w:p>
        </w:tc>
        <w:tc>
          <w:tcPr>
            <w:tcW w:w="1247" w:type="pct"/>
            <w:shd w:val="clear" w:color="auto" w:fill="auto"/>
            <w:vAlign w:val="center"/>
          </w:tcPr>
          <w:p>
            <w:pPr>
              <w:pStyle w:val="63"/>
              <w:rPr>
                <w:bCs/>
              </w:rPr>
            </w:pPr>
            <w:r>
              <w:rPr>
                <w:bCs/>
              </w:rPr>
              <w:t>北头村</w:t>
            </w:r>
          </w:p>
        </w:tc>
        <w:tc>
          <w:tcPr>
            <w:tcW w:w="3273" w:type="pct"/>
            <w:vMerge w:val="continue"/>
            <w:shd w:val="clear" w:color="auto" w:fill="auto"/>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479" w:type="pct"/>
            <w:shd w:val="clear" w:color="auto" w:fill="auto"/>
            <w:vAlign w:val="center"/>
          </w:tcPr>
          <w:p>
            <w:pPr>
              <w:pStyle w:val="63"/>
            </w:pPr>
            <w:r>
              <w:t>D4</w:t>
            </w:r>
          </w:p>
        </w:tc>
        <w:tc>
          <w:tcPr>
            <w:tcW w:w="1247" w:type="pct"/>
            <w:shd w:val="clear" w:color="auto" w:fill="auto"/>
            <w:vAlign w:val="center"/>
          </w:tcPr>
          <w:p>
            <w:pPr>
              <w:pStyle w:val="63"/>
              <w:rPr>
                <w:bCs/>
              </w:rPr>
            </w:pPr>
            <w:r>
              <w:t>管委会东侧居民点</w:t>
            </w:r>
          </w:p>
        </w:tc>
        <w:tc>
          <w:tcPr>
            <w:tcW w:w="3273" w:type="pct"/>
            <w:vMerge w:val="restart"/>
            <w:shd w:val="clear" w:color="auto" w:fill="auto"/>
            <w:vAlign w:val="center"/>
          </w:tcPr>
          <w:p>
            <w:pPr>
              <w:pStyle w:val="63"/>
            </w:pPr>
            <w:r>
              <w:t>K</w:t>
            </w:r>
            <w:r>
              <w:rPr>
                <w:vertAlign w:val="superscript"/>
              </w:rPr>
              <w:t>+</w:t>
            </w:r>
            <w:r>
              <w:t>、Na</w:t>
            </w:r>
            <w:r>
              <w:rPr>
                <w:vertAlign w:val="superscript"/>
              </w:rPr>
              <w:t>+</w:t>
            </w:r>
            <w:r>
              <w:t>、Ca</w:t>
            </w:r>
            <w:r>
              <w:rPr>
                <w:vertAlign w:val="superscript"/>
              </w:rPr>
              <w:t>2+</w:t>
            </w:r>
            <w:r>
              <w:t>、Mg</w:t>
            </w:r>
            <w:r>
              <w:rPr>
                <w:vertAlign w:val="superscript"/>
              </w:rPr>
              <w:t>2+</w:t>
            </w:r>
            <w:r>
              <w:t>、CO</w:t>
            </w:r>
            <w:r>
              <w:rPr>
                <w:vertAlign w:val="subscript"/>
              </w:rPr>
              <w:t>3</w:t>
            </w:r>
            <w:r>
              <w:rPr>
                <w:vertAlign w:val="superscript"/>
              </w:rPr>
              <w:t>2-</w:t>
            </w:r>
            <w:r>
              <w:t>、HCO</w:t>
            </w:r>
            <w:r>
              <w:rPr>
                <w:vertAlign w:val="subscript"/>
              </w:rPr>
              <w:t>3</w:t>
            </w:r>
            <w:r>
              <w:rPr>
                <w:vertAlign w:val="superscript"/>
              </w:rPr>
              <w:t>-</w:t>
            </w:r>
            <w:r>
              <w:t>、SO</w:t>
            </w:r>
            <w:r>
              <w:rPr>
                <w:vertAlign w:val="subscript"/>
              </w:rPr>
              <w:t>4</w:t>
            </w:r>
            <w:r>
              <w:rPr>
                <w:vertAlign w:val="superscript"/>
              </w:rPr>
              <w:t>2-</w:t>
            </w:r>
            <w:r>
              <w:t>、Cl</w:t>
            </w:r>
            <w:r>
              <w:rPr>
                <w:vertAlign w:val="superscript"/>
              </w:rPr>
              <w:t>-</w:t>
            </w:r>
            <w:r>
              <w:t>、pH、总硬度、溶解性总固体、硫酸盐、氯化物、铁、锰、铜、锌、耗氧量、氨氮、挥发性酚类、硫化物、总大肠菌群、亚硝酸盐、硝酸盐、氟化物、汞、砷、镉、六价铬、铅、镍、铊、钴、水位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479" w:type="pct"/>
            <w:shd w:val="clear" w:color="auto" w:fill="auto"/>
            <w:vAlign w:val="center"/>
          </w:tcPr>
          <w:p>
            <w:pPr>
              <w:pStyle w:val="63"/>
            </w:pPr>
            <w:r>
              <w:t>D5</w:t>
            </w:r>
          </w:p>
        </w:tc>
        <w:tc>
          <w:tcPr>
            <w:tcW w:w="1247" w:type="pct"/>
            <w:shd w:val="clear" w:color="auto" w:fill="auto"/>
            <w:vAlign w:val="center"/>
          </w:tcPr>
          <w:p>
            <w:pPr>
              <w:pStyle w:val="63"/>
              <w:rPr>
                <w:bCs/>
              </w:rPr>
            </w:pPr>
            <w:r>
              <w:rPr>
                <w:bCs/>
              </w:rPr>
              <w:t>长岭村</w:t>
            </w:r>
          </w:p>
        </w:tc>
        <w:tc>
          <w:tcPr>
            <w:tcW w:w="3273" w:type="pct"/>
            <w:vMerge w:val="continue"/>
            <w:shd w:val="clear" w:color="auto" w:fill="auto"/>
            <w:vAlign w:val="center"/>
          </w:tcPr>
          <w:p>
            <w:pPr>
              <w:pStyle w:val="63"/>
            </w:pPr>
          </w:p>
        </w:tc>
      </w:tr>
    </w:tbl>
    <w:p>
      <w:pPr>
        <w:spacing w:line="360" w:lineRule="auto"/>
        <w:ind w:firstLine="480" w:firstLineChars="200"/>
        <w:rPr>
          <w:rFonts w:ascii="Times New Roman" w:hAnsi="Times New Roman" w:cs="Times New Roman"/>
        </w:rPr>
      </w:pPr>
      <w:r>
        <w:rPr>
          <w:rFonts w:ascii="Times New Roman" w:hAnsi="Times New Roman" w:cs="Times New Roman"/>
        </w:rPr>
        <w:t>（2）监测时间、频次</w:t>
      </w:r>
    </w:p>
    <w:p>
      <w:pPr>
        <w:spacing w:line="360" w:lineRule="auto"/>
        <w:ind w:firstLine="480" w:firstLineChars="200"/>
        <w:rPr>
          <w:rFonts w:ascii="Times New Roman" w:hAnsi="Times New Roman" w:cs="Times New Roman"/>
        </w:rPr>
      </w:pPr>
      <w:r>
        <w:rPr>
          <w:rFonts w:ascii="Times New Roman" w:hAnsi="Times New Roman" w:cs="Times New Roman"/>
        </w:rPr>
        <w:t>D1、D2、D3监测时间为2022年11月12日-2022年11月18日；D4、D5监测时间为2023年3月20日-2023年3月26日。</w:t>
      </w:r>
    </w:p>
    <w:p>
      <w:pPr>
        <w:spacing w:line="360" w:lineRule="auto"/>
        <w:ind w:firstLine="480" w:firstLineChars="200"/>
        <w:rPr>
          <w:rFonts w:ascii="Times New Roman" w:hAnsi="Times New Roman" w:cs="Times New Roman"/>
        </w:rPr>
      </w:pPr>
      <w:r>
        <w:rPr>
          <w:rFonts w:ascii="Times New Roman" w:hAnsi="Times New Roman" w:cs="Times New Roman"/>
        </w:rPr>
        <w:t>（3）监测单位：</w:t>
      </w:r>
    </w:p>
    <w:p>
      <w:pPr>
        <w:spacing w:line="360" w:lineRule="auto"/>
        <w:ind w:firstLine="480" w:firstLineChars="200"/>
        <w:rPr>
          <w:rFonts w:ascii="Times New Roman" w:hAnsi="Times New Roman" w:cs="Times New Roman"/>
        </w:rPr>
      </w:pPr>
      <w:r>
        <w:rPr>
          <w:rFonts w:ascii="Times New Roman" w:hAnsi="Times New Roman" w:cs="Times New Roman"/>
        </w:rPr>
        <w:t>湖南桓泓检测技术有限公司</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（4）监测时间及频次</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监测1天，采样一次，同时记录水井的井深、水位。</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（5）监测和分析方法</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按国家环保总局颁发的《环境监测技术规范》的有关规定和要求执行。</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（6）评价标准</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执行《地下水质量标准》（GB/T14848-2017）III类标准。</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（7）监测结果及评价</w:t>
      </w:r>
    </w:p>
    <w:p>
      <w:pPr>
        <w:tabs>
          <w:tab w:val="left" w:pos="3119"/>
        </w:tabs>
        <w:spacing w:line="360" w:lineRule="auto"/>
        <w:ind w:firstLine="480" w:firstLineChars="200"/>
        <w:rPr>
          <w:rFonts w:ascii="Times New Roman" w:hAnsi="Times New Roman" w:cs="Times New Roman"/>
        </w:rPr>
        <w:sectPr>
          <w:pgSz w:w="11906" w:h="16838"/>
          <w:pgMar w:top="1440" w:right="1800" w:bottom="1440" w:left="1800" w:header="851" w:footer="992" w:gutter="0"/>
          <w:cols w:space="425" w:num="1"/>
          <w:docGrid w:type="lines" w:linePitch="312" w:charSpace="0"/>
        </w:sectPr>
      </w:pPr>
      <w:r>
        <w:rPr>
          <w:rFonts w:ascii="Times New Roman" w:hAnsi="Times New Roman" w:cs="Times New Roman"/>
        </w:rPr>
        <w:t>根据现状监测结果，各监测点位均满足执行《地下水质量标准》（GB/T14848-2017）III类标准。</w:t>
      </w:r>
    </w:p>
    <w:p>
      <w:pPr>
        <w:pStyle w:val="6"/>
        <w:rPr>
          <w:rFonts w:ascii="Times New Roman" w:hAnsi="Times New Roman" w:cs="Times New Roman"/>
        </w:rPr>
      </w:pPr>
      <w:r>
        <w:rPr>
          <w:rFonts w:ascii="Times New Roman" w:hAnsi="Times New Roman" w:cs="Times New Roman"/>
        </w:rPr>
        <w:t>表5.3-2  地下水环境质量现状监测结果统计（mg/L）</w:t>
      </w:r>
    </w:p>
    <w:tbl>
      <w:tblPr>
        <w:tblStyle w:val="3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17"/>
        <w:gridCol w:w="1426"/>
        <w:gridCol w:w="1429"/>
        <w:gridCol w:w="1417"/>
        <w:gridCol w:w="1417"/>
        <w:gridCol w:w="1417"/>
        <w:gridCol w:w="1417"/>
        <w:gridCol w:w="1417"/>
        <w:gridCol w:w="1418"/>
        <w:gridCol w:w="13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00" w:type="pct"/>
            <w:vMerge w:val="restart"/>
            <w:vAlign w:val="center"/>
          </w:tcPr>
          <w:p>
            <w:pPr>
              <w:pStyle w:val="63"/>
            </w:pPr>
            <w:r>
              <w:t>项目</w:t>
            </w:r>
          </w:p>
        </w:tc>
        <w:tc>
          <w:tcPr>
            <w:tcW w:w="1007" w:type="pct"/>
            <w:gridSpan w:val="2"/>
            <w:vAlign w:val="center"/>
          </w:tcPr>
          <w:p>
            <w:pPr>
              <w:pStyle w:val="63"/>
            </w:pPr>
            <w:r>
              <w:t>D1</w:t>
            </w:r>
          </w:p>
        </w:tc>
        <w:tc>
          <w:tcPr>
            <w:tcW w:w="1000" w:type="pct"/>
            <w:gridSpan w:val="2"/>
            <w:vAlign w:val="center"/>
          </w:tcPr>
          <w:p>
            <w:pPr>
              <w:pStyle w:val="63"/>
            </w:pPr>
            <w:r>
              <w:t>D2</w:t>
            </w:r>
          </w:p>
        </w:tc>
        <w:tc>
          <w:tcPr>
            <w:tcW w:w="1000" w:type="pct"/>
            <w:gridSpan w:val="2"/>
            <w:vAlign w:val="center"/>
          </w:tcPr>
          <w:p>
            <w:pPr>
              <w:pStyle w:val="63"/>
            </w:pPr>
            <w:r>
              <w:t>D3</w:t>
            </w:r>
          </w:p>
        </w:tc>
        <w:tc>
          <w:tcPr>
            <w:tcW w:w="500" w:type="pct"/>
            <w:vMerge w:val="restart"/>
            <w:vAlign w:val="center"/>
          </w:tcPr>
          <w:p>
            <w:pPr>
              <w:pStyle w:val="63"/>
            </w:pPr>
            <w:r>
              <w:t>达标情况</w:t>
            </w:r>
          </w:p>
        </w:tc>
        <w:tc>
          <w:tcPr>
            <w:tcW w:w="500" w:type="pct"/>
            <w:vMerge w:val="restart"/>
            <w:vAlign w:val="center"/>
          </w:tcPr>
          <w:p>
            <w:pPr>
              <w:pStyle w:val="63"/>
            </w:pPr>
            <w:r>
              <w:t>标准值</w:t>
            </w:r>
          </w:p>
        </w:tc>
        <w:tc>
          <w:tcPr>
            <w:tcW w:w="493" w:type="pct"/>
            <w:vMerge w:val="restart"/>
            <w:vAlign w:val="center"/>
          </w:tcPr>
          <w:p>
            <w:pPr>
              <w:pStyle w:val="63"/>
            </w:pPr>
            <w: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00" w:type="pct"/>
            <w:vMerge w:val="continue"/>
            <w:vAlign w:val="center"/>
          </w:tcPr>
          <w:p>
            <w:pPr>
              <w:pStyle w:val="63"/>
            </w:pPr>
          </w:p>
        </w:tc>
        <w:tc>
          <w:tcPr>
            <w:tcW w:w="503" w:type="pct"/>
            <w:vAlign w:val="center"/>
          </w:tcPr>
          <w:p>
            <w:pPr>
              <w:pStyle w:val="63"/>
            </w:pPr>
            <w:r>
              <w:t>浓度</w:t>
            </w:r>
          </w:p>
        </w:tc>
        <w:tc>
          <w:tcPr>
            <w:tcW w:w="504" w:type="pct"/>
            <w:vAlign w:val="center"/>
          </w:tcPr>
          <w:p>
            <w:pPr>
              <w:pStyle w:val="63"/>
            </w:pPr>
            <w:r>
              <w:t>占标率</w:t>
            </w:r>
          </w:p>
        </w:tc>
        <w:tc>
          <w:tcPr>
            <w:tcW w:w="500" w:type="pct"/>
            <w:vAlign w:val="center"/>
          </w:tcPr>
          <w:p>
            <w:pPr>
              <w:pStyle w:val="63"/>
            </w:pPr>
            <w:r>
              <w:t>浓度</w:t>
            </w:r>
          </w:p>
        </w:tc>
        <w:tc>
          <w:tcPr>
            <w:tcW w:w="500" w:type="pct"/>
            <w:vAlign w:val="center"/>
          </w:tcPr>
          <w:p>
            <w:pPr>
              <w:pStyle w:val="63"/>
            </w:pPr>
            <w:r>
              <w:t>占标率</w:t>
            </w:r>
          </w:p>
        </w:tc>
        <w:tc>
          <w:tcPr>
            <w:tcW w:w="500" w:type="pct"/>
            <w:vAlign w:val="center"/>
          </w:tcPr>
          <w:p>
            <w:pPr>
              <w:pStyle w:val="63"/>
            </w:pPr>
            <w:r>
              <w:t>浓度</w:t>
            </w:r>
          </w:p>
        </w:tc>
        <w:tc>
          <w:tcPr>
            <w:tcW w:w="500" w:type="pct"/>
            <w:vAlign w:val="center"/>
          </w:tcPr>
          <w:p>
            <w:pPr>
              <w:pStyle w:val="63"/>
            </w:pPr>
            <w:r>
              <w:t>占标率</w:t>
            </w:r>
          </w:p>
        </w:tc>
        <w:tc>
          <w:tcPr>
            <w:tcW w:w="500" w:type="pct"/>
            <w:vMerge w:val="continue"/>
            <w:vAlign w:val="center"/>
          </w:tcPr>
          <w:p>
            <w:pPr>
              <w:pStyle w:val="63"/>
            </w:pPr>
          </w:p>
        </w:tc>
        <w:tc>
          <w:tcPr>
            <w:tcW w:w="500" w:type="pct"/>
            <w:vMerge w:val="continue"/>
            <w:vAlign w:val="center"/>
          </w:tcPr>
          <w:p>
            <w:pPr>
              <w:pStyle w:val="63"/>
            </w:pPr>
          </w:p>
        </w:tc>
        <w:tc>
          <w:tcPr>
            <w:tcW w:w="493"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pH值</w:t>
            </w:r>
          </w:p>
        </w:tc>
        <w:tc>
          <w:tcPr>
            <w:tcW w:w="503" w:type="pct"/>
            <w:vAlign w:val="center"/>
          </w:tcPr>
          <w:p>
            <w:pPr>
              <w:pStyle w:val="63"/>
              <w:rPr>
                <w:bCs/>
              </w:rPr>
            </w:pPr>
            <w:r>
              <w:rPr>
                <w:bCs/>
              </w:rPr>
              <w:t>7.1</w:t>
            </w:r>
          </w:p>
        </w:tc>
        <w:tc>
          <w:tcPr>
            <w:tcW w:w="504" w:type="pct"/>
            <w:vAlign w:val="center"/>
          </w:tcPr>
          <w:p>
            <w:pPr>
              <w:pStyle w:val="63"/>
            </w:pPr>
            <w:r>
              <w:t>/</w:t>
            </w:r>
          </w:p>
        </w:tc>
        <w:tc>
          <w:tcPr>
            <w:tcW w:w="500" w:type="pct"/>
            <w:vAlign w:val="center"/>
          </w:tcPr>
          <w:p>
            <w:pPr>
              <w:pStyle w:val="63"/>
            </w:pPr>
            <w:r>
              <w:t>7.2</w:t>
            </w:r>
          </w:p>
        </w:tc>
        <w:tc>
          <w:tcPr>
            <w:tcW w:w="500" w:type="pct"/>
            <w:vAlign w:val="center"/>
          </w:tcPr>
          <w:p>
            <w:pPr>
              <w:pStyle w:val="63"/>
            </w:pPr>
            <w:r>
              <w:t>/</w:t>
            </w:r>
          </w:p>
        </w:tc>
        <w:tc>
          <w:tcPr>
            <w:tcW w:w="500" w:type="pct"/>
            <w:vAlign w:val="center"/>
          </w:tcPr>
          <w:p>
            <w:pPr>
              <w:pStyle w:val="63"/>
              <w:rPr>
                <w:sz w:val="18"/>
                <w:szCs w:val="18"/>
              </w:rPr>
            </w:pPr>
            <w:r>
              <w:rPr>
                <w:sz w:val="18"/>
                <w:szCs w:val="18"/>
              </w:rPr>
              <w:t>7.2</w:t>
            </w:r>
          </w:p>
        </w:tc>
        <w:tc>
          <w:tcPr>
            <w:tcW w:w="500" w:type="pct"/>
            <w:vAlign w:val="center"/>
          </w:tcPr>
          <w:p>
            <w:pPr>
              <w:pStyle w:val="63"/>
            </w:pPr>
            <w:r>
              <w:t>/</w:t>
            </w:r>
          </w:p>
        </w:tc>
        <w:tc>
          <w:tcPr>
            <w:tcW w:w="500" w:type="pct"/>
            <w:vAlign w:val="center"/>
          </w:tcPr>
          <w:p>
            <w:pPr>
              <w:pStyle w:val="63"/>
            </w:pPr>
            <w:r>
              <w:t>达标</w:t>
            </w:r>
          </w:p>
        </w:tc>
        <w:tc>
          <w:tcPr>
            <w:tcW w:w="500" w:type="pct"/>
            <w:vAlign w:val="center"/>
          </w:tcPr>
          <w:p>
            <w:pPr>
              <w:pStyle w:val="63"/>
            </w:pPr>
            <w:r>
              <w:t>6.5~8.5</w:t>
            </w:r>
          </w:p>
        </w:tc>
        <w:tc>
          <w:tcPr>
            <w:tcW w:w="493" w:type="pct"/>
            <w:vAlign w:val="center"/>
          </w:tcPr>
          <w:p>
            <w:pPr>
              <w:pStyle w:val="63"/>
            </w:pPr>
            <w: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总硬度</w:t>
            </w:r>
          </w:p>
        </w:tc>
        <w:tc>
          <w:tcPr>
            <w:tcW w:w="503" w:type="pct"/>
            <w:vAlign w:val="center"/>
          </w:tcPr>
          <w:p>
            <w:pPr>
              <w:pStyle w:val="63"/>
            </w:pPr>
            <w:r>
              <w:t>168</w:t>
            </w:r>
          </w:p>
        </w:tc>
        <w:tc>
          <w:tcPr>
            <w:tcW w:w="504" w:type="pct"/>
            <w:vAlign w:val="center"/>
          </w:tcPr>
          <w:p>
            <w:pPr>
              <w:pStyle w:val="63"/>
            </w:pPr>
            <w:r>
              <w:t>0.373</w:t>
            </w:r>
          </w:p>
        </w:tc>
        <w:tc>
          <w:tcPr>
            <w:tcW w:w="500" w:type="pct"/>
            <w:vAlign w:val="center"/>
          </w:tcPr>
          <w:p>
            <w:pPr>
              <w:pStyle w:val="63"/>
            </w:pPr>
            <w:r>
              <w:t>177</w:t>
            </w:r>
          </w:p>
        </w:tc>
        <w:tc>
          <w:tcPr>
            <w:tcW w:w="500" w:type="pct"/>
            <w:vAlign w:val="center"/>
          </w:tcPr>
          <w:p>
            <w:pPr>
              <w:pStyle w:val="63"/>
            </w:pPr>
            <w:r>
              <w:t>0.393</w:t>
            </w:r>
          </w:p>
        </w:tc>
        <w:tc>
          <w:tcPr>
            <w:tcW w:w="500" w:type="pct"/>
            <w:vAlign w:val="center"/>
          </w:tcPr>
          <w:p>
            <w:pPr>
              <w:pStyle w:val="63"/>
              <w:rPr>
                <w:sz w:val="18"/>
                <w:szCs w:val="18"/>
              </w:rPr>
            </w:pPr>
            <w:r>
              <w:rPr>
                <w:sz w:val="18"/>
                <w:szCs w:val="18"/>
              </w:rPr>
              <w:t>142</w:t>
            </w:r>
          </w:p>
        </w:tc>
        <w:tc>
          <w:tcPr>
            <w:tcW w:w="500" w:type="pct"/>
            <w:vAlign w:val="center"/>
          </w:tcPr>
          <w:p>
            <w:pPr>
              <w:pStyle w:val="63"/>
            </w:pPr>
            <w:r>
              <w:t>0.316</w:t>
            </w:r>
          </w:p>
        </w:tc>
        <w:tc>
          <w:tcPr>
            <w:tcW w:w="500" w:type="pct"/>
            <w:vAlign w:val="center"/>
          </w:tcPr>
          <w:p>
            <w:pPr>
              <w:pStyle w:val="63"/>
            </w:pPr>
            <w:r>
              <w:t>达标</w:t>
            </w:r>
          </w:p>
        </w:tc>
        <w:tc>
          <w:tcPr>
            <w:tcW w:w="500" w:type="pct"/>
            <w:vAlign w:val="center"/>
          </w:tcPr>
          <w:p>
            <w:pPr>
              <w:pStyle w:val="63"/>
            </w:pPr>
            <w:r>
              <w:t>450</w:t>
            </w:r>
          </w:p>
        </w:tc>
        <w:tc>
          <w:tcPr>
            <w:tcW w:w="493"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溶解性总固体</w:t>
            </w:r>
          </w:p>
        </w:tc>
        <w:tc>
          <w:tcPr>
            <w:tcW w:w="503" w:type="pct"/>
            <w:vAlign w:val="center"/>
          </w:tcPr>
          <w:p>
            <w:pPr>
              <w:pStyle w:val="63"/>
            </w:pPr>
            <w:r>
              <w:t>155</w:t>
            </w:r>
          </w:p>
        </w:tc>
        <w:tc>
          <w:tcPr>
            <w:tcW w:w="504" w:type="pct"/>
            <w:vAlign w:val="center"/>
          </w:tcPr>
          <w:p>
            <w:pPr>
              <w:pStyle w:val="63"/>
            </w:pPr>
            <w:r>
              <w:t>0.155</w:t>
            </w:r>
          </w:p>
        </w:tc>
        <w:tc>
          <w:tcPr>
            <w:tcW w:w="500" w:type="pct"/>
            <w:vAlign w:val="center"/>
          </w:tcPr>
          <w:p>
            <w:pPr>
              <w:pStyle w:val="63"/>
            </w:pPr>
            <w:r>
              <w:t>168</w:t>
            </w:r>
          </w:p>
        </w:tc>
        <w:tc>
          <w:tcPr>
            <w:tcW w:w="500" w:type="pct"/>
            <w:vAlign w:val="center"/>
          </w:tcPr>
          <w:p>
            <w:pPr>
              <w:pStyle w:val="63"/>
            </w:pPr>
            <w:r>
              <w:t>0.168</w:t>
            </w:r>
          </w:p>
        </w:tc>
        <w:tc>
          <w:tcPr>
            <w:tcW w:w="500" w:type="pct"/>
            <w:vAlign w:val="center"/>
          </w:tcPr>
          <w:p>
            <w:pPr>
              <w:pStyle w:val="63"/>
              <w:rPr>
                <w:sz w:val="18"/>
                <w:szCs w:val="18"/>
              </w:rPr>
            </w:pPr>
            <w:r>
              <w:rPr>
                <w:sz w:val="18"/>
                <w:szCs w:val="18"/>
              </w:rPr>
              <w:t>142</w:t>
            </w:r>
          </w:p>
        </w:tc>
        <w:tc>
          <w:tcPr>
            <w:tcW w:w="500" w:type="pct"/>
            <w:vAlign w:val="center"/>
          </w:tcPr>
          <w:p>
            <w:pPr>
              <w:pStyle w:val="63"/>
            </w:pPr>
            <w:r>
              <w:t>0.142</w:t>
            </w:r>
          </w:p>
        </w:tc>
        <w:tc>
          <w:tcPr>
            <w:tcW w:w="500" w:type="pct"/>
            <w:vAlign w:val="center"/>
          </w:tcPr>
          <w:p>
            <w:pPr>
              <w:pStyle w:val="63"/>
            </w:pPr>
            <w:r>
              <w:t>达标</w:t>
            </w:r>
          </w:p>
        </w:tc>
        <w:tc>
          <w:tcPr>
            <w:tcW w:w="500" w:type="pct"/>
            <w:vAlign w:val="center"/>
          </w:tcPr>
          <w:p>
            <w:pPr>
              <w:pStyle w:val="63"/>
            </w:pPr>
            <w:r>
              <w:t>1000</w:t>
            </w:r>
          </w:p>
        </w:tc>
        <w:tc>
          <w:tcPr>
            <w:tcW w:w="493" w:type="pct"/>
            <w:vAlign w:val="center"/>
          </w:tcPr>
          <w:p>
            <w:pPr>
              <w:pStyle w:val="63"/>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rPr>
                <w:kern w:val="0"/>
                <w:lang w:bidi="ar"/>
              </w:rPr>
              <w:t>氯化物</w:t>
            </w:r>
          </w:p>
        </w:tc>
        <w:tc>
          <w:tcPr>
            <w:tcW w:w="503" w:type="pct"/>
            <w:vAlign w:val="center"/>
          </w:tcPr>
          <w:p>
            <w:pPr>
              <w:pStyle w:val="63"/>
            </w:pPr>
            <w:r>
              <w:rPr>
                <w:kern w:val="0"/>
                <w:lang w:bidi="ar"/>
              </w:rPr>
              <w:t>218</w:t>
            </w:r>
          </w:p>
        </w:tc>
        <w:tc>
          <w:tcPr>
            <w:tcW w:w="504" w:type="pct"/>
            <w:vAlign w:val="center"/>
          </w:tcPr>
          <w:p>
            <w:pPr>
              <w:pStyle w:val="63"/>
            </w:pPr>
            <w:r>
              <w:t>0.872</w:t>
            </w:r>
          </w:p>
        </w:tc>
        <w:tc>
          <w:tcPr>
            <w:tcW w:w="500" w:type="pct"/>
            <w:vAlign w:val="center"/>
          </w:tcPr>
          <w:p>
            <w:pPr>
              <w:pStyle w:val="63"/>
            </w:pPr>
            <w:r>
              <w:rPr>
                <w:kern w:val="0"/>
                <w:lang w:bidi="ar"/>
              </w:rPr>
              <w:t>22.3</w:t>
            </w:r>
          </w:p>
        </w:tc>
        <w:tc>
          <w:tcPr>
            <w:tcW w:w="500" w:type="pct"/>
            <w:vAlign w:val="center"/>
          </w:tcPr>
          <w:p>
            <w:pPr>
              <w:pStyle w:val="63"/>
            </w:pPr>
            <w:r>
              <w:t>0.089</w:t>
            </w:r>
          </w:p>
        </w:tc>
        <w:tc>
          <w:tcPr>
            <w:tcW w:w="500" w:type="pct"/>
            <w:vAlign w:val="center"/>
          </w:tcPr>
          <w:p>
            <w:pPr>
              <w:pStyle w:val="63"/>
              <w:rPr>
                <w:sz w:val="18"/>
                <w:szCs w:val="18"/>
              </w:rPr>
            </w:pPr>
            <w:r>
              <w:rPr>
                <w:kern w:val="0"/>
                <w:sz w:val="18"/>
                <w:szCs w:val="18"/>
                <w:lang w:bidi="ar"/>
              </w:rPr>
              <w:t>2.21</w:t>
            </w:r>
          </w:p>
        </w:tc>
        <w:tc>
          <w:tcPr>
            <w:tcW w:w="500" w:type="pct"/>
            <w:vAlign w:val="center"/>
          </w:tcPr>
          <w:p>
            <w:pPr>
              <w:pStyle w:val="63"/>
            </w:pPr>
            <w:r>
              <w:t>0.009</w:t>
            </w:r>
          </w:p>
        </w:tc>
        <w:tc>
          <w:tcPr>
            <w:tcW w:w="500" w:type="pct"/>
            <w:vAlign w:val="center"/>
          </w:tcPr>
          <w:p>
            <w:pPr>
              <w:pStyle w:val="63"/>
            </w:pPr>
            <w:r>
              <w:t>达标</w:t>
            </w:r>
          </w:p>
        </w:tc>
        <w:tc>
          <w:tcPr>
            <w:tcW w:w="500" w:type="pct"/>
            <w:vAlign w:val="center"/>
          </w:tcPr>
          <w:p>
            <w:pPr>
              <w:pStyle w:val="63"/>
            </w:pPr>
            <w:r>
              <w:t>250</w:t>
            </w:r>
          </w:p>
        </w:tc>
        <w:tc>
          <w:tcPr>
            <w:tcW w:w="493"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rPr>
                <w:kern w:val="0"/>
                <w:lang w:bidi="ar"/>
              </w:rPr>
              <w:t>硫酸盐</w:t>
            </w:r>
          </w:p>
        </w:tc>
        <w:tc>
          <w:tcPr>
            <w:tcW w:w="503" w:type="pct"/>
            <w:vAlign w:val="center"/>
          </w:tcPr>
          <w:p>
            <w:pPr>
              <w:pStyle w:val="63"/>
            </w:pPr>
            <w:r>
              <w:rPr>
                <w:kern w:val="0"/>
                <w:lang w:bidi="ar"/>
              </w:rPr>
              <w:t>6.08</w:t>
            </w:r>
          </w:p>
        </w:tc>
        <w:tc>
          <w:tcPr>
            <w:tcW w:w="504" w:type="pct"/>
            <w:vAlign w:val="center"/>
          </w:tcPr>
          <w:p>
            <w:pPr>
              <w:pStyle w:val="63"/>
            </w:pPr>
            <w:r>
              <w:t>0.024</w:t>
            </w:r>
          </w:p>
        </w:tc>
        <w:tc>
          <w:tcPr>
            <w:tcW w:w="500" w:type="pct"/>
            <w:vAlign w:val="center"/>
          </w:tcPr>
          <w:p>
            <w:pPr>
              <w:pStyle w:val="63"/>
            </w:pPr>
            <w:r>
              <w:rPr>
                <w:kern w:val="0"/>
                <w:lang w:bidi="ar"/>
              </w:rPr>
              <w:t>52.5</w:t>
            </w:r>
          </w:p>
        </w:tc>
        <w:tc>
          <w:tcPr>
            <w:tcW w:w="500" w:type="pct"/>
            <w:vAlign w:val="center"/>
          </w:tcPr>
          <w:p>
            <w:pPr>
              <w:pStyle w:val="63"/>
            </w:pPr>
            <w:r>
              <w:t>0.210</w:t>
            </w:r>
          </w:p>
        </w:tc>
        <w:tc>
          <w:tcPr>
            <w:tcW w:w="500" w:type="pct"/>
            <w:vAlign w:val="center"/>
          </w:tcPr>
          <w:p>
            <w:pPr>
              <w:pStyle w:val="63"/>
              <w:rPr>
                <w:sz w:val="18"/>
                <w:szCs w:val="18"/>
              </w:rPr>
            </w:pPr>
            <w:r>
              <w:rPr>
                <w:kern w:val="0"/>
                <w:sz w:val="18"/>
                <w:szCs w:val="18"/>
                <w:lang w:bidi="ar"/>
              </w:rPr>
              <w:t>2.52</w:t>
            </w:r>
          </w:p>
        </w:tc>
        <w:tc>
          <w:tcPr>
            <w:tcW w:w="500" w:type="pct"/>
            <w:vAlign w:val="center"/>
          </w:tcPr>
          <w:p>
            <w:pPr>
              <w:pStyle w:val="63"/>
            </w:pPr>
            <w:r>
              <w:t>0.010</w:t>
            </w:r>
          </w:p>
        </w:tc>
        <w:tc>
          <w:tcPr>
            <w:tcW w:w="500" w:type="pct"/>
            <w:vAlign w:val="center"/>
          </w:tcPr>
          <w:p>
            <w:pPr>
              <w:pStyle w:val="63"/>
            </w:pPr>
            <w:r>
              <w:t>达标</w:t>
            </w:r>
          </w:p>
        </w:tc>
        <w:tc>
          <w:tcPr>
            <w:tcW w:w="500" w:type="pct"/>
            <w:vAlign w:val="center"/>
          </w:tcPr>
          <w:p>
            <w:pPr>
              <w:pStyle w:val="63"/>
            </w:pPr>
            <w:r>
              <w:t>250</w:t>
            </w:r>
          </w:p>
        </w:tc>
        <w:tc>
          <w:tcPr>
            <w:tcW w:w="493"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rPr>
                <w:kern w:val="0"/>
                <w:lang w:bidi="ar"/>
              </w:rPr>
            </w:pPr>
            <w:r>
              <w:rPr>
                <w:kern w:val="0"/>
                <w:lang w:bidi="ar"/>
              </w:rPr>
              <w:t>铁</w:t>
            </w:r>
          </w:p>
        </w:tc>
        <w:tc>
          <w:tcPr>
            <w:tcW w:w="503" w:type="pct"/>
            <w:vAlign w:val="center"/>
          </w:tcPr>
          <w:p>
            <w:pPr>
              <w:pStyle w:val="63"/>
              <w:rPr>
                <w:kern w:val="0"/>
                <w:lang w:bidi="ar"/>
              </w:rPr>
            </w:pPr>
            <w:r>
              <w:rPr>
                <w:kern w:val="0"/>
                <w:lang w:bidi="ar"/>
              </w:rPr>
              <w:t>0.03L</w:t>
            </w:r>
          </w:p>
        </w:tc>
        <w:tc>
          <w:tcPr>
            <w:tcW w:w="504" w:type="pct"/>
            <w:vAlign w:val="center"/>
          </w:tcPr>
          <w:p>
            <w:pPr>
              <w:pStyle w:val="63"/>
              <w:rPr>
                <w:kern w:val="0"/>
                <w:lang w:bidi="ar"/>
              </w:rPr>
            </w:pPr>
            <w:r>
              <w:t>/</w:t>
            </w:r>
          </w:p>
        </w:tc>
        <w:tc>
          <w:tcPr>
            <w:tcW w:w="500" w:type="pct"/>
            <w:vAlign w:val="center"/>
          </w:tcPr>
          <w:p>
            <w:pPr>
              <w:pStyle w:val="63"/>
            </w:pPr>
            <w:r>
              <w:rPr>
                <w:kern w:val="0"/>
                <w:lang w:bidi="ar"/>
              </w:rPr>
              <w:t>0.03L</w:t>
            </w:r>
          </w:p>
        </w:tc>
        <w:tc>
          <w:tcPr>
            <w:tcW w:w="500" w:type="pct"/>
            <w:vAlign w:val="center"/>
          </w:tcPr>
          <w:p>
            <w:pPr>
              <w:pStyle w:val="63"/>
              <w:rPr>
                <w:kern w:val="0"/>
                <w:lang w:bidi="ar"/>
              </w:rPr>
            </w:pPr>
            <w:r>
              <w:t>/</w:t>
            </w:r>
          </w:p>
        </w:tc>
        <w:tc>
          <w:tcPr>
            <w:tcW w:w="500" w:type="pct"/>
            <w:vAlign w:val="center"/>
          </w:tcPr>
          <w:p>
            <w:pPr>
              <w:pStyle w:val="63"/>
              <w:rPr>
                <w:sz w:val="18"/>
                <w:szCs w:val="18"/>
              </w:rPr>
            </w:pPr>
            <w:r>
              <w:rPr>
                <w:kern w:val="0"/>
                <w:sz w:val="18"/>
                <w:szCs w:val="18"/>
                <w:lang w:bidi="ar"/>
              </w:rPr>
              <w:t>0.03L</w:t>
            </w:r>
          </w:p>
        </w:tc>
        <w:tc>
          <w:tcPr>
            <w:tcW w:w="500" w:type="pct"/>
            <w:vAlign w:val="center"/>
          </w:tcPr>
          <w:p>
            <w:pPr>
              <w:pStyle w:val="63"/>
            </w:pPr>
            <w:r>
              <w:t>/</w:t>
            </w:r>
          </w:p>
        </w:tc>
        <w:tc>
          <w:tcPr>
            <w:tcW w:w="500" w:type="pct"/>
            <w:vAlign w:val="center"/>
          </w:tcPr>
          <w:p>
            <w:pPr>
              <w:pStyle w:val="63"/>
            </w:pPr>
            <w:r>
              <w:t>达标</w:t>
            </w:r>
          </w:p>
        </w:tc>
        <w:tc>
          <w:tcPr>
            <w:tcW w:w="500" w:type="pct"/>
            <w:vAlign w:val="center"/>
          </w:tcPr>
          <w:p>
            <w:pPr>
              <w:pStyle w:val="63"/>
            </w:pPr>
            <w:r>
              <w:t>0.3</w:t>
            </w:r>
          </w:p>
        </w:tc>
        <w:tc>
          <w:tcPr>
            <w:tcW w:w="493" w:type="pct"/>
            <w:vAlign w:val="center"/>
          </w:tcPr>
          <w:p>
            <w:pPr>
              <w:pStyle w:val="63"/>
              <w:rPr>
                <w:kern w:val="0"/>
                <w:lang w:bidi="ar"/>
              </w:rPr>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rPr>
                <w:kern w:val="0"/>
                <w:lang w:bidi="ar"/>
              </w:rPr>
            </w:pPr>
            <w:r>
              <w:rPr>
                <w:kern w:val="0"/>
                <w:lang w:bidi="ar"/>
              </w:rPr>
              <w:t>锰</w:t>
            </w:r>
          </w:p>
        </w:tc>
        <w:tc>
          <w:tcPr>
            <w:tcW w:w="503" w:type="pct"/>
            <w:vAlign w:val="center"/>
          </w:tcPr>
          <w:p>
            <w:pPr>
              <w:pStyle w:val="63"/>
              <w:rPr>
                <w:kern w:val="0"/>
                <w:lang w:bidi="ar"/>
              </w:rPr>
            </w:pPr>
            <w:r>
              <w:rPr>
                <w:kern w:val="0"/>
                <w:lang w:bidi="ar"/>
              </w:rPr>
              <w:t>0.01L</w:t>
            </w:r>
          </w:p>
        </w:tc>
        <w:tc>
          <w:tcPr>
            <w:tcW w:w="504" w:type="pct"/>
            <w:vAlign w:val="center"/>
          </w:tcPr>
          <w:p>
            <w:pPr>
              <w:pStyle w:val="63"/>
            </w:pPr>
            <w:r>
              <w:t>/</w:t>
            </w:r>
          </w:p>
        </w:tc>
        <w:tc>
          <w:tcPr>
            <w:tcW w:w="500" w:type="pct"/>
            <w:vAlign w:val="center"/>
          </w:tcPr>
          <w:p>
            <w:pPr>
              <w:pStyle w:val="63"/>
            </w:pPr>
            <w:r>
              <w:rPr>
                <w:kern w:val="0"/>
                <w:lang w:bidi="ar"/>
              </w:rPr>
              <w:t>0.01L</w:t>
            </w:r>
          </w:p>
        </w:tc>
        <w:tc>
          <w:tcPr>
            <w:tcW w:w="500" w:type="pct"/>
            <w:vAlign w:val="center"/>
          </w:tcPr>
          <w:p>
            <w:pPr>
              <w:pStyle w:val="63"/>
              <w:rPr>
                <w:kern w:val="0"/>
                <w:lang w:bidi="ar"/>
              </w:rPr>
            </w:pPr>
            <w:r>
              <w:t>/</w:t>
            </w:r>
          </w:p>
        </w:tc>
        <w:tc>
          <w:tcPr>
            <w:tcW w:w="500" w:type="pct"/>
            <w:vAlign w:val="center"/>
          </w:tcPr>
          <w:p>
            <w:pPr>
              <w:pStyle w:val="63"/>
              <w:rPr>
                <w:sz w:val="18"/>
                <w:szCs w:val="18"/>
              </w:rPr>
            </w:pPr>
            <w:r>
              <w:rPr>
                <w:kern w:val="0"/>
                <w:sz w:val="18"/>
                <w:szCs w:val="18"/>
                <w:lang w:bidi="ar"/>
              </w:rPr>
              <w:t>0.01L</w:t>
            </w:r>
          </w:p>
        </w:tc>
        <w:tc>
          <w:tcPr>
            <w:tcW w:w="500" w:type="pct"/>
            <w:vAlign w:val="center"/>
          </w:tcPr>
          <w:p>
            <w:pPr>
              <w:pStyle w:val="63"/>
            </w:pPr>
            <w:r>
              <w:t>/</w:t>
            </w:r>
          </w:p>
        </w:tc>
        <w:tc>
          <w:tcPr>
            <w:tcW w:w="500" w:type="pct"/>
            <w:vAlign w:val="center"/>
          </w:tcPr>
          <w:p>
            <w:pPr>
              <w:pStyle w:val="63"/>
            </w:pPr>
            <w:r>
              <w:t>达标</w:t>
            </w:r>
          </w:p>
        </w:tc>
        <w:tc>
          <w:tcPr>
            <w:tcW w:w="500" w:type="pct"/>
            <w:vAlign w:val="center"/>
          </w:tcPr>
          <w:p>
            <w:pPr>
              <w:pStyle w:val="63"/>
            </w:pPr>
            <w:r>
              <w:t>0.10</w:t>
            </w:r>
          </w:p>
        </w:tc>
        <w:tc>
          <w:tcPr>
            <w:tcW w:w="493" w:type="pct"/>
            <w:vAlign w:val="center"/>
          </w:tcPr>
          <w:p>
            <w:pPr>
              <w:pStyle w:val="63"/>
              <w:rPr>
                <w:kern w:val="0"/>
                <w:lang w:bidi="ar"/>
              </w:rPr>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rPr>
                <w:kern w:val="0"/>
                <w:lang w:bidi="ar"/>
              </w:rPr>
            </w:pPr>
            <w:r>
              <w:rPr>
                <w:kern w:val="0"/>
                <w:lang w:bidi="ar"/>
              </w:rPr>
              <w:t>铜</w:t>
            </w:r>
          </w:p>
        </w:tc>
        <w:tc>
          <w:tcPr>
            <w:tcW w:w="503" w:type="pct"/>
            <w:vAlign w:val="center"/>
          </w:tcPr>
          <w:p>
            <w:pPr>
              <w:pStyle w:val="63"/>
            </w:pPr>
            <w:r>
              <w:rPr>
                <w:kern w:val="0"/>
                <w:lang w:bidi="ar"/>
              </w:rPr>
              <w:t>0.05L</w:t>
            </w:r>
          </w:p>
        </w:tc>
        <w:tc>
          <w:tcPr>
            <w:tcW w:w="504" w:type="pct"/>
            <w:vAlign w:val="center"/>
          </w:tcPr>
          <w:p>
            <w:pPr>
              <w:pStyle w:val="63"/>
            </w:pPr>
            <w:r>
              <w:t>/</w:t>
            </w:r>
          </w:p>
        </w:tc>
        <w:tc>
          <w:tcPr>
            <w:tcW w:w="500" w:type="pct"/>
            <w:vAlign w:val="center"/>
          </w:tcPr>
          <w:p>
            <w:pPr>
              <w:pStyle w:val="63"/>
            </w:pPr>
            <w:r>
              <w:rPr>
                <w:kern w:val="0"/>
                <w:lang w:bidi="ar"/>
              </w:rPr>
              <w:t>0.05L</w:t>
            </w:r>
          </w:p>
        </w:tc>
        <w:tc>
          <w:tcPr>
            <w:tcW w:w="500" w:type="pct"/>
            <w:vAlign w:val="center"/>
          </w:tcPr>
          <w:p>
            <w:pPr>
              <w:pStyle w:val="63"/>
              <w:rPr>
                <w:kern w:val="0"/>
                <w:lang w:bidi="ar"/>
              </w:rPr>
            </w:pPr>
            <w:r>
              <w:t>/</w:t>
            </w:r>
          </w:p>
        </w:tc>
        <w:tc>
          <w:tcPr>
            <w:tcW w:w="500" w:type="pct"/>
            <w:vAlign w:val="center"/>
          </w:tcPr>
          <w:p>
            <w:pPr>
              <w:pStyle w:val="63"/>
              <w:rPr>
                <w:sz w:val="18"/>
                <w:szCs w:val="18"/>
              </w:rPr>
            </w:pPr>
            <w:r>
              <w:rPr>
                <w:kern w:val="0"/>
                <w:sz w:val="18"/>
                <w:szCs w:val="18"/>
                <w:lang w:bidi="ar"/>
              </w:rPr>
              <w:t>0.05L</w:t>
            </w:r>
          </w:p>
        </w:tc>
        <w:tc>
          <w:tcPr>
            <w:tcW w:w="500" w:type="pct"/>
            <w:vAlign w:val="center"/>
          </w:tcPr>
          <w:p>
            <w:pPr>
              <w:pStyle w:val="63"/>
            </w:pPr>
            <w:r>
              <w:t>/</w:t>
            </w:r>
          </w:p>
        </w:tc>
        <w:tc>
          <w:tcPr>
            <w:tcW w:w="500" w:type="pct"/>
            <w:vAlign w:val="center"/>
          </w:tcPr>
          <w:p>
            <w:pPr>
              <w:pStyle w:val="63"/>
            </w:pPr>
            <w:r>
              <w:t>达标</w:t>
            </w:r>
          </w:p>
        </w:tc>
        <w:tc>
          <w:tcPr>
            <w:tcW w:w="500" w:type="pct"/>
            <w:vAlign w:val="center"/>
          </w:tcPr>
          <w:p>
            <w:pPr>
              <w:pStyle w:val="63"/>
            </w:pPr>
            <w:r>
              <w:t>1.00</w:t>
            </w:r>
          </w:p>
        </w:tc>
        <w:tc>
          <w:tcPr>
            <w:tcW w:w="493"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rPr>
                <w:kern w:val="0"/>
                <w:lang w:bidi="ar"/>
              </w:rPr>
            </w:pPr>
            <w:r>
              <w:rPr>
                <w:kern w:val="0"/>
                <w:lang w:bidi="ar"/>
              </w:rPr>
              <w:t>锌</w:t>
            </w:r>
          </w:p>
        </w:tc>
        <w:tc>
          <w:tcPr>
            <w:tcW w:w="503" w:type="pct"/>
            <w:vAlign w:val="center"/>
          </w:tcPr>
          <w:p>
            <w:pPr>
              <w:pStyle w:val="63"/>
            </w:pPr>
            <w:r>
              <w:rPr>
                <w:kern w:val="0"/>
                <w:lang w:bidi="ar"/>
              </w:rPr>
              <w:t>0.05L</w:t>
            </w:r>
          </w:p>
        </w:tc>
        <w:tc>
          <w:tcPr>
            <w:tcW w:w="504" w:type="pct"/>
            <w:vAlign w:val="center"/>
          </w:tcPr>
          <w:p>
            <w:pPr>
              <w:pStyle w:val="63"/>
              <w:rPr>
                <w:kern w:val="0"/>
                <w:lang w:bidi="ar"/>
              </w:rPr>
            </w:pPr>
            <w:r>
              <w:t>/</w:t>
            </w:r>
          </w:p>
        </w:tc>
        <w:tc>
          <w:tcPr>
            <w:tcW w:w="500" w:type="pct"/>
            <w:vAlign w:val="center"/>
          </w:tcPr>
          <w:p>
            <w:pPr>
              <w:pStyle w:val="63"/>
            </w:pPr>
            <w:r>
              <w:rPr>
                <w:kern w:val="0"/>
                <w:lang w:bidi="ar"/>
              </w:rPr>
              <w:t>0.05L</w:t>
            </w:r>
          </w:p>
        </w:tc>
        <w:tc>
          <w:tcPr>
            <w:tcW w:w="500" w:type="pct"/>
            <w:vAlign w:val="center"/>
          </w:tcPr>
          <w:p>
            <w:pPr>
              <w:pStyle w:val="63"/>
              <w:rPr>
                <w:kern w:val="0"/>
                <w:lang w:bidi="ar"/>
              </w:rPr>
            </w:pPr>
            <w:r>
              <w:t>/</w:t>
            </w:r>
          </w:p>
        </w:tc>
        <w:tc>
          <w:tcPr>
            <w:tcW w:w="500" w:type="pct"/>
            <w:vAlign w:val="center"/>
          </w:tcPr>
          <w:p>
            <w:pPr>
              <w:pStyle w:val="63"/>
              <w:rPr>
                <w:sz w:val="18"/>
                <w:szCs w:val="18"/>
              </w:rPr>
            </w:pPr>
            <w:r>
              <w:rPr>
                <w:kern w:val="0"/>
                <w:sz w:val="18"/>
                <w:szCs w:val="18"/>
                <w:lang w:bidi="ar"/>
              </w:rPr>
              <w:t>0.05L</w:t>
            </w:r>
          </w:p>
        </w:tc>
        <w:tc>
          <w:tcPr>
            <w:tcW w:w="500" w:type="pct"/>
            <w:vAlign w:val="center"/>
          </w:tcPr>
          <w:p>
            <w:pPr>
              <w:pStyle w:val="63"/>
            </w:pPr>
            <w:r>
              <w:t>/</w:t>
            </w:r>
          </w:p>
        </w:tc>
        <w:tc>
          <w:tcPr>
            <w:tcW w:w="500" w:type="pct"/>
            <w:vAlign w:val="center"/>
          </w:tcPr>
          <w:p>
            <w:pPr>
              <w:pStyle w:val="63"/>
            </w:pPr>
            <w:r>
              <w:t>达标</w:t>
            </w:r>
          </w:p>
        </w:tc>
        <w:tc>
          <w:tcPr>
            <w:tcW w:w="500" w:type="pct"/>
            <w:vAlign w:val="center"/>
          </w:tcPr>
          <w:p>
            <w:pPr>
              <w:pStyle w:val="63"/>
            </w:pPr>
            <w:r>
              <w:t>1.00</w:t>
            </w:r>
          </w:p>
        </w:tc>
        <w:tc>
          <w:tcPr>
            <w:tcW w:w="493"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耗氧量</w:t>
            </w:r>
          </w:p>
        </w:tc>
        <w:tc>
          <w:tcPr>
            <w:tcW w:w="503" w:type="pct"/>
            <w:vAlign w:val="center"/>
          </w:tcPr>
          <w:p>
            <w:pPr>
              <w:pStyle w:val="63"/>
            </w:pPr>
            <w:r>
              <w:t>1.3</w:t>
            </w:r>
          </w:p>
        </w:tc>
        <w:tc>
          <w:tcPr>
            <w:tcW w:w="504" w:type="pct"/>
            <w:vAlign w:val="center"/>
          </w:tcPr>
          <w:p>
            <w:pPr>
              <w:pStyle w:val="63"/>
            </w:pPr>
            <w:r>
              <w:t>0.433</w:t>
            </w:r>
          </w:p>
        </w:tc>
        <w:tc>
          <w:tcPr>
            <w:tcW w:w="500" w:type="pct"/>
            <w:vAlign w:val="center"/>
          </w:tcPr>
          <w:p>
            <w:pPr>
              <w:pStyle w:val="63"/>
            </w:pPr>
            <w:r>
              <w:t>1.0</w:t>
            </w:r>
          </w:p>
        </w:tc>
        <w:tc>
          <w:tcPr>
            <w:tcW w:w="500" w:type="pct"/>
            <w:vAlign w:val="center"/>
          </w:tcPr>
          <w:p>
            <w:pPr>
              <w:pStyle w:val="63"/>
            </w:pPr>
            <w:r>
              <w:t>0.333</w:t>
            </w:r>
          </w:p>
        </w:tc>
        <w:tc>
          <w:tcPr>
            <w:tcW w:w="500" w:type="pct"/>
            <w:vAlign w:val="center"/>
          </w:tcPr>
          <w:p>
            <w:pPr>
              <w:pStyle w:val="63"/>
              <w:rPr>
                <w:sz w:val="18"/>
                <w:szCs w:val="18"/>
              </w:rPr>
            </w:pPr>
            <w:r>
              <w:rPr>
                <w:sz w:val="18"/>
                <w:szCs w:val="18"/>
              </w:rPr>
              <w:t>1.5</w:t>
            </w:r>
          </w:p>
        </w:tc>
        <w:tc>
          <w:tcPr>
            <w:tcW w:w="500" w:type="pct"/>
            <w:vAlign w:val="center"/>
          </w:tcPr>
          <w:p>
            <w:pPr>
              <w:pStyle w:val="63"/>
            </w:pPr>
            <w:r>
              <w:t>0.500</w:t>
            </w:r>
          </w:p>
        </w:tc>
        <w:tc>
          <w:tcPr>
            <w:tcW w:w="500" w:type="pct"/>
            <w:vAlign w:val="center"/>
          </w:tcPr>
          <w:p>
            <w:pPr>
              <w:pStyle w:val="63"/>
            </w:pPr>
            <w:r>
              <w:t>达标</w:t>
            </w:r>
          </w:p>
        </w:tc>
        <w:tc>
          <w:tcPr>
            <w:tcW w:w="500" w:type="pct"/>
            <w:vAlign w:val="center"/>
          </w:tcPr>
          <w:p>
            <w:pPr>
              <w:pStyle w:val="63"/>
            </w:pPr>
            <w:r>
              <w:t>3.0</w:t>
            </w:r>
          </w:p>
        </w:tc>
        <w:tc>
          <w:tcPr>
            <w:tcW w:w="493"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氨氮</w:t>
            </w:r>
          </w:p>
        </w:tc>
        <w:tc>
          <w:tcPr>
            <w:tcW w:w="503" w:type="pct"/>
            <w:vAlign w:val="center"/>
          </w:tcPr>
          <w:p>
            <w:pPr>
              <w:pStyle w:val="63"/>
            </w:pPr>
            <w:r>
              <w:t>0.154</w:t>
            </w:r>
          </w:p>
        </w:tc>
        <w:tc>
          <w:tcPr>
            <w:tcW w:w="504" w:type="pct"/>
            <w:vAlign w:val="center"/>
          </w:tcPr>
          <w:p>
            <w:pPr>
              <w:pStyle w:val="63"/>
            </w:pPr>
            <w:r>
              <w:t>0.308</w:t>
            </w:r>
          </w:p>
        </w:tc>
        <w:tc>
          <w:tcPr>
            <w:tcW w:w="500" w:type="pct"/>
            <w:vAlign w:val="center"/>
          </w:tcPr>
          <w:p>
            <w:pPr>
              <w:pStyle w:val="63"/>
            </w:pPr>
            <w:r>
              <w:t>0.131</w:t>
            </w:r>
          </w:p>
        </w:tc>
        <w:tc>
          <w:tcPr>
            <w:tcW w:w="500" w:type="pct"/>
            <w:vAlign w:val="center"/>
          </w:tcPr>
          <w:p>
            <w:pPr>
              <w:pStyle w:val="63"/>
            </w:pPr>
            <w:r>
              <w:t>0.262</w:t>
            </w:r>
          </w:p>
        </w:tc>
        <w:tc>
          <w:tcPr>
            <w:tcW w:w="500" w:type="pct"/>
            <w:vAlign w:val="center"/>
          </w:tcPr>
          <w:p>
            <w:pPr>
              <w:pStyle w:val="63"/>
              <w:rPr>
                <w:sz w:val="18"/>
                <w:szCs w:val="18"/>
              </w:rPr>
            </w:pPr>
            <w:r>
              <w:rPr>
                <w:sz w:val="18"/>
                <w:szCs w:val="18"/>
              </w:rPr>
              <w:t>0.112</w:t>
            </w:r>
          </w:p>
        </w:tc>
        <w:tc>
          <w:tcPr>
            <w:tcW w:w="500" w:type="pct"/>
            <w:vAlign w:val="center"/>
          </w:tcPr>
          <w:p>
            <w:pPr>
              <w:pStyle w:val="63"/>
            </w:pPr>
            <w:r>
              <w:t>0.224</w:t>
            </w:r>
          </w:p>
        </w:tc>
        <w:tc>
          <w:tcPr>
            <w:tcW w:w="500" w:type="pct"/>
            <w:vAlign w:val="center"/>
          </w:tcPr>
          <w:p>
            <w:pPr>
              <w:pStyle w:val="63"/>
            </w:pPr>
            <w:r>
              <w:t>达标</w:t>
            </w:r>
          </w:p>
        </w:tc>
        <w:tc>
          <w:tcPr>
            <w:tcW w:w="500" w:type="pct"/>
            <w:vAlign w:val="center"/>
          </w:tcPr>
          <w:p>
            <w:pPr>
              <w:pStyle w:val="63"/>
            </w:pPr>
            <w:r>
              <w:t>0.50</w:t>
            </w:r>
          </w:p>
        </w:tc>
        <w:tc>
          <w:tcPr>
            <w:tcW w:w="493" w:type="pct"/>
            <w:vAlign w:val="center"/>
          </w:tcPr>
          <w:p>
            <w:pPr>
              <w:pStyle w:val="63"/>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挥发性酚类</w:t>
            </w:r>
          </w:p>
        </w:tc>
        <w:tc>
          <w:tcPr>
            <w:tcW w:w="503" w:type="pct"/>
            <w:vAlign w:val="center"/>
          </w:tcPr>
          <w:p>
            <w:pPr>
              <w:pStyle w:val="63"/>
            </w:pPr>
            <w:r>
              <w:t>0.0003L</w:t>
            </w:r>
          </w:p>
        </w:tc>
        <w:tc>
          <w:tcPr>
            <w:tcW w:w="504" w:type="pct"/>
            <w:vAlign w:val="center"/>
          </w:tcPr>
          <w:p>
            <w:pPr>
              <w:pStyle w:val="63"/>
            </w:pPr>
            <w:r>
              <w:t>/</w:t>
            </w:r>
          </w:p>
        </w:tc>
        <w:tc>
          <w:tcPr>
            <w:tcW w:w="500" w:type="pct"/>
            <w:vAlign w:val="center"/>
          </w:tcPr>
          <w:p>
            <w:pPr>
              <w:pStyle w:val="63"/>
            </w:pPr>
            <w:r>
              <w:t>0.0003L</w:t>
            </w:r>
          </w:p>
        </w:tc>
        <w:tc>
          <w:tcPr>
            <w:tcW w:w="500" w:type="pct"/>
            <w:vAlign w:val="center"/>
          </w:tcPr>
          <w:p>
            <w:pPr>
              <w:pStyle w:val="63"/>
            </w:pPr>
            <w:r>
              <w:t>/</w:t>
            </w:r>
          </w:p>
        </w:tc>
        <w:tc>
          <w:tcPr>
            <w:tcW w:w="500" w:type="pct"/>
            <w:vAlign w:val="center"/>
          </w:tcPr>
          <w:p>
            <w:pPr>
              <w:pStyle w:val="63"/>
              <w:rPr>
                <w:sz w:val="18"/>
                <w:szCs w:val="18"/>
              </w:rPr>
            </w:pPr>
            <w:r>
              <w:rPr>
                <w:sz w:val="18"/>
                <w:szCs w:val="18"/>
              </w:rPr>
              <w:t>0.0003L</w:t>
            </w:r>
          </w:p>
        </w:tc>
        <w:tc>
          <w:tcPr>
            <w:tcW w:w="500" w:type="pct"/>
            <w:vAlign w:val="center"/>
          </w:tcPr>
          <w:p>
            <w:pPr>
              <w:pStyle w:val="63"/>
            </w:pPr>
            <w:r>
              <w:t>/</w:t>
            </w:r>
          </w:p>
        </w:tc>
        <w:tc>
          <w:tcPr>
            <w:tcW w:w="500" w:type="pct"/>
            <w:vAlign w:val="center"/>
          </w:tcPr>
          <w:p>
            <w:pPr>
              <w:pStyle w:val="63"/>
            </w:pPr>
            <w:r>
              <w:t>达标</w:t>
            </w:r>
          </w:p>
        </w:tc>
        <w:tc>
          <w:tcPr>
            <w:tcW w:w="500" w:type="pct"/>
            <w:vAlign w:val="center"/>
          </w:tcPr>
          <w:p>
            <w:pPr>
              <w:pStyle w:val="63"/>
            </w:pPr>
            <w:r>
              <w:t>0.002</w:t>
            </w:r>
          </w:p>
        </w:tc>
        <w:tc>
          <w:tcPr>
            <w:tcW w:w="493"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rPr>
                <w:kern w:val="0"/>
                <w:lang w:bidi="ar"/>
              </w:rPr>
              <w:t>硫化物</w:t>
            </w:r>
          </w:p>
        </w:tc>
        <w:tc>
          <w:tcPr>
            <w:tcW w:w="503" w:type="pct"/>
            <w:vAlign w:val="center"/>
          </w:tcPr>
          <w:p>
            <w:pPr>
              <w:pStyle w:val="63"/>
            </w:pPr>
            <w:r>
              <w:t>0.003L</w:t>
            </w:r>
          </w:p>
        </w:tc>
        <w:tc>
          <w:tcPr>
            <w:tcW w:w="504" w:type="pct"/>
            <w:vAlign w:val="center"/>
          </w:tcPr>
          <w:p>
            <w:pPr>
              <w:pStyle w:val="63"/>
            </w:pPr>
            <w:r>
              <w:t>/</w:t>
            </w:r>
          </w:p>
        </w:tc>
        <w:tc>
          <w:tcPr>
            <w:tcW w:w="500" w:type="pct"/>
            <w:vAlign w:val="center"/>
          </w:tcPr>
          <w:p>
            <w:pPr>
              <w:pStyle w:val="63"/>
            </w:pPr>
            <w:r>
              <w:t>0.003L</w:t>
            </w:r>
          </w:p>
        </w:tc>
        <w:tc>
          <w:tcPr>
            <w:tcW w:w="500" w:type="pct"/>
            <w:vAlign w:val="center"/>
          </w:tcPr>
          <w:p>
            <w:pPr>
              <w:pStyle w:val="63"/>
            </w:pPr>
            <w:r>
              <w:t>/</w:t>
            </w:r>
          </w:p>
        </w:tc>
        <w:tc>
          <w:tcPr>
            <w:tcW w:w="500" w:type="pct"/>
            <w:vAlign w:val="center"/>
          </w:tcPr>
          <w:p>
            <w:pPr>
              <w:pStyle w:val="63"/>
              <w:rPr>
                <w:sz w:val="18"/>
                <w:szCs w:val="18"/>
              </w:rPr>
            </w:pPr>
            <w:r>
              <w:rPr>
                <w:sz w:val="18"/>
                <w:szCs w:val="18"/>
              </w:rPr>
              <w:t>0.003L</w:t>
            </w:r>
          </w:p>
        </w:tc>
        <w:tc>
          <w:tcPr>
            <w:tcW w:w="500" w:type="pct"/>
            <w:vAlign w:val="center"/>
          </w:tcPr>
          <w:p>
            <w:pPr>
              <w:pStyle w:val="63"/>
            </w:pPr>
            <w:r>
              <w:t>/</w:t>
            </w:r>
          </w:p>
        </w:tc>
        <w:tc>
          <w:tcPr>
            <w:tcW w:w="500" w:type="pct"/>
            <w:vAlign w:val="center"/>
          </w:tcPr>
          <w:p>
            <w:pPr>
              <w:pStyle w:val="63"/>
            </w:pPr>
            <w:r>
              <w:t>达标</w:t>
            </w:r>
          </w:p>
        </w:tc>
        <w:tc>
          <w:tcPr>
            <w:tcW w:w="500" w:type="pct"/>
            <w:vAlign w:val="center"/>
          </w:tcPr>
          <w:p>
            <w:pPr>
              <w:pStyle w:val="63"/>
            </w:pPr>
            <w:r>
              <w:t>0.02</w:t>
            </w:r>
          </w:p>
        </w:tc>
        <w:tc>
          <w:tcPr>
            <w:tcW w:w="493"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总大肠菌群</w:t>
            </w:r>
          </w:p>
        </w:tc>
        <w:tc>
          <w:tcPr>
            <w:tcW w:w="503" w:type="pct"/>
            <w:vAlign w:val="center"/>
          </w:tcPr>
          <w:p>
            <w:pPr>
              <w:pStyle w:val="63"/>
            </w:pPr>
            <w:r>
              <w:t>＜20</w:t>
            </w:r>
          </w:p>
        </w:tc>
        <w:tc>
          <w:tcPr>
            <w:tcW w:w="504" w:type="pct"/>
            <w:vAlign w:val="center"/>
          </w:tcPr>
          <w:p>
            <w:pPr>
              <w:pStyle w:val="63"/>
            </w:pPr>
            <w:r>
              <w:t>/</w:t>
            </w:r>
          </w:p>
        </w:tc>
        <w:tc>
          <w:tcPr>
            <w:tcW w:w="500" w:type="pct"/>
            <w:vAlign w:val="center"/>
          </w:tcPr>
          <w:p>
            <w:pPr>
              <w:pStyle w:val="63"/>
            </w:pPr>
            <w:r>
              <w:t>＜20</w:t>
            </w:r>
          </w:p>
        </w:tc>
        <w:tc>
          <w:tcPr>
            <w:tcW w:w="500" w:type="pct"/>
            <w:vAlign w:val="center"/>
          </w:tcPr>
          <w:p>
            <w:pPr>
              <w:pStyle w:val="63"/>
            </w:pPr>
            <w:r>
              <w:t>/</w:t>
            </w:r>
          </w:p>
        </w:tc>
        <w:tc>
          <w:tcPr>
            <w:tcW w:w="500" w:type="pct"/>
            <w:vAlign w:val="center"/>
          </w:tcPr>
          <w:p>
            <w:pPr>
              <w:pStyle w:val="63"/>
              <w:rPr>
                <w:sz w:val="18"/>
                <w:szCs w:val="18"/>
              </w:rPr>
            </w:pPr>
            <w:r>
              <w:rPr>
                <w:sz w:val="18"/>
                <w:szCs w:val="18"/>
              </w:rPr>
              <w:t>＜20</w:t>
            </w:r>
          </w:p>
        </w:tc>
        <w:tc>
          <w:tcPr>
            <w:tcW w:w="500" w:type="pct"/>
            <w:vAlign w:val="center"/>
          </w:tcPr>
          <w:p>
            <w:pPr>
              <w:pStyle w:val="63"/>
            </w:pPr>
            <w:r>
              <w:t>/</w:t>
            </w:r>
          </w:p>
        </w:tc>
        <w:tc>
          <w:tcPr>
            <w:tcW w:w="500" w:type="pct"/>
            <w:vAlign w:val="center"/>
          </w:tcPr>
          <w:p>
            <w:pPr>
              <w:pStyle w:val="63"/>
            </w:pPr>
            <w:r>
              <w:t>达标</w:t>
            </w:r>
          </w:p>
        </w:tc>
        <w:tc>
          <w:tcPr>
            <w:tcW w:w="500" w:type="pct"/>
            <w:vAlign w:val="center"/>
          </w:tcPr>
          <w:p>
            <w:pPr>
              <w:pStyle w:val="63"/>
            </w:pPr>
            <w:r>
              <w:t>30</w:t>
            </w:r>
          </w:p>
        </w:tc>
        <w:tc>
          <w:tcPr>
            <w:tcW w:w="493" w:type="pct"/>
            <w:vAlign w:val="center"/>
          </w:tcPr>
          <w:p>
            <w:pPr>
              <w:pStyle w:val="63"/>
            </w:pPr>
            <w:r>
              <w:rPr>
                <w:kern w:val="0"/>
                <w:lang w:bidi="ar"/>
              </w:rPr>
              <w:t>MPN/L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氟化物</w:t>
            </w:r>
          </w:p>
        </w:tc>
        <w:tc>
          <w:tcPr>
            <w:tcW w:w="503" w:type="pct"/>
            <w:vAlign w:val="center"/>
          </w:tcPr>
          <w:p>
            <w:pPr>
              <w:pStyle w:val="63"/>
            </w:pPr>
            <w:r>
              <w:t>0.839</w:t>
            </w:r>
          </w:p>
        </w:tc>
        <w:tc>
          <w:tcPr>
            <w:tcW w:w="504" w:type="pct"/>
            <w:vAlign w:val="center"/>
          </w:tcPr>
          <w:p>
            <w:pPr>
              <w:pStyle w:val="63"/>
            </w:pPr>
            <w:r>
              <w:t>0.839</w:t>
            </w:r>
          </w:p>
        </w:tc>
        <w:tc>
          <w:tcPr>
            <w:tcW w:w="500" w:type="pct"/>
            <w:vAlign w:val="center"/>
          </w:tcPr>
          <w:p>
            <w:pPr>
              <w:pStyle w:val="63"/>
            </w:pPr>
            <w:r>
              <w:t>0.729</w:t>
            </w:r>
          </w:p>
        </w:tc>
        <w:tc>
          <w:tcPr>
            <w:tcW w:w="500" w:type="pct"/>
            <w:vAlign w:val="center"/>
          </w:tcPr>
          <w:p>
            <w:pPr>
              <w:pStyle w:val="63"/>
            </w:pPr>
            <w:r>
              <w:t>0.729</w:t>
            </w:r>
          </w:p>
        </w:tc>
        <w:tc>
          <w:tcPr>
            <w:tcW w:w="500" w:type="pct"/>
            <w:vAlign w:val="center"/>
          </w:tcPr>
          <w:p>
            <w:pPr>
              <w:pStyle w:val="63"/>
              <w:rPr>
                <w:sz w:val="18"/>
                <w:szCs w:val="18"/>
              </w:rPr>
            </w:pPr>
            <w:r>
              <w:rPr>
                <w:sz w:val="18"/>
                <w:szCs w:val="18"/>
              </w:rPr>
              <w:t>0.0415</w:t>
            </w:r>
          </w:p>
        </w:tc>
        <w:tc>
          <w:tcPr>
            <w:tcW w:w="500" w:type="pct"/>
            <w:vAlign w:val="center"/>
          </w:tcPr>
          <w:p>
            <w:pPr>
              <w:pStyle w:val="63"/>
            </w:pPr>
            <w:r>
              <w:t>0.0415</w:t>
            </w:r>
          </w:p>
        </w:tc>
        <w:tc>
          <w:tcPr>
            <w:tcW w:w="500" w:type="pct"/>
            <w:vAlign w:val="center"/>
          </w:tcPr>
          <w:p>
            <w:pPr>
              <w:pStyle w:val="63"/>
            </w:pPr>
            <w:r>
              <w:t>达标</w:t>
            </w:r>
          </w:p>
        </w:tc>
        <w:tc>
          <w:tcPr>
            <w:tcW w:w="500" w:type="pct"/>
            <w:vAlign w:val="center"/>
          </w:tcPr>
          <w:p>
            <w:pPr>
              <w:pStyle w:val="63"/>
            </w:pPr>
            <w:r>
              <w:t>1.0</w:t>
            </w:r>
          </w:p>
        </w:tc>
        <w:tc>
          <w:tcPr>
            <w:tcW w:w="493" w:type="pct"/>
            <w:vAlign w:val="center"/>
          </w:tcPr>
          <w:p>
            <w:pPr>
              <w:pStyle w:val="63"/>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亚硝酸盐</w:t>
            </w:r>
          </w:p>
        </w:tc>
        <w:tc>
          <w:tcPr>
            <w:tcW w:w="503" w:type="pct"/>
            <w:vAlign w:val="center"/>
          </w:tcPr>
          <w:p>
            <w:pPr>
              <w:pStyle w:val="63"/>
            </w:pPr>
            <w:r>
              <w:t>0.016L</w:t>
            </w:r>
          </w:p>
        </w:tc>
        <w:tc>
          <w:tcPr>
            <w:tcW w:w="504" w:type="pct"/>
            <w:vAlign w:val="center"/>
          </w:tcPr>
          <w:p>
            <w:pPr>
              <w:pStyle w:val="63"/>
            </w:pPr>
            <w:r>
              <w:t>/</w:t>
            </w:r>
          </w:p>
        </w:tc>
        <w:tc>
          <w:tcPr>
            <w:tcW w:w="500" w:type="pct"/>
            <w:vAlign w:val="center"/>
          </w:tcPr>
          <w:p>
            <w:pPr>
              <w:pStyle w:val="63"/>
            </w:pPr>
            <w:r>
              <w:t>0.016L</w:t>
            </w:r>
          </w:p>
        </w:tc>
        <w:tc>
          <w:tcPr>
            <w:tcW w:w="500" w:type="pct"/>
            <w:vAlign w:val="center"/>
          </w:tcPr>
          <w:p>
            <w:pPr>
              <w:pStyle w:val="63"/>
            </w:pPr>
            <w:r>
              <w:t>/</w:t>
            </w:r>
          </w:p>
        </w:tc>
        <w:tc>
          <w:tcPr>
            <w:tcW w:w="500" w:type="pct"/>
            <w:vAlign w:val="center"/>
          </w:tcPr>
          <w:p>
            <w:pPr>
              <w:pStyle w:val="63"/>
              <w:rPr>
                <w:sz w:val="18"/>
                <w:szCs w:val="18"/>
              </w:rPr>
            </w:pPr>
            <w:r>
              <w:rPr>
                <w:sz w:val="18"/>
                <w:szCs w:val="18"/>
              </w:rPr>
              <w:t>0.016L</w:t>
            </w:r>
          </w:p>
        </w:tc>
        <w:tc>
          <w:tcPr>
            <w:tcW w:w="500" w:type="pct"/>
            <w:vAlign w:val="center"/>
          </w:tcPr>
          <w:p>
            <w:pPr>
              <w:pStyle w:val="63"/>
            </w:pPr>
            <w:r>
              <w:t>/</w:t>
            </w:r>
          </w:p>
        </w:tc>
        <w:tc>
          <w:tcPr>
            <w:tcW w:w="500" w:type="pct"/>
            <w:vAlign w:val="center"/>
          </w:tcPr>
          <w:p>
            <w:pPr>
              <w:pStyle w:val="63"/>
            </w:pPr>
            <w:r>
              <w:t>达标</w:t>
            </w:r>
          </w:p>
        </w:tc>
        <w:tc>
          <w:tcPr>
            <w:tcW w:w="500" w:type="pct"/>
            <w:vAlign w:val="center"/>
          </w:tcPr>
          <w:p>
            <w:pPr>
              <w:pStyle w:val="63"/>
            </w:pPr>
            <w:r>
              <w:t>1.00</w:t>
            </w:r>
          </w:p>
        </w:tc>
        <w:tc>
          <w:tcPr>
            <w:tcW w:w="493" w:type="pct"/>
            <w:vAlign w:val="center"/>
          </w:tcPr>
          <w:p>
            <w:pPr>
              <w:pStyle w:val="63"/>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硝酸盐</w:t>
            </w:r>
          </w:p>
        </w:tc>
        <w:tc>
          <w:tcPr>
            <w:tcW w:w="503" w:type="pct"/>
            <w:vAlign w:val="center"/>
          </w:tcPr>
          <w:p>
            <w:pPr>
              <w:pStyle w:val="63"/>
            </w:pPr>
            <w:r>
              <w:t>7.93</w:t>
            </w:r>
          </w:p>
        </w:tc>
        <w:tc>
          <w:tcPr>
            <w:tcW w:w="504" w:type="pct"/>
            <w:vAlign w:val="center"/>
          </w:tcPr>
          <w:p>
            <w:pPr>
              <w:pStyle w:val="63"/>
            </w:pPr>
            <w:r>
              <w:t>0.397</w:t>
            </w:r>
          </w:p>
        </w:tc>
        <w:tc>
          <w:tcPr>
            <w:tcW w:w="500" w:type="pct"/>
            <w:vAlign w:val="center"/>
          </w:tcPr>
          <w:p>
            <w:pPr>
              <w:pStyle w:val="63"/>
            </w:pPr>
            <w:r>
              <w:t>2.68</w:t>
            </w:r>
          </w:p>
        </w:tc>
        <w:tc>
          <w:tcPr>
            <w:tcW w:w="500" w:type="pct"/>
            <w:vAlign w:val="center"/>
          </w:tcPr>
          <w:p>
            <w:pPr>
              <w:pStyle w:val="63"/>
            </w:pPr>
            <w:r>
              <w:t>0.134</w:t>
            </w:r>
          </w:p>
        </w:tc>
        <w:tc>
          <w:tcPr>
            <w:tcW w:w="500" w:type="pct"/>
            <w:vAlign w:val="center"/>
          </w:tcPr>
          <w:p>
            <w:pPr>
              <w:pStyle w:val="63"/>
              <w:rPr>
                <w:sz w:val="18"/>
                <w:szCs w:val="18"/>
              </w:rPr>
            </w:pPr>
            <w:r>
              <w:rPr>
                <w:sz w:val="18"/>
                <w:szCs w:val="18"/>
              </w:rPr>
              <w:t>5.18</w:t>
            </w:r>
          </w:p>
        </w:tc>
        <w:tc>
          <w:tcPr>
            <w:tcW w:w="500" w:type="pct"/>
            <w:vAlign w:val="center"/>
          </w:tcPr>
          <w:p>
            <w:pPr>
              <w:pStyle w:val="63"/>
            </w:pPr>
            <w:r>
              <w:t>0.259</w:t>
            </w:r>
          </w:p>
        </w:tc>
        <w:tc>
          <w:tcPr>
            <w:tcW w:w="500" w:type="pct"/>
            <w:vAlign w:val="center"/>
          </w:tcPr>
          <w:p>
            <w:pPr>
              <w:pStyle w:val="63"/>
            </w:pPr>
            <w:r>
              <w:t>达标</w:t>
            </w:r>
          </w:p>
        </w:tc>
        <w:tc>
          <w:tcPr>
            <w:tcW w:w="500" w:type="pct"/>
            <w:vAlign w:val="center"/>
          </w:tcPr>
          <w:p>
            <w:pPr>
              <w:pStyle w:val="63"/>
            </w:pPr>
            <w:r>
              <w:t>20.0</w:t>
            </w:r>
          </w:p>
        </w:tc>
        <w:tc>
          <w:tcPr>
            <w:tcW w:w="493" w:type="pct"/>
            <w:vAlign w:val="center"/>
          </w:tcPr>
          <w:p>
            <w:pPr>
              <w:pStyle w:val="63"/>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汞</w:t>
            </w:r>
          </w:p>
        </w:tc>
        <w:tc>
          <w:tcPr>
            <w:tcW w:w="503" w:type="pct"/>
            <w:vAlign w:val="center"/>
          </w:tcPr>
          <w:p>
            <w:pPr>
              <w:pStyle w:val="63"/>
            </w:pPr>
            <w:r>
              <w:t>0.00004L</w:t>
            </w:r>
          </w:p>
        </w:tc>
        <w:tc>
          <w:tcPr>
            <w:tcW w:w="504" w:type="pct"/>
            <w:vAlign w:val="center"/>
          </w:tcPr>
          <w:p>
            <w:pPr>
              <w:pStyle w:val="63"/>
            </w:pPr>
            <w:r>
              <w:t>/</w:t>
            </w:r>
          </w:p>
        </w:tc>
        <w:tc>
          <w:tcPr>
            <w:tcW w:w="500" w:type="pct"/>
            <w:vAlign w:val="center"/>
          </w:tcPr>
          <w:p>
            <w:pPr>
              <w:pStyle w:val="63"/>
            </w:pPr>
            <w:r>
              <w:t>0.00004L</w:t>
            </w:r>
          </w:p>
        </w:tc>
        <w:tc>
          <w:tcPr>
            <w:tcW w:w="500" w:type="pct"/>
            <w:vAlign w:val="center"/>
          </w:tcPr>
          <w:p>
            <w:pPr>
              <w:pStyle w:val="63"/>
            </w:pPr>
            <w:r>
              <w:t>/</w:t>
            </w:r>
          </w:p>
        </w:tc>
        <w:tc>
          <w:tcPr>
            <w:tcW w:w="500" w:type="pct"/>
            <w:vAlign w:val="center"/>
          </w:tcPr>
          <w:p>
            <w:pPr>
              <w:pStyle w:val="63"/>
              <w:rPr>
                <w:sz w:val="18"/>
                <w:szCs w:val="18"/>
              </w:rPr>
            </w:pPr>
            <w:r>
              <w:rPr>
                <w:sz w:val="18"/>
                <w:szCs w:val="18"/>
              </w:rPr>
              <w:t>0.00004L</w:t>
            </w:r>
          </w:p>
        </w:tc>
        <w:tc>
          <w:tcPr>
            <w:tcW w:w="500" w:type="pct"/>
            <w:vAlign w:val="center"/>
          </w:tcPr>
          <w:p>
            <w:pPr>
              <w:pStyle w:val="63"/>
            </w:pPr>
            <w:r>
              <w:t>/</w:t>
            </w:r>
          </w:p>
        </w:tc>
        <w:tc>
          <w:tcPr>
            <w:tcW w:w="500" w:type="pct"/>
            <w:vAlign w:val="center"/>
          </w:tcPr>
          <w:p>
            <w:pPr>
              <w:pStyle w:val="63"/>
            </w:pPr>
            <w:r>
              <w:t>达标</w:t>
            </w:r>
          </w:p>
        </w:tc>
        <w:tc>
          <w:tcPr>
            <w:tcW w:w="500" w:type="pct"/>
            <w:vAlign w:val="center"/>
          </w:tcPr>
          <w:p>
            <w:pPr>
              <w:pStyle w:val="63"/>
            </w:pPr>
            <w:r>
              <w:t>0.001</w:t>
            </w:r>
          </w:p>
        </w:tc>
        <w:tc>
          <w:tcPr>
            <w:tcW w:w="493"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rPr>
                <w:kern w:val="0"/>
                <w:lang w:bidi="ar"/>
              </w:rPr>
            </w:pPr>
            <w:r>
              <w:rPr>
                <w:kern w:val="0"/>
                <w:lang w:bidi="ar"/>
              </w:rPr>
              <w:t>砷</w:t>
            </w:r>
          </w:p>
        </w:tc>
        <w:tc>
          <w:tcPr>
            <w:tcW w:w="503" w:type="pct"/>
            <w:vAlign w:val="center"/>
          </w:tcPr>
          <w:p>
            <w:pPr>
              <w:pStyle w:val="63"/>
            </w:pPr>
            <w:r>
              <w:t>0.0003L</w:t>
            </w:r>
          </w:p>
        </w:tc>
        <w:tc>
          <w:tcPr>
            <w:tcW w:w="504" w:type="pct"/>
            <w:vAlign w:val="center"/>
          </w:tcPr>
          <w:p>
            <w:pPr>
              <w:pStyle w:val="63"/>
            </w:pPr>
            <w:r>
              <w:t>/</w:t>
            </w:r>
          </w:p>
        </w:tc>
        <w:tc>
          <w:tcPr>
            <w:tcW w:w="500" w:type="pct"/>
            <w:vAlign w:val="center"/>
          </w:tcPr>
          <w:p>
            <w:pPr>
              <w:pStyle w:val="63"/>
            </w:pPr>
            <w:r>
              <w:t>0.0003L</w:t>
            </w:r>
          </w:p>
        </w:tc>
        <w:tc>
          <w:tcPr>
            <w:tcW w:w="500" w:type="pct"/>
            <w:vAlign w:val="center"/>
          </w:tcPr>
          <w:p>
            <w:pPr>
              <w:pStyle w:val="63"/>
            </w:pPr>
            <w:r>
              <w:t>/</w:t>
            </w:r>
          </w:p>
        </w:tc>
        <w:tc>
          <w:tcPr>
            <w:tcW w:w="500" w:type="pct"/>
            <w:vAlign w:val="center"/>
          </w:tcPr>
          <w:p>
            <w:pPr>
              <w:pStyle w:val="63"/>
              <w:rPr>
                <w:sz w:val="18"/>
                <w:szCs w:val="18"/>
              </w:rPr>
            </w:pPr>
            <w:r>
              <w:rPr>
                <w:sz w:val="18"/>
                <w:szCs w:val="18"/>
              </w:rPr>
              <w:t>0.0003L</w:t>
            </w:r>
          </w:p>
        </w:tc>
        <w:tc>
          <w:tcPr>
            <w:tcW w:w="500" w:type="pct"/>
            <w:vAlign w:val="center"/>
          </w:tcPr>
          <w:p>
            <w:pPr>
              <w:pStyle w:val="63"/>
            </w:pPr>
            <w:r>
              <w:t>/</w:t>
            </w:r>
          </w:p>
        </w:tc>
        <w:tc>
          <w:tcPr>
            <w:tcW w:w="500" w:type="pct"/>
            <w:vAlign w:val="center"/>
          </w:tcPr>
          <w:p>
            <w:pPr>
              <w:pStyle w:val="63"/>
            </w:pPr>
            <w:r>
              <w:t>达标</w:t>
            </w:r>
          </w:p>
        </w:tc>
        <w:tc>
          <w:tcPr>
            <w:tcW w:w="500" w:type="pct"/>
            <w:vAlign w:val="center"/>
          </w:tcPr>
          <w:p>
            <w:pPr>
              <w:pStyle w:val="63"/>
            </w:pPr>
            <w:r>
              <w:t>0.01</w:t>
            </w:r>
          </w:p>
        </w:tc>
        <w:tc>
          <w:tcPr>
            <w:tcW w:w="493" w:type="pct"/>
            <w:vAlign w:val="center"/>
          </w:tcPr>
          <w:p>
            <w:pPr>
              <w:pStyle w:val="63"/>
              <w:rPr>
                <w:kern w:val="0"/>
                <w:lang w:bidi="ar"/>
              </w:rPr>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镉</w:t>
            </w:r>
          </w:p>
        </w:tc>
        <w:tc>
          <w:tcPr>
            <w:tcW w:w="503" w:type="pct"/>
            <w:vAlign w:val="center"/>
          </w:tcPr>
          <w:p>
            <w:pPr>
              <w:pStyle w:val="63"/>
            </w:pPr>
            <w:r>
              <w:rPr>
                <w:kern w:val="0"/>
                <w:lang w:bidi="ar"/>
              </w:rPr>
              <w:t>0.0001L</w:t>
            </w:r>
          </w:p>
        </w:tc>
        <w:tc>
          <w:tcPr>
            <w:tcW w:w="504" w:type="pct"/>
            <w:vAlign w:val="center"/>
          </w:tcPr>
          <w:p>
            <w:pPr>
              <w:pStyle w:val="63"/>
              <w:rPr>
                <w:kern w:val="0"/>
                <w:lang w:bidi="ar"/>
              </w:rPr>
            </w:pPr>
            <w:r>
              <w:t>/</w:t>
            </w:r>
          </w:p>
        </w:tc>
        <w:tc>
          <w:tcPr>
            <w:tcW w:w="500" w:type="pct"/>
            <w:vAlign w:val="center"/>
          </w:tcPr>
          <w:p>
            <w:pPr>
              <w:pStyle w:val="63"/>
            </w:pPr>
            <w:r>
              <w:rPr>
                <w:kern w:val="0"/>
                <w:lang w:bidi="ar"/>
              </w:rPr>
              <w:t>0.0001L</w:t>
            </w:r>
          </w:p>
        </w:tc>
        <w:tc>
          <w:tcPr>
            <w:tcW w:w="500" w:type="pct"/>
            <w:vAlign w:val="center"/>
          </w:tcPr>
          <w:p>
            <w:pPr>
              <w:pStyle w:val="63"/>
              <w:rPr>
                <w:kern w:val="0"/>
                <w:lang w:bidi="ar"/>
              </w:rPr>
            </w:pPr>
            <w:r>
              <w:t>/</w:t>
            </w:r>
          </w:p>
        </w:tc>
        <w:tc>
          <w:tcPr>
            <w:tcW w:w="500" w:type="pct"/>
            <w:vAlign w:val="center"/>
          </w:tcPr>
          <w:p>
            <w:pPr>
              <w:pStyle w:val="63"/>
              <w:rPr>
                <w:sz w:val="18"/>
                <w:szCs w:val="18"/>
              </w:rPr>
            </w:pPr>
            <w:r>
              <w:rPr>
                <w:kern w:val="0"/>
                <w:sz w:val="18"/>
                <w:szCs w:val="18"/>
                <w:lang w:bidi="ar"/>
              </w:rPr>
              <w:t>0.0001L</w:t>
            </w:r>
          </w:p>
        </w:tc>
        <w:tc>
          <w:tcPr>
            <w:tcW w:w="500" w:type="pct"/>
            <w:vAlign w:val="center"/>
          </w:tcPr>
          <w:p>
            <w:pPr>
              <w:pStyle w:val="63"/>
              <w:rPr>
                <w:kern w:val="0"/>
                <w:lang w:bidi="ar"/>
              </w:rPr>
            </w:pPr>
            <w:r>
              <w:t>/</w:t>
            </w:r>
          </w:p>
        </w:tc>
        <w:tc>
          <w:tcPr>
            <w:tcW w:w="500" w:type="pct"/>
            <w:vAlign w:val="center"/>
          </w:tcPr>
          <w:p>
            <w:pPr>
              <w:pStyle w:val="63"/>
            </w:pPr>
            <w:r>
              <w:t>达标</w:t>
            </w:r>
          </w:p>
        </w:tc>
        <w:tc>
          <w:tcPr>
            <w:tcW w:w="500" w:type="pct"/>
            <w:vAlign w:val="center"/>
          </w:tcPr>
          <w:p>
            <w:pPr>
              <w:pStyle w:val="63"/>
            </w:pPr>
            <w:r>
              <w:t>0.005</w:t>
            </w:r>
          </w:p>
        </w:tc>
        <w:tc>
          <w:tcPr>
            <w:tcW w:w="493"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六价铬</w:t>
            </w:r>
          </w:p>
        </w:tc>
        <w:tc>
          <w:tcPr>
            <w:tcW w:w="503" w:type="pct"/>
            <w:vAlign w:val="center"/>
          </w:tcPr>
          <w:p>
            <w:pPr>
              <w:pStyle w:val="63"/>
            </w:pPr>
            <w:r>
              <w:rPr>
                <w:kern w:val="0"/>
                <w:lang w:bidi="ar"/>
              </w:rPr>
              <w:t>0.004L</w:t>
            </w:r>
          </w:p>
        </w:tc>
        <w:tc>
          <w:tcPr>
            <w:tcW w:w="504" w:type="pct"/>
            <w:vAlign w:val="center"/>
          </w:tcPr>
          <w:p>
            <w:pPr>
              <w:pStyle w:val="63"/>
              <w:rPr>
                <w:kern w:val="0"/>
                <w:lang w:bidi="ar"/>
              </w:rPr>
            </w:pPr>
            <w:r>
              <w:t>/</w:t>
            </w:r>
          </w:p>
        </w:tc>
        <w:tc>
          <w:tcPr>
            <w:tcW w:w="500" w:type="pct"/>
            <w:vAlign w:val="center"/>
          </w:tcPr>
          <w:p>
            <w:pPr>
              <w:pStyle w:val="63"/>
            </w:pPr>
            <w:r>
              <w:rPr>
                <w:kern w:val="0"/>
                <w:lang w:bidi="ar"/>
              </w:rPr>
              <w:t>0.004L</w:t>
            </w:r>
          </w:p>
        </w:tc>
        <w:tc>
          <w:tcPr>
            <w:tcW w:w="500" w:type="pct"/>
            <w:vAlign w:val="center"/>
          </w:tcPr>
          <w:p>
            <w:pPr>
              <w:pStyle w:val="63"/>
              <w:rPr>
                <w:kern w:val="0"/>
                <w:lang w:bidi="ar"/>
              </w:rPr>
            </w:pPr>
            <w:r>
              <w:t>/</w:t>
            </w:r>
          </w:p>
        </w:tc>
        <w:tc>
          <w:tcPr>
            <w:tcW w:w="500" w:type="pct"/>
            <w:vAlign w:val="center"/>
          </w:tcPr>
          <w:p>
            <w:pPr>
              <w:pStyle w:val="63"/>
              <w:rPr>
                <w:sz w:val="18"/>
                <w:szCs w:val="18"/>
              </w:rPr>
            </w:pPr>
            <w:r>
              <w:rPr>
                <w:kern w:val="0"/>
                <w:sz w:val="18"/>
                <w:szCs w:val="18"/>
                <w:lang w:bidi="ar"/>
              </w:rPr>
              <w:t>0.004L</w:t>
            </w:r>
          </w:p>
        </w:tc>
        <w:tc>
          <w:tcPr>
            <w:tcW w:w="500" w:type="pct"/>
            <w:vAlign w:val="center"/>
          </w:tcPr>
          <w:p>
            <w:pPr>
              <w:pStyle w:val="63"/>
              <w:rPr>
                <w:kern w:val="0"/>
                <w:lang w:bidi="ar"/>
              </w:rPr>
            </w:pPr>
            <w:r>
              <w:t>/</w:t>
            </w:r>
          </w:p>
        </w:tc>
        <w:tc>
          <w:tcPr>
            <w:tcW w:w="500" w:type="pct"/>
            <w:vAlign w:val="center"/>
          </w:tcPr>
          <w:p>
            <w:pPr>
              <w:pStyle w:val="63"/>
            </w:pPr>
            <w:r>
              <w:t>达标</w:t>
            </w:r>
          </w:p>
        </w:tc>
        <w:tc>
          <w:tcPr>
            <w:tcW w:w="500" w:type="pct"/>
            <w:vAlign w:val="center"/>
          </w:tcPr>
          <w:p>
            <w:pPr>
              <w:pStyle w:val="63"/>
            </w:pPr>
            <w:r>
              <w:t>0.05</w:t>
            </w:r>
          </w:p>
        </w:tc>
        <w:tc>
          <w:tcPr>
            <w:tcW w:w="493"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铅</w:t>
            </w:r>
          </w:p>
        </w:tc>
        <w:tc>
          <w:tcPr>
            <w:tcW w:w="503" w:type="pct"/>
            <w:vAlign w:val="center"/>
          </w:tcPr>
          <w:p>
            <w:pPr>
              <w:pStyle w:val="63"/>
            </w:pPr>
            <w:r>
              <w:rPr>
                <w:kern w:val="0"/>
                <w:lang w:bidi="ar"/>
              </w:rPr>
              <w:t>0.001L</w:t>
            </w:r>
          </w:p>
        </w:tc>
        <w:tc>
          <w:tcPr>
            <w:tcW w:w="504" w:type="pct"/>
            <w:vAlign w:val="center"/>
          </w:tcPr>
          <w:p>
            <w:pPr>
              <w:pStyle w:val="63"/>
              <w:rPr>
                <w:kern w:val="0"/>
                <w:lang w:bidi="ar"/>
              </w:rPr>
            </w:pPr>
            <w:r>
              <w:t>/</w:t>
            </w:r>
          </w:p>
        </w:tc>
        <w:tc>
          <w:tcPr>
            <w:tcW w:w="500" w:type="pct"/>
            <w:vAlign w:val="center"/>
          </w:tcPr>
          <w:p>
            <w:pPr>
              <w:pStyle w:val="63"/>
            </w:pPr>
            <w:r>
              <w:rPr>
                <w:kern w:val="0"/>
                <w:lang w:bidi="ar"/>
              </w:rPr>
              <w:t>0.001L</w:t>
            </w:r>
          </w:p>
        </w:tc>
        <w:tc>
          <w:tcPr>
            <w:tcW w:w="500" w:type="pct"/>
            <w:vAlign w:val="center"/>
          </w:tcPr>
          <w:p>
            <w:pPr>
              <w:pStyle w:val="63"/>
              <w:rPr>
                <w:kern w:val="0"/>
                <w:lang w:bidi="ar"/>
              </w:rPr>
            </w:pPr>
            <w:r>
              <w:t>/</w:t>
            </w:r>
          </w:p>
        </w:tc>
        <w:tc>
          <w:tcPr>
            <w:tcW w:w="500" w:type="pct"/>
            <w:vAlign w:val="center"/>
          </w:tcPr>
          <w:p>
            <w:pPr>
              <w:pStyle w:val="63"/>
              <w:rPr>
                <w:sz w:val="18"/>
                <w:szCs w:val="18"/>
              </w:rPr>
            </w:pPr>
            <w:r>
              <w:rPr>
                <w:kern w:val="0"/>
                <w:sz w:val="18"/>
                <w:szCs w:val="18"/>
                <w:lang w:bidi="ar"/>
              </w:rPr>
              <w:t>0.001L</w:t>
            </w:r>
          </w:p>
        </w:tc>
        <w:tc>
          <w:tcPr>
            <w:tcW w:w="500" w:type="pct"/>
            <w:vAlign w:val="center"/>
          </w:tcPr>
          <w:p>
            <w:pPr>
              <w:pStyle w:val="63"/>
              <w:rPr>
                <w:kern w:val="0"/>
                <w:lang w:bidi="ar"/>
              </w:rPr>
            </w:pPr>
            <w:r>
              <w:t>/</w:t>
            </w:r>
          </w:p>
        </w:tc>
        <w:tc>
          <w:tcPr>
            <w:tcW w:w="500" w:type="pct"/>
            <w:vAlign w:val="center"/>
          </w:tcPr>
          <w:p>
            <w:pPr>
              <w:pStyle w:val="63"/>
            </w:pPr>
            <w:r>
              <w:t>达标</w:t>
            </w:r>
          </w:p>
        </w:tc>
        <w:tc>
          <w:tcPr>
            <w:tcW w:w="500" w:type="pct"/>
            <w:vAlign w:val="center"/>
          </w:tcPr>
          <w:p>
            <w:pPr>
              <w:pStyle w:val="63"/>
            </w:pPr>
            <w:r>
              <w:t>0.01</w:t>
            </w:r>
          </w:p>
        </w:tc>
        <w:tc>
          <w:tcPr>
            <w:tcW w:w="493"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镍</w:t>
            </w:r>
          </w:p>
        </w:tc>
        <w:tc>
          <w:tcPr>
            <w:tcW w:w="503" w:type="pct"/>
            <w:vAlign w:val="center"/>
          </w:tcPr>
          <w:p>
            <w:pPr>
              <w:pStyle w:val="63"/>
            </w:pPr>
            <w:r>
              <w:rPr>
                <w:kern w:val="0"/>
                <w:lang w:bidi="ar"/>
              </w:rPr>
              <w:t>0.001L</w:t>
            </w:r>
          </w:p>
        </w:tc>
        <w:tc>
          <w:tcPr>
            <w:tcW w:w="504" w:type="pct"/>
            <w:vAlign w:val="center"/>
          </w:tcPr>
          <w:p>
            <w:pPr>
              <w:pStyle w:val="63"/>
              <w:rPr>
                <w:kern w:val="0"/>
                <w:lang w:bidi="ar"/>
              </w:rPr>
            </w:pPr>
            <w:r>
              <w:t>/</w:t>
            </w:r>
          </w:p>
        </w:tc>
        <w:tc>
          <w:tcPr>
            <w:tcW w:w="500" w:type="pct"/>
            <w:vAlign w:val="center"/>
          </w:tcPr>
          <w:p>
            <w:pPr>
              <w:pStyle w:val="63"/>
            </w:pPr>
            <w:r>
              <w:rPr>
                <w:kern w:val="0"/>
                <w:lang w:bidi="ar"/>
              </w:rPr>
              <w:t>0.001L</w:t>
            </w:r>
          </w:p>
        </w:tc>
        <w:tc>
          <w:tcPr>
            <w:tcW w:w="500" w:type="pct"/>
            <w:vAlign w:val="center"/>
          </w:tcPr>
          <w:p>
            <w:pPr>
              <w:pStyle w:val="63"/>
              <w:rPr>
                <w:kern w:val="0"/>
                <w:lang w:bidi="ar"/>
              </w:rPr>
            </w:pPr>
            <w:r>
              <w:t>/</w:t>
            </w:r>
          </w:p>
        </w:tc>
        <w:tc>
          <w:tcPr>
            <w:tcW w:w="500" w:type="pct"/>
            <w:vAlign w:val="center"/>
          </w:tcPr>
          <w:p>
            <w:pPr>
              <w:pStyle w:val="63"/>
              <w:rPr>
                <w:sz w:val="18"/>
                <w:szCs w:val="18"/>
              </w:rPr>
            </w:pPr>
            <w:r>
              <w:rPr>
                <w:kern w:val="0"/>
                <w:sz w:val="18"/>
                <w:szCs w:val="18"/>
                <w:lang w:bidi="ar"/>
              </w:rPr>
              <w:t>0.001L</w:t>
            </w:r>
          </w:p>
        </w:tc>
        <w:tc>
          <w:tcPr>
            <w:tcW w:w="500" w:type="pct"/>
            <w:vAlign w:val="center"/>
          </w:tcPr>
          <w:p>
            <w:pPr>
              <w:pStyle w:val="63"/>
              <w:rPr>
                <w:kern w:val="0"/>
                <w:lang w:bidi="ar"/>
              </w:rPr>
            </w:pPr>
            <w:r>
              <w:t>/</w:t>
            </w:r>
          </w:p>
        </w:tc>
        <w:tc>
          <w:tcPr>
            <w:tcW w:w="500" w:type="pct"/>
            <w:vAlign w:val="center"/>
          </w:tcPr>
          <w:p>
            <w:pPr>
              <w:pStyle w:val="63"/>
            </w:pPr>
            <w:r>
              <w:t>达标</w:t>
            </w:r>
          </w:p>
        </w:tc>
        <w:tc>
          <w:tcPr>
            <w:tcW w:w="500" w:type="pct"/>
            <w:vAlign w:val="center"/>
          </w:tcPr>
          <w:p>
            <w:pPr>
              <w:pStyle w:val="63"/>
            </w:pPr>
            <w:r>
              <w:t>0.02</w:t>
            </w:r>
          </w:p>
        </w:tc>
        <w:tc>
          <w:tcPr>
            <w:tcW w:w="493" w:type="pct"/>
            <w:vAlign w:val="center"/>
          </w:tcPr>
          <w:p>
            <w:pPr>
              <w:pStyle w:val="63"/>
              <w:rPr>
                <w:kern w:val="0"/>
                <w:lang w:bidi="ar"/>
              </w:rPr>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铊</w:t>
            </w:r>
          </w:p>
        </w:tc>
        <w:tc>
          <w:tcPr>
            <w:tcW w:w="503" w:type="pct"/>
            <w:vAlign w:val="center"/>
          </w:tcPr>
          <w:p>
            <w:pPr>
              <w:pStyle w:val="63"/>
            </w:pPr>
            <w:r>
              <w:rPr>
                <w:kern w:val="0"/>
                <w:lang w:bidi="ar"/>
              </w:rPr>
              <w:t>0.00003L</w:t>
            </w:r>
          </w:p>
        </w:tc>
        <w:tc>
          <w:tcPr>
            <w:tcW w:w="504" w:type="pct"/>
            <w:vAlign w:val="center"/>
          </w:tcPr>
          <w:p>
            <w:pPr>
              <w:pStyle w:val="63"/>
              <w:rPr>
                <w:kern w:val="0"/>
                <w:lang w:bidi="ar"/>
              </w:rPr>
            </w:pPr>
            <w:r>
              <w:t>/</w:t>
            </w:r>
          </w:p>
        </w:tc>
        <w:tc>
          <w:tcPr>
            <w:tcW w:w="500" w:type="pct"/>
            <w:vAlign w:val="center"/>
          </w:tcPr>
          <w:p>
            <w:pPr>
              <w:pStyle w:val="63"/>
            </w:pPr>
            <w:r>
              <w:rPr>
                <w:kern w:val="0"/>
                <w:lang w:bidi="ar"/>
              </w:rPr>
              <w:t>0.00003L</w:t>
            </w:r>
          </w:p>
        </w:tc>
        <w:tc>
          <w:tcPr>
            <w:tcW w:w="500" w:type="pct"/>
            <w:vAlign w:val="center"/>
          </w:tcPr>
          <w:p>
            <w:pPr>
              <w:pStyle w:val="63"/>
              <w:rPr>
                <w:kern w:val="0"/>
                <w:lang w:bidi="ar"/>
              </w:rPr>
            </w:pPr>
            <w:r>
              <w:t>/</w:t>
            </w:r>
          </w:p>
        </w:tc>
        <w:tc>
          <w:tcPr>
            <w:tcW w:w="500" w:type="pct"/>
            <w:vAlign w:val="center"/>
          </w:tcPr>
          <w:p>
            <w:pPr>
              <w:pStyle w:val="63"/>
              <w:rPr>
                <w:sz w:val="18"/>
                <w:szCs w:val="18"/>
              </w:rPr>
            </w:pPr>
            <w:r>
              <w:rPr>
                <w:kern w:val="0"/>
                <w:sz w:val="18"/>
                <w:szCs w:val="18"/>
                <w:lang w:bidi="ar"/>
              </w:rPr>
              <w:t>0.00003L</w:t>
            </w:r>
          </w:p>
        </w:tc>
        <w:tc>
          <w:tcPr>
            <w:tcW w:w="500" w:type="pct"/>
            <w:vAlign w:val="center"/>
          </w:tcPr>
          <w:p>
            <w:pPr>
              <w:pStyle w:val="63"/>
              <w:rPr>
                <w:kern w:val="0"/>
                <w:lang w:bidi="ar"/>
              </w:rPr>
            </w:pPr>
            <w:r>
              <w:t>/</w:t>
            </w:r>
          </w:p>
        </w:tc>
        <w:tc>
          <w:tcPr>
            <w:tcW w:w="500" w:type="pct"/>
            <w:vAlign w:val="center"/>
          </w:tcPr>
          <w:p>
            <w:pPr>
              <w:pStyle w:val="63"/>
            </w:pPr>
            <w:r>
              <w:t>达标</w:t>
            </w:r>
          </w:p>
        </w:tc>
        <w:tc>
          <w:tcPr>
            <w:tcW w:w="500" w:type="pct"/>
            <w:vAlign w:val="center"/>
          </w:tcPr>
          <w:p>
            <w:pPr>
              <w:pStyle w:val="63"/>
            </w:pPr>
            <w:r>
              <w:t>0.0001</w:t>
            </w:r>
          </w:p>
        </w:tc>
        <w:tc>
          <w:tcPr>
            <w:tcW w:w="493"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钴</w:t>
            </w:r>
          </w:p>
        </w:tc>
        <w:tc>
          <w:tcPr>
            <w:tcW w:w="503" w:type="pct"/>
            <w:vAlign w:val="center"/>
          </w:tcPr>
          <w:p>
            <w:pPr>
              <w:pStyle w:val="63"/>
            </w:pPr>
            <w:r>
              <w:rPr>
                <w:kern w:val="0"/>
                <w:lang w:bidi="ar"/>
              </w:rPr>
              <w:t>0.002L</w:t>
            </w:r>
          </w:p>
        </w:tc>
        <w:tc>
          <w:tcPr>
            <w:tcW w:w="504" w:type="pct"/>
            <w:vAlign w:val="center"/>
          </w:tcPr>
          <w:p>
            <w:pPr>
              <w:pStyle w:val="63"/>
              <w:rPr>
                <w:kern w:val="0"/>
                <w:lang w:bidi="ar"/>
              </w:rPr>
            </w:pPr>
            <w:r>
              <w:t>/</w:t>
            </w:r>
          </w:p>
        </w:tc>
        <w:tc>
          <w:tcPr>
            <w:tcW w:w="500" w:type="pct"/>
            <w:vAlign w:val="center"/>
          </w:tcPr>
          <w:p>
            <w:pPr>
              <w:pStyle w:val="63"/>
            </w:pPr>
            <w:r>
              <w:rPr>
                <w:kern w:val="0"/>
                <w:lang w:bidi="ar"/>
              </w:rPr>
              <w:t>0.002L</w:t>
            </w:r>
          </w:p>
        </w:tc>
        <w:tc>
          <w:tcPr>
            <w:tcW w:w="500" w:type="pct"/>
            <w:vAlign w:val="center"/>
          </w:tcPr>
          <w:p>
            <w:pPr>
              <w:pStyle w:val="63"/>
              <w:rPr>
                <w:kern w:val="0"/>
                <w:lang w:bidi="ar"/>
              </w:rPr>
            </w:pPr>
            <w:r>
              <w:t>/</w:t>
            </w:r>
          </w:p>
        </w:tc>
        <w:tc>
          <w:tcPr>
            <w:tcW w:w="500" w:type="pct"/>
            <w:vAlign w:val="center"/>
          </w:tcPr>
          <w:p>
            <w:pPr>
              <w:pStyle w:val="63"/>
              <w:rPr>
                <w:sz w:val="18"/>
                <w:szCs w:val="18"/>
              </w:rPr>
            </w:pPr>
            <w:r>
              <w:rPr>
                <w:kern w:val="0"/>
                <w:sz w:val="18"/>
                <w:szCs w:val="18"/>
                <w:lang w:bidi="ar"/>
              </w:rPr>
              <w:t>0.002L</w:t>
            </w:r>
          </w:p>
        </w:tc>
        <w:tc>
          <w:tcPr>
            <w:tcW w:w="500" w:type="pct"/>
            <w:vAlign w:val="center"/>
          </w:tcPr>
          <w:p>
            <w:pPr>
              <w:pStyle w:val="63"/>
              <w:rPr>
                <w:kern w:val="0"/>
                <w:lang w:bidi="ar"/>
              </w:rPr>
            </w:pPr>
            <w:r>
              <w:t>/</w:t>
            </w:r>
          </w:p>
        </w:tc>
        <w:tc>
          <w:tcPr>
            <w:tcW w:w="500" w:type="pct"/>
            <w:vAlign w:val="center"/>
          </w:tcPr>
          <w:p>
            <w:pPr>
              <w:pStyle w:val="63"/>
            </w:pPr>
            <w:r>
              <w:t>达标</w:t>
            </w:r>
          </w:p>
        </w:tc>
        <w:tc>
          <w:tcPr>
            <w:tcW w:w="500" w:type="pct"/>
            <w:vAlign w:val="center"/>
          </w:tcPr>
          <w:p>
            <w:pPr>
              <w:pStyle w:val="63"/>
            </w:pPr>
            <w:r>
              <w:t>0.05</w:t>
            </w:r>
          </w:p>
        </w:tc>
        <w:tc>
          <w:tcPr>
            <w:tcW w:w="493"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K</w:t>
            </w:r>
            <w:r>
              <w:rPr>
                <w:vertAlign w:val="superscript"/>
              </w:rPr>
              <w:t>+</w:t>
            </w:r>
          </w:p>
        </w:tc>
        <w:tc>
          <w:tcPr>
            <w:tcW w:w="503" w:type="pct"/>
            <w:vAlign w:val="center"/>
          </w:tcPr>
          <w:p>
            <w:pPr>
              <w:pStyle w:val="63"/>
            </w:pPr>
            <w:r>
              <w:rPr>
                <w:kern w:val="0"/>
                <w:lang w:bidi="ar"/>
              </w:rPr>
              <w:t>22.2</w:t>
            </w:r>
          </w:p>
        </w:tc>
        <w:tc>
          <w:tcPr>
            <w:tcW w:w="504" w:type="pct"/>
            <w:vAlign w:val="center"/>
          </w:tcPr>
          <w:p>
            <w:pPr>
              <w:pStyle w:val="63"/>
            </w:pPr>
            <w:r>
              <w:t>/</w:t>
            </w:r>
          </w:p>
        </w:tc>
        <w:tc>
          <w:tcPr>
            <w:tcW w:w="500" w:type="pct"/>
            <w:vAlign w:val="center"/>
          </w:tcPr>
          <w:p>
            <w:pPr>
              <w:pStyle w:val="63"/>
            </w:pPr>
            <w:r>
              <w:rPr>
                <w:kern w:val="0"/>
                <w:lang w:bidi="ar"/>
              </w:rPr>
              <w:t>2.2</w:t>
            </w:r>
          </w:p>
        </w:tc>
        <w:tc>
          <w:tcPr>
            <w:tcW w:w="500" w:type="pct"/>
            <w:vAlign w:val="center"/>
          </w:tcPr>
          <w:p>
            <w:pPr>
              <w:pStyle w:val="63"/>
            </w:pPr>
            <w:r>
              <w:t>/</w:t>
            </w:r>
          </w:p>
        </w:tc>
        <w:tc>
          <w:tcPr>
            <w:tcW w:w="500" w:type="pct"/>
            <w:vAlign w:val="center"/>
          </w:tcPr>
          <w:p>
            <w:pPr>
              <w:pStyle w:val="63"/>
              <w:rPr>
                <w:sz w:val="18"/>
                <w:szCs w:val="18"/>
              </w:rPr>
            </w:pPr>
            <w:r>
              <w:rPr>
                <w:kern w:val="0"/>
                <w:sz w:val="18"/>
                <w:szCs w:val="18"/>
                <w:lang w:bidi="ar"/>
              </w:rPr>
              <w:t>1.71</w:t>
            </w:r>
          </w:p>
        </w:tc>
        <w:tc>
          <w:tcPr>
            <w:tcW w:w="500" w:type="pct"/>
            <w:vAlign w:val="center"/>
          </w:tcPr>
          <w:p>
            <w:pPr>
              <w:pStyle w:val="63"/>
            </w:pPr>
            <w:r>
              <w:t>/</w:t>
            </w:r>
          </w:p>
        </w:tc>
        <w:tc>
          <w:tcPr>
            <w:tcW w:w="500" w:type="pct"/>
            <w:vAlign w:val="center"/>
          </w:tcPr>
          <w:p>
            <w:pPr>
              <w:pStyle w:val="63"/>
            </w:pPr>
            <w:r>
              <w:t>达标</w:t>
            </w:r>
          </w:p>
        </w:tc>
        <w:tc>
          <w:tcPr>
            <w:tcW w:w="500" w:type="pct"/>
            <w:vAlign w:val="center"/>
          </w:tcPr>
          <w:p>
            <w:pPr>
              <w:pStyle w:val="63"/>
            </w:pPr>
            <w:r>
              <w:t>/</w:t>
            </w:r>
          </w:p>
        </w:tc>
        <w:tc>
          <w:tcPr>
            <w:tcW w:w="493" w:type="pct"/>
            <w:vAlign w:val="center"/>
          </w:tcPr>
          <w:p>
            <w:pPr>
              <w:pStyle w:val="63"/>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Na</w:t>
            </w:r>
            <w:r>
              <w:rPr>
                <w:vertAlign w:val="superscript"/>
              </w:rPr>
              <w:t>+</w:t>
            </w:r>
          </w:p>
        </w:tc>
        <w:tc>
          <w:tcPr>
            <w:tcW w:w="503" w:type="pct"/>
            <w:vAlign w:val="center"/>
          </w:tcPr>
          <w:p>
            <w:pPr>
              <w:pStyle w:val="63"/>
            </w:pPr>
            <w:r>
              <w:rPr>
                <w:kern w:val="0"/>
                <w:lang w:bidi="ar"/>
              </w:rPr>
              <w:t>25.1</w:t>
            </w:r>
          </w:p>
        </w:tc>
        <w:tc>
          <w:tcPr>
            <w:tcW w:w="504" w:type="pct"/>
            <w:vAlign w:val="center"/>
          </w:tcPr>
          <w:p>
            <w:pPr>
              <w:pStyle w:val="63"/>
            </w:pPr>
            <w:r>
              <w:t>/</w:t>
            </w:r>
          </w:p>
        </w:tc>
        <w:tc>
          <w:tcPr>
            <w:tcW w:w="500" w:type="pct"/>
            <w:vAlign w:val="center"/>
          </w:tcPr>
          <w:p>
            <w:pPr>
              <w:pStyle w:val="63"/>
            </w:pPr>
            <w:r>
              <w:rPr>
                <w:kern w:val="0"/>
                <w:lang w:bidi="ar"/>
              </w:rPr>
              <w:t>10.2</w:t>
            </w:r>
          </w:p>
        </w:tc>
        <w:tc>
          <w:tcPr>
            <w:tcW w:w="500" w:type="pct"/>
            <w:vAlign w:val="center"/>
          </w:tcPr>
          <w:p>
            <w:pPr>
              <w:pStyle w:val="63"/>
            </w:pPr>
            <w:r>
              <w:t>/</w:t>
            </w:r>
          </w:p>
        </w:tc>
        <w:tc>
          <w:tcPr>
            <w:tcW w:w="500" w:type="pct"/>
            <w:vAlign w:val="center"/>
          </w:tcPr>
          <w:p>
            <w:pPr>
              <w:pStyle w:val="63"/>
              <w:rPr>
                <w:sz w:val="18"/>
                <w:szCs w:val="18"/>
              </w:rPr>
            </w:pPr>
            <w:r>
              <w:rPr>
                <w:kern w:val="0"/>
                <w:sz w:val="18"/>
                <w:szCs w:val="18"/>
                <w:lang w:bidi="ar"/>
              </w:rPr>
              <w:t>1.52</w:t>
            </w:r>
          </w:p>
        </w:tc>
        <w:tc>
          <w:tcPr>
            <w:tcW w:w="500" w:type="pct"/>
            <w:vAlign w:val="center"/>
          </w:tcPr>
          <w:p>
            <w:pPr>
              <w:pStyle w:val="63"/>
            </w:pPr>
            <w:r>
              <w:t>/</w:t>
            </w:r>
          </w:p>
        </w:tc>
        <w:tc>
          <w:tcPr>
            <w:tcW w:w="500" w:type="pct"/>
            <w:vAlign w:val="center"/>
          </w:tcPr>
          <w:p>
            <w:pPr>
              <w:pStyle w:val="63"/>
            </w:pPr>
            <w:r>
              <w:t>达标</w:t>
            </w:r>
          </w:p>
        </w:tc>
        <w:tc>
          <w:tcPr>
            <w:tcW w:w="500" w:type="pct"/>
            <w:vAlign w:val="center"/>
          </w:tcPr>
          <w:p>
            <w:pPr>
              <w:pStyle w:val="63"/>
            </w:pPr>
            <w:r>
              <w:t>/</w:t>
            </w:r>
          </w:p>
        </w:tc>
        <w:tc>
          <w:tcPr>
            <w:tcW w:w="493" w:type="pct"/>
            <w:vAlign w:val="center"/>
          </w:tcPr>
          <w:p>
            <w:pPr>
              <w:pStyle w:val="63"/>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Ca</w:t>
            </w:r>
            <w:r>
              <w:rPr>
                <w:vertAlign w:val="superscript"/>
              </w:rPr>
              <w:t>2+</w:t>
            </w:r>
          </w:p>
        </w:tc>
        <w:tc>
          <w:tcPr>
            <w:tcW w:w="503" w:type="pct"/>
            <w:vAlign w:val="center"/>
          </w:tcPr>
          <w:p>
            <w:pPr>
              <w:pStyle w:val="63"/>
            </w:pPr>
            <w:r>
              <w:rPr>
                <w:kern w:val="0"/>
                <w:lang w:bidi="ar"/>
              </w:rPr>
              <w:t>28.5</w:t>
            </w:r>
          </w:p>
        </w:tc>
        <w:tc>
          <w:tcPr>
            <w:tcW w:w="504" w:type="pct"/>
            <w:vAlign w:val="center"/>
          </w:tcPr>
          <w:p>
            <w:pPr>
              <w:pStyle w:val="63"/>
              <w:rPr>
                <w:kern w:val="0"/>
                <w:lang w:bidi="ar"/>
              </w:rPr>
            </w:pPr>
            <w:r>
              <w:t>/</w:t>
            </w:r>
          </w:p>
        </w:tc>
        <w:tc>
          <w:tcPr>
            <w:tcW w:w="500" w:type="pct"/>
            <w:vAlign w:val="center"/>
          </w:tcPr>
          <w:p>
            <w:pPr>
              <w:pStyle w:val="63"/>
            </w:pPr>
            <w:r>
              <w:rPr>
                <w:kern w:val="0"/>
                <w:lang w:bidi="ar"/>
              </w:rPr>
              <w:t>4.14</w:t>
            </w:r>
          </w:p>
        </w:tc>
        <w:tc>
          <w:tcPr>
            <w:tcW w:w="500" w:type="pct"/>
            <w:vAlign w:val="center"/>
          </w:tcPr>
          <w:p>
            <w:pPr>
              <w:pStyle w:val="63"/>
              <w:rPr>
                <w:kern w:val="0"/>
                <w:lang w:bidi="ar"/>
              </w:rPr>
            </w:pPr>
            <w:r>
              <w:t>/</w:t>
            </w:r>
          </w:p>
        </w:tc>
        <w:tc>
          <w:tcPr>
            <w:tcW w:w="500" w:type="pct"/>
            <w:vAlign w:val="center"/>
          </w:tcPr>
          <w:p>
            <w:pPr>
              <w:pStyle w:val="63"/>
              <w:rPr>
                <w:sz w:val="18"/>
                <w:szCs w:val="18"/>
              </w:rPr>
            </w:pPr>
            <w:r>
              <w:rPr>
                <w:kern w:val="0"/>
                <w:sz w:val="18"/>
                <w:szCs w:val="18"/>
                <w:lang w:bidi="ar"/>
              </w:rPr>
              <w:t>8.7</w:t>
            </w:r>
          </w:p>
        </w:tc>
        <w:tc>
          <w:tcPr>
            <w:tcW w:w="500" w:type="pct"/>
            <w:vAlign w:val="center"/>
          </w:tcPr>
          <w:p>
            <w:pPr>
              <w:pStyle w:val="63"/>
              <w:rPr>
                <w:kern w:val="0"/>
                <w:lang w:bidi="ar"/>
              </w:rPr>
            </w:pPr>
            <w:r>
              <w:t>/</w:t>
            </w:r>
          </w:p>
        </w:tc>
        <w:tc>
          <w:tcPr>
            <w:tcW w:w="500" w:type="pct"/>
            <w:vAlign w:val="center"/>
          </w:tcPr>
          <w:p>
            <w:pPr>
              <w:pStyle w:val="63"/>
            </w:pPr>
            <w:r>
              <w:t>达标</w:t>
            </w:r>
          </w:p>
        </w:tc>
        <w:tc>
          <w:tcPr>
            <w:tcW w:w="500" w:type="pct"/>
            <w:vAlign w:val="center"/>
          </w:tcPr>
          <w:p>
            <w:pPr>
              <w:pStyle w:val="63"/>
            </w:pPr>
            <w:r>
              <w:t>/</w:t>
            </w:r>
          </w:p>
        </w:tc>
        <w:tc>
          <w:tcPr>
            <w:tcW w:w="493" w:type="pct"/>
            <w:vAlign w:val="center"/>
          </w:tcPr>
          <w:p>
            <w:pPr>
              <w:pStyle w:val="63"/>
              <w:rPr>
                <w:kern w:val="0"/>
                <w:lang w:bidi="ar"/>
              </w:rPr>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Mg</w:t>
            </w:r>
            <w:r>
              <w:rPr>
                <w:vertAlign w:val="superscript"/>
              </w:rPr>
              <w:t>2+</w:t>
            </w:r>
          </w:p>
        </w:tc>
        <w:tc>
          <w:tcPr>
            <w:tcW w:w="503" w:type="pct"/>
            <w:vAlign w:val="center"/>
          </w:tcPr>
          <w:p>
            <w:pPr>
              <w:pStyle w:val="63"/>
            </w:pPr>
            <w:r>
              <w:rPr>
                <w:kern w:val="0"/>
                <w:lang w:bidi="ar"/>
              </w:rPr>
              <w:t>35.8</w:t>
            </w:r>
          </w:p>
        </w:tc>
        <w:tc>
          <w:tcPr>
            <w:tcW w:w="504" w:type="pct"/>
            <w:vAlign w:val="center"/>
          </w:tcPr>
          <w:p>
            <w:pPr>
              <w:pStyle w:val="63"/>
              <w:rPr>
                <w:kern w:val="0"/>
                <w:lang w:bidi="ar"/>
              </w:rPr>
            </w:pPr>
            <w:r>
              <w:t>/</w:t>
            </w:r>
          </w:p>
        </w:tc>
        <w:tc>
          <w:tcPr>
            <w:tcW w:w="500" w:type="pct"/>
            <w:vAlign w:val="center"/>
          </w:tcPr>
          <w:p>
            <w:pPr>
              <w:pStyle w:val="63"/>
            </w:pPr>
            <w:r>
              <w:rPr>
                <w:kern w:val="0"/>
                <w:lang w:bidi="ar"/>
              </w:rPr>
              <w:t>29</w:t>
            </w:r>
          </w:p>
        </w:tc>
        <w:tc>
          <w:tcPr>
            <w:tcW w:w="500" w:type="pct"/>
            <w:vAlign w:val="center"/>
          </w:tcPr>
          <w:p>
            <w:pPr>
              <w:pStyle w:val="63"/>
              <w:rPr>
                <w:kern w:val="0"/>
                <w:lang w:bidi="ar"/>
              </w:rPr>
            </w:pPr>
            <w:r>
              <w:t>/</w:t>
            </w:r>
          </w:p>
        </w:tc>
        <w:tc>
          <w:tcPr>
            <w:tcW w:w="500" w:type="pct"/>
            <w:vAlign w:val="center"/>
          </w:tcPr>
          <w:p>
            <w:pPr>
              <w:pStyle w:val="63"/>
              <w:rPr>
                <w:sz w:val="18"/>
                <w:szCs w:val="18"/>
              </w:rPr>
            </w:pPr>
            <w:r>
              <w:rPr>
                <w:kern w:val="0"/>
                <w:sz w:val="18"/>
                <w:szCs w:val="18"/>
                <w:lang w:bidi="ar"/>
              </w:rPr>
              <w:t>2.9</w:t>
            </w:r>
          </w:p>
        </w:tc>
        <w:tc>
          <w:tcPr>
            <w:tcW w:w="500" w:type="pct"/>
            <w:vAlign w:val="center"/>
          </w:tcPr>
          <w:p>
            <w:pPr>
              <w:pStyle w:val="63"/>
              <w:rPr>
                <w:kern w:val="0"/>
                <w:lang w:bidi="ar"/>
              </w:rPr>
            </w:pPr>
            <w:r>
              <w:t>/</w:t>
            </w:r>
          </w:p>
        </w:tc>
        <w:tc>
          <w:tcPr>
            <w:tcW w:w="500" w:type="pct"/>
            <w:vAlign w:val="center"/>
          </w:tcPr>
          <w:p>
            <w:pPr>
              <w:pStyle w:val="63"/>
            </w:pPr>
            <w:r>
              <w:t>达标</w:t>
            </w:r>
          </w:p>
        </w:tc>
        <w:tc>
          <w:tcPr>
            <w:tcW w:w="500" w:type="pct"/>
            <w:vAlign w:val="center"/>
          </w:tcPr>
          <w:p>
            <w:pPr>
              <w:pStyle w:val="63"/>
            </w:pPr>
            <w:r>
              <w:t>/</w:t>
            </w:r>
          </w:p>
        </w:tc>
        <w:tc>
          <w:tcPr>
            <w:tcW w:w="493" w:type="pct"/>
            <w:vAlign w:val="center"/>
          </w:tcPr>
          <w:p>
            <w:pPr>
              <w:pStyle w:val="63"/>
              <w:rPr>
                <w:kern w:val="0"/>
                <w:lang w:bidi="ar"/>
              </w:rPr>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CO</w:t>
            </w:r>
            <w:r>
              <w:rPr>
                <w:vertAlign w:val="subscript"/>
              </w:rPr>
              <w:t>3</w:t>
            </w:r>
            <w:r>
              <w:rPr>
                <w:vertAlign w:val="superscript"/>
              </w:rPr>
              <w:t>2-</w:t>
            </w:r>
          </w:p>
        </w:tc>
        <w:tc>
          <w:tcPr>
            <w:tcW w:w="503" w:type="pct"/>
            <w:vAlign w:val="center"/>
          </w:tcPr>
          <w:p>
            <w:pPr>
              <w:pStyle w:val="63"/>
            </w:pPr>
            <w:r>
              <w:rPr>
                <w:kern w:val="0"/>
                <w:lang w:bidi="ar"/>
              </w:rPr>
              <w:t>ND</w:t>
            </w:r>
          </w:p>
        </w:tc>
        <w:tc>
          <w:tcPr>
            <w:tcW w:w="504" w:type="pct"/>
            <w:vAlign w:val="center"/>
          </w:tcPr>
          <w:p>
            <w:pPr>
              <w:pStyle w:val="63"/>
              <w:rPr>
                <w:kern w:val="0"/>
                <w:lang w:bidi="ar"/>
              </w:rPr>
            </w:pPr>
            <w:r>
              <w:t>/</w:t>
            </w:r>
          </w:p>
        </w:tc>
        <w:tc>
          <w:tcPr>
            <w:tcW w:w="500" w:type="pct"/>
            <w:vAlign w:val="center"/>
          </w:tcPr>
          <w:p>
            <w:pPr>
              <w:pStyle w:val="63"/>
            </w:pPr>
            <w:r>
              <w:rPr>
                <w:kern w:val="0"/>
                <w:lang w:bidi="ar"/>
              </w:rPr>
              <w:t>ND</w:t>
            </w:r>
          </w:p>
        </w:tc>
        <w:tc>
          <w:tcPr>
            <w:tcW w:w="500" w:type="pct"/>
            <w:vAlign w:val="center"/>
          </w:tcPr>
          <w:p>
            <w:pPr>
              <w:pStyle w:val="63"/>
              <w:rPr>
                <w:kern w:val="0"/>
                <w:lang w:bidi="ar"/>
              </w:rPr>
            </w:pPr>
            <w:r>
              <w:t>/</w:t>
            </w:r>
          </w:p>
        </w:tc>
        <w:tc>
          <w:tcPr>
            <w:tcW w:w="500" w:type="pct"/>
            <w:vAlign w:val="center"/>
          </w:tcPr>
          <w:p>
            <w:pPr>
              <w:pStyle w:val="63"/>
              <w:rPr>
                <w:sz w:val="18"/>
                <w:szCs w:val="18"/>
              </w:rPr>
            </w:pPr>
            <w:r>
              <w:rPr>
                <w:kern w:val="0"/>
                <w:sz w:val="18"/>
                <w:szCs w:val="18"/>
                <w:lang w:bidi="ar"/>
              </w:rPr>
              <w:t>ND</w:t>
            </w:r>
          </w:p>
        </w:tc>
        <w:tc>
          <w:tcPr>
            <w:tcW w:w="500" w:type="pct"/>
            <w:vAlign w:val="center"/>
          </w:tcPr>
          <w:p>
            <w:pPr>
              <w:pStyle w:val="63"/>
              <w:rPr>
                <w:kern w:val="0"/>
                <w:lang w:bidi="ar"/>
              </w:rPr>
            </w:pPr>
            <w:r>
              <w:t>/</w:t>
            </w:r>
          </w:p>
        </w:tc>
        <w:tc>
          <w:tcPr>
            <w:tcW w:w="500" w:type="pct"/>
            <w:vAlign w:val="center"/>
          </w:tcPr>
          <w:p>
            <w:pPr>
              <w:pStyle w:val="63"/>
            </w:pPr>
            <w:r>
              <w:t>达标</w:t>
            </w:r>
          </w:p>
        </w:tc>
        <w:tc>
          <w:tcPr>
            <w:tcW w:w="500" w:type="pct"/>
            <w:vAlign w:val="center"/>
          </w:tcPr>
          <w:p>
            <w:pPr>
              <w:pStyle w:val="63"/>
            </w:pPr>
            <w:r>
              <w:t>/</w:t>
            </w:r>
          </w:p>
        </w:tc>
        <w:tc>
          <w:tcPr>
            <w:tcW w:w="493" w:type="pct"/>
            <w:vAlign w:val="center"/>
          </w:tcPr>
          <w:p>
            <w:pPr>
              <w:pStyle w:val="63"/>
              <w:rPr>
                <w:kern w:val="0"/>
                <w:lang w:bidi="ar"/>
              </w:rPr>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HCO</w:t>
            </w:r>
            <w:r>
              <w:rPr>
                <w:vertAlign w:val="subscript"/>
              </w:rPr>
              <w:t>3</w:t>
            </w:r>
            <w:r>
              <w:rPr>
                <w:vertAlign w:val="superscript"/>
              </w:rPr>
              <w:t>-</w:t>
            </w:r>
          </w:p>
        </w:tc>
        <w:tc>
          <w:tcPr>
            <w:tcW w:w="503" w:type="pct"/>
            <w:vAlign w:val="center"/>
          </w:tcPr>
          <w:p>
            <w:pPr>
              <w:pStyle w:val="63"/>
            </w:pPr>
            <w:r>
              <w:rPr>
                <w:kern w:val="0"/>
                <w:lang w:bidi="ar"/>
              </w:rPr>
              <w:t>3.6</w:t>
            </w:r>
          </w:p>
        </w:tc>
        <w:tc>
          <w:tcPr>
            <w:tcW w:w="504" w:type="pct"/>
            <w:vAlign w:val="center"/>
          </w:tcPr>
          <w:p>
            <w:pPr>
              <w:pStyle w:val="63"/>
              <w:rPr>
                <w:kern w:val="0"/>
                <w:lang w:bidi="ar"/>
              </w:rPr>
            </w:pPr>
            <w:r>
              <w:t>/</w:t>
            </w:r>
          </w:p>
        </w:tc>
        <w:tc>
          <w:tcPr>
            <w:tcW w:w="500" w:type="pct"/>
            <w:vAlign w:val="center"/>
          </w:tcPr>
          <w:p>
            <w:pPr>
              <w:pStyle w:val="63"/>
            </w:pPr>
            <w:r>
              <w:rPr>
                <w:kern w:val="0"/>
                <w:lang w:bidi="ar"/>
              </w:rPr>
              <w:t>24.8</w:t>
            </w:r>
          </w:p>
        </w:tc>
        <w:tc>
          <w:tcPr>
            <w:tcW w:w="500" w:type="pct"/>
            <w:vAlign w:val="center"/>
          </w:tcPr>
          <w:p>
            <w:pPr>
              <w:pStyle w:val="63"/>
              <w:rPr>
                <w:kern w:val="0"/>
                <w:lang w:bidi="ar"/>
              </w:rPr>
            </w:pPr>
            <w:r>
              <w:t>/</w:t>
            </w:r>
          </w:p>
        </w:tc>
        <w:tc>
          <w:tcPr>
            <w:tcW w:w="500" w:type="pct"/>
            <w:vAlign w:val="center"/>
          </w:tcPr>
          <w:p>
            <w:pPr>
              <w:pStyle w:val="63"/>
              <w:rPr>
                <w:sz w:val="18"/>
                <w:szCs w:val="18"/>
              </w:rPr>
            </w:pPr>
            <w:r>
              <w:rPr>
                <w:kern w:val="0"/>
                <w:sz w:val="18"/>
                <w:szCs w:val="18"/>
                <w:lang w:bidi="ar"/>
              </w:rPr>
              <w:t>25.4</w:t>
            </w:r>
          </w:p>
        </w:tc>
        <w:tc>
          <w:tcPr>
            <w:tcW w:w="500" w:type="pct"/>
            <w:vAlign w:val="center"/>
          </w:tcPr>
          <w:p>
            <w:pPr>
              <w:pStyle w:val="63"/>
              <w:rPr>
                <w:kern w:val="0"/>
                <w:lang w:bidi="ar"/>
              </w:rPr>
            </w:pPr>
            <w:r>
              <w:t>/</w:t>
            </w:r>
          </w:p>
        </w:tc>
        <w:tc>
          <w:tcPr>
            <w:tcW w:w="500" w:type="pct"/>
            <w:vAlign w:val="center"/>
          </w:tcPr>
          <w:p>
            <w:pPr>
              <w:pStyle w:val="63"/>
            </w:pPr>
            <w:r>
              <w:t>达标</w:t>
            </w:r>
          </w:p>
        </w:tc>
        <w:tc>
          <w:tcPr>
            <w:tcW w:w="500" w:type="pct"/>
            <w:vAlign w:val="center"/>
          </w:tcPr>
          <w:p>
            <w:pPr>
              <w:pStyle w:val="63"/>
            </w:pPr>
            <w:r>
              <w:t>/</w:t>
            </w:r>
          </w:p>
        </w:tc>
        <w:tc>
          <w:tcPr>
            <w:tcW w:w="493" w:type="pct"/>
            <w:vAlign w:val="center"/>
          </w:tcPr>
          <w:p>
            <w:pPr>
              <w:pStyle w:val="63"/>
              <w:rPr>
                <w:kern w:val="0"/>
                <w:lang w:bidi="ar"/>
              </w:rPr>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Cl</w:t>
            </w:r>
            <w:r>
              <w:rPr>
                <w:vertAlign w:val="superscript"/>
              </w:rPr>
              <w:t>-</w:t>
            </w:r>
          </w:p>
        </w:tc>
        <w:tc>
          <w:tcPr>
            <w:tcW w:w="503" w:type="pct"/>
            <w:vAlign w:val="center"/>
          </w:tcPr>
          <w:p>
            <w:pPr>
              <w:pStyle w:val="63"/>
            </w:pPr>
            <w:r>
              <w:rPr>
                <w:kern w:val="0"/>
                <w:lang w:bidi="ar"/>
              </w:rPr>
              <w:t>218</w:t>
            </w:r>
          </w:p>
        </w:tc>
        <w:tc>
          <w:tcPr>
            <w:tcW w:w="504" w:type="pct"/>
            <w:vAlign w:val="center"/>
          </w:tcPr>
          <w:p>
            <w:pPr>
              <w:pStyle w:val="63"/>
              <w:rPr>
                <w:kern w:val="0"/>
                <w:lang w:bidi="ar"/>
              </w:rPr>
            </w:pPr>
            <w:r>
              <w:t>/</w:t>
            </w:r>
          </w:p>
        </w:tc>
        <w:tc>
          <w:tcPr>
            <w:tcW w:w="500" w:type="pct"/>
            <w:vAlign w:val="center"/>
          </w:tcPr>
          <w:p>
            <w:pPr>
              <w:pStyle w:val="63"/>
            </w:pPr>
            <w:r>
              <w:rPr>
                <w:kern w:val="0"/>
                <w:lang w:bidi="ar"/>
              </w:rPr>
              <w:t>22.3</w:t>
            </w:r>
          </w:p>
        </w:tc>
        <w:tc>
          <w:tcPr>
            <w:tcW w:w="500" w:type="pct"/>
            <w:vAlign w:val="center"/>
          </w:tcPr>
          <w:p>
            <w:pPr>
              <w:pStyle w:val="63"/>
              <w:rPr>
                <w:kern w:val="0"/>
                <w:lang w:bidi="ar"/>
              </w:rPr>
            </w:pPr>
            <w:r>
              <w:t>/</w:t>
            </w:r>
          </w:p>
        </w:tc>
        <w:tc>
          <w:tcPr>
            <w:tcW w:w="500" w:type="pct"/>
            <w:vAlign w:val="center"/>
          </w:tcPr>
          <w:p>
            <w:pPr>
              <w:pStyle w:val="63"/>
              <w:rPr>
                <w:sz w:val="18"/>
                <w:szCs w:val="18"/>
              </w:rPr>
            </w:pPr>
            <w:r>
              <w:rPr>
                <w:kern w:val="0"/>
                <w:sz w:val="18"/>
                <w:szCs w:val="18"/>
                <w:lang w:bidi="ar"/>
              </w:rPr>
              <w:t>2.21</w:t>
            </w:r>
          </w:p>
        </w:tc>
        <w:tc>
          <w:tcPr>
            <w:tcW w:w="500" w:type="pct"/>
            <w:vAlign w:val="center"/>
          </w:tcPr>
          <w:p>
            <w:pPr>
              <w:pStyle w:val="63"/>
              <w:rPr>
                <w:kern w:val="0"/>
                <w:lang w:bidi="ar"/>
              </w:rPr>
            </w:pPr>
            <w:r>
              <w:t>/</w:t>
            </w:r>
          </w:p>
        </w:tc>
        <w:tc>
          <w:tcPr>
            <w:tcW w:w="500" w:type="pct"/>
            <w:vAlign w:val="center"/>
          </w:tcPr>
          <w:p>
            <w:pPr>
              <w:pStyle w:val="63"/>
            </w:pPr>
            <w:r>
              <w:t>达标</w:t>
            </w:r>
          </w:p>
        </w:tc>
        <w:tc>
          <w:tcPr>
            <w:tcW w:w="500" w:type="pct"/>
            <w:vAlign w:val="center"/>
          </w:tcPr>
          <w:p>
            <w:pPr>
              <w:pStyle w:val="63"/>
            </w:pPr>
            <w:r>
              <w:t>250</w:t>
            </w:r>
          </w:p>
        </w:tc>
        <w:tc>
          <w:tcPr>
            <w:tcW w:w="493" w:type="pct"/>
            <w:vAlign w:val="center"/>
          </w:tcPr>
          <w:p>
            <w:pPr>
              <w:pStyle w:val="63"/>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 w:type="pct"/>
            <w:vAlign w:val="center"/>
          </w:tcPr>
          <w:p>
            <w:pPr>
              <w:pStyle w:val="63"/>
            </w:pPr>
            <w:r>
              <w:t>SO</w:t>
            </w:r>
            <w:r>
              <w:rPr>
                <w:vertAlign w:val="subscript"/>
              </w:rPr>
              <w:t>4</w:t>
            </w:r>
            <w:r>
              <w:rPr>
                <w:vertAlign w:val="superscript"/>
              </w:rPr>
              <w:t>2-</w:t>
            </w:r>
          </w:p>
        </w:tc>
        <w:tc>
          <w:tcPr>
            <w:tcW w:w="503" w:type="pct"/>
            <w:vAlign w:val="center"/>
          </w:tcPr>
          <w:p>
            <w:pPr>
              <w:pStyle w:val="63"/>
            </w:pPr>
            <w:r>
              <w:rPr>
                <w:kern w:val="0"/>
                <w:lang w:bidi="ar"/>
              </w:rPr>
              <w:t>6.08</w:t>
            </w:r>
          </w:p>
        </w:tc>
        <w:tc>
          <w:tcPr>
            <w:tcW w:w="504" w:type="pct"/>
            <w:vAlign w:val="center"/>
          </w:tcPr>
          <w:p>
            <w:pPr>
              <w:pStyle w:val="63"/>
              <w:rPr>
                <w:kern w:val="0"/>
                <w:lang w:bidi="ar"/>
              </w:rPr>
            </w:pPr>
            <w:r>
              <w:t>/</w:t>
            </w:r>
          </w:p>
        </w:tc>
        <w:tc>
          <w:tcPr>
            <w:tcW w:w="500" w:type="pct"/>
            <w:vAlign w:val="center"/>
          </w:tcPr>
          <w:p>
            <w:pPr>
              <w:pStyle w:val="63"/>
            </w:pPr>
            <w:r>
              <w:rPr>
                <w:kern w:val="0"/>
                <w:lang w:bidi="ar"/>
              </w:rPr>
              <w:t>52.5</w:t>
            </w:r>
          </w:p>
        </w:tc>
        <w:tc>
          <w:tcPr>
            <w:tcW w:w="500" w:type="pct"/>
            <w:vAlign w:val="center"/>
          </w:tcPr>
          <w:p>
            <w:pPr>
              <w:pStyle w:val="63"/>
              <w:rPr>
                <w:kern w:val="0"/>
                <w:lang w:bidi="ar"/>
              </w:rPr>
            </w:pPr>
            <w:r>
              <w:t>/</w:t>
            </w:r>
          </w:p>
        </w:tc>
        <w:tc>
          <w:tcPr>
            <w:tcW w:w="500" w:type="pct"/>
            <w:vAlign w:val="center"/>
          </w:tcPr>
          <w:p>
            <w:pPr>
              <w:pStyle w:val="63"/>
              <w:rPr>
                <w:sz w:val="18"/>
                <w:szCs w:val="18"/>
              </w:rPr>
            </w:pPr>
            <w:r>
              <w:rPr>
                <w:kern w:val="0"/>
                <w:sz w:val="18"/>
                <w:szCs w:val="18"/>
                <w:lang w:bidi="ar"/>
              </w:rPr>
              <w:t>2.52</w:t>
            </w:r>
          </w:p>
        </w:tc>
        <w:tc>
          <w:tcPr>
            <w:tcW w:w="500" w:type="pct"/>
            <w:vAlign w:val="center"/>
          </w:tcPr>
          <w:p>
            <w:pPr>
              <w:pStyle w:val="63"/>
              <w:rPr>
                <w:kern w:val="0"/>
                <w:lang w:bidi="ar"/>
              </w:rPr>
            </w:pPr>
            <w:r>
              <w:t>/</w:t>
            </w:r>
          </w:p>
        </w:tc>
        <w:tc>
          <w:tcPr>
            <w:tcW w:w="500" w:type="pct"/>
            <w:vAlign w:val="center"/>
          </w:tcPr>
          <w:p>
            <w:pPr>
              <w:pStyle w:val="63"/>
            </w:pPr>
            <w:r>
              <w:t>达标</w:t>
            </w:r>
          </w:p>
        </w:tc>
        <w:tc>
          <w:tcPr>
            <w:tcW w:w="500" w:type="pct"/>
            <w:vAlign w:val="center"/>
          </w:tcPr>
          <w:p>
            <w:pPr>
              <w:pStyle w:val="63"/>
            </w:pPr>
            <w:r>
              <w:t>250</w:t>
            </w:r>
          </w:p>
        </w:tc>
        <w:tc>
          <w:tcPr>
            <w:tcW w:w="493" w:type="pct"/>
            <w:vAlign w:val="center"/>
          </w:tcPr>
          <w:p>
            <w:pPr>
              <w:pStyle w:val="63"/>
            </w:pPr>
            <w:r>
              <w:t>mg/L</w:t>
            </w:r>
          </w:p>
        </w:tc>
      </w:tr>
    </w:tbl>
    <w:p>
      <w:pPr>
        <w:pStyle w:val="6"/>
        <w:rPr>
          <w:rFonts w:ascii="Times New Roman" w:hAnsi="Times New Roman" w:cs="Times New Roman"/>
        </w:rPr>
      </w:pPr>
      <w:bookmarkStart w:id="261" w:name="_Toc72788742"/>
      <w:r>
        <w:rPr>
          <w:rFonts w:ascii="Times New Roman" w:hAnsi="Times New Roman" w:cs="Times New Roman"/>
        </w:rPr>
        <w:t>表5.3-4  地下水环境质量现状监测结果统计（mg/L）</w:t>
      </w:r>
    </w:p>
    <w:tbl>
      <w:tblPr>
        <w:tblStyle w:val="3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71"/>
        <w:gridCol w:w="1783"/>
        <w:gridCol w:w="1786"/>
        <w:gridCol w:w="1772"/>
        <w:gridCol w:w="1772"/>
        <w:gridCol w:w="1772"/>
        <w:gridCol w:w="1772"/>
        <w:gridCol w:w="17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25" w:type="pct"/>
            <w:vMerge w:val="restart"/>
            <w:vAlign w:val="center"/>
          </w:tcPr>
          <w:p>
            <w:pPr>
              <w:pStyle w:val="63"/>
            </w:pPr>
            <w:r>
              <w:t>项目</w:t>
            </w:r>
          </w:p>
        </w:tc>
        <w:tc>
          <w:tcPr>
            <w:tcW w:w="1259" w:type="pct"/>
            <w:gridSpan w:val="2"/>
            <w:vAlign w:val="center"/>
          </w:tcPr>
          <w:p>
            <w:pPr>
              <w:pStyle w:val="63"/>
            </w:pPr>
            <w:r>
              <w:t>D4</w:t>
            </w:r>
          </w:p>
        </w:tc>
        <w:tc>
          <w:tcPr>
            <w:tcW w:w="1250" w:type="pct"/>
            <w:gridSpan w:val="2"/>
            <w:vAlign w:val="center"/>
          </w:tcPr>
          <w:p>
            <w:pPr>
              <w:pStyle w:val="63"/>
            </w:pPr>
            <w:r>
              <w:t>D5</w:t>
            </w:r>
          </w:p>
        </w:tc>
        <w:tc>
          <w:tcPr>
            <w:tcW w:w="625" w:type="pct"/>
            <w:vMerge w:val="restart"/>
            <w:vAlign w:val="center"/>
          </w:tcPr>
          <w:p>
            <w:pPr>
              <w:pStyle w:val="63"/>
            </w:pPr>
            <w:r>
              <w:t>达标情况</w:t>
            </w:r>
          </w:p>
        </w:tc>
        <w:tc>
          <w:tcPr>
            <w:tcW w:w="625" w:type="pct"/>
            <w:vMerge w:val="restart"/>
            <w:vAlign w:val="center"/>
          </w:tcPr>
          <w:p>
            <w:pPr>
              <w:pStyle w:val="63"/>
            </w:pPr>
            <w:r>
              <w:t>标准值</w:t>
            </w:r>
          </w:p>
        </w:tc>
        <w:tc>
          <w:tcPr>
            <w:tcW w:w="616" w:type="pct"/>
            <w:vMerge w:val="restart"/>
            <w:vAlign w:val="center"/>
          </w:tcPr>
          <w:p>
            <w:pPr>
              <w:pStyle w:val="63"/>
            </w:pPr>
            <w: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25" w:type="pct"/>
            <w:vMerge w:val="continue"/>
            <w:vAlign w:val="center"/>
          </w:tcPr>
          <w:p>
            <w:pPr>
              <w:pStyle w:val="63"/>
            </w:pPr>
          </w:p>
        </w:tc>
        <w:tc>
          <w:tcPr>
            <w:tcW w:w="629" w:type="pct"/>
            <w:vAlign w:val="center"/>
          </w:tcPr>
          <w:p>
            <w:pPr>
              <w:pStyle w:val="63"/>
            </w:pPr>
            <w:r>
              <w:t>浓度</w:t>
            </w:r>
          </w:p>
        </w:tc>
        <w:tc>
          <w:tcPr>
            <w:tcW w:w="630" w:type="pct"/>
            <w:vAlign w:val="center"/>
          </w:tcPr>
          <w:p>
            <w:pPr>
              <w:pStyle w:val="63"/>
            </w:pPr>
            <w:r>
              <w:t>占标率</w:t>
            </w:r>
          </w:p>
        </w:tc>
        <w:tc>
          <w:tcPr>
            <w:tcW w:w="625" w:type="pct"/>
            <w:vAlign w:val="center"/>
          </w:tcPr>
          <w:p>
            <w:pPr>
              <w:pStyle w:val="63"/>
            </w:pPr>
            <w:r>
              <w:t>浓度</w:t>
            </w:r>
          </w:p>
        </w:tc>
        <w:tc>
          <w:tcPr>
            <w:tcW w:w="625" w:type="pct"/>
            <w:vAlign w:val="center"/>
          </w:tcPr>
          <w:p>
            <w:pPr>
              <w:pStyle w:val="63"/>
            </w:pPr>
            <w:r>
              <w:t>占标率</w:t>
            </w:r>
          </w:p>
        </w:tc>
        <w:tc>
          <w:tcPr>
            <w:tcW w:w="625" w:type="pct"/>
            <w:vMerge w:val="continue"/>
            <w:vAlign w:val="center"/>
          </w:tcPr>
          <w:p>
            <w:pPr>
              <w:pStyle w:val="63"/>
            </w:pPr>
          </w:p>
        </w:tc>
        <w:tc>
          <w:tcPr>
            <w:tcW w:w="625" w:type="pct"/>
            <w:vMerge w:val="continue"/>
            <w:vAlign w:val="center"/>
          </w:tcPr>
          <w:p>
            <w:pPr>
              <w:pStyle w:val="63"/>
            </w:pPr>
          </w:p>
        </w:tc>
        <w:tc>
          <w:tcPr>
            <w:tcW w:w="616"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pH值</w:t>
            </w:r>
          </w:p>
        </w:tc>
        <w:tc>
          <w:tcPr>
            <w:tcW w:w="629" w:type="pct"/>
            <w:vAlign w:val="center"/>
          </w:tcPr>
          <w:p>
            <w:pPr>
              <w:pStyle w:val="63"/>
              <w:rPr>
                <w:bCs/>
              </w:rPr>
            </w:pPr>
            <w:r>
              <w:rPr>
                <w:bCs/>
              </w:rPr>
              <w:t>7.1</w:t>
            </w:r>
          </w:p>
        </w:tc>
        <w:tc>
          <w:tcPr>
            <w:tcW w:w="630" w:type="pct"/>
            <w:vAlign w:val="center"/>
          </w:tcPr>
          <w:p>
            <w:pPr>
              <w:pStyle w:val="63"/>
            </w:pPr>
            <w:r>
              <w:t>/</w:t>
            </w:r>
          </w:p>
        </w:tc>
        <w:tc>
          <w:tcPr>
            <w:tcW w:w="625" w:type="pct"/>
            <w:vAlign w:val="center"/>
          </w:tcPr>
          <w:p>
            <w:pPr>
              <w:pStyle w:val="63"/>
            </w:pPr>
            <w:r>
              <w:t>7.2</w:t>
            </w:r>
          </w:p>
        </w:tc>
        <w:tc>
          <w:tcPr>
            <w:tcW w:w="625" w:type="pct"/>
            <w:vAlign w:val="center"/>
          </w:tcPr>
          <w:p>
            <w:pPr>
              <w:pStyle w:val="63"/>
            </w:pPr>
            <w:r>
              <w:t>/</w:t>
            </w:r>
          </w:p>
        </w:tc>
        <w:tc>
          <w:tcPr>
            <w:tcW w:w="625" w:type="pct"/>
            <w:vAlign w:val="center"/>
          </w:tcPr>
          <w:p>
            <w:pPr>
              <w:pStyle w:val="63"/>
            </w:pPr>
            <w:r>
              <w:t>达标</w:t>
            </w:r>
          </w:p>
        </w:tc>
        <w:tc>
          <w:tcPr>
            <w:tcW w:w="625" w:type="pct"/>
            <w:vAlign w:val="center"/>
          </w:tcPr>
          <w:p>
            <w:pPr>
              <w:pStyle w:val="63"/>
            </w:pPr>
            <w:r>
              <w:t>6.5~8.5</w:t>
            </w:r>
          </w:p>
        </w:tc>
        <w:tc>
          <w:tcPr>
            <w:tcW w:w="616" w:type="pct"/>
            <w:vAlign w:val="center"/>
          </w:tcPr>
          <w:p>
            <w:pPr>
              <w:pStyle w:val="63"/>
            </w:pPr>
            <w: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总硬度</w:t>
            </w:r>
          </w:p>
        </w:tc>
        <w:tc>
          <w:tcPr>
            <w:tcW w:w="629" w:type="pct"/>
            <w:vAlign w:val="center"/>
          </w:tcPr>
          <w:p>
            <w:pPr>
              <w:pStyle w:val="63"/>
            </w:pPr>
            <w:r>
              <w:t>105</w:t>
            </w:r>
          </w:p>
        </w:tc>
        <w:tc>
          <w:tcPr>
            <w:tcW w:w="630" w:type="pct"/>
            <w:vAlign w:val="center"/>
          </w:tcPr>
          <w:p>
            <w:pPr>
              <w:pStyle w:val="63"/>
            </w:pPr>
            <w:r>
              <w:t>0.23</w:t>
            </w:r>
          </w:p>
        </w:tc>
        <w:tc>
          <w:tcPr>
            <w:tcW w:w="625" w:type="pct"/>
            <w:vAlign w:val="center"/>
          </w:tcPr>
          <w:p>
            <w:pPr>
              <w:pStyle w:val="63"/>
            </w:pPr>
            <w:r>
              <w:t>74</w:t>
            </w:r>
          </w:p>
        </w:tc>
        <w:tc>
          <w:tcPr>
            <w:tcW w:w="625" w:type="pct"/>
            <w:vAlign w:val="center"/>
          </w:tcPr>
          <w:p>
            <w:pPr>
              <w:pStyle w:val="63"/>
            </w:pPr>
            <w:r>
              <w:t>0.16</w:t>
            </w:r>
          </w:p>
        </w:tc>
        <w:tc>
          <w:tcPr>
            <w:tcW w:w="625" w:type="pct"/>
            <w:vAlign w:val="center"/>
          </w:tcPr>
          <w:p>
            <w:pPr>
              <w:pStyle w:val="63"/>
            </w:pPr>
            <w:r>
              <w:t>达标</w:t>
            </w:r>
          </w:p>
        </w:tc>
        <w:tc>
          <w:tcPr>
            <w:tcW w:w="625" w:type="pct"/>
            <w:vAlign w:val="center"/>
          </w:tcPr>
          <w:p>
            <w:pPr>
              <w:pStyle w:val="63"/>
            </w:pPr>
            <w:r>
              <w:t>450</w:t>
            </w:r>
          </w:p>
        </w:tc>
        <w:tc>
          <w:tcPr>
            <w:tcW w:w="616"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溶解性总固体</w:t>
            </w:r>
          </w:p>
        </w:tc>
        <w:tc>
          <w:tcPr>
            <w:tcW w:w="629" w:type="pct"/>
            <w:vAlign w:val="center"/>
          </w:tcPr>
          <w:p>
            <w:pPr>
              <w:pStyle w:val="63"/>
            </w:pPr>
            <w:r>
              <w:t>165</w:t>
            </w:r>
          </w:p>
        </w:tc>
        <w:tc>
          <w:tcPr>
            <w:tcW w:w="630" w:type="pct"/>
            <w:vAlign w:val="center"/>
          </w:tcPr>
          <w:p>
            <w:pPr>
              <w:pStyle w:val="63"/>
            </w:pPr>
            <w:r>
              <w:t>0.17</w:t>
            </w:r>
          </w:p>
        </w:tc>
        <w:tc>
          <w:tcPr>
            <w:tcW w:w="625" w:type="pct"/>
            <w:vAlign w:val="center"/>
          </w:tcPr>
          <w:p>
            <w:pPr>
              <w:pStyle w:val="63"/>
            </w:pPr>
            <w:r>
              <w:t>160</w:t>
            </w:r>
          </w:p>
        </w:tc>
        <w:tc>
          <w:tcPr>
            <w:tcW w:w="625" w:type="pct"/>
            <w:vAlign w:val="center"/>
          </w:tcPr>
          <w:p>
            <w:pPr>
              <w:pStyle w:val="63"/>
            </w:pPr>
            <w:r>
              <w:t>0.16</w:t>
            </w:r>
          </w:p>
        </w:tc>
        <w:tc>
          <w:tcPr>
            <w:tcW w:w="625" w:type="pct"/>
            <w:vAlign w:val="center"/>
          </w:tcPr>
          <w:p>
            <w:pPr>
              <w:pStyle w:val="63"/>
            </w:pPr>
            <w:r>
              <w:t>达标</w:t>
            </w:r>
          </w:p>
        </w:tc>
        <w:tc>
          <w:tcPr>
            <w:tcW w:w="625" w:type="pct"/>
            <w:vAlign w:val="center"/>
          </w:tcPr>
          <w:p>
            <w:pPr>
              <w:pStyle w:val="63"/>
            </w:pPr>
            <w:r>
              <w:t>1000</w:t>
            </w:r>
          </w:p>
        </w:tc>
        <w:tc>
          <w:tcPr>
            <w:tcW w:w="616" w:type="pct"/>
            <w:vAlign w:val="center"/>
          </w:tcPr>
          <w:p>
            <w:pPr>
              <w:pStyle w:val="63"/>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rPr>
                <w:kern w:val="0"/>
                <w:lang w:bidi="ar"/>
              </w:rPr>
              <w:t>氯化物</w:t>
            </w:r>
          </w:p>
        </w:tc>
        <w:tc>
          <w:tcPr>
            <w:tcW w:w="629" w:type="pct"/>
            <w:vAlign w:val="center"/>
          </w:tcPr>
          <w:p>
            <w:pPr>
              <w:pStyle w:val="63"/>
            </w:pPr>
            <w:r>
              <w:t>53.7</w:t>
            </w:r>
          </w:p>
        </w:tc>
        <w:tc>
          <w:tcPr>
            <w:tcW w:w="630" w:type="pct"/>
            <w:vAlign w:val="center"/>
          </w:tcPr>
          <w:p>
            <w:pPr>
              <w:pStyle w:val="63"/>
            </w:pPr>
            <w:r>
              <w:t>0.21</w:t>
            </w:r>
          </w:p>
        </w:tc>
        <w:tc>
          <w:tcPr>
            <w:tcW w:w="625" w:type="pct"/>
            <w:vAlign w:val="center"/>
          </w:tcPr>
          <w:p>
            <w:pPr>
              <w:pStyle w:val="63"/>
            </w:pPr>
            <w:r>
              <w:t>48.6</w:t>
            </w:r>
          </w:p>
        </w:tc>
        <w:tc>
          <w:tcPr>
            <w:tcW w:w="625" w:type="pct"/>
            <w:vAlign w:val="center"/>
          </w:tcPr>
          <w:p>
            <w:pPr>
              <w:pStyle w:val="63"/>
            </w:pPr>
            <w:r>
              <w:t>0.19</w:t>
            </w:r>
          </w:p>
        </w:tc>
        <w:tc>
          <w:tcPr>
            <w:tcW w:w="625" w:type="pct"/>
            <w:vAlign w:val="center"/>
          </w:tcPr>
          <w:p>
            <w:pPr>
              <w:pStyle w:val="63"/>
            </w:pPr>
            <w:r>
              <w:t>达标</w:t>
            </w:r>
          </w:p>
        </w:tc>
        <w:tc>
          <w:tcPr>
            <w:tcW w:w="625" w:type="pct"/>
            <w:vAlign w:val="center"/>
          </w:tcPr>
          <w:p>
            <w:pPr>
              <w:pStyle w:val="63"/>
            </w:pPr>
            <w:r>
              <w:t>250</w:t>
            </w:r>
          </w:p>
        </w:tc>
        <w:tc>
          <w:tcPr>
            <w:tcW w:w="616"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rPr>
                <w:kern w:val="0"/>
                <w:lang w:bidi="ar"/>
              </w:rPr>
              <w:t>硫酸盐</w:t>
            </w:r>
          </w:p>
        </w:tc>
        <w:tc>
          <w:tcPr>
            <w:tcW w:w="629" w:type="pct"/>
            <w:vAlign w:val="center"/>
          </w:tcPr>
          <w:p>
            <w:pPr>
              <w:pStyle w:val="63"/>
            </w:pPr>
            <w:r>
              <w:t>37.5</w:t>
            </w:r>
          </w:p>
        </w:tc>
        <w:tc>
          <w:tcPr>
            <w:tcW w:w="630" w:type="pct"/>
            <w:vAlign w:val="center"/>
          </w:tcPr>
          <w:p>
            <w:pPr>
              <w:pStyle w:val="63"/>
            </w:pPr>
            <w:r>
              <w:t>0.15</w:t>
            </w:r>
          </w:p>
        </w:tc>
        <w:tc>
          <w:tcPr>
            <w:tcW w:w="625" w:type="pct"/>
            <w:vAlign w:val="center"/>
          </w:tcPr>
          <w:p>
            <w:pPr>
              <w:pStyle w:val="63"/>
            </w:pPr>
            <w:r>
              <w:t>6.86</w:t>
            </w:r>
          </w:p>
        </w:tc>
        <w:tc>
          <w:tcPr>
            <w:tcW w:w="625" w:type="pct"/>
            <w:vAlign w:val="center"/>
          </w:tcPr>
          <w:p>
            <w:pPr>
              <w:pStyle w:val="63"/>
            </w:pPr>
            <w:r>
              <w:t>0.03</w:t>
            </w:r>
          </w:p>
        </w:tc>
        <w:tc>
          <w:tcPr>
            <w:tcW w:w="625" w:type="pct"/>
            <w:vAlign w:val="center"/>
          </w:tcPr>
          <w:p>
            <w:pPr>
              <w:pStyle w:val="63"/>
            </w:pPr>
            <w:r>
              <w:t>达标</w:t>
            </w:r>
          </w:p>
        </w:tc>
        <w:tc>
          <w:tcPr>
            <w:tcW w:w="625" w:type="pct"/>
            <w:vAlign w:val="center"/>
          </w:tcPr>
          <w:p>
            <w:pPr>
              <w:pStyle w:val="63"/>
            </w:pPr>
            <w:r>
              <w:t>250</w:t>
            </w:r>
          </w:p>
        </w:tc>
        <w:tc>
          <w:tcPr>
            <w:tcW w:w="616"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rPr>
                <w:kern w:val="0"/>
                <w:lang w:bidi="ar"/>
              </w:rPr>
            </w:pPr>
            <w:r>
              <w:rPr>
                <w:kern w:val="0"/>
                <w:lang w:bidi="ar"/>
              </w:rPr>
              <w:t>铁</w:t>
            </w:r>
          </w:p>
        </w:tc>
        <w:tc>
          <w:tcPr>
            <w:tcW w:w="629" w:type="pct"/>
            <w:vAlign w:val="center"/>
          </w:tcPr>
          <w:p>
            <w:pPr>
              <w:pStyle w:val="63"/>
              <w:rPr>
                <w:kern w:val="0"/>
                <w:lang w:bidi="ar"/>
              </w:rPr>
            </w:pPr>
            <w:r>
              <w:rPr>
                <w:kern w:val="0"/>
                <w:lang w:bidi="ar"/>
              </w:rPr>
              <w:t>0.03L</w:t>
            </w:r>
          </w:p>
        </w:tc>
        <w:tc>
          <w:tcPr>
            <w:tcW w:w="630" w:type="pct"/>
            <w:vAlign w:val="center"/>
          </w:tcPr>
          <w:p>
            <w:pPr>
              <w:pStyle w:val="63"/>
              <w:rPr>
                <w:kern w:val="0"/>
                <w:lang w:bidi="ar"/>
              </w:rPr>
            </w:pPr>
            <w:r>
              <w:t>/</w:t>
            </w:r>
          </w:p>
        </w:tc>
        <w:tc>
          <w:tcPr>
            <w:tcW w:w="625" w:type="pct"/>
            <w:vAlign w:val="center"/>
          </w:tcPr>
          <w:p>
            <w:pPr>
              <w:pStyle w:val="63"/>
            </w:pPr>
            <w:r>
              <w:rPr>
                <w:kern w:val="0"/>
                <w:lang w:bidi="ar"/>
              </w:rPr>
              <w:t>0.03L</w:t>
            </w:r>
          </w:p>
        </w:tc>
        <w:tc>
          <w:tcPr>
            <w:tcW w:w="625" w:type="pct"/>
            <w:vAlign w:val="center"/>
          </w:tcPr>
          <w:p>
            <w:pPr>
              <w:pStyle w:val="63"/>
              <w:rPr>
                <w:kern w:val="0"/>
                <w:lang w:bidi="ar"/>
              </w:rPr>
            </w:pPr>
            <w:r>
              <w:t>/</w:t>
            </w:r>
          </w:p>
        </w:tc>
        <w:tc>
          <w:tcPr>
            <w:tcW w:w="625" w:type="pct"/>
            <w:vAlign w:val="center"/>
          </w:tcPr>
          <w:p>
            <w:pPr>
              <w:pStyle w:val="63"/>
            </w:pPr>
            <w:r>
              <w:t>达标</w:t>
            </w:r>
          </w:p>
        </w:tc>
        <w:tc>
          <w:tcPr>
            <w:tcW w:w="625" w:type="pct"/>
            <w:vAlign w:val="center"/>
          </w:tcPr>
          <w:p>
            <w:pPr>
              <w:pStyle w:val="63"/>
            </w:pPr>
            <w:r>
              <w:t>0.3</w:t>
            </w:r>
          </w:p>
        </w:tc>
        <w:tc>
          <w:tcPr>
            <w:tcW w:w="616" w:type="pct"/>
            <w:vAlign w:val="center"/>
          </w:tcPr>
          <w:p>
            <w:pPr>
              <w:pStyle w:val="63"/>
              <w:rPr>
                <w:kern w:val="0"/>
                <w:lang w:bidi="ar"/>
              </w:rPr>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rPr>
                <w:kern w:val="0"/>
                <w:lang w:bidi="ar"/>
              </w:rPr>
            </w:pPr>
            <w:r>
              <w:rPr>
                <w:kern w:val="0"/>
                <w:lang w:bidi="ar"/>
              </w:rPr>
              <w:t>锰</w:t>
            </w:r>
          </w:p>
        </w:tc>
        <w:tc>
          <w:tcPr>
            <w:tcW w:w="629" w:type="pct"/>
            <w:vAlign w:val="center"/>
          </w:tcPr>
          <w:p>
            <w:pPr>
              <w:pStyle w:val="63"/>
              <w:rPr>
                <w:kern w:val="0"/>
                <w:lang w:bidi="ar"/>
              </w:rPr>
            </w:pPr>
            <w:r>
              <w:rPr>
                <w:kern w:val="0"/>
                <w:lang w:bidi="ar"/>
              </w:rPr>
              <w:t>0.01L</w:t>
            </w:r>
          </w:p>
        </w:tc>
        <w:tc>
          <w:tcPr>
            <w:tcW w:w="630" w:type="pct"/>
            <w:vAlign w:val="center"/>
          </w:tcPr>
          <w:p>
            <w:pPr>
              <w:pStyle w:val="63"/>
            </w:pPr>
            <w:r>
              <w:t>/</w:t>
            </w:r>
          </w:p>
        </w:tc>
        <w:tc>
          <w:tcPr>
            <w:tcW w:w="625" w:type="pct"/>
            <w:vAlign w:val="center"/>
          </w:tcPr>
          <w:p>
            <w:pPr>
              <w:pStyle w:val="63"/>
            </w:pPr>
            <w:r>
              <w:rPr>
                <w:kern w:val="0"/>
                <w:lang w:bidi="ar"/>
              </w:rPr>
              <w:t>0.01L</w:t>
            </w:r>
          </w:p>
        </w:tc>
        <w:tc>
          <w:tcPr>
            <w:tcW w:w="625" w:type="pct"/>
            <w:vAlign w:val="center"/>
          </w:tcPr>
          <w:p>
            <w:pPr>
              <w:pStyle w:val="63"/>
              <w:rPr>
                <w:kern w:val="0"/>
                <w:lang w:bidi="ar"/>
              </w:rPr>
            </w:pPr>
            <w:r>
              <w:t>/</w:t>
            </w:r>
          </w:p>
        </w:tc>
        <w:tc>
          <w:tcPr>
            <w:tcW w:w="625" w:type="pct"/>
            <w:vAlign w:val="center"/>
          </w:tcPr>
          <w:p>
            <w:pPr>
              <w:pStyle w:val="63"/>
            </w:pPr>
            <w:r>
              <w:t>达标</w:t>
            </w:r>
          </w:p>
        </w:tc>
        <w:tc>
          <w:tcPr>
            <w:tcW w:w="625" w:type="pct"/>
            <w:vAlign w:val="center"/>
          </w:tcPr>
          <w:p>
            <w:pPr>
              <w:pStyle w:val="63"/>
            </w:pPr>
            <w:r>
              <w:t>0.10</w:t>
            </w:r>
          </w:p>
        </w:tc>
        <w:tc>
          <w:tcPr>
            <w:tcW w:w="616" w:type="pct"/>
            <w:vAlign w:val="center"/>
          </w:tcPr>
          <w:p>
            <w:pPr>
              <w:pStyle w:val="63"/>
              <w:rPr>
                <w:kern w:val="0"/>
                <w:lang w:bidi="ar"/>
              </w:rPr>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rPr>
                <w:kern w:val="0"/>
                <w:lang w:bidi="ar"/>
              </w:rPr>
            </w:pPr>
            <w:r>
              <w:rPr>
                <w:kern w:val="0"/>
                <w:lang w:bidi="ar"/>
              </w:rPr>
              <w:t>铜</w:t>
            </w:r>
          </w:p>
        </w:tc>
        <w:tc>
          <w:tcPr>
            <w:tcW w:w="629" w:type="pct"/>
            <w:vAlign w:val="center"/>
          </w:tcPr>
          <w:p>
            <w:pPr>
              <w:pStyle w:val="63"/>
            </w:pPr>
            <w:r>
              <w:rPr>
                <w:kern w:val="0"/>
                <w:lang w:bidi="ar"/>
              </w:rPr>
              <w:t>0.05L</w:t>
            </w:r>
          </w:p>
        </w:tc>
        <w:tc>
          <w:tcPr>
            <w:tcW w:w="630" w:type="pct"/>
            <w:vAlign w:val="center"/>
          </w:tcPr>
          <w:p>
            <w:pPr>
              <w:pStyle w:val="63"/>
            </w:pPr>
            <w:r>
              <w:t>/</w:t>
            </w:r>
          </w:p>
        </w:tc>
        <w:tc>
          <w:tcPr>
            <w:tcW w:w="625" w:type="pct"/>
            <w:vAlign w:val="center"/>
          </w:tcPr>
          <w:p>
            <w:pPr>
              <w:pStyle w:val="63"/>
            </w:pPr>
            <w:r>
              <w:rPr>
                <w:kern w:val="0"/>
                <w:lang w:bidi="ar"/>
              </w:rPr>
              <w:t>0.05L</w:t>
            </w:r>
          </w:p>
        </w:tc>
        <w:tc>
          <w:tcPr>
            <w:tcW w:w="625" w:type="pct"/>
            <w:vAlign w:val="center"/>
          </w:tcPr>
          <w:p>
            <w:pPr>
              <w:pStyle w:val="63"/>
              <w:rPr>
                <w:kern w:val="0"/>
                <w:lang w:bidi="ar"/>
              </w:rPr>
            </w:pPr>
            <w:r>
              <w:t>/</w:t>
            </w:r>
          </w:p>
        </w:tc>
        <w:tc>
          <w:tcPr>
            <w:tcW w:w="625" w:type="pct"/>
            <w:vAlign w:val="center"/>
          </w:tcPr>
          <w:p>
            <w:pPr>
              <w:pStyle w:val="63"/>
            </w:pPr>
            <w:r>
              <w:t>达标</w:t>
            </w:r>
          </w:p>
        </w:tc>
        <w:tc>
          <w:tcPr>
            <w:tcW w:w="625" w:type="pct"/>
            <w:vAlign w:val="center"/>
          </w:tcPr>
          <w:p>
            <w:pPr>
              <w:pStyle w:val="63"/>
            </w:pPr>
            <w:r>
              <w:t>1.00</w:t>
            </w:r>
          </w:p>
        </w:tc>
        <w:tc>
          <w:tcPr>
            <w:tcW w:w="616"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rPr>
                <w:kern w:val="0"/>
                <w:lang w:bidi="ar"/>
              </w:rPr>
            </w:pPr>
            <w:r>
              <w:rPr>
                <w:kern w:val="0"/>
                <w:lang w:bidi="ar"/>
              </w:rPr>
              <w:t>锌</w:t>
            </w:r>
          </w:p>
        </w:tc>
        <w:tc>
          <w:tcPr>
            <w:tcW w:w="629" w:type="pct"/>
            <w:vAlign w:val="center"/>
          </w:tcPr>
          <w:p>
            <w:pPr>
              <w:pStyle w:val="63"/>
            </w:pPr>
            <w:r>
              <w:rPr>
                <w:kern w:val="0"/>
                <w:lang w:bidi="ar"/>
              </w:rPr>
              <w:t>0.05L</w:t>
            </w:r>
          </w:p>
        </w:tc>
        <w:tc>
          <w:tcPr>
            <w:tcW w:w="630" w:type="pct"/>
            <w:vAlign w:val="center"/>
          </w:tcPr>
          <w:p>
            <w:pPr>
              <w:pStyle w:val="63"/>
              <w:rPr>
                <w:kern w:val="0"/>
                <w:lang w:bidi="ar"/>
              </w:rPr>
            </w:pPr>
            <w:r>
              <w:t>/</w:t>
            </w:r>
          </w:p>
        </w:tc>
        <w:tc>
          <w:tcPr>
            <w:tcW w:w="625" w:type="pct"/>
            <w:vAlign w:val="center"/>
          </w:tcPr>
          <w:p>
            <w:pPr>
              <w:pStyle w:val="63"/>
            </w:pPr>
            <w:r>
              <w:rPr>
                <w:kern w:val="0"/>
                <w:lang w:bidi="ar"/>
              </w:rPr>
              <w:t>0.05L</w:t>
            </w:r>
          </w:p>
        </w:tc>
        <w:tc>
          <w:tcPr>
            <w:tcW w:w="625" w:type="pct"/>
            <w:vAlign w:val="center"/>
          </w:tcPr>
          <w:p>
            <w:pPr>
              <w:pStyle w:val="63"/>
              <w:rPr>
                <w:kern w:val="0"/>
                <w:lang w:bidi="ar"/>
              </w:rPr>
            </w:pPr>
            <w:r>
              <w:t>/</w:t>
            </w:r>
          </w:p>
        </w:tc>
        <w:tc>
          <w:tcPr>
            <w:tcW w:w="625" w:type="pct"/>
            <w:vAlign w:val="center"/>
          </w:tcPr>
          <w:p>
            <w:pPr>
              <w:pStyle w:val="63"/>
            </w:pPr>
            <w:r>
              <w:t>达标</w:t>
            </w:r>
          </w:p>
        </w:tc>
        <w:tc>
          <w:tcPr>
            <w:tcW w:w="625" w:type="pct"/>
            <w:vAlign w:val="center"/>
          </w:tcPr>
          <w:p>
            <w:pPr>
              <w:pStyle w:val="63"/>
            </w:pPr>
            <w:r>
              <w:t>1.00</w:t>
            </w:r>
          </w:p>
        </w:tc>
        <w:tc>
          <w:tcPr>
            <w:tcW w:w="616"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耗氧量</w:t>
            </w:r>
          </w:p>
        </w:tc>
        <w:tc>
          <w:tcPr>
            <w:tcW w:w="629" w:type="pct"/>
            <w:vAlign w:val="center"/>
          </w:tcPr>
          <w:p>
            <w:pPr>
              <w:pStyle w:val="63"/>
            </w:pPr>
            <w:r>
              <w:t>1.5</w:t>
            </w:r>
          </w:p>
        </w:tc>
        <w:tc>
          <w:tcPr>
            <w:tcW w:w="630" w:type="pct"/>
            <w:vAlign w:val="center"/>
          </w:tcPr>
          <w:p>
            <w:pPr>
              <w:pStyle w:val="63"/>
            </w:pPr>
            <w:r>
              <w:t>0.5</w:t>
            </w:r>
          </w:p>
        </w:tc>
        <w:tc>
          <w:tcPr>
            <w:tcW w:w="625" w:type="pct"/>
            <w:vAlign w:val="center"/>
          </w:tcPr>
          <w:p>
            <w:pPr>
              <w:pStyle w:val="63"/>
            </w:pPr>
            <w:r>
              <w:t>1.4</w:t>
            </w:r>
          </w:p>
        </w:tc>
        <w:tc>
          <w:tcPr>
            <w:tcW w:w="625" w:type="pct"/>
            <w:vAlign w:val="center"/>
          </w:tcPr>
          <w:p>
            <w:pPr>
              <w:pStyle w:val="63"/>
            </w:pPr>
            <w:r>
              <w:t>0.47</w:t>
            </w:r>
          </w:p>
        </w:tc>
        <w:tc>
          <w:tcPr>
            <w:tcW w:w="625" w:type="pct"/>
            <w:vAlign w:val="center"/>
          </w:tcPr>
          <w:p>
            <w:pPr>
              <w:pStyle w:val="63"/>
            </w:pPr>
            <w:r>
              <w:t>达标</w:t>
            </w:r>
          </w:p>
        </w:tc>
        <w:tc>
          <w:tcPr>
            <w:tcW w:w="625" w:type="pct"/>
            <w:vAlign w:val="center"/>
          </w:tcPr>
          <w:p>
            <w:pPr>
              <w:pStyle w:val="63"/>
            </w:pPr>
            <w:r>
              <w:t>3.0</w:t>
            </w:r>
          </w:p>
        </w:tc>
        <w:tc>
          <w:tcPr>
            <w:tcW w:w="616"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氨氮</w:t>
            </w:r>
          </w:p>
        </w:tc>
        <w:tc>
          <w:tcPr>
            <w:tcW w:w="629" w:type="pct"/>
            <w:vAlign w:val="center"/>
          </w:tcPr>
          <w:p>
            <w:pPr>
              <w:pStyle w:val="63"/>
            </w:pPr>
            <w:r>
              <w:t>0.193</w:t>
            </w:r>
          </w:p>
        </w:tc>
        <w:tc>
          <w:tcPr>
            <w:tcW w:w="630" w:type="pct"/>
            <w:vAlign w:val="center"/>
          </w:tcPr>
          <w:p>
            <w:pPr>
              <w:pStyle w:val="63"/>
            </w:pPr>
            <w:r>
              <w:t>0.39</w:t>
            </w:r>
          </w:p>
        </w:tc>
        <w:tc>
          <w:tcPr>
            <w:tcW w:w="625" w:type="pct"/>
            <w:vAlign w:val="center"/>
          </w:tcPr>
          <w:p>
            <w:pPr>
              <w:pStyle w:val="63"/>
            </w:pPr>
            <w:r>
              <w:t>0.147</w:t>
            </w:r>
          </w:p>
        </w:tc>
        <w:tc>
          <w:tcPr>
            <w:tcW w:w="625" w:type="pct"/>
            <w:vAlign w:val="center"/>
          </w:tcPr>
          <w:p>
            <w:pPr>
              <w:pStyle w:val="63"/>
            </w:pPr>
            <w:r>
              <w:t>0.29</w:t>
            </w:r>
          </w:p>
        </w:tc>
        <w:tc>
          <w:tcPr>
            <w:tcW w:w="625" w:type="pct"/>
            <w:vAlign w:val="center"/>
          </w:tcPr>
          <w:p>
            <w:pPr>
              <w:pStyle w:val="63"/>
            </w:pPr>
            <w:r>
              <w:t>达标</w:t>
            </w:r>
          </w:p>
        </w:tc>
        <w:tc>
          <w:tcPr>
            <w:tcW w:w="625" w:type="pct"/>
            <w:vAlign w:val="center"/>
          </w:tcPr>
          <w:p>
            <w:pPr>
              <w:pStyle w:val="63"/>
            </w:pPr>
            <w:r>
              <w:t>0.50</w:t>
            </w:r>
          </w:p>
        </w:tc>
        <w:tc>
          <w:tcPr>
            <w:tcW w:w="616" w:type="pct"/>
            <w:vAlign w:val="center"/>
          </w:tcPr>
          <w:p>
            <w:pPr>
              <w:pStyle w:val="63"/>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挥发性酚类</w:t>
            </w:r>
          </w:p>
        </w:tc>
        <w:tc>
          <w:tcPr>
            <w:tcW w:w="629" w:type="pct"/>
            <w:vAlign w:val="center"/>
          </w:tcPr>
          <w:p>
            <w:pPr>
              <w:pStyle w:val="63"/>
            </w:pPr>
            <w:r>
              <w:t>0.0003L</w:t>
            </w:r>
          </w:p>
        </w:tc>
        <w:tc>
          <w:tcPr>
            <w:tcW w:w="630" w:type="pct"/>
            <w:vAlign w:val="center"/>
          </w:tcPr>
          <w:p>
            <w:pPr>
              <w:pStyle w:val="63"/>
            </w:pPr>
            <w:r>
              <w:t>/</w:t>
            </w:r>
          </w:p>
        </w:tc>
        <w:tc>
          <w:tcPr>
            <w:tcW w:w="625" w:type="pct"/>
            <w:vAlign w:val="center"/>
          </w:tcPr>
          <w:p>
            <w:pPr>
              <w:pStyle w:val="63"/>
            </w:pPr>
            <w:r>
              <w:t>0.0003L</w:t>
            </w:r>
          </w:p>
        </w:tc>
        <w:tc>
          <w:tcPr>
            <w:tcW w:w="625" w:type="pct"/>
            <w:vAlign w:val="center"/>
          </w:tcPr>
          <w:p>
            <w:pPr>
              <w:pStyle w:val="63"/>
            </w:pPr>
            <w:r>
              <w:t>/</w:t>
            </w:r>
          </w:p>
        </w:tc>
        <w:tc>
          <w:tcPr>
            <w:tcW w:w="625" w:type="pct"/>
            <w:vAlign w:val="center"/>
          </w:tcPr>
          <w:p>
            <w:pPr>
              <w:pStyle w:val="63"/>
            </w:pPr>
            <w:r>
              <w:t>达标</w:t>
            </w:r>
          </w:p>
        </w:tc>
        <w:tc>
          <w:tcPr>
            <w:tcW w:w="625" w:type="pct"/>
            <w:vAlign w:val="center"/>
          </w:tcPr>
          <w:p>
            <w:pPr>
              <w:pStyle w:val="63"/>
            </w:pPr>
            <w:r>
              <w:t>0.002</w:t>
            </w:r>
          </w:p>
        </w:tc>
        <w:tc>
          <w:tcPr>
            <w:tcW w:w="616"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rPr>
                <w:kern w:val="0"/>
                <w:lang w:bidi="ar"/>
              </w:rPr>
              <w:t>硫化物</w:t>
            </w:r>
          </w:p>
        </w:tc>
        <w:tc>
          <w:tcPr>
            <w:tcW w:w="629" w:type="pct"/>
            <w:vAlign w:val="center"/>
          </w:tcPr>
          <w:p>
            <w:pPr>
              <w:pStyle w:val="63"/>
            </w:pPr>
            <w:r>
              <w:t>0.003L</w:t>
            </w:r>
          </w:p>
        </w:tc>
        <w:tc>
          <w:tcPr>
            <w:tcW w:w="630" w:type="pct"/>
            <w:vAlign w:val="center"/>
          </w:tcPr>
          <w:p>
            <w:pPr>
              <w:pStyle w:val="63"/>
            </w:pPr>
            <w:r>
              <w:t>/</w:t>
            </w:r>
          </w:p>
        </w:tc>
        <w:tc>
          <w:tcPr>
            <w:tcW w:w="625" w:type="pct"/>
            <w:vAlign w:val="center"/>
          </w:tcPr>
          <w:p>
            <w:pPr>
              <w:pStyle w:val="63"/>
            </w:pPr>
            <w:r>
              <w:t>0.003L</w:t>
            </w:r>
          </w:p>
        </w:tc>
        <w:tc>
          <w:tcPr>
            <w:tcW w:w="625" w:type="pct"/>
            <w:vAlign w:val="center"/>
          </w:tcPr>
          <w:p>
            <w:pPr>
              <w:pStyle w:val="63"/>
            </w:pPr>
            <w:r>
              <w:t>/</w:t>
            </w:r>
          </w:p>
        </w:tc>
        <w:tc>
          <w:tcPr>
            <w:tcW w:w="625" w:type="pct"/>
            <w:vAlign w:val="center"/>
          </w:tcPr>
          <w:p>
            <w:pPr>
              <w:pStyle w:val="63"/>
            </w:pPr>
            <w:r>
              <w:t>达标</w:t>
            </w:r>
          </w:p>
        </w:tc>
        <w:tc>
          <w:tcPr>
            <w:tcW w:w="625" w:type="pct"/>
            <w:vAlign w:val="center"/>
          </w:tcPr>
          <w:p>
            <w:pPr>
              <w:pStyle w:val="63"/>
            </w:pPr>
            <w:r>
              <w:t>0.02</w:t>
            </w:r>
          </w:p>
        </w:tc>
        <w:tc>
          <w:tcPr>
            <w:tcW w:w="616"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总大肠菌群</w:t>
            </w:r>
          </w:p>
        </w:tc>
        <w:tc>
          <w:tcPr>
            <w:tcW w:w="629" w:type="pct"/>
            <w:vAlign w:val="center"/>
          </w:tcPr>
          <w:p>
            <w:pPr>
              <w:pStyle w:val="63"/>
            </w:pPr>
            <w:r>
              <w:t>＜20</w:t>
            </w:r>
          </w:p>
        </w:tc>
        <w:tc>
          <w:tcPr>
            <w:tcW w:w="630" w:type="pct"/>
            <w:vAlign w:val="center"/>
          </w:tcPr>
          <w:p>
            <w:pPr>
              <w:pStyle w:val="63"/>
            </w:pPr>
            <w:r>
              <w:t>/</w:t>
            </w:r>
          </w:p>
        </w:tc>
        <w:tc>
          <w:tcPr>
            <w:tcW w:w="625" w:type="pct"/>
            <w:vAlign w:val="center"/>
          </w:tcPr>
          <w:p>
            <w:pPr>
              <w:pStyle w:val="63"/>
            </w:pPr>
            <w:r>
              <w:t>＜20</w:t>
            </w:r>
          </w:p>
        </w:tc>
        <w:tc>
          <w:tcPr>
            <w:tcW w:w="625" w:type="pct"/>
            <w:vAlign w:val="center"/>
          </w:tcPr>
          <w:p>
            <w:pPr>
              <w:pStyle w:val="63"/>
            </w:pPr>
            <w:r>
              <w:t>/</w:t>
            </w:r>
          </w:p>
        </w:tc>
        <w:tc>
          <w:tcPr>
            <w:tcW w:w="625" w:type="pct"/>
            <w:vAlign w:val="center"/>
          </w:tcPr>
          <w:p>
            <w:pPr>
              <w:pStyle w:val="63"/>
            </w:pPr>
            <w:r>
              <w:t>达标</w:t>
            </w:r>
          </w:p>
        </w:tc>
        <w:tc>
          <w:tcPr>
            <w:tcW w:w="625" w:type="pct"/>
            <w:vAlign w:val="center"/>
          </w:tcPr>
          <w:p>
            <w:pPr>
              <w:pStyle w:val="63"/>
            </w:pPr>
            <w:r>
              <w:t>30</w:t>
            </w:r>
          </w:p>
        </w:tc>
        <w:tc>
          <w:tcPr>
            <w:tcW w:w="616" w:type="pct"/>
            <w:vAlign w:val="center"/>
          </w:tcPr>
          <w:p>
            <w:pPr>
              <w:pStyle w:val="63"/>
            </w:pPr>
            <w:r>
              <w:rPr>
                <w:kern w:val="0"/>
                <w:lang w:bidi="ar"/>
              </w:rPr>
              <w:t>MPN/L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氟化物</w:t>
            </w:r>
          </w:p>
        </w:tc>
        <w:tc>
          <w:tcPr>
            <w:tcW w:w="629" w:type="pct"/>
            <w:vAlign w:val="center"/>
          </w:tcPr>
          <w:p>
            <w:pPr>
              <w:pStyle w:val="63"/>
            </w:pPr>
            <w:r>
              <w:t>0.345</w:t>
            </w:r>
          </w:p>
        </w:tc>
        <w:tc>
          <w:tcPr>
            <w:tcW w:w="630" w:type="pct"/>
            <w:vAlign w:val="center"/>
          </w:tcPr>
          <w:p>
            <w:pPr>
              <w:pStyle w:val="63"/>
            </w:pPr>
            <w:r>
              <w:t>0.345</w:t>
            </w:r>
          </w:p>
        </w:tc>
        <w:tc>
          <w:tcPr>
            <w:tcW w:w="625" w:type="pct"/>
            <w:vAlign w:val="center"/>
          </w:tcPr>
          <w:p>
            <w:pPr>
              <w:pStyle w:val="63"/>
            </w:pPr>
            <w:r>
              <w:t>0.122</w:t>
            </w:r>
          </w:p>
        </w:tc>
        <w:tc>
          <w:tcPr>
            <w:tcW w:w="625" w:type="pct"/>
            <w:vAlign w:val="center"/>
          </w:tcPr>
          <w:p>
            <w:pPr>
              <w:pStyle w:val="63"/>
            </w:pPr>
            <w:r>
              <w:t>0.122</w:t>
            </w:r>
          </w:p>
        </w:tc>
        <w:tc>
          <w:tcPr>
            <w:tcW w:w="625" w:type="pct"/>
            <w:vAlign w:val="center"/>
          </w:tcPr>
          <w:p>
            <w:pPr>
              <w:pStyle w:val="63"/>
            </w:pPr>
            <w:r>
              <w:t>达标</w:t>
            </w:r>
          </w:p>
        </w:tc>
        <w:tc>
          <w:tcPr>
            <w:tcW w:w="625" w:type="pct"/>
            <w:vAlign w:val="center"/>
          </w:tcPr>
          <w:p>
            <w:pPr>
              <w:pStyle w:val="63"/>
            </w:pPr>
            <w:r>
              <w:t>1.0</w:t>
            </w:r>
          </w:p>
        </w:tc>
        <w:tc>
          <w:tcPr>
            <w:tcW w:w="616" w:type="pct"/>
            <w:vAlign w:val="center"/>
          </w:tcPr>
          <w:p>
            <w:pPr>
              <w:pStyle w:val="63"/>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亚硝酸盐</w:t>
            </w:r>
          </w:p>
        </w:tc>
        <w:tc>
          <w:tcPr>
            <w:tcW w:w="629" w:type="pct"/>
            <w:vAlign w:val="center"/>
          </w:tcPr>
          <w:p>
            <w:pPr>
              <w:pStyle w:val="63"/>
            </w:pPr>
            <w:r>
              <w:t>0.016L</w:t>
            </w:r>
          </w:p>
        </w:tc>
        <w:tc>
          <w:tcPr>
            <w:tcW w:w="630" w:type="pct"/>
            <w:vAlign w:val="center"/>
          </w:tcPr>
          <w:p>
            <w:pPr>
              <w:pStyle w:val="63"/>
            </w:pPr>
            <w:r>
              <w:t>/</w:t>
            </w:r>
          </w:p>
        </w:tc>
        <w:tc>
          <w:tcPr>
            <w:tcW w:w="625" w:type="pct"/>
            <w:vAlign w:val="center"/>
          </w:tcPr>
          <w:p>
            <w:pPr>
              <w:pStyle w:val="63"/>
            </w:pPr>
            <w:r>
              <w:t>0.016L</w:t>
            </w:r>
          </w:p>
        </w:tc>
        <w:tc>
          <w:tcPr>
            <w:tcW w:w="625" w:type="pct"/>
            <w:vAlign w:val="center"/>
          </w:tcPr>
          <w:p>
            <w:pPr>
              <w:pStyle w:val="63"/>
            </w:pPr>
            <w:r>
              <w:t>/</w:t>
            </w:r>
          </w:p>
        </w:tc>
        <w:tc>
          <w:tcPr>
            <w:tcW w:w="625" w:type="pct"/>
            <w:vAlign w:val="center"/>
          </w:tcPr>
          <w:p>
            <w:pPr>
              <w:pStyle w:val="63"/>
            </w:pPr>
            <w:r>
              <w:t>达标</w:t>
            </w:r>
          </w:p>
        </w:tc>
        <w:tc>
          <w:tcPr>
            <w:tcW w:w="625" w:type="pct"/>
            <w:vAlign w:val="center"/>
          </w:tcPr>
          <w:p>
            <w:pPr>
              <w:pStyle w:val="63"/>
            </w:pPr>
            <w:r>
              <w:t>1.00</w:t>
            </w:r>
          </w:p>
        </w:tc>
        <w:tc>
          <w:tcPr>
            <w:tcW w:w="616" w:type="pct"/>
            <w:vAlign w:val="center"/>
          </w:tcPr>
          <w:p>
            <w:pPr>
              <w:pStyle w:val="63"/>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硝酸盐</w:t>
            </w:r>
          </w:p>
        </w:tc>
        <w:tc>
          <w:tcPr>
            <w:tcW w:w="629" w:type="pct"/>
            <w:vAlign w:val="center"/>
          </w:tcPr>
          <w:p>
            <w:pPr>
              <w:pStyle w:val="63"/>
            </w:pPr>
            <w:r>
              <w:t>12.4</w:t>
            </w:r>
          </w:p>
        </w:tc>
        <w:tc>
          <w:tcPr>
            <w:tcW w:w="630" w:type="pct"/>
            <w:vAlign w:val="center"/>
          </w:tcPr>
          <w:p>
            <w:pPr>
              <w:pStyle w:val="63"/>
            </w:pPr>
            <w:r>
              <w:t>0.62</w:t>
            </w:r>
          </w:p>
        </w:tc>
        <w:tc>
          <w:tcPr>
            <w:tcW w:w="625" w:type="pct"/>
            <w:vAlign w:val="center"/>
          </w:tcPr>
          <w:p>
            <w:pPr>
              <w:pStyle w:val="63"/>
            </w:pPr>
            <w:r>
              <w:t>0.680</w:t>
            </w:r>
          </w:p>
        </w:tc>
        <w:tc>
          <w:tcPr>
            <w:tcW w:w="625" w:type="pct"/>
            <w:vAlign w:val="center"/>
          </w:tcPr>
          <w:p>
            <w:pPr>
              <w:pStyle w:val="63"/>
            </w:pPr>
            <w:r>
              <w:t>0.03</w:t>
            </w:r>
          </w:p>
        </w:tc>
        <w:tc>
          <w:tcPr>
            <w:tcW w:w="625" w:type="pct"/>
            <w:vAlign w:val="center"/>
          </w:tcPr>
          <w:p>
            <w:pPr>
              <w:pStyle w:val="63"/>
            </w:pPr>
            <w:r>
              <w:t>达标</w:t>
            </w:r>
          </w:p>
        </w:tc>
        <w:tc>
          <w:tcPr>
            <w:tcW w:w="625" w:type="pct"/>
            <w:vAlign w:val="center"/>
          </w:tcPr>
          <w:p>
            <w:pPr>
              <w:pStyle w:val="63"/>
            </w:pPr>
            <w:r>
              <w:t>20.0</w:t>
            </w:r>
          </w:p>
        </w:tc>
        <w:tc>
          <w:tcPr>
            <w:tcW w:w="616" w:type="pct"/>
            <w:vAlign w:val="center"/>
          </w:tcPr>
          <w:p>
            <w:pPr>
              <w:pStyle w:val="63"/>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汞</w:t>
            </w:r>
          </w:p>
        </w:tc>
        <w:tc>
          <w:tcPr>
            <w:tcW w:w="629" w:type="pct"/>
            <w:vAlign w:val="center"/>
          </w:tcPr>
          <w:p>
            <w:pPr>
              <w:pStyle w:val="63"/>
            </w:pPr>
            <w:r>
              <w:t>0.00004L</w:t>
            </w:r>
          </w:p>
        </w:tc>
        <w:tc>
          <w:tcPr>
            <w:tcW w:w="630" w:type="pct"/>
            <w:vAlign w:val="center"/>
          </w:tcPr>
          <w:p>
            <w:pPr>
              <w:pStyle w:val="63"/>
            </w:pPr>
            <w:r>
              <w:t>/</w:t>
            </w:r>
          </w:p>
        </w:tc>
        <w:tc>
          <w:tcPr>
            <w:tcW w:w="625" w:type="pct"/>
            <w:vAlign w:val="center"/>
          </w:tcPr>
          <w:p>
            <w:pPr>
              <w:pStyle w:val="63"/>
            </w:pPr>
            <w:r>
              <w:t>0.00004L</w:t>
            </w:r>
          </w:p>
        </w:tc>
        <w:tc>
          <w:tcPr>
            <w:tcW w:w="625" w:type="pct"/>
            <w:vAlign w:val="center"/>
          </w:tcPr>
          <w:p>
            <w:pPr>
              <w:pStyle w:val="63"/>
            </w:pPr>
            <w:r>
              <w:t>/</w:t>
            </w:r>
          </w:p>
        </w:tc>
        <w:tc>
          <w:tcPr>
            <w:tcW w:w="625" w:type="pct"/>
            <w:vAlign w:val="center"/>
          </w:tcPr>
          <w:p>
            <w:pPr>
              <w:pStyle w:val="63"/>
            </w:pPr>
            <w:r>
              <w:t>达标</w:t>
            </w:r>
          </w:p>
        </w:tc>
        <w:tc>
          <w:tcPr>
            <w:tcW w:w="625" w:type="pct"/>
            <w:vAlign w:val="center"/>
          </w:tcPr>
          <w:p>
            <w:pPr>
              <w:pStyle w:val="63"/>
            </w:pPr>
            <w:r>
              <w:t>0.001</w:t>
            </w:r>
          </w:p>
        </w:tc>
        <w:tc>
          <w:tcPr>
            <w:tcW w:w="616"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rPr>
                <w:kern w:val="0"/>
                <w:lang w:bidi="ar"/>
              </w:rPr>
            </w:pPr>
            <w:r>
              <w:rPr>
                <w:kern w:val="0"/>
                <w:lang w:bidi="ar"/>
              </w:rPr>
              <w:t>砷</w:t>
            </w:r>
          </w:p>
        </w:tc>
        <w:tc>
          <w:tcPr>
            <w:tcW w:w="629" w:type="pct"/>
            <w:vAlign w:val="center"/>
          </w:tcPr>
          <w:p>
            <w:pPr>
              <w:pStyle w:val="63"/>
            </w:pPr>
            <w:r>
              <w:t>0.0003L</w:t>
            </w:r>
          </w:p>
        </w:tc>
        <w:tc>
          <w:tcPr>
            <w:tcW w:w="630" w:type="pct"/>
            <w:vAlign w:val="center"/>
          </w:tcPr>
          <w:p>
            <w:pPr>
              <w:pStyle w:val="63"/>
            </w:pPr>
            <w:r>
              <w:t>/</w:t>
            </w:r>
          </w:p>
        </w:tc>
        <w:tc>
          <w:tcPr>
            <w:tcW w:w="625" w:type="pct"/>
            <w:vAlign w:val="center"/>
          </w:tcPr>
          <w:p>
            <w:pPr>
              <w:pStyle w:val="63"/>
            </w:pPr>
            <w:r>
              <w:t>0.0003L</w:t>
            </w:r>
          </w:p>
        </w:tc>
        <w:tc>
          <w:tcPr>
            <w:tcW w:w="625" w:type="pct"/>
            <w:vAlign w:val="center"/>
          </w:tcPr>
          <w:p>
            <w:pPr>
              <w:pStyle w:val="63"/>
            </w:pPr>
            <w:r>
              <w:t>/</w:t>
            </w:r>
          </w:p>
        </w:tc>
        <w:tc>
          <w:tcPr>
            <w:tcW w:w="625" w:type="pct"/>
            <w:vAlign w:val="center"/>
          </w:tcPr>
          <w:p>
            <w:pPr>
              <w:pStyle w:val="63"/>
            </w:pPr>
            <w:r>
              <w:t>达标</w:t>
            </w:r>
          </w:p>
        </w:tc>
        <w:tc>
          <w:tcPr>
            <w:tcW w:w="625" w:type="pct"/>
            <w:vAlign w:val="center"/>
          </w:tcPr>
          <w:p>
            <w:pPr>
              <w:pStyle w:val="63"/>
            </w:pPr>
            <w:r>
              <w:t>0.01</w:t>
            </w:r>
          </w:p>
        </w:tc>
        <w:tc>
          <w:tcPr>
            <w:tcW w:w="616" w:type="pct"/>
            <w:vAlign w:val="center"/>
          </w:tcPr>
          <w:p>
            <w:pPr>
              <w:pStyle w:val="63"/>
              <w:rPr>
                <w:kern w:val="0"/>
                <w:lang w:bidi="ar"/>
              </w:rPr>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镉</w:t>
            </w:r>
          </w:p>
        </w:tc>
        <w:tc>
          <w:tcPr>
            <w:tcW w:w="629" w:type="pct"/>
            <w:vAlign w:val="center"/>
          </w:tcPr>
          <w:p>
            <w:pPr>
              <w:pStyle w:val="63"/>
            </w:pPr>
            <w:r>
              <w:rPr>
                <w:kern w:val="0"/>
                <w:lang w:bidi="ar"/>
              </w:rPr>
              <w:t>0.0001L</w:t>
            </w:r>
          </w:p>
        </w:tc>
        <w:tc>
          <w:tcPr>
            <w:tcW w:w="630" w:type="pct"/>
            <w:vAlign w:val="center"/>
          </w:tcPr>
          <w:p>
            <w:pPr>
              <w:pStyle w:val="63"/>
              <w:rPr>
                <w:kern w:val="0"/>
                <w:lang w:bidi="ar"/>
              </w:rPr>
            </w:pPr>
            <w:r>
              <w:t>/</w:t>
            </w:r>
          </w:p>
        </w:tc>
        <w:tc>
          <w:tcPr>
            <w:tcW w:w="625" w:type="pct"/>
            <w:vAlign w:val="center"/>
          </w:tcPr>
          <w:p>
            <w:pPr>
              <w:pStyle w:val="63"/>
            </w:pPr>
            <w:r>
              <w:rPr>
                <w:kern w:val="0"/>
                <w:lang w:bidi="ar"/>
              </w:rPr>
              <w:t>0.0001L</w:t>
            </w:r>
          </w:p>
        </w:tc>
        <w:tc>
          <w:tcPr>
            <w:tcW w:w="625" w:type="pct"/>
            <w:vAlign w:val="center"/>
          </w:tcPr>
          <w:p>
            <w:pPr>
              <w:pStyle w:val="63"/>
              <w:rPr>
                <w:kern w:val="0"/>
                <w:lang w:bidi="ar"/>
              </w:rPr>
            </w:pPr>
            <w:r>
              <w:t>/</w:t>
            </w:r>
          </w:p>
        </w:tc>
        <w:tc>
          <w:tcPr>
            <w:tcW w:w="625" w:type="pct"/>
            <w:vAlign w:val="center"/>
          </w:tcPr>
          <w:p>
            <w:pPr>
              <w:pStyle w:val="63"/>
            </w:pPr>
            <w:r>
              <w:t>达标</w:t>
            </w:r>
          </w:p>
        </w:tc>
        <w:tc>
          <w:tcPr>
            <w:tcW w:w="625" w:type="pct"/>
            <w:vAlign w:val="center"/>
          </w:tcPr>
          <w:p>
            <w:pPr>
              <w:pStyle w:val="63"/>
            </w:pPr>
            <w:r>
              <w:t>0.005</w:t>
            </w:r>
          </w:p>
        </w:tc>
        <w:tc>
          <w:tcPr>
            <w:tcW w:w="616"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六价铬</w:t>
            </w:r>
          </w:p>
        </w:tc>
        <w:tc>
          <w:tcPr>
            <w:tcW w:w="629" w:type="pct"/>
            <w:vAlign w:val="center"/>
          </w:tcPr>
          <w:p>
            <w:pPr>
              <w:pStyle w:val="63"/>
            </w:pPr>
            <w:r>
              <w:rPr>
                <w:kern w:val="0"/>
                <w:lang w:bidi="ar"/>
              </w:rPr>
              <w:t>0.004L</w:t>
            </w:r>
          </w:p>
        </w:tc>
        <w:tc>
          <w:tcPr>
            <w:tcW w:w="630" w:type="pct"/>
            <w:vAlign w:val="center"/>
          </w:tcPr>
          <w:p>
            <w:pPr>
              <w:pStyle w:val="63"/>
              <w:rPr>
                <w:kern w:val="0"/>
                <w:lang w:bidi="ar"/>
              </w:rPr>
            </w:pPr>
            <w:r>
              <w:t>/</w:t>
            </w:r>
          </w:p>
        </w:tc>
        <w:tc>
          <w:tcPr>
            <w:tcW w:w="625" w:type="pct"/>
            <w:vAlign w:val="center"/>
          </w:tcPr>
          <w:p>
            <w:pPr>
              <w:pStyle w:val="63"/>
            </w:pPr>
            <w:r>
              <w:rPr>
                <w:kern w:val="0"/>
                <w:lang w:bidi="ar"/>
              </w:rPr>
              <w:t>0.004L</w:t>
            </w:r>
          </w:p>
        </w:tc>
        <w:tc>
          <w:tcPr>
            <w:tcW w:w="625" w:type="pct"/>
            <w:vAlign w:val="center"/>
          </w:tcPr>
          <w:p>
            <w:pPr>
              <w:pStyle w:val="63"/>
              <w:rPr>
                <w:kern w:val="0"/>
                <w:lang w:bidi="ar"/>
              </w:rPr>
            </w:pPr>
            <w:r>
              <w:t>/</w:t>
            </w:r>
          </w:p>
        </w:tc>
        <w:tc>
          <w:tcPr>
            <w:tcW w:w="625" w:type="pct"/>
            <w:vAlign w:val="center"/>
          </w:tcPr>
          <w:p>
            <w:pPr>
              <w:pStyle w:val="63"/>
            </w:pPr>
            <w:r>
              <w:t>达标</w:t>
            </w:r>
          </w:p>
        </w:tc>
        <w:tc>
          <w:tcPr>
            <w:tcW w:w="625" w:type="pct"/>
            <w:vAlign w:val="center"/>
          </w:tcPr>
          <w:p>
            <w:pPr>
              <w:pStyle w:val="63"/>
            </w:pPr>
            <w:r>
              <w:t>0.05</w:t>
            </w:r>
          </w:p>
        </w:tc>
        <w:tc>
          <w:tcPr>
            <w:tcW w:w="616"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铅</w:t>
            </w:r>
          </w:p>
        </w:tc>
        <w:tc>
          <w:tcPr>
            <w:tcW w:w="629" w:type="pct"/>
            <w:vAlign w:val="center"/>
          </w:tcPr>
          <w:p>
            <w:pPr>
              <w:pStyle w:val="63"/>
            </w:pPr>
            <w:r>
              <w:rPr>
                <w:kern w:val="0"/>
                <w:lang w:bidi="ar"/>
              </w:rPr>
              <w:t>0.001L</w:t>
            </w:r>
          </w:p>
        </w:tc>
        <w:tc>
          <w:tcPr>
            <w:tcW w:w="630" w:type="pct"/>
            <w:vAlign w:val="center"/>
          </w:tcPr>
          <w:p>
            <w:pPr>
              <w:pStyle w:val="63"/>
              <w:rPr>
                <w:kern w:val="0"/>
                <w:lang w:bidi="ar"/>
              </w:rPr>
            </w:pPr>
            <w:r>
              <w:t>/</w:t>
            </w:r>
          </w:p>
        </w:tc>
        <w:tc>
          <w:tcPr>
            <w:tcW w:w="625" w:type="pct"/>
            <w:vAlign w:val="center"/>
          </w:tcPr>
          <w:p>
            <w:pPr>
              <w:pStyle w:val="63"/>
            </w:pPr>
            <w:r>
              <w:rPr>
                <w:kern w:val="0"/>
                <w:lang w:bidi="ar"/>
              </w:rPr>
              <w:t>0.001L</w:t>
            </w:r>
          </w:p>
        </w:tc>
        <w:tc>
          <w:tcPr>
            <w:tcW w:w="625" w:type="pct"/>
            <w:vAlign w:val="center"/>
          </w:tcPr>
          <w:p>
            <w:pPr>
              <w:pStyle w:val="63"/>
              <w:rPr>
                <w:kern w:val="0"/>
                <w:lang w:bidi="ar"/>
              </w:rPr>
            </w:pPr>
            <w:r>
              <w:t>/</w:t>
            </w:r>
          </w:p>
        </w:tc>
        <w:tc>
          <w:tcPr>
            <w:tcW w:w="625" w:type="pct"/>
            <w:vAlign w:val="center"/>
          </w:tcPr>
          <w:p>
            <w:pPr>
              <w:pStyle w:val="63"/>
            </w:pPr>
            <w:r>
              <w:t>达标</w:t>
            </w:r>
          </w:p>
        </w:tc>
        <w:tc>
          <w:tcPr>
            <w:tcW w:w="625" w:type="pct"/>
            <w:vAlign w:val="center"/>
          </w:tcPr>
          <w:p>
            <w:pPr>
              <w:pStyle w:val="63"/>
            </w:pPr>
            <w:r>
              <w:t>0.01</w:t>
            </w:r>
          </w:p>
        </w:tc>
        <w:tc>
          <w:tcPr>
            <w:tcW w:w="616"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镍</w:t>
            </w:r>
          </w:p>
        </w:tc>
        <w:tc>
          <w:tcPr>
            <w:tcW w:w="629" w:type="pct"/>
            <w:vAlign w:val="center"/>
          </w:tcPr>
          <w:p>
            <w:pPr>
              <w:pStyle w:val="63"/>
            </w:pPr>
            <w:r>
              <w:rPr>
                <w:kern w:val="0"/>
                <w:lang w:bidi="ar"/>
              </w:rPr>
              <w:t>0.001L</w:t>
            </w:r>
          </w:p>
        </w:tc>
        <w:tc>
          <w:tcPr>
            <w:tcW w:w="630" w:type="pct"/>
            <w:vAlign w:val="center"/>
          </w:tcPr>
          <w:p>
            <w:pPr>
              <w:pStyle w:val="63"/>
              <w:rPr>
                <w:kern w:val="0"/>
                <w:lang w:bidi="ar"/>
              </w:rPr>
            </w:pPr>
            <w:r>
              <w:t>/</w:t>
            </w:r>
          </w:p>
        </w:tc>
        <w:tc>
          <w:tcPr>
            <w:tcW w:w="625" w:type="pct"/>
            <w:vAlign w:val="center"/>
          </w:tcPr>
          <w:p>
            <w:pPr>
              <w:pStyle w:val="63"/>
            </w:pPr>
            <w:r>
              <w:rPr>
                <w:kern w:val="0"/>
                <w:lang w:bidi="ar"/>
              </w:rPr>
              <w:t>0.001L</w:t>
            </w:r>
          </w:p>
        </w:tc>
        <w:tc>
          <w:tcPr>
            <w:tcW w:w="625" w:type="pct"/>
            <w:vAlign w:val="center"/>
          </w:tcPr>
          <w:p>
            <w:pPr>
              <w:pStyle w:val="63"/>
              <w:rPr>
                <w:kern w:val="0"/>
                <w:lang w:bidi="ar"/>
              </w:rPr>
            </w:pPr>
            <w:r>
              <w:t>/</w:t>
            </w:r>
          </w:p>
        </w:tc>
        <w:tc>
          <w:tcPr>
            <w:tcW w:w="625" w:type="pct"/>
            <w:vAlign w:val="center"/>
          </w:tcPr>
          <w:p>
            <w:pPr>
              <w:pStyle w:val="63"/>
            </w:pPr>
            <w:r>
              <w:t>达标</w:t>
            </w:r>
          </w:p>
        </w:tc>
        <w:tc>
          <w:tcPr>
            <w:tcW w:w="625" w:type="pct"/>
            <w:vAlign w:val="center"/>
          </w:tcPr>
          <w:p>
            <w:pPr>
              <w:pStyle w:val="63"/>
            </w:pPr>
            <w:r>
              <w:t>0.02</w:t>
            </w:r>
          </w:p>
        </w:tc>
        <w:tc>
          <w:tcPr>
            <w:tcW w:w="616" w:type="pct"/>
            <w:vAlign w:val="center"/>
          </w:tcPr>
          <w:p>
            <w:pPr>
              <w:pStyle w:val="63"/>
              <w:rPr>
                <w:kern w:val="0"/>
                <w:lang w:bidi="ar"/>
              </w:rPr>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铊</w:t>
            </w:r>
          </w:p>
        </w:tc>
        <w:tc>
          <w:tcPr>
            <w:tcW w:w="629" w:type="pct"/>
            <w:vAlign w:val="center"/>
          </w:tcPr>
          <w:p>
            <w:pPr>
              <w:pStyle w:val="63"/>
            </w:pPr>
            <w:r>
              <w:rPr>
                <w:kern w:val="0"/>
                <w:lang w:bidi="ar"/>
              </w:rPr>
              <w:t>0.00003L</w:t>
            </w:r>
          </w:p>
        </w:tc>
        <w:tc>
          <w:tcPr>
            <w:tcW w:w="630" w:type="pct"/>
            <w:vAlign w:val="center"/>
          </w:tcPr>
          <w:p>
            <w:pPr>
              <w:pStyle w:val="63"/>
              <w:rPr>
                <w:kern w:val="0"/>
                <w:lang w:bidi="ar"/>
              </w:rPr>
            </w:pPr>
            <w:r>
              <w:t>/</w:t>
            </w:r>
          </w:p>
        </w:tc>
        <w:tc>
          <w:tcPr>
            <w:tcW w:w="625" w:type="pct"/>
            <w:vAlign w:val="center"/>
          </w:tcPr>
          <w:p>
            <w:pPr>
              <w:pStyle w:val="63"/>
            </w:pPr>
            <w:r>
              <w:rPr>
                <w:kern w:val="0"/>
                <w:lang w:bidi="ar"/>
              </w:rPr>
              <w:t>0.00003L</w:t>
            </w:r>
          </w:p>
        </w:tc>
        <w:tc>
          <w:tcPr>
            <w:tcW w:w="625" w:type="pct"/>
            <w:vAlign w:val="center"/>
          </w:tcPr>
          <w:p>
            <w:pPr>
              <w:pStyle w:val="63"/>
              <w:rPr>
                <w:kern w:val="0"/>
                <w:lang w:bidi="ar"/>
              </w:rPr>
            </w:pPr>
            <w:r>
              <w:t>/</w:t>
            </w:r>
          </w:p>
        </w:tc>
        <w:tc>
          <w:tcPr>
            <w:tcW w:w="625" w:type="pct"/>
            <w:vAlign w:val="center"/>
          </w:tcPr>
          <w:p>
            <w:pPr>
              <w:pStyle w:val="63"/>
            </w:pPr>
            <w:r>
              <w:t>达标</w:t>
            </w:r>
          </w:p>
        </w:tc>
        <w:tc>
          <w:tcPr>
            <w:tcW w:w="625" w:type="pct"/>
            <w:vAlign w:val="center"/>
          </w:tcPr>
          <w:p>
            <w:pPr>
              <w:pStyle w:val="63"/>
            </w:pPr>
            <w:r>
              <w:t>0.0001</w:t>
            </w:r>
          </w:p>
        </w:tc>
        <w:tc>
          <w:tcPr>
            <w:tcW w:w="616"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钴</w:t>
            </w:r>
          </w:p>
        </w:tc>
        <w:tc>
          <w:tcPr>
            <w:tcW w:w="629" w:type="pct"/>
            <w:vAlign w:val="center"/>
          </w:tcPr>
          <w:p>
            <w:pPr>
              <w:pStyle w:val="63"/>
            </w:pPr>
            <w:r>
              <w:rPr>
                <w:kern w:val="0"/>
                <w:lang w:bidi="ar"/>
              </w:rPr>
              <w:t>0.002L</w:t>
            </w:r>
          </w:p>
        </w:tc>
        <w:tc>
          <w:tcPr>
            <w:tcW w:w="630" w:type="pct"/>
            <w:vAlign w:val="center"/>
          </w:tcPr>
          <w:p>
            <w:pPr>
              <w:pStyle w:val="63"/>
              <w:rPr>
                <w:kern w:val="0"/>
                <w:lang w:bidi="ar"/>
              </w:rPr>
            </w:pPr>
            <w:r>
              <w:t>/</w:t>
            </w:r>
          </w:p>
        </w:tc>
        <w:tc>
          <w:tcPr>
            <w:tcW w:w="625" w:type="pct"/>
            <w:vAlign w:val="center"/>
          </w:tcPr>
          <w:p>
            <w:pPr>
              <w:pStyle w:val="63"/>
            </w:pPr>
            <w:r>
              <w:rPr>
                <w:kern w:val="0"/>
                <w:lang w:bidi="ar"/>
              </w:rPr>
              <w:t>0.002L</w:t>
            </w:r>
          </w:p>
        </w:tc>
        <w:tc>
          <w:tcPr>
            <w:tcW w:w="625" w:type="pct"/>
            <w:vAlign w:val="center"/>
          </w:tcPr>
          <w:p>
            <w:pPr>
              <w:pStyle w:val="63"/>
              <w:rPr>
                <w:kern w:val="0"/>
                <w:lang w:bidi="ar"/>
              </w:rPr>
            </w:pPr>
            <w:r>
              <w:t>/</w:t>
            </w:r>
          </w:p>
        </w:tc>
        <w:tc>
          <w:tcPr>
            <w:tcW w:w="625" w:type="pct"/>
            <w:vAlign w:val="center"/>
          </w:tcPr>
          <w:p>
            <w:pPr>
              <w:pStyle w:val="63"/>
            </w:pPr>
            <w:r>
              <w:t>达标</w:t>
            </w:r>
          </w:p>
        </w:tc>
        <w:tc>
          <w:tcPr>
            <w:tcW w:w="625" w:type="pct"/>
            <w:vAlign w:val="center"/>
          </w:tcPr>
          <w:p>
            <w:pPr>
              <w:pStyle w:val="63"/>
            </w:pPr>
            <w:r>
              <w:t>0.05</w:t>
            </w:r>
          </w:p>
        </w:tc>
        <w:tc>
          <w:tcPr>
            <w:tcW w:w="616" w:type="pct"/>
            <w:vAlign w:val="center"/>
          </w:tcPr>
          <w:p>
            <w:pPr>
              <w:pStyle w:val="63"/>
            </w:pPr>
            <w:r>
              <w:rPr>
                <w:kern w:val="0"/>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K</w:t>
            </w:r>
            <w:r>
              <w:rPr>
                <w:vertAlign w:val="superscript"/>
              </w:rPr>
              <w:t>+</w:t>
            </w:r>
          </w:p>
        </w:tc>
        <w:tc>
          <w:tcPr>
            <w:tcW w:w="629" w:type="pct"/>
            <w:vAlign w:val="center"/>
          </w:tcPr>
          <w:p>
            <w:pPr>
              <w:pStyle w:val="63"/>
            </w:pPr>
            <w:r>
              <w:t>1.7</w:t>
            </w:r>
          </w:p>
        </w:tc>
        <w:tc>
          <w:tcPr>
            <w:tcW w:w="630" w:type="pct"/>
            <w:vAlign w:val="center"/>
          </w:tcPr>
          <w:p>
            <w:pPr>
              <w:pStyle w:val="63"/>
            </w:pPr>
            <w:r>
              <w:t>/</w:t>
            </w:r>
          </w:p>
        </w:tc>
        <w:tc>
          <w:tcPr>
            <w:tcW w:w="625" w:type="pct"/>
            <w:vAlign w:val="center"/>
          </w:tcPr>
          <w:p>
            <w:pPr>
              <w:pStyle w:val="63"/>
            </w:pPr>
            <w:r>
              <w:t>1.697</w:t>
            </w:r>
          </w:p>
        </w:tc>
        <w:tc>
          <w:tcPr>
            <w:tcW w:w="625" w:type="pct"/>
            <w:vAlign w:val="center"/>
          </w:tcPr>
          <w:p>
            <w:pPr>
              <w:pStyle w:val="63"/>
            </w:pPr>
            <w:r>
              <w:t>/</w:t>
            </w:r>
          </w:p>
        </w:tc>
        <w:tc>
          <w:tcPr>
            <w:tcW w:w="625" w:type="pct"/>
            <w:vAlign w:val="center"/>
          </w:tcPr>
          <w:p>
            <w:pPr>
              <w:pStyle w:val="63"/>
            </w:pPr>
            <w:r>
              <w:t>达标</w:t>
            </w:r>
          </w:p>
        </w:tc>
        <w:tc>
          <w:tcPr>
            <w:tcW w:w="625" w:type="pct"/>
            <w:vAlign w:val="center"/>
          </w:tcPr>
          <w:p>
            <w:pPr>
              <w:pStyle w:val="63"/>
            </w:pPr>
            <w:r>
              <w:t>/</w:t>
            </w:r>
          </w:p>
        </w:tc>
        <w:tc>
          <w:tcPr>
            <w:tcW w:w="616" w:type="pct"/>
            <w:vAlign w:val="center"/>
          </w:tcPr>
          <w:p>
            <w:pPr>
              <w:pStyle w:val="63"/>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Na</w:t>
            </w:r>
            <w:r>
              <w:rPr>
                <w:vertAlign w:val="superscript"/>
              </w:rPr>
              <w:t>+</w:t>
            </w:r>
          </w:p>
        </w:tc>
        <w:tc>
          <w:tcPr>
            <w:tcW w:w="629" w:type="pct"/>
            <w:vAlign w:val="center"/>
          </w:tcPr>
          <w:p>
            <w:pPr>
              <w:pStyle w:val="63"/>
            </w:pPr>
            <w:r>
              <w:t>3.68</w:t>
            </w:r>
          </w:p>
        </w:tc>
        <w:tc>
          <w:tcPr>
            <w:tcW w:w="630" w:type="pct"/>
            <w:vAlign w:val="center"/>
          </w:tcPr>
          <w:p>
            <w:pPr>
              <w:pStyle w:val="63"/>
            </w:pPr>
            <w:r>
              <w:t>/</w:t>
            </w:r>
          </w:p>
        </w:tc>
        <w:tc>
          <w:tcPr>
            <w:tcW w:w="625" w:type="pct"/>
            <w:vAlign w:val="center"/>
          </w:tcPr>
          <w:p>
            <w:pPr>
              <w:pStyle w:val="63"/>
            </w:pPr>
            <w:r>
              <w:t>2.42</w:t>
            </w:r>
          </w:p>
        </w:tc>
        <w:tc>
          <w:tcPr>
            <w:tcW w:w="625" w:type="pct"/>
            <w:vAlign w:val="center"/>
          </w:tcPr>
          <w:p>
            <w:pPr>
              <w:pStyle w:val="63"/>
            </w:pPr>
            <w:r>
              <w:t>/</w:t>
            </w:r>
          </w:p>
        </w:tc>
        <w:tc>
          <w:tcPr>
            <w:tcW w:w="625" w:type="pct"/>
            <w:vAlign w:val="center"/>
          </w:tcPr>
          <w:p>
            <w:pPr>
              <w:pStyle w:val="63"/>
            </w:pPr>
            <w:r>
              <w:t>达标</w:t>
            </w:r>
          </w:p>
        </w:tc>
        <w:tc>
          <w:tcPr>
            <w:tcW w:w="625" w:type="pct"/>
            <w:vAlign w:val="center"/>
          </w:tcPr>
          <w:p>
            <w:pPr>
              <w:pStyle w:val="63"/>
            </w:pPr>
            <w:r>
              <w:t>/</w:t>
            </w:r>
          </w:p>
        </w:tc>
        <w:tc>
          <w:tcPr>
            <w:tcW w:w="616" w:type="pct"/>
            <w:vAlign w:val="center"/>
          </w:tcPr>
          <w:p>
            <w:pPr>
              <w:pStyle w:val="63"/>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Ca</w:t>
            </w:r>
            <w:r>
              <w:rPr>
                <w:vertAlign w:val="superscript"/>
              </w:rPr>
              <w:t>2+</w:t>
            </w:r>
          </w:p>
        </w:tc>
        <w:tc>
          <w:tcPr>
            <w:tcW w:w="629" w:type="pct"/>
            <w:vAlign w:val="center"/>
          </w:tcPr>
          <w:p>
            <w:pPr>
              <w:pStyle w:val="63"/>
            </w:pPr>
            <w:r>
              <w:t>37.6</w:t>
            </w:r>
          </w:p>
        </w:tc>
        <w:tc>
          <w:tcPr>
            <w:tcW w:w="630" w:type="pct"/>
            <w:vAlign w:val="center"/>
          </w:tcPr>
          <w:p>
            <w:pPr>
              <w:pStyle w:val="63"/>
              <w:rPr>
                <w:kern w:val="0"/>
                <w:lang w:bidi="ar"/>
              </w:rPr>
            </w:pPr>
            <w:r>
              <w:t>/</w:t>
            </w:r>
          </w:p>
        </w:tc>
        <w:tc>
          <w:tcPr>
            <w:tcW w:w="625" w:type="pct"/>
            <w:vAlign w:val="center"/>
          </w:tcPr>
          <w:p>
            <w:pPr>
              <w:pStyle w:val="63"/>
            </w:pPr>
            <w:r>
              <w:t>24.1</w:t>
            </w:r>
          </w:p>
        </w:tc>
        <w:tc>
          <w:tcPr>
            <w:tcW w:w="625" w:type="pct"/>
            <w:vAlign w:val="center"/>
          </w:tcPr>
          <w:p>
            <w:pPr>
              <w:pStyle w:val="63"/>
              <w:rPr>
                <w:kern w:val="0"/>
                <w:lang w:bidi="ar"/>
              </w:rPr>
            </w:pPr>
            <w:r>
              <w:t>/</w:t>
            </w:r>
          </w:p>
        </w:tc>
        <w:tc>
          <w:tcPr>
            <w:tcW w:w="625" w:type="pct"/>
            <w:vAlign w:val="center"/>
          </w:tcPr>
          <w:p>
            <w:pPr>
              <w:pStyle w:val="63"/>
            </w:pPr>
            <w:r>
              <w:t>达标</w:t>
            </w:r>
          </w:p>
        </w:tc>
        <w:tc>
          <w:tcPr>
            <w:tcW w:w="625" w:type="pct"/>
            <w:vAlign w:val="center"/>
          </w:tcPr>
          <w:p>
            <w:pPr>
              <w:pStyle w:val="63"/>
            </w:pPr>
            <w:r>
              <w:t>/</w:t>
            </w:r>
          </w:p>
        </w:tc>
        <w:tc>
          <w:tcPr>
            <w:tcW w:w="616" w:type="pct"/>
            <w:vAlign w:val="center"/>
          </w:tcPr>
          <w:p>
            <w:pPr>
              <w:pStyle w:val="63"/>
              <w:rPr>
                <w:kern w:val="0"/>
                <w:lang w:bidi="ar"/>
              </w:rPr>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Mg</w:t>
            </w:r>
            <w:r>
              <w:rPr>
                <w:vertAlign w:val="superscript"/>
              </w:rPr>
              <w:t>2+</w:t>
            </w:r>
          </w:p>
        </w:tc>
        <w:tc>
          <w:tcPr>
            <w:tcW w:w="629" w:type="pct"/>
            <w:vAlign w:val="center"/>
          </w:tcPr>
          <w:p>
            <w:pPr>
              <w:pStyle w:val="63"/>
            </w:pPr>
            <w:r>
              <w:t>2.66</w:t>
            </w:r>
          </w:p>
        </w:tc>
        <w:tc>
          <w:tcPr>
            <w:tcW w:w="630" w:type="pct"/>
            <w:vAlign w:val="center"/>
          </w:tcPr>
          <w:p>
            <w:pPr>
              <w:pStyle w:val="63"/>
              <w:rPr>
                <w:kern w:val="0"/>
                <w:lang w:bidi="ar"/>
              </w:rPr>
            </w:pPr>
            <w:r>
              <w:t>/</w:t>
            </w:r>
          </w:p>
        </w:tc>
        <w:tc>
          <w:tcPr>
            <w:tcW w:w="625" w:type="pct"/>
            <w:vAlign w:val="center"/>
          </w:tcPr>
          <w:p>
            <w:pPr>
              <w:pStyle w:val="63"/>
            </w:pPr>
            <w:r>
              <w:t>3.28</w:t>
            </w:r>
          </w:p>
        </w:tc>
        <w:tc>
          <w:tcPr>
            <w:tcW w:w="625" w:type="pct"/>
            <w:vAlign w:val="center"/>
          </w:tcPr>
          <w:p>
            <w:pPr>
              <w:pStyle w:val="63"/>
              <w:rPr>
                <w:kern w:val="0"/>
                <w:lang w:bidi="ar"/>
              </w:rPr>
            </w:pPr>
            <w:r>
              <w:t>/</w:t>
            </w:r>
          </w:p>
        </w:tc>
        <w:tc>
          <w:tcPr>
            <w:tcW w:w="625" w:type="pct"/>
            <w:vAlign w:val="center"/>
          </w:tcPr>
          <w:p>
            <w:pPr>
              <w:pStyle w:val="63"/>
            </w:pPr>
            <w:r>
              <w:t>达标</w:t>
            </w:r>
          </w:p>
        </w:tc>
        <w:tc>
          <w:tcPr>
            <w:tcW w:w="625" w:type="pct"/>
            <w:vAlign w:val="center"/>
          </w:tcPr>
          <w:p>
            <w:pPr>
              <w:pStyle w:val="63"/>
            </w:pPr>
            <w:r>
              <w:t>/</w:t>
            </w:r>
          </w:p>
        </w:tc>
        <w:tc>
          <w:tcPr>
            <w:tcW w:w="616" w:type="pct"/>
            <w:vAlign w:val="center"/>
          </w:tcPr>
          <w:p>
            <w:pPr>
              <w:pStyle w:val="63"/>
              <w:rPr>
                <w:kern w:val="0"/>
                <w:lang w:bidi="ar"/>
              </w:rPr>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CO</w:t>
            </w:r>
            <w:r>
              <w:rPr>
                <w:vertAlign w:val="subscript"/>
              </w:rPr>
              <w:t>3</w:t>
            </w:r>
            <w:r>
              <w:rPr>
                <w:vertAlign w:val="superscript"/>
              </w:rPr>
              <w:t>2-</w:t>
            </w:r>
          </w:p>
        </w:tc>
        <w:tc>
          <w:tcPr>
            <w:tcW w:w="629" w:type="pct"/>
            <w:vAlign w:val="center"/>
          </w:tcPr>
          <w:p>
            <w:pPr>
              <w:pStyle w:val="63"/>
            </w:pPr>
            <w:r>
              <w:t>ND</w:t>
            </w:r>
          </w:p>
        </w:tc>
        <w:tc>
          <w:tcPr>
            <w:tcW w:w="630" w:type="pct"/>
            <w:vAlign w:val="center"/>
          </w:tcPr>
          <w:p>
            <w:pPr>
              <w:pStyle w:val="63"/>
              <w:rPr>
                <w:kern w:val="0"/>
                <w:lang w:bidi="ar"/>
              </w:rPr>
            </w:pPr>
            <w:r>
              <w:t>/</w:t>
            </w:r>
          </w:p>
        </w:tc>
        <w:tc>
          <w:tcPr>
            <w:tcW w:w="625" w:type="pct"/>
            <w:vAlign w:val="center"/>
          </w:tcPr>
          <w:p>
            <w:pPr>
              <w:pStyle w:val="63"/>
            </w:pPr>
            <w:r>
              <w:t>ND</w:t>
            </w:r>
          </w:p>
        </w:tc>
        <w:tc>
          <w:tcPr>
            <w:tcW w:w="625" w:type="pct"/>
            <w:vAlign w:val="center"/>
          </w:tcPr>
          <w:p>
            <w:pPr>
              <w:pStyle w:val="63"/>
              <w:rPr>
                <w:kern w:val="0"/>
                <w:lang w:bidi="ar"/>
              </w:rPr>
            </w:pPr>
            <w:r>
              <w:t>/</w:t>
            </w:r>
          </w:p>
        </w:tc>
        <w:tc>
          <w:tcPr>
            <w:tcW w:w="625" w:type="pct"/>
            <w:vAlign w:val="center"/>
          </w:tcPr>
          <w:p>
            <w:pPr>
              <w:pStyle w:val="63"/>
            </w:pPr>
            <w:r>
              <w:t>达标</w:t>
            </w:r>
          </w:p>
        </w:tc>
        <w:tc>
          <w:tcPr>
            <w:tcW w:w="625" w:type="pct"/>
            <w:vAlign w:val="center"/>
          </w:tcPr>
          <w:p>
            <w:pPr>
              <w:pStyle w:val="63"/>
            </w:pPr>
            <w:r>
              <w:t>/</w:t>
            </w:r>
          </w:p>
        </w:tc>
        <w:tc>
          <w:tcPr>
            <w:tcW w:w="616" w:type="pct"/>
            <w:vAlign w:val="center"/>
          </w:tcPr>
          <w:p>
            <w:pPr>
              <w:pStyle w:val="63"/>
              <w:rPr>
                <w:kern w:val="0"/>
                <w:lang w:bidi="ar"/>
              </w:rPr>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HCO</w:t>
            </w:r>
            <w:r>
              <w:rPr>
                <w:vertAlign w:val="subscript"/>
              </w:rPr>
              <w:t>3</w:t>
            </w:r>
            <w:r>
              <w:rPr>
                <w:vertAlign w:val="superscript"/>
              </w:rPr>
              <w:t>-</w:t>
            </w:r>
          </w:p>
        </w:tc>
        <w:tc>
          <w:tcPr>
            <w:tcW w:w="629" w:type="pct"/>
            <w:vAlign w:val="center"/>
          </w:tcPr>
          <w:p>
            <w:pPr>
              <w:pStyle w:val="63"/>
            </w:pPr>
            <w:r>
              <w:t>5.25</w:t>
            </w:r>
          </w:p>
        </w:tc>
        <w:tc>
          <w:tcPr>
            <w:tcW w:w="630" w:type="pct"/>
            <w:vAlign w:val="center"/>
          </w:tcPr>
          <w:p>
            <w:pPr>
              <w:pStyle w:val="63"/>
              <w:rPr>
                <w:kern w:val="0"/>
                <w:lang w:bidi="ar"/>
              </w:rPr>
            </w:pPr>
            <w:r>
              <w:t>/</w:t>
            </w:r>
          </w:p>
        </w:tc>
        <w:tc>
          <w:tcPr>
            <w:tcW w:w="625" w:type="pct"/>
            <w:vAlign w:val="center"/>
          </w:tcPr>
          <w:p>
            <w:pPr>
              <w:pStyle w:val="63"/>
            </w:pPr>
            <w:r>
              <w:t>6.20</w:t>
            </w:r>
          </w:p>
        </w:tc>
        <w:tc>
          <w:tcPr>
            <w:tcW w:w="625" w:type="pct"/>
            <w:vAlign w:val="center"/>
          </w:tcPr>
          <w:p>
            <w:pPr>
              <w:pStyle w:val="63"/>
              <w:rPr>
                <w:kern w:val="0"/>
                <w:lang w:bidi="ar"/>
              </w:rPr>
            </w:pPr>
            <w:r>
              <w:t>/</w:t>
            </w:r>
          </w:p>
        </w:tc>
        <w:tc>
          <w:tcPr>
            <w:tcW w:w="625" w:type="pct"/>
            <w:vAlign w:val="center"/>
          </w:tcPr>
          <w:p>
            <w:pPr>
              <w:pStyle w:val="63"/>
            </w:pPr>
            <w:r>
              <w:t>达标</w:t>
            </w:r>
          </w:p>
        </w:tc>
        <w:tc>
          <w:tcPr>
            <w:tcW w:w="625" w:type="pct"/>
            <w:vAlign w:val="center"/>
          </w:tcPr>
          <w:p>
            <w:pPr>
              <w:pStyle w:val="63"/>
            </w:pPr>
            <w:r>
              <w:t>/</w:t>
            </w:r>
          </w:p>
        </w:tc>
        <w:tc>
          <w:tcPr>
            <w:tcW w:w="616" w:type="pct"/>
            <w:vAlign w:val="center"/>
          </w:tcPr>
          <w:p>
            <w:pPr>
              <w:pStyle w:val="63"/>
              <w:rPr>
                <w:kern w:val="0"/>
                <w:lang w:bidi="ar"/>
              </w:rPr>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Cl</w:t>
            </w:r>
            <w:r>
              <w:rPr>
                <w:vertAlign w:val="superscript"/>
              </w:rPr>
              <w:t>-</w:t>
            </w:r>
          </w:p>
        </w:tc>
        <w:tc>
          <w:tcPr>
            <w:tcW w:w="629" w:type="pct"/>
            <w:vAlign w:val="center"/>
          </w:tcPr>
          <w:p>
            <w:pPr>
              <w:pStyle w:val="63"/>
            </w:pPr>
            <w:r>
              <w:t>53.7</w:t>
            </w:r>
          </w:p>
        </w:tc>
        <w:tc>
          <w:tcPr>
            <w:tcW w:w="630" w:type="pct"/>
            <w:vAlign w:val="center"/>
          </w:tcPr>
          <w:p>
            <w:pPr>
              <w:pStyle w:val="63"/>
              <w:rPr>
                <w:kern w:val="0"/>
                <w:lang w:bidi="ar"/>
              </w:rPr>
            </w:pPr>
            <w:r>
              <w:t>/</w:t>
            </w:r>
          </w:p>
        </w:tc>
        <w:tc>
          <w:tcPr>
            <w:tcW w:w="625" w:type="pct"/>
            <w:vAlign w:val="center"/>
          </w:tcPr>
          <w:p>
            <w:pPr>
              <w:pStyle w:val="63"/>
            </w:pPr>
            <w:r>
              <w:t>48.6</w:t>
            </w:r>
          </w:p>
        </w:tc>
        <w:tc>
          <w:tcPr>
            <w:tcW w:w="625" w:type="pct"/>
            <w:vAlign w:val="center"/>
          </w:tcPr>
          <w:p>
            <w:pPr>
              <w:pStyle w:val="63"/>
              <w:rPr>
                <w:kern w:val="0"/>
                <w:lang w:bidi="ar"/>
              </w:rPr>
            </w:pPr>
            <w:r>
              <w:t>/</w:t>
            </w:r>
          </w:p>
        </w:tc>
        <w:tc>
          <w:tcPr>
            <w:tcW w:w="625" w:type="pct"/>
            <w:vAlign w:val="center"/>
          </w:tcPr>
          <w:p>
            <w:pPr>
              <w:pStyle w:val="63"/>
            </w:pPr>
            <w:r>
              <w:t>达标</w:t>
            </w:r>
          </w:p>
        </w:tc>
        <w:tc>
          <w:tcPr>
            <w:tcW w:w="625" w:type="pct"/>
            <w:vAlign w:val="center"/>
          </w:tcPr>
          <w:p>
            <w:pPr>
              <w:pStyle w:val="63"/>
            </w:pPr>
            <w:r>
              <w:t>250</w:t>
            </w:r>
          </w:p>
        </w:tc>
        <w:tc>
          <w:tcPr>
            <w:tcW w:w="616" w:type="pct"/>
            <w:vAlign w:val="center"/>
          </w:tcPr>
          <w:p>
            <w:pPr>
              <w:pStyle w:val="63"/>
            </w:pPr>
            <w: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5" w:type="pct"/>
            <w:vAlign w:val="center"/>
          </w:tcPr>
          <w:p>
            <w:pPr>
              <w:pStyle w:val="63"/>
            </w:pPr>
            <w:r>
              <w:t>SO</w:t>
            </w:r>
            <w:r>
              <w:rPr>
                <w:vertAlign w:val="subscript"/>
              </w:rPr>
              <w:t>4</w:t>
            </w:r>
            <w:r>
              <w:rPr>
                <w:vertAlign w:val="superscript"/>
              </w:rPr>
              <w:t>2-</w:t>
            </w:r>
          </w:p>
        </w:tc>
        <w:tc>
          <w:tcPr>
            <w:tcW w:w="629" w:type="pct"/>
            <w:vAlign w:val="center"/>
          </w:tcPr>
          <w:p>
            <w:pPr>
              <w:pStyle w:val="63"/>
            </w:pPr>
            <w:r>
              <w:t>37.5</w:t>
            </w:r>
          </w:p>
        </w:tc>
        <w:tc>
          <w:tcPr>
            <w:tcW w:w="630" w:type="pct"/>
            <w:vAlign w:val="center"/>
          </w:tcPr>
          <w:p>
            <w:pPr>
              <w:pStyle w:val="63"/>
              <w:rPr>
                <w:kern w:val="0"/>
                <w:lang w:bidi="ar"/>
              </w:rPr>
            </w:pPr>
            <w:r>
              <w:t>/</w:t>
            </w:r>
          </w:p>
        </w:tc>
        <w:tc>
          <w:tcPr>
            <w:tcW w:w="625" w:type="pct"/>
            <w:vAlign w:val="center"/>
          </w:tcPr>
          <w:p>
            <w:pPr>
              <w:pStyle w:val="63"/>
            </w:pPr>
            <w:r>
              <w:t>6.86</w:t>
            </w:r>
          </w:p>
        </w:tc>
        <w:tc>
          <w:tcPr>
            <w:tcW w:w="625" w:type="pct"/>
            <w:vAlign w:val="center"/>
          </w:tcPr>
          <w:p>
            <w:pPr>
              <w:pStyle w:val="63"/>
              <w:rPr>
                <w:kern w:val="0"/>
                <w:lang w:bidi="ar"/>
              </w:rPr>
            </w:pPr>
            <w:r>
              <w:t>/</w:t>
            </w:r>
          </w:p>
        </w:tc>
        <w:tc>
          <w:tcPr>
            <w:tcW w:w="625" w:type="pct"/>
            <w:vAlign w:val="center"/>
          </w:tcPr>
          <w:p>
            <w:pPr>
              <w:pStyle w:val="63"/>
            </w:pPr>
            <w:r>
              <w:t>达标</w:t>
            </w:r>
          </w:p>
        </w:tc>
        <w:tc>
          <w:tcPr>
            <w:tcW w:w="625" w:type="pct"/>
            <w:vAlign w:val="center"/>
          </w:tcPr>
          <w:p>
            <w:pPr>
              <w:pStyle w:val="63"/>
            </w:pPr>
            <w:r>
              <w:t>250</w:t>
            </w:r>
          </w:p>
        </w:tc>
        <w:tc>
          <w:tcPr>
            <w:tcW w:w="616" w:type="pct"/>
            <w:vAlign w:val="center"/>
          </w:tcPr>
          <w:p>
            <w:pPr>
              <w:pStyle w:val="63"/>
            </w:pPr>
            <w:r>
              <w:t>mg/L</w:t>
            </w:r>
          </w:p>
        </w:tc>
      </w:tr>
    </w:tbl>
    <w:p>
      <w:pPr>
        <w:tabs>
          <w:tab w:val="left" w:pos="3119"/>
        </w:tabs>
        <w:spacing w:line="360" w:lineRule="auto"/>
        <w:ind w:firstLine="480" w:firstLineChars="200"/>
        <w:rPr>
          <w:rFonts w:ascii="Times New Roman" w:hAnsi="Times New Roman" w:cs="Times New Roman"/>
        </w:rPr>
      </w:pPr>
    </w:p>
    <w:p>
      <w:pPr>
        <w:tabs>
          <w:tab w:val="left" w:pos="3119"/>
        </w:tabs>
        <w:spacing w:line="360" w:lineRule="auto"/>
        <w:ind w:firstLine="480" w:firstLineChars="200"/>
        <w:rPr>
          <w:rFonts w:ascii="Times New Roman" w:hAnsi="Times New Roman" w:cs="Times New Roman"/>
        </w:rPr>
        <w:sectPr>
          <w:pgSz w:w="16838" w:h="11906" w:orient="landscape"/>
          <w:pgMar w:top="1800" w:right="1440" w:bottom="1800" w:left="1440" w:header="851" w:footer="992" w:gutter="0"/>
          <w:cols w:space="425" w:num="1"/>
          <w:docGrid w:type="lines" w:linePitch="326" w:charSpace="0"/>
        </w:sectPr>
      </w:pPr>
    </w:p>
    <w:p>
      <w:pPr>
        <w:pStyle w:val="3"/>
        <w:rPr>
          <w:rFonts w:ascii="Times New Roman" w:hAnsi="Times New Roman" w:cs="Times New Roman" w:eastAsiaTheme="minorEastAsia"/>
        </w:rPr>
      </w:pPr>
      <w:bookmarkStart w:id="262" w:name="_Toc144236792"/>
      <w:bookmarkStart w:id="263" w:name="_Toc144276922"/>
      <w:bookmarkStart w:id="264" w:name="_Toc147848040"/>
      <w:r>
        <w:rPr>
          <w:rFonts w:ascii="Times New Roman" w:hAnsi="Times New Roman" w:cs="Times New Roman" w:eastAsiaTheme="minorEastAsia"/>
        </w:rPr>
        <w:t>5.4 声环境质量现状调查与评价</w:t>
      </w:r>
      <w:bookmarkEnd w:id="261"/>
      <w:bookmarkEnd w:id="262"/>
      <w:bookmarkEnd w:id="263"/>
      <w:bookmarkEnd w:id="264"/>
    </w:p>
    <w:p>
      <w:pPr>
        <w:pStyle w:val="4"/>
        <w:rPr>
          <w:rFonts w:ascii="Times New Roman" w:hAnsi="Times New Roman" w:cs="Times New Roman"/>
        </w:rPr>
      </w:pPr>
      <w:bookmarkStart w:id="265" w:name="_Toc144276923"/>
      <w:bookmarkStart w:id="266" w:name="_Toc144236793"/>
      <w:bookmarkStart w:id="267" w:name="_Toc147848041"/>
      <w:r>
        <w:rPr>
          <w:rFonts w:ascii="Times New Roman" w:hAnsi="Times New Roman" w:cs="Times New Roman"/>
        </w:rPr>
        <w:t>5.4.1 综合回收利用厂区</w:t>
      </w:r>
      <w:bookmarkEnd w:id="265"/>
      <w:bookmarkEnd w:id="266"/>
      <w:bookmarkEnd w:id="267"/>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（1）监测点位</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共布设9个监测点位，具体见表5.4-1，详见监测布点图所示。</w:t>
      </w:r>
    </w:p>
    <w:p>
      <w:pPr>
        <w:pStyle w:val="6"/>
        <w:rPr>
          <w:rFonts w:ascii="Times New Roman" w:hAnsi="Times New Roman" w:cs="Times New Roman"/>
        </w:rPr>
      </w:pPr>
      <w:r>
        <w:rPr>
          <w:rFonts w:ascii="Times New Roman" w:hAnsi="Times New Roman" w:cs="Times New Roman"/>
        </w:rPr>
        <w:t>表5.4-1  声环境质量现状监测点一览表</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40"/>
        <w:gridCol w:w="3932"/>
        <w:gridCol w:w="26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138" w:type="pct"/>
            <w:vAlign w:val="center"/>
          </w:tcPr>
          <w:p>
            <w:pPr>
              <w:pStyle w:val="63"/>
            </w:pPr>
            <w:r>
              <w:t>点位编号</w:t>
            </w:r>
          </w:p>
        </w:tc>
        <w:tc>
          <w:tcPr>
            <w:tcW w:w="2307" w:type="pct"/>
            <w:vAlign w:val="center"/>
          </w:tcPr>
          <w:p>
            <w:pPr>
              <w:pStyle w:val="63"/>
            </w:pPr>
            <w:r>
              <w:t>监测点位</w:t>
            </w:r>
          </w:p>
        </w:tc>
        <w:tc>
          <w:tcPr>
            <w:tcW w:w="1555" w:type="pct"/>
            <w:vAlign w:val="center"/>
          </w:tcPr>
          <w:p>
            <w:pPr>
              <w:pStyle w:val="63"/>
            </w:pPr>
            <w:r>
              <w:t>监测因子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8" w:type="pct"/>
            <w:vAlign w:val="center"/>
          </w:tcPr>
          <w:p>
            <w:pPr>
              <w:jc w:val="center"/>
              <w:rPr>
                <w:rFonts w:ascii="Times New Roman" w:hAnsi="Times New Roman" w:cs="Times New Roman"/>
                <w:szCs w:val="21"/>
              </w:rPr>
            </w:pPr>
            <w:r>
              <w:rPr>
                <w:rFonts w:ascii="Times New Roman" w:hAnsi="Times New Roman" w:cs="Times New Roman"/>
                <w:szCs w:val="21"/>
              </w:rPr>
              <w:t>N1</w:t>
            </w:r>
          </w:p>
        </w:tc>
        <w:tc>
          <w:tcPr>
            <w:tcW w:w="2307" w:type="pct"/>
            <w:vAlign w:val="center"/>
          </w:tcPr>
          <w:p>
            <w:pPr>
              <w:jc w:val="center"/>
              <w:rPr>
                <w:rFonts w:ascii="Times New Roman" w:hAnsi="Times New Roman" w:cs="Times New Roman"/>
                <w:szCs w:val="21"/>
              </w:rPr>
            </w:pPr>
            <w:r>
              <w:rPr>
                <w:rFonts w:ascii="Times New Roman" w:hAnsi="Times New Roman" w:cs="Times New Roman"/>
                <w:szCs w:val="21"/>
              </w:rPr>
              <w:t>厂界南侧1m</w:t>
            </w:r>
          </w:p>
        </w:tc>
        <w:tc>
          <w:tcPr>
            <w:tcW w:w="1555" w:type="pct"/>
            <w:vMerge w:val="restart"/>
            <w:vAlign w:val="center"/>
          </w:tcPr>
          <w:p>
            <w:pPr>
              <w:pStyle w:val="63"/>
            </w:pPr>
            <w:r>
              <w:t>等效声级LAeq［dB（A）］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8" w:type="pct"/>
            <w:vAlign w:val="center"/>
          </w:tcPr>
          <w:p>
            <w:pPr>
              <w:jc w:val="center"/>
              <w:rPr>
                <w:rFonts w:ascii="Times New Roman" w:hAnsi="Times New Roman" w:cs="Times New Roman"/>
                <w:szCs w:val="21"/>
              </w:rPr>
            </w:pPr>
            <w:r>
              <w:rPr>
                <w:rFonts w:ascii="Times New Roman" w:hAnsi="Times New Roman" w:cs="Times New Roman"/>
                <w:szCs w:val="21"/>
              </w:rPr>
              <w:t>N2</w:t>
            </w:r>
          </w:p>
        </w:tc>
        <w:tc>
          <w:tcPr>
            <w:tcW w:w="2307" w:type="pct"/>
            <w:vAlign w:val="center"/>
          </w:tcPr>
          <w:p>
            <w:pPr>
              <w:jc w:val="center"/>
              <w:rPr>
                <w:rFonts w:ascii="Times New Roman" w:hAnsi="Times New Roman" w:cs="Times New Roman"/>
                <w:szCs w:val="21"/>
              </w:rPr>
            </w:pPr>
            <w:r>
              <w:rPr>
                <w:rFonts w:ascii="Times New Roman" w:hAnsi="Times New Roman" w:cs="Times New Roman"/>
                <w:szCs w:val="21"/>
              </w:rPr>
              <w:t>厂界西侧1m</w:t>
            </w:r>
          </w:p>
        </w:tc>
        <w:tc>
          <w:tcPr>
            <w:tcW w:w="1555"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8" w:type="pct"/>
            <w:vAlign w:val="center"/>
          </w:tcPr>
          <w:p>
            <w:pPr>
              <w:jc w:val="center"/>
              <w:rPr>
                <w:rFonts w:ascii="Times New Roman" w:hAnsi="Times New Roman" w:cs="Times New Roman"/>
                <w:szCs w:val="21"/>
              </w:rPr>
            </w:pPr>
            <w:r>
              <w:rPr>
                <w:rFonts w:ascii="Times New Roman" w:hAnsi="Times New Roman" w:cs="Times New Roman"/>
                <w:szCs w:val="21"/>
              </w:rPr>
              <w:t>N3</w:t>
            </w:r>
          </w:p>
        </w:tc>
        <w:tc>
          <w:tcPr>
            <w:tcW w:w="2307" w:type="pct"/>
            <w:vAlign w:val="center"/>
          </w:tcPr>
          <w:p>
            <w:pPr>
              <w:jc w:val="center"/>
              <w:rPr>
                <w:rFonts w:ascii="Times New Roman" w:hAnsi="Times New Roman" w:cs="Times New Roman"/>
                <w:szCs w:val="21"/>
              </w:rPr>
            </w:pPr>
            <w:r>
              <w:rPr>
                <w:rFonts w:ascii="Times New Roman" w:hAnsi="Times New Roman" w:cs="Times New Roman"/>
                <w:szCs w:val="21"/>
              </w:rPr>
              <w:t>厂界北侧1m</w:t>
            </w:r>
          </w:p>
        </w:tc>
        <w:tc>
          <w:tcPr>
            <w:tcW w:w="1555"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8" w:type="pct"/>
            <w:vAlign w:val="center"/>
          </w:tcPr>
          <w:p>
            <w:pPr>
              <w:jc w:val="center"/>
              <w:rPr>
                <w:rFonts w:ascii="Times New Roman" w:hAnsi="Times New Roman" w:cs="Times New Roman"/>
                <w:szCs w:val="21"/>
              </w:rPr>
            </w:pPr>
            <w:r>
              <w:rPr>
                <w:rFonts w:ascii="Times New Roman" w:hAnsi="Times New Roman" w:cs="Times New Roman"/>
                <w:szCs w:val="21"/>
              </w:rPr>
              <w:t>N4</w:t>
            </w:r>
          </w:p>
        </w:tc>
        <w:tc>
          <w:tcPr>
            <w:tcW w:w="2307" w:type="pct"/>
            <w:vAlign w:val="center"/>
          </w:tcPr>
          <w:p>
            <w:pPr>
              <w:jc w:val="center"/>
              <w:rPr>
                <w:rFonts w:ascii="Times New Roman" w:hAnsi="Times New Roman" w:cs="Times New Roman"/>
                <w:szCs w:val="21"/>
              </w:rPr>
            </w:pPr>
            <w:r>
              <w:rPr>
                <w:rFonts w:ascii="Times New Roman" w:hAnsi="Times New Roman" w:cs="Times New Roman"/>
                <w:szCs w:val="21"/>
              </w:rPr>
              <w:t>厂界东侧1m</w:t>
            </w:r>
          </w:p>
        </w:tc>
        <w:tc>
          <w:tcPr>
            <w:tcW w:w="1555"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8" w:type="pct"/>
            <w:vAlign w:val="center"/>
          </w:tcPr>
          <w:p>
            <w:pPr>
              <w:jc w:val="center"/>
              <w:rPr>
                <w:rFonts w:ascii="Times New Roman" w:hAnsi="Times New Roman" w:cs="Times New Roman"/>
                <w:szCs w:val="21"/>
              </w:rPr>
            </w:pPr>
            <w:r>
              <w:rPr>
                <w:rFonts w:ascii="Times New Roman" w:hAnsi="Times New Roman" w:cs="Times New Roman"/>
                <w:szCs w:val="21"/>
              </w:rPr>
              <w:t>N5</w:t>
            </w:r>
          </w:p>
        </w:tc>
        <w:tc>
          <w:tcPr>
            <w:tcW w:w="2307" w:type="pct"/>
            <w:vAlign w:val="center"/>
          </w:tcPr>
          <w:p>
            <w:pPr>
              <w:jc w:val="center"/>
              <w:rPr>
                <w:rFonts w:ascii="Times New Roman" w:hAnsi="Times New Roman" w:cs="Times New Roman"/>
                <w:szCs w:val="21"/>
              </w:rPr>
            </w:pPr>
            <w:r>
              <w:rPr>
                <w:rFonts w:ascii="Times New Roman" w:hAnsi="Times New Roman" w:cs="Times New Roman"/>
                <w:szCs w:val="21"/>
              </w:rPr>
              <w:t>厂界南侧1m</w:t>
            </w:r>
          </w:p>
        </w:tc>
        <w:tc>
          <w:tcPr>
            <w:tcW w:w="1555"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8" w:type="pct"/>
            <w:vAlign w:val="center"/>
          </w:tcPr>
          <w:p>
            <w:pPr>
              <w:jc w:val="center"/>
              <w:rPr>
                <w:rFonts w:ascii="Times New Roman" w:hAnsi="Times New Roman" w:cs="Times New Roman"/>
                <w:szCs w:val="21"/>
              </w:rPr>
            </w:pPr>
            <w:r>
              <w:rPr>
                <w:rFonts w:ascii="Times New Roman" w:hAnsi="Times New Roman" w:cs="Times New Roman"/>
                <w:szCs w:val="21"/>
              </w:rPr>
              <w:t>N6</w:t>
            </w:r>
          </w:p>
        </w:tc>
        <w:tc>
          <w:tcPr>
            <w:tcW w:w="2307" w:type="pct"/>
            <w:vAlign w:val="center"/>
          </w:tcPr>
          <w:p>
            <w:pPr>
              <w:jc w:val="center"/>
              <w:rPr>
                <w:rFonts w:ascii="Times New Roman" w:hAnsi="Times New Roman" w:cs="Times New Roman"/>
                <w:szCs w:val="21"/>
              </w:rPr>
            </w:pPr>
            <w:r>
              <w:rPr>
                <w:rFonts w:ascii="Times New Roman" w:hAnsi="Times New Roman" w:cs="Times New Roman"/>
                <w:szCs w:val="21"/>
              </w:rPr>
              <w:t>厂界西侧1m</w:t>
            </w:r>
          </w:p>
        </w:tc>
        <w:tc>
          <w:tcPr>
            <w:tcW w:w="1555"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8" w:type="pct"/>
            <w:vAlign w:val="center"/>
          </w:tcPr>
          <w:p>
            <w:pPr>
              <w:jc w:val="center"/>
              <w:rPr>
                <w:rFonts w:ascii="Times New Roman" w:hAnsi="Times New Roman" w:cs="Times New Roman"/>
                <w:szCs w:val="21"/>
              </w:rPr>
            </w:pPr>
            <w:r>
              <w:rPr>
                <w:rFonts w:ascii="Times New Roman" w:hAnsi="Times New Roman" w:cs="Times New Roman"/>
                <w:szCs w:val="21"/>
              </w:rPr>
              <w:t>N7</w:t>
            </w:r>
          </w:p>
        </w:tc>
        <w:tc>
          <w:tcPr>
            <w:tcW w:w="2307" w:type="pct"/>
            <w:vAlign w:val="center"/>
          </w:tcPr>
          <w:p>
            <w:pPr>
              <w:jc w:val="center"/>
              <w:rPr>
                <w:rFonts w:ascii="Times New Roman" w:hAnsi="Times New Roman" w:cs="Times New Roman"/>
                <w:szCs w:val="21"/>
              </w:rPr>
            </w:pPr>
            <w:r>
              <w:rPr>
                <w:rFonts w:ascii="Times New Roman" w:hAnsi="Times New Roman" w:cs="Times New Roman"/>
                <w:szCs w:val="21"/>
              </w:rPr>
              <w:t>厂界北侧1m</w:t>
            </w:r>
          </w:p>
        </w:tc>
        <w:tc>
          <w:tcPr>
            <w:tcW w:w="1555"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8" w:type="pct"/>
            <w:vAlign w:val="center"/>
          </w:tcPr>
          <w:p>
            <w:pPr>
              <w:jc w:val="center"/>
              <w:rPr>
                <w:rFonts w:ascii="Times New Roman" w:hAnsi="Times New Roman" w:cs="Times New Roman"/>
                <w:szCs w:val="21"/>
              </w:rPr>
            </w:pPr>
            <w:r>
              <w:rPr>
                <w:rFonts w:ascii="Times New Roman" w:hAnsi="Times New Roman" w:cs="Times New Roman"/>
                <w:szCs w:val="21"/>
              </w:rPr>
              <w:t>N8</w:t>
            </w:r>
          </w:p>
        </w:tc>
        <w:tc>
          <w:tcPr>
            <w:tcW w:w="2307" w:type="pct"/>
            <w:vAlign w:val="center"/>
          </w:tcPr>
          <w:p>
            <w:pPr>
              <w:jc w:val="center"/>
              <w:rPr>
                <w:rFonts w:ascii="Times New Roman" w:hAnsi="Times New Roman" w:cs="Times New Roman"/>
                <w:szCs w:val="21"/>
              </w:rPr>
            </w:pPr>
            <w:r>
              <w:rPr>
                <w:rFonts w:ascii="Times New Roman" w:hAnsi="Times New Roman" w:cs="Times New Roman"/>
                <w:szCs w:val="21"/>
              </w:rPr>
              <w:t>厂界东侧1m</w:t>
            </w:r>
          </w:p>
        </w:tc>
        <w:tc>
          <w:tcPr>
            <w:tcW w:w="1555"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8" w:type="pct"/>
            <w:vAlign w:val="center"/>
          </w:tcPr>
          <w:p>
            <w:pPr>
              <w:jc w:val="center"/>
              <w:rPr>
                <w:rFonts w:ascii="Times New Roman" w:hAnsi="Times New Roman" w:cs="Times New Roman"/>
                <w:szCs w:val="21"/>
              </w:rPr>
            </w:pPr>
            <w:r>
              <w:rPr>
                <w:rFonts w:ascii="Times New Roman" w:hAnsi="Times New Roman" w:cs="Times New Roman"/>
                <w:szCs w:val="21"/>
              </w:rPr>
              <w:t>N9</w:t>
            </w:r>
          </w:p>
        </w:tc>
        <w:tc>
          <w:tcPr>
            <w:tcW w:w="2307" w:type="pct"/>
            <w:vAlign w:val="center"/>
          </w:tcPr>
          <w:p>
            <w:pPr>
              <w:jc w:val="center"/>
              <w:rPr>
                <w:rFonts w:ascii="Times New Roman" w:hAnsi="Times New Roman" w:cs="Times New Roman"/>
                <w:szCs w:val="21"/>
              </w:rPr>
            </w:pPr>
            <w:r>
              <w:rPr>
                <w:rFonts w:ascii="Times New Roman" w:hAnsi="Times New Roman" w:cs="Times New Roman"/>
                <w:szCs w:val="21"/>
              </w:rPr>
              <w:t>三才村（彭家屋场）</w:t>
            </w:r>
          </w:p>
        </w:tc>
        <w:tc>
          <w:tcPr>
            <w:tcW w:w="1555" w:type="pct"/>
            <w:vMerge w:val="continue"/>
            <w:vAlign w:val="center"/>
          </w:tcPr>
          <w:p>
            <w:pPr>
              <w:pStyle w:val="63"/>
            </w:pPr>
          </w:p>
        </w:tc>
      </w:tr>
    </w:tbl>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（2）监测时间</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各监测点按昼间和夜间分段监测。连续监测两天。</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（3）评价标准</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厂区边界执行《声环境质量标准》（GB3096-2008）3类区标准，周边敏感点执行《声环境质量标准》（GB3096-2008）2类区标准。</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（4）监测结果与评价</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声环境现状监测统计结果见表5.4-2所示。</w:t>
      </w:r>
    </w:p>
    <w:p>
      <w:pPr>
        <w:pStyle w:val="6"/>
        <w:rPr>
          <w:rFonts w:ascii="Times New Roman" w:hAnsi="Times New Roman" w:cs="Times New Roman"/>
        </w:rPr>
      </w:pPr>
      <w:r>
        <w:rPr>
          <w:rFonts w:ascii="Times New Roman" w:hAnsi="Times New Roman" w:cs="Times New Roman"/>
        </w:rPr>
        <w:t>表5.4-2  声环境现状监测统计结果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86"/>
        <w:gridCol w:w="1326"/>
        <w:gridCol w:w="1326"/>
        <w:gridCol w:w="1326"/>
        <w:gridCol w:w="1328"/>
        <w:gridCol w:w="665"/>
        <w:gridCol w:w="6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107" w:type="pct"/>
            <w:vMerge w:val="restart"/>
            <w:vAlign w:val="center"/>
          </w:tcPr>
          <w:p>
            <w:pPr>
              <w:pStyle w:val="63"/>
            </w:pPr>
            <w:r>
              <w:t>监测点位</w:t>
            </w:r>
          </w:p>
        </w:tc>
        <w:tc>
          <w:tcPr>
            <w:tcW w:w="3113" w:type="pct"/>
            <w:gridSpan w:val="4"/>
            <w:vAlign w:val="center"/>
          </w:tcPr>
          <w:p>
            <w:pPr>
              <w:pStyle w:val="63"/>
            </w:pPr>
            <w:r>
              <w:t>监测日期检测结果（单位：dB（A））</w:t>
            </w:r>
          </w:p>
        </w:tc>
        <w:tc>
          <w:tcPr>
            <w:tcW w:w="780" w:type="pct"/>
            <w:gridSpan w:val="2"/>
            <w:vMerge w:val="restart"/>
            <w:vAlign w:val="center"/>
          </w:tcPr>
          <w:p>
            <w:pPr>
              <w:pStyle w:val="63"/>
            </w:pPr>
            <w:r>
              <w:t>标准限值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107" w:type="pct"/>
            <w:vMerge w:val="continue"/>
            <w:vAlign w:val="center"/>
          </w:tcPr>
          <w:p>
            <w:pPr>
              <w:pStyle w:val="63"/>
            </w:pPr>
          </w:p>
        </w:tc>
        <w:tc>
          <w:tcPr>
            <w:tcW w:w="1556" w:type="pct"/>
            <w:gridSpan w:val="2"/>
            <w:vAlign w:val="center"/>
          </w:tcPr>
          <w:p>
            <w:pPr>
              <w:pStyle w:val="63"/>
            </w:pPr>
            <w:r>
              <w:t>2022.11.13</w:t>
            </w:r>
          </w:p>
        </w:tc>
        <w:tc>
          <w:tcPr>
            <w:tcW w:w="1557" w:type="pct"/>
            <w:gridSpan w:val="2"/>
            <w:vAlign w:val="center"/>
          </w:tcPr>
          <w:p>
            <w:pPr>
              <w:pStyle w:val="63"/>
            </w:pPr>
            <w:r>
              <w:t>2022.11.14</w:t>
            </w:r>
          </w:p>
        </w:tc>
        <w:tc>
          <w:tcPr>
            <w:tcW w:w="780"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107" w:type="pct"/>
            <w:vMerge w:val="continue"/>
            <w:vAlign w:val="center"/>
          </w:tcPr>
          <w:p>
            <w:pPr>
              <w:pStyle w:val="63"/>
            </w:pPr>
          </w:p>
        </w:tc>
        <w:tc>
          <w:tcPr>
            <w:tcW w:w="778" w:type="pct"/>
            <w:vAlign w:val="center"/>
          </w:tcPr>
          <w:p>
            <w:pPr>
              <w:pStyle w:val="63"/>
            </w:pPr>
            <w:r>
              <w:t>昼间</w:t>
            </w:r>
          </w:p>
        </w:tc>
        <w:tc>
          <w:tcPr>
            <w:tcW w:w="778" w:type="pct"/>
            <w:vAlign w:val="center"/>
          </w:tcPr>
          <w:p>
            <w:pPr>
              <w:pStyle w:val="63"/>
            </w:pPr>
            <w:r>
              <w:t>夜间</w:t>
            </w:r>
          </w:p>
        </w:tc>
        <w:tc>
          <w:tcPr>
            <w:tcW w:w="778" w:type="pct"/>
            <w:vAlign w:val="center"/>
          </w:tcPr>
          <w:p>
            <w:pPr>
              <w:pStyle w:val="63"/>
            </w:pPr>
            <w:r>
              <w:t>昼间</w:t>
            </w:r>
          </w:p>
        </w:tc>
        <w:tc>
          <w:tcPr>
            <w:tcW w:w="779" w:type="pct"/>
            <w:vAlign w:val="center"/>
          </w:tcPr>
          <w:p>
            <w:pPr>
              <w:pStyle w:val="63"/>
            </w:pPr>
            <w:r>
              <w:t>夜间</w:t>
            </w:r>
          </w:p>
        </w:tc>
        <w:tc>
          <w:tcPr>
            <w:tcW w:w="390" w:type="pct"/>
            <w:vAlign w:val="center"/>
          </w:tcPr>
          <w:p>
            <w:pPr>
              <w:pStyle w:val="63"/>
            </w:pPr>
            <w:r>
              <w:t>昼间</w:t>
            </w:r>
          </w:p>
        </w:tc>
        <w:tc>
          <w:tcPr>
            <w:tcW w:w="390" w:type="pct"/>
            <w:vAlign w:val="center"/>
          </w:tcPr>
          <w:p>
            <w:pPr>
              <w:pStyle w:val="63"/>
            </w:pPr>
            <w: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7" w:type="pct"/>
            <w:vAlign w:val="center"/>
          </w:tcPr>
          <w:p>
            <w:pPr>
              <w:pStyle w:val="63"/>
            </w:pPr>
            <w:r>
              <w:t>N1厂界南侧</w:t>
            </w:r>
          </w:p>
        </w:tc>
        <w:tc>
          <w:tcPr>
            <w:tcW w:w="778" w:type="pct"/>
            <w:vAlign w:val="center"/>
          </w:tcPr>
          <w:p>
            <w:pPr>
              <w:pStyle w:val="63"/>
            </w:pPr>
            <w:r>
              <w:t>50.8</w:t>
            </w:r>
          </w:p>
        </w:tc>
        <w:tc>
          <w:tcPr>
            <w:tcW w:w="778" w:type="pct"/>
            <w:vAlign w:val="center"/>
          </w:tcPr>
          <w:p>
            <w:pPr>
              <w:pStyle w:val="63"/>
            </w:pPr>
            <w:r>
              <w:t>43.1</w:t>
            </w:r>
          </w:p>
        </w:tc>
        <w:tc>
          <w:tcPr>
            <w:tcW w:w="778" w:type="pct"/>
            <w:vAlign w:val="center"/>
          </w:tcPr>
          <w:p>
            <w:pPr>
              <w:pStyle w:val="63"/>
            </w:pPr>
            <w:r>
              <w:t>50.8</w:t>
            </w:r>
          </w:p>
        </w:tc>
        <w:tc>
          <w:tcPr>
            <w:tcW w:w="779" w:type="pct"/>
            <w:vAlign w:val="center"/>
          </w:tcPr>
          <w:p>
            <w:pPr>
              <w:pStyle w:val="63"/>
            </w:pPr>
            <w:r>
              <w:t>44.1</w:t>
            </w:r>
          </w:p>
        </w:tc>
        <w:tc>
          <w:tcPr>
            <w:tcW w:w="390" w:type="pct"/>
            <w:vAlign w:val="center"/>
          </w:tcPr>
          <w:p>
            <w:pPr>
              <w:pStyle w:val="63"/>
            </w:pPr>
            <w:r>
              <w:t>65</w:t>
            </w:r>
          </w:p>
        </w:tc>
        <w:tc>
          <w:tcPr>
            <w:tcW w:w="390" w:type="pct"/>
            <w:vAlign w:val="center"/>
          </w:tcPr>
          <w:p>
            <w:pPr>
              <w:pStyle w:val="63"/>
            </w:pPr>
            <w: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7" w:type="pct"/>
            <w:vAlign w:val="center"/>
          </w:tcPr>
          <w:p>
            <w:pPr>
              <w:pStyle w:val="63"/>
            </w:pPr>
            <w:r>
              <w:t>N2厂界西侧</w:t>
            </w:r>
          </w:p>
        </w:tc>
        <w:tc>
          <w:tcPr>
            <w:tcW w:w="778" w:type="pct"/>
            <w:vAlign w:val="center"/>
          </w:tcPr>
          <w:p>
            <w:pPr>
              <w:pStyle w:val="63"/>
            </w:pPr>
            <w:r>
              <w:t>50.9</w:t>
            </w:r>
          </w:p>
        </w:tc>
        <w:tc>
          <w:tcPr>
            <w:tcW w:w="778" w:type="pct"/>
            <w:vAlign w:val="center"/>
          </w:tcPr>
          <w:p>
            <w:pPr>
              <w:pStyle w:val="63"/>
            </w:pPr>
            <w:r>
              <w:t>43.8</w:t>
            </w:r>
          </w:p>
        </w:tc>
        <w:tc>
          <w:tcPr>
            <w:tcW w:w="778" w:type="pct"/>
            <w:vAlign w:val="center"/>
          </w:tcPr>
          <w:p>
            <w:pPr>
              <w:pStyle w:val="63"/>
            </w:pPr>
            <w:r>
              <w:t>50.5</w:t>
            </w:r>
          </w:p>
        </w:tc>
        <w:tc>
          <w:tcPr>
            <w:tcW w:w="779" w:type="pct"/>
            <w:vAlign w:val="center"/>
          </w:tcPr>
          <w:p>
            <w:pPr>
              <w:pStyle w:val="63"/>
            </w:pPr>
            <w:r>
              <w:t>42.5</w:t>
            </w:r>
          </w:p>
        </w:tc>
        <w:tc>
          <w:tcPr>
            <w:tcW w:w="390" w:type="pct"/>
            <w:vAlign w:val="center"/>
          </w:tcPr>
          <w:p>
            <w:pPr>
              <w:pStyle w:val="63"/>
            </w:pPr>
            <w:r>
              <w:t>65</w:t>
            </w:r>
          </w:p>
        </w:tc>
        <w:tc>
          <w:tcPr>
            <w:tcW w:w="390" w:type="pct"/>
            <w:vAlign w:val="center"/>
          </w:tcPr>
          <w:p>
            <w:pPr>
              <w:pStyle w:val="63"/>
            </w:pPr>
            <w: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7" w:type="pct"/>
            <w:vAlign w:val="center"/>
          </w:tcPr>
          <w:p>
            <w:pPr>
              <w:pStyle w:val="63"/>
            </w:pPr>
            <w:r>
              <w:t>N3厂界北侧</w:t>
            </w:r>
          </w:p>
        </w:tc>
        <w:tc>
          <w:tcPr>
            <w:tcW w:w="778" w:type="pct"/>
            <w:vAlign w:val="center"/>
          </w:tcPr>
          <w:p>
            <w:pPr>
              <w:pStyle w:val="63"/>
            </w:pPr>
            <w:r>
              <w:t>51.1</w:t>
            </w:r>
          </w:p>
        </w:tc>
        <w:tc>
          <w:tcPr>
            <w:tcW w:w="778" w:type="pct"/>
            <w:vAlign w:val="center"/>
          </w:tcPr>
          <w:p>
            <w:pPr>
              <w:pStyle w:val="63"/>
            </w:pPr>
            <w:r>
              <w:t>42.7</w:t>
            </w:r>
          </w:p>
        </w:tc>
        <w:tc>
          <w:tcPr>
            <w:tcW w:w="778" w:type="pct"/>
            <w:vAlign w:val="center"/>
          </w:tcPr>
          <w:p>
            <w:pPr>
              <w:pStyle w:val="63"/>
            </w:pPr>
            <w:r>
              <w:t>50.9</w:t>
            </w:r>
          </w:p>
        </w:tc>
        <w:tc>
          <w:tcPr>
            <w:tcW w:w="779" w:type="pct"/>
            <w:vAlign w:val="center"/>
          </w:tcPr>
          <w:p>
            <w:pPr>
              <w:pStyle w:val="63"/>
            </w:pPr>
            <w:r>
              <w:t>42.6</w:t>
            </w:r>
          </w:p>
        </w:tc>
        <w:tc>
          <w:tcPr>
            <w:tcW w:w="390" w:type="pct"/>
            <w:vAlign w:val="center"/>
          </w:tcPr>
          <w:p>
            <w:pPr>
              <w:pStyle w:val="63"/>
            </w:pPr>
            <w:r>
              <w:t>65</w:t>
            </w:r>
          </w:p>
        </w:tc>
        <w:tc>
          <w:tcPr>
            <w:tcW w:w="390" w:type="pct"/>
            <w:vAlign w:val="center"/>
          </w:tcPr>
          <w:p>
            <w:pPr>
              <w:pStyle w:val="63"/>
            </w:pPr>
            <w: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7" w:type="pct"/>
            <w:vAlign w:val="center"/>
          </w:tcPr>
          <w:p>
            <w:pPr>
              <w:pStyle w:val="63"/>
            </w:pPr>
            <w:r>
              <w:t>N4厂界东侧</w:t>
            </w:r>
          </w:p>
        </w:tc>
        <w:tc>
          <w:tcPr>
            <w:tcW w:w="778" w:type="pct"/>
            <w:vAlign w:val="center"/>
          </w:tcPr>
          <w:p>
            <w:pPr>
              <w:pStyle w:val="63"/>
            </w:pPr>
            <w:r>
              <w:t>51.0</w:t>
            </w:r>
          </w:p>
        </w:tc>
        <w:tc>
          <w:tcPr>
            <w:tcW w:w="778" w:type="pct"/>
            <w:vAlign w:val="center"/>
          </w:tcPr>
          <w:p>
            <w:pPr>
              <w:pStyle w:val="63"/>
            </w:pPr>
            <w:r>
              <w:t>43.3</w:t>
            </w:r>
          </w:p>
        </w:tc>
        <w:tc>
          <w:tcPr>
            <w:tcW w:w="778" w:type="pct"/>
            <w:vAlign w:val="center"/>
          </w:tcPr>
          <w:p>
            <w:pPr>
              <w:pStyle w:val="63"/>
            </w:pPr>
            <w:r>
              <w:t>51.5</w:t>
            </w:r>
          </w:p>
        </w:tc>
        <w:tc>
          <w:tcPr>
            <w:tcW w:w="779" w:type="pct"/>
            <w:vAlign w:val="center"/>
          </w:tcPr>
          <w:p>
            <w:pPr>
              <w:pStyle w:val="63"/>
            </w:pPr>
            <w:r>
              <w:t>42.0</w:t>
            </w:r>
          </w:p>
        </w:tc>
        <w:tc>
          <w:tcPr>
            <w:tcW w:w="390" w:type="pct"/>
            <w:vAlign w:val="center"/>
          </w:tcPr>
          <w:p>
            <w:pPr>
              <w:pStyle w:val="63"/>
            </w:pPr>
            <w:r>
              <w:t>65</w:t>
            </w:r>
          </w:p>
        </w:tc>
        <w:tc>
          <w:tcPr>
            <w:tcW w:w="390" w:type="pct"/>
            <w:vAlign w:val="center"/>
          </w:tcPr>
          <w:p>
            <w:pPr>
              <w:pStyle w:val="63"/>
            </w:pPr>
            <w: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7" w:type="pct"/>
            <w:vAlign w:val="center"/>
          </w:tcPr>
          <w:p>
            <w:pPr>
              <w:pStyle w:val="63"/>
            </w:pPr>
            <w:r>
              <w:t>N5厂界南侧</w:t>
            </w:r>
          </w:p>
        </w:tc>
        <w:tc>
          <w:tcPr>
            <w:tcW w:w="778" w:type="pct"/>
            <w:vAlign w:val="center"/>
          </w:tcPr>
          <w:p>
            <w:pPr>
              <w:pStyle w:val="63"/>
            </w:pPr>
            <w:r>
              <w:t>52.8</w:t>
            </w:r>
          </w:p>
        </w:tc>
        <w:tc>
          <w:tcPr>
            <w:tcW w:w="778" w:type="pct"/>
            <w:vAlign w:val="center"/>
          </w:tcPr>
          <w:p>
            <w:pPr>
              <w:pStyle w:val="63"/>
            </w:pPr>
            <w:r>
              <w:t>44.8</w:t>
            </w:r>
          </w:p>
        </w:tc>
        <w:tc>
          <w:tcPr>
            <w:tcW w:w="778" w:type="pct"/>
            <w:vAlign w:val="center"/>
          </w:tcPr>
          <w:p>
            <w:pPr>
              <w:pStyle w:val="63"/>
            </w:pPr>
            <w:r>
              <w:t>51.7</w:t>
            </w:r>
          </w:p>
        </w:tc>
        <w:tc>
          <w:tcPr>
            <w:tcW w:w="779" w:type="pct"/>
            <w:vAlign w:val="center"/>
          </w:tcPr>
          <w:p>
            <w:pPr>
              <w:pStyle w:val="63"/>
            </w:pPr>
            <w:r>
              <w:t>42.1</w:t>
            </w:r>
          </w:p>
        </w:tc>
        <w:tc>
          <w:tcPr>
            <w:tcW w:w="390" w:type="pct"/>
            <w:vAlign w:val="center"/>
          </w:tcPr>
          <w:p>
            <w:pPr>
              <w:pStyle w:val="63"/>
            </w:pPr>
            <w:r>
              <w:t>65</w:t>
            </w:r>
          </w:p>
        </w:tc>
        <w:tc>
          <w:tcPr>
            <w:tcW w:w="390" w:type="pct"/>
            <w:vAlign w:val="center"/>
          </w:tcPr>
          <w:p>
            <w:pPr>
              <w:pStyle w:val="63"/>
            </w:pPr>
            <w: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7" w:type="pct"/>
            <w:vAlign w:val="center"/>
          </w:tcPr>
          <w:p>
            <w:pPr>
              <w:pStyle w:val="63"/>
            </w:pPr>
            <w:r>
              <w:t>N6厂界西侧</w:t>
            </w:r>
          </w:p>
        </w:tc>
        <w:tc>
          <w:tcPr>
            <w:tcW w:w="778" w:type="pct"/>
            <w:vAlign w:val="center"/>
          </w:tcPr>
          <w:p>
            <w:pPr>
              <w:pStyle w:val="63"/>
            </w:pPr>
            <w:r>
              <w:t>51.2</w:t>
            </w:r>
          </w:p>
        </w:tc>
        <w:tc>
          <w:tcPr>
            <w:tcW w:w="778" w:type="pct"/>
            <w:vAlign w:val="center"/>
          </w:tcPr>
          <w:p>
            <w:pPr>
              <w:pStyle w:val="63"/>
            </w:pPr>
            <w:r>
              <w:t>44.0</w:t>
            </w:r>
          </w:p>
        </w:tc>
        <w:tc>
          <w:tcPr>
            <w:tcW w:w="778" w:type="pct"/>
            <w:vAlign w:val="center"/>
          </w:tcPr>
          <w:p>
            <w:pPr>
              <w:pStyle w:val="63"/>
            </w:pPr>
            <w:r>
              <w:t>51.1</w:t>
            </w:r>
          </w:p>
        </w:tc>
        <w:tc>
          <w:tcPr>
            <w:tcW w:w="779" w:type="pct"/>
            <w:vAlign w:val="center"/>
          </w:tcPr>
          <w:p>
            <w:pPr>
              <w:pStyle w:val="63"/>
            </w:pPr>
            <w:r>
              <w:t>42.5</w:t>
            </w:r>
          </w:p>
        </w:tc>
        <w:tc>
          <w:tcPr>
            <w:tcW w:w="390" w:type="pct"/>
            <w:vAlign w:val="center"/>
          </w:tcPr>
          <w:p>
            <w:pPr>
              <w:pStyle w:val="63"/>
            </w:pPr>
            <w:r>
              <w:t>65</w:t>
            </w:r>
          </w:p>
        </w:tc>
        <w:tc>
          <w:tcPr>
            <w:tcW w:w="390" w:type="pct"/>
            <w:vAlign w:val="center"/>
          </w:tcPr>
          <w:p>
            <w:pPr>
              <w:pStyle w:val="63"/>
            </w:pPr>
            <w: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7" w:type="pct"/>
            <w:vAlign w:val="center"/>
          </w:tcPr>
          <w:p>
            <w:pPr>
              <w:pStyle w:val="63"/>
            </w:pPr>
            <w:r>
              <w:t>N7厂界北侧</w:t>
            </w:r>
          </w:p>
        </w:tc>
        <w:tc>
          <w:tcPr>
            <w:tcW w:w="778" w:type="pct"/>
            <w:vAlign w:val="center"/>
          </w:tcPr>
          <w:p>
            <w:pPr>
              <w:pStyle w:val="63"/>
            </w:pPr>
            <w:r>
              <w:t>52.1</w:t>
            </w:r>
          </w:p>
        </w:tc>
        <w:tc>
          <w:tcPr>
            <w:tcW w:w="778" w:type="pct"/>
            <w:vAlign w:val="center"/>
          </w:tcPr>
          <w:p>
            <w:pPr>
              <w:pStyle w:val="63"/>
            </w:pPr>
            <w:r>
              <w:t>44.6</w:t>
            </w:r>
          </w:p>
        </w:tc>
        <w:tc>
          <w:tcPr>
            <w:tcW w:w="778" w:type="pct"/>
            <w:vAlign w:val="center"/>
          </w:tcPr>
          <w:p>
            <w:pPr>
              <w:pStyle w:val="63"/>
            </w:pPr>
            <w:r>
              <w:t>50.6</w:t>
            </w:r>
          </w:p>
        </w:tc>
        <w:tc>
          <w:tcPr>
            <w:tcW w:w="779" w:type="pct"/>
            <w:vAlign w:val="center"/>
          </w:tcPr>
          <w:p>
            <w:pPr>
              <w:pStyle w:val="63"/>
            </w:pPr>
            <w:r>
              <w:t>42.7</w:t>
            </w:r>
          </w:p>
        </w:tc>
        <w:tc>
          <w:tcPr>
            <w:tcW w:w="390" w:type="pct"/>
            <w:vAlign w:val="center"/>
          </w:tcPr>
          <w:p>
            <w:pPr>
              <w:pStyle w:val="63"/>
            </w:pPr>
            <w:r>
              <w:t>65</w:t>
            </w:r>
          </w:p>
        </w:tc>
        <w:tc>
          <w:tcPr>
            <w:tcW w:w="390" w:type="pct"/>
            <w:vAlign w:val="center"/>
          </w:tcPr>
          <w:p>
            <w:pPr>
              <w:pStyle w:val="63"/>
            </w:pPr>
            <w: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7" w:type="pct"/>
            <w:vAlign w:val="center"/>
          </w:tcPr>
          <w:p>
            <w:pPr>
              <w:pStyle w:val="63"/>
            </w:pPr>
            <w:r>
              <w:t>N8厂界东侧</w:t>
            </w:r>
          </w:p>
        </w:tc>
        <w:tc>
          <w:tcPr>
            <w:tcW w:w="778" w:type="pct"/>
            <w:vAlign w:val="center"/>
          </w:tcPr>
          <w:p>
            <w:pPr>
              <w:pStyle w:val="63"/>
            </w:pPr>
            <w:r>
              <w:t>51.8</w:t>
            </w:r>
          </w:p>
        </w:tc>
        <w:tc>
          <w:tcPr>
            <w:tcW w:w="778" w:type="pct"/>
            <w:vAlign w:val="center"/>
          </w:tcPr>
          <w:p>
            <w:pPr>
              <w:pStyle w:val="63"/>
            </w:pPr>
            <w:r>
              <w:t>44.2</w:t>
            </w:r>
          </w:p>
        </w:tc>
        <w:tc>
          <w:tcPr>
            <w:tcW w:w="778" w:type="pct"/>
            <w:vAlign w:val="center"/>
          </w:tcPr>
          <w:p>
            <w:pPr>
              <w:pStyle w:val="63"/>
            </w:pPr>
            <w:r>
              <w:t>51.9</w:t>
            </w:r>
          </w:p>
        </w:tc>
        <w:tc>
          <w:tcPr>
            <w:tcW w:w="779" w:type="pct"/>
            <w:vAlign w:val="center"/>
          </w:tcPr>
          <w:p>
            <w:pPr>
              <w:pStyle w:val="63"/>
            </w:pPr>
            <w:r>
              <w:t>43.3</w:t>
            </w:r>
          </w:p>
        </w:tc>
        <w:tc>
          <w:tcPr>
            <w:tcW w:w="390" w:type="pct"/>
            <w:vAlign w:val="center"/>
          </w:tcPr>
          <w:p>
            <w:pPr>
              <w:pStyle w:val="63"/>
            </w:pPr>
            <w:r>
              <w:t>65</w:t>
            </w:r>
          </w:p>
        </w:tc>
        <w:tc>
          <w:tcPr>
            <w:tcW w:w="390" w:type="pct"/>
            <w:vAlign w:val="center"/>
          </w:tcPr>
          <w:p>
            <w:pPr>
              <w:pStyle w:val="63"/>
            </w:pPr>
            <w: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7" w:type="pct"/>
            <w:vAlign w:val="center"/>
          </w:tcPr>
          <w:p>
            <w:pPr>
              <w:pStyle w:val="63"/>
            </w:pPr>
            <w:r>
              <w:t>N9三才村（彭家屋场）</w:t>
            </w:r>
          </w:p>
        </w:tc>
        <w:tc>
          <w:tcPr>
            <w:tcW w:w="778" w:type="pct"/>
            <w:vAlign w:val="center"/>
          </w:tcPr>
          <w:p>
            <w:pPr>
              <w:pStyle w:val="63"/>
            </w:pPr>
            <w:r>
              <w:t>53.0</w:t>
            </w:r>
          </w:p>
        </w:tc>
        <w:tc>
          <w:tcPr>
            <w:tcW w:w="778" w:type="pct"/>
            <w:vAlign w:val="center"/>
          </w:tcPr>
          <w:p>
            <w:pPr>
              <w:pStyle w:val="63"/>
            </w:pPr>
            <w:r>
              <w:t>42.6</w:t>
            </w:r>
          </w:p>
        </w:tc>
        <w:tc>
          <w:tcPr>
            <w:tcW w:w="778" w:type="pct"/>
            <w:vAlign w:val="center"/>
          </w:tcPr>
          <w:p>
            <w:pPr>
              <w:pStyle w:val="63"/>
            </w:pPr>
            <w:r>
              <w:t>50.5</w:t>
            </w:r>
          </w:p>
        </w:tc>
        <w:tc>
          <w:tcPr>
            <w:tcW w:w="779" w:type="pct"/>
            <w:vAlign w:val="center"/>
          </w:tcPr>
          <w:p>
            <w:pPr>
              <w:pStyle w:val="63"/>
            </w:pPr>
            <w:r>
              <w:t>44.5</w:t>
            </w:r>
          </w:p>
        </w:tc>
        <w:tc>
          <w:tcPr>
            <w:tcW w:w="390" w:type="pct"/>
            <w:vAlign w:val="center"/>
          </w:tcPr>
          <w:p>
            <w:pPr>
              <w:pStyle w:val="63"/>
            </w:pPr>
            <w:r>
              <w:t>60</w:t>
            </w:r>
          </w:p>
        </w:tc>
        <w:tc>
          <w:tcPr>
            <w:tcW w:w="390" w:type="pct"/>
            <w:vAlign w:val="center"/>
          </w:tcPr>
          <w:p>
            <w:pPr>
              <w:pStyle w:val="63"/>
            </w:pPr>
            <w:r>
              <w:t>50</w:t>
            </w:r>
          </w:p>
        </w:tc>
      </w:tr>
    </w:tbl>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根据上表监测结果可知，厂界四周点位监测期间昼、夜噪声值均符合《声环境质量标准》（GB3096-2008）中3类标准。N9点位满足《声环境质量标准》（GB3096-2008）2类标准。</w:t>
      </w:r>
    </w:p>
    <w:p>
      <w:pPr>
        <w:pStyle w:val="4"/>
        <w:rPr>
          <w:rFonts w:ascii="Times New Roman" w:hAnsi="Times New Roman" w:cs="Times New Roman"/>
        </w:rPr>
      </w:pPr>
      <w:bookmarkStart w:id="268" w:name="_Toc147848042"/>
      <w:bookmarkStart w:id="269" w:name="_Toc144236794"/>
      <w:bookmarkStart w:id="270" w:name="_Toc144276924"/>
      <w:r>
        <w:rPr>
          <w:rFonts w:ascii="Times New Roman" w:hAnsi="Times New Roman" w:cs="Times New Roman"/>
        </w:rPr>
        <w:t>5.4.2 梯次利用厂区</w:t>
      </w:r>
      <w:bookmarkEnd w:id="268"/>
      <w:bookmarkEnd w:id="269"/>
      <w:bookmarkEnd w:id="270"/>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（1）监测点位</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共布设4个监测点位，具体见表5.4-3，详见监测布点图所示。</w:t>
      </w:r>
    </w:p>
    <w:p>
      <w:pPr>
        <w:pStyle w:val="6"/>
        <w:rPr>
          <w:rFonts w:ascii="Times New Roman" w:hAnsi="Times New Roman" w:cs="Times New Roman"/>
        </w:rPr>
      </w:pPr>
      <w:r>
        <w:rPr>
          <w:rFonts w:ascii="Times New Roman" w:hAnsi="Times New Roman" w:cs="Times New Roman"/>
        </w:rPr>
        <w:t>表5.4-3  声环境质量现状监测点一览表</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40"/>
        <w:gridCol w:w="3932"/>
        <w:gridCol w:w="26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138" w:type="pct"/>
            <w:vAlign w:val="center"/>
          </w:tcPr>
          <w:p>
            <w:pPr>
              <w:pStyle w:val="63"/>
            </w:pPr>
            <w:r>
              <w:t>点位编号</w:t>
            </w:r>
          </w:p>
        </w:tc>
        <w:tc>
          <w:tcPr>
            <w:tcW w:w="2307" w:type="pct"/>
            <w:vAlign w:val="center"/>
          </w:tcPr>
          <w:p>
            <w:pPr>
              <w:pStyle w:val="63"/>
            </w:pPr>
            <w:r>
              <w:t>监测点位</w:t>
            </w:r>
          </w:p>
        </w:tc>
        <w:tc>
          <w:tcPr>
            <w:tcW w:w="1555" w:type="pct"/>
            <w:vAlign w:val="center"/>
          </w:tcPr>
          <w:p>
            <w:pPr>
              <w:pStyle w:val="63"/>
            </w:pPr>
            <w:r>
              <w:t>监测因子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8" w:type="pct"/>
            <w:vAlign w:val="center"/>
          </w:tcPr>
          <w:p>
            <w:pPr>
              <w:jc w:val="center"/>
              <w:rPr>
                <w:rFonts w:ascii="Times New Roman" w:hAnsi="Times New Roman" w:cs="Times New Roman"/>
                <w:szCs w:val="21"/>
              </w:rPr>
            </w:pPr>
            <w:r>
              <w:rPr>
                <w:rFonts w:ascii="Times New Roman" w:hAnsi="Times New Roman" w:cs="Times New Roman"/>
                <w:szCs w:val="21"/>
              </w:rPr>
              <w:t>N10</w:t>
            </w:r>
          </w:p>
        </w:tc>
        <w:tc>
          <w:tcPr>
            <w:tcW w:w="2307" w:type="pct"/>
            <w:vAlign w:val="center"/>
          </w:tcPr>
          <w:p>
            <w:pPr>
              <w:jc w:val="center"/>
              <w:rPr>
                <w:rFonts w:ascii="Times New Roman" w:hAnsi="Times New Roman" w:cs="Times New Roman"/>
                <w:szCs w:val="21"/>
              </w:rPr>
            </w:pPr>
            <w:r>
              <w:rPr>
                <w:rFonts w:ascii="Times New Roman" w:hAnsi="Times New Roman" w:cs="Times New Roman"/>
                <w:szCs w:val="21"/>
              </w:rPr>
              <w:t>厂界东侧1m</w:t>
            </w:r>
          </w:p>
        </w:tc>
        <w:tc>
          <w:tcPr>
            <w:tcW w:w="1555" w:type="pct"/>
            <w:vMerge w:val="restart"/>
            <w:vAlign w:val="center"/>
          </w:tcPr>
          <w:p>
            <w:pPr>
              <w:pStyle w:val="63"/>
            </w:pPr>
            <w:r>
              <w:t>等效声级LAeq［dB（A）］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8" w:type="pct"/>
            <w:vAlign w:val="center"/>
          </w:tcPr>
          <w:p>
            <w:pPr>
              <w:jc w:val="center"/>
              <w:rPr>
                <w:rFonts w:ascii="Times New Roman" w:hAnsi="Times New Roman" w:cs="Times New Roman"/>
                <w:szCs w:val="21"/>
              </w:rPr>
            </w:pPr>
            <w:r>
              <w:rPr>
                <w:rFonts w:ascii="Times New Roman" w:hAnsi="Times New Roman" w:cs="Times New Roman"/>
                <w:szCs w:val="21"/>
              </w:rPr>
              <w:t>N11</w:t>
            </w:r>
          </w:p>
        </w:tc>
        <w:tc>
          <w:tcPr>
            <w:tcW w:w="2307" w:type="pct"/>
            <w:vAlign w:val="center"/>
          </w:tcPr>
          <w:p>
            <w:pPr>
              <w:jc w:val="center"/>
              <w:rPr>
                <w:rFonts w:ascii="Times New Roman" w:hAnsi="Times New Roman" w:cs="Times New Roman"/>
                <w:szCs w:val="21"/>
              </w:rPr>
            </w:pPr>
            <w:r>
              <w:rPr>
                <w:rFonts w:ascii="Times New Roman" w:hAnsi="Times New Roman" w:cs="Times New Roman"/>
                <w:szCs w:val="21"/>
              </w:rPr>
              <w:t>厂界南侧1m</w:t>
            </w:r>
          </w:p>
        </w:tc>
        <w:tc>
          <w:tcPr>
            <w:tcW w:w="1555"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8" w:type="pct"/>
            <w:vAlign w:val="center"/>
          </w:tcPr>
          <w:p>
            <w:pPr>
              <w:jc w:val="center"/>
              <w:rPr>
                <w:rFonts w:ascii="Times New Roman" w:hAnsi="Times New Roman" w:cs="Times New Roman"/>
                <w:szCs w:val="21"/>
              </w:rPr>
            </w:pPr>
            <w:r>
              <w:rPr>
                <w:rFonts w:ascii="Times New Roman" w:hAnsi="Times New Roman" w:cs="Times New Roman"/>
                <w:szCs w:val="21"/>
              </w:rPr>
              <w:t>N12</w:t>
            </w:r>
          </w:p>
        </w:tc>
        <w:tc>
          <w:tcPr>
            <w:tcW w:w="2307" w:type="pct"/>
            <w:vAlign w:val="center"/>
          </w:tcPr>
          <w:p>
            <w:pPr>
              <w:jc w:val="center"/>
              <w:rPr>
                <w:rFonts w:ascii="Times New Roman" w:hAnsi="Times New Roman" w:cs="Times New Roman"/>
                <w:szCs w:val="21"/>
              </w:rPr>
            </w:pPr>
            <w:r>
              <w:rPr>
                <w:rFonts w:ascii="Times New Roman" w:hAnsi="Times New Roman" w:cs="Times New Roman"/>
                <w:szCs w:val="21"/>
              </w:rPr>
              <w:t>厂界西侧1m</w:t>
            </w:r>
          </w:p>
        </w:tc>
        <w:tc>
          <w:tcPr>
            <w:tcW w:w="1555"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8" w:type="pct"/>
            <w:vAlign w:val="center"/>
          </w:tcPr>
          <w:p>
            <w:pPr>
              <w:jc w:val="center"/>
              <w:rPr>
                <w:rFonts w:ascii="Times New Roman" w:hAnsi="Times New Roman" w:cs="Times New Roman"/>
                <w:szCs w:val="21"/>
              </w:rPr>
            </w:pPr>
            <w:r>
              <w:rPr>
                <w:rFonts w:ascii="Times New Roman" w:hAnsi="Times New Roman" w:cs="Times New Roman"/>
                <w:szCs w:val="21"/>
              </w:rPr>
              <w:t>N13</w:t>
            </w:r>
          </w:p>
        </w:tc>
        <w:tc>
          <w:tcPr>
            <w:tcW w:w="2307" w:type="pct"/>
            <w:vAlign w:val="center"/>
          </w:tcPr>
          <w:p>
            <w:pPr>
              <w:jc w:val="center"/>
              <w:rPr>
                <w:rFonts w:ascii="Times New Roman" w:hAnsi="Times New Roman" w:cs="Times New Roman"/>
                <w:szCs w:val="21"/>
              </w:rPr>
            </w:pPr>
            <w:r>
              <w:rPr>
                <w:rFonts w:ascii="Times New Roman" w:hAnsi="Times New Roman" w:cs="Times New Roman"/>
                <w:szCs w:val="21"/>
              </w:rPr>
              <w:t>厂界北侧1m</w:t>
            </w:r>
          </w:p>
        </w:tc>
        <w:tc>
          <w:tcPr>
            <w:tcW w:w="1555" w:type="pct"/>
            <w:vMerge w:val="continue"/>
            <w:vAlign w:val="center"/>
          </w:tcPr>
          <w:p>
            <w:pPr>
              <w:pStyle w:val="63"/>
            </w:pPr>
          </w:p>
        </w:tc>
      </w:tr>
    </w:tbl>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（2）监测时间</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各监测点按昼间和夜间分段监测。连续监测两天。</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（3）评价标准</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厂区边界执行《声环境质量标准》（GB3096-2008）3类区标准。</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（4）监测结果与评价</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声环境现状监测统计结果见表5.4-4所示。</w:t>
      </w:r>
    </w:p>
    <w:p>
      <w:pPr>
        <w:pStyle w:val="6"/>
        <w:rPr>
          <w:rFonts w:ascii="Times New Roman" w:hAnsi="Times New Roman" w:cs="Times New Roman"/>
        </w:rPr>
      </w:pPr>
      <w:r>
        <w:rPr>
          <w:rFonts w:ascii="Times New Roman" w:hAnsi="Times New Roman" w:cs="Times New Roman"/>
        </w:rPr>
        <w:t>表5.4-4  声环境现状监测统计结果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86"/>
        <w:gridCol w:w="1326"/>
        <w:gridCol w:w="1326"/>
        <w:gridCol w:w="1326"/>
        <w:gridCol w:w="1328"/>
        <w:gridCol w:w="665"/>
        <w:gridCol w:w="6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107" w:type="pct"/>
            <w:vMerge w:val="restart"/>
            <w:vAlign w:val="center"/>
          </w:tcPr>
          <w:p>
            <w:pPr>
              <w:pStyle w:val="63"/>
            </w:pPr>
            <w:r>
              <w:t>监测点位</w:t>
            </w:r>
          </w:p>
        </w:tc>
        <w:tc>
          <w:tcPr>
            <w:tcW w:w="3113" w:type="pct"/>
            <w:gridSpan w:val="4"/>
            <w:vAlign w:val="center"/>
          </w:tcPr>
          <w:p>
            <w:pPr>
              <w:pStyle w:val="63"/>
            </w:pPr>
            <w:r>
              <w:t>监测日期检测结果（单位：dB（A））</w:t>
            </w:r>
          </w:p>
        </w:tc>
        <w:tc>
          <w:tcPr>
            <w:tcW w:w="780" w:type="pct"/>
            <w:gridSpan w:val="2"/>
            <w:vMerge w:val="restart"/>
            <w:vAlign w:val="center"/>
          </w:tcPr>
          <w:p>
            <w:pPr>
              <w:pStyle w:val="63"/>
            </w:pPr>
            <w:r>
              <w:t>标准限值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107" w:type="pct"/>
            <w:vMerge w:val="continue"/>
            <w:vAlign w:val="center"/>
          </w:tcPr>
          <w:p>
            <w:pPr>
              <w:pStyle w:val="63"/>
            </w:pPr>
          </w:p>
        </w:tc>
        <w:tc>
          <w:tcPr>
            <w:tcW w:w="1556" w:type="pct"/>
            <w:gridSpan w:val="2"/>
            <w:vAlign w:val="center"/>
          </w:tcPr>
          <w:p>
            <w:pPr>
              <w:pStyle w:val="63"/>
            </w:pPr>
            <w:r>
              <w:t>2023.3.20</w:t>
            </w:r>
          </w:p>
        </w:tc>
        <w:tc>
          <w:tcPr>
            <w:tcW w:w="1557" w:type="pct"/>
            <w:gridSpan w:val="2"/>
            <w:vAlign w:val="center"/>
          </w:tcPr>
          <w:p>
            <w:pPr>
              <w:pStyle w:val="63"/>
            </w:pPr>
            <w:r>
              <w:t>2023.3.21</w:t>
            </w:r>
          </w:p>
        </w:tc>
        <w:tc>
          <w:tcPr>
            <w:tcW w:w="780"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107" w:type="pct"/>
            <w:vMerge w:val="continue"/>
            <w:vAlign w:val="center"/>
          </w:tcPr>
          <w:p>
            <w:pPr>
              <w:pStyle w:val="63"/>
            </w:pPr>
          </w:p>
        </w:tc>
        <w:tc>
          <w:tcPr>
            <w:tcW w:w="778" w:type="pct"/>
            <w:vAlign w:val="center"/>
          </w:tcPr>
          <w:p>
            <w:pPr>
              <w:pStyle w:val="63"/>
            </w:pPr>
            <w:r>
              <w:t>昼间</w:t>
            </w:r>
          </w:p>
        </w:tc>
        <w:tc>
          <w:tcPr>
            <w:tcW w:w="778" w:type="pct"/>
            <w:vAlign w:val="center"/>
          </w:tcPr>
          <w:p>
            <w:pPr>
              <w:pStyle w:val="63"/>
            </w:pPr>
            <w:r>
              <w:t>夜间</w:t>
            </w:r>
          </w:p>
        </w:tc>
        <w:tc>
          <w:tcPr>
            <w:tcW w:w="778" w:type="pct"/>
            <w:vAlign w:val="center"/>
          </w:tcPr>
          <w:p>
            <w:pPr>
              <w:pStyle w:val="63"/>
            </w:pPr>
            <w:r>
              <w:t>昼间</w:t>
            </w:r>
          </w:p>
        </w:tc>
        <w:tc>
          <w:tcPr>
            <w:tcW w:w="779" w:type="pct"/>
            <w:vAlign w:val="center"/>
          </w:tcPr>
          <w:p>
            <w:pPr>
              <w:pStyle w:val="63"/>
            </w:pPr>
            <w:r>
              <w:t>夜间</w:t>
            </w:r>
          </w:p>
        </w:tc>
        <w:tc>
          <w:tcPr>
            <w:tcW w:w="390" w:type="pct"/>
            <w:vAlign w:val="center"/>
          </w:tcPr>
          <w:p>
            <w:pPr>
              <w:pStyle w:val="63"/>
            </w:pPr>
            <w:r>
              <w:t>昼间</w:t>
            </w:r>
          </w:p>
        </w:tc>
        <w:tc>
          <w:tcPr>
            <w:tcW w:w="390" w:type="pct"/>
            <w:vAlign w:val="center"/>
          </w:tcPr>
          <w:p>
            <w:pPr>
              <w:pStyle w:val="63"/>
            </w:pPr>
            <w: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7" w:type="pct"/>
            <w:vAlign w:val="center"/>
          </w:tcPr>
          <w:p>
            <w:pPr>
              <w:pStyle w:val="63"/>
            </w:pPr>
            <w:r>
              <w:rPr>
                <w:szCs w:val="21"/>
              </w:rPr>
              <w:t>N10厂界东侧1m</w:t>
            </w:r>
          </w:p>
        </w:tc>
        <w:tc>
          <w:tcPr>
            <w:tcW w:w="778" w:type="pct"/>
            <w:vAlign w:val="center"/>
          </w:tcPr>
          <w:p>
            <w:pPr>
              <w:pStyle w:val="63"/>
            </w:pPr>
            <w:r>
              <w:t>46.0</w:t>
            </w:r>
          </w:p>
        </w:tc>
        <w:tc>
          <w:tcPr>
            <w:tcW w:w="778" w:type="pct"/>
            <w:vAlign w:val="center"/>
          </w:tcPr>
          <w:p>
            <w:pPr>
              <w:pStyle w:val="63"/>
            </w:pPr>
            <w:r>
              <w:t>40.0</w:t>
            </w:r>
          </w:p>
        </w:tc>
        <w:tc>
          <w:tcPr>
            <w:tcW w:w="778" w:type="pct"/>
            <w:vAlign w:val="center"/>
          </w:tcPr>
          <w:p>
            <w:pPr>
              <w:pStyle w:val="63"/>
            </w:pPr>
            <w:r>
              <w:t>44.9</w:t>
            </w:r>
          </w:p>
        </w:tc>
        <w:tc>
          <w:tcPr>
            <w:tcW w:w="779" w:type="pct"/>
            <w:vAlign w:val="center"/>
          </w:tcPr>
          <w:p>
            <w:pPr>
              <w:pStyle w:val="63"/>
            </w:pPr>
            <w:r>
              <w:t>39.6</w:t>
            </w:r>
          </w:p>
        </w:tc>
        <w:tc>
          <w:tcPr>
            <w:tcW w:w="390" w:type="pct"/>
            <w:vAlign w:val="center"/>
          </w:tcPr>
          <w:p>
            <w:pPr>
              <w:pStyle w:val="63"/>
            </w:pPr>
            <w:r>
              <w:t>65</w:t>
            </w:r>
          </w:p>
        </w:tc>
        <w:tc>
          <w:tcPr>
            <w:tcW w:w="390" w:type="pct"/>
            <w:vAlign w:val="center"/>
          </w:tcPr>
          <w:p>
            <w:pPr>
              <w:pStyle w:val="63"/>
            </w:pPr>
            <w: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7" w:type="pct"/>
            <w:vAlign w:val="center"/>
          </w:tcPr>
          <w:p>
            <w:pPr>
              <w:pStyle w:val="63"/>
            </w:pPr>
            <w:r>
              <w:rPr>
                <w:szCs w:val="21"/>
              </w:rPr>
              <w:t>N11厂界南侧1m</w:t>
            </w:r>
          </w:p>
        </w:tc>
        <w:tc>
          <w:tcPr>
            <w:tcW w:w="778" w:type="pct"/>
            <w:vAlign w:val="center"/>
          </w:tcPr>
          <w:p>
            <w:pPr>
              <w:pStyle w:val="63"/>
            </w:pPr>
            <w:r>
              <w:t>58.3</w:t>
            </w:r>
          </w:p>
        </w:tc>
        <w:tc>
          <w:tcPr>
            <w:tcW w:w="778" w:type="pct"/>
            <w:vAlign w:val="center"/>
          </w:tcPr>
          <w:p>
            <w:pPr>
              <w:pStyle w:val="63"/>
            </w:pPr>
            <w:r>
              <w:t>48.2</w:t>
            </w:r>
          </w:p>
        </w:tc>
        <w:tc>
          <w:tcPr>
            <w:tcW w:w="778" w:type="pct"/>
            <w:vAlign w:val="center"/>
          </w:tcPr>
          <w:p>
            <w:pPr>
              <w:pStyle w:val="63"/>
            </w:pPr>
            <w:r>
              <w:t>57.8</w:t>
            </w:r>
          </w:p>
        </w:tc>
        <w:tc>
          <w:tcPr>
            <w:tcW w:w="779" w:type="pct"/>
            <w:vAlign w:val="center"/>
          </w:tcPr>
          <w:p>
            <w:pPr>
              <w:pStyle w:val="63"/>
            </w:pPr>
            <w:r>
              <w:t>47.6</w:t>
            </w:r>
          </w:p>
        </w:tc>
        <w:tc>
          <w:tcPr>
            <w:tcW w:w="390" w:type="pct"/>
            <w:vAlign w:val="center"/>
          </w:tcPr>
          <w:p>
            <w:pPr>
              <w:pStyle w:val="63"/>
            </w:pPr>
            <w:r>
              <w:t>65</w:t>
            </w:r>
          </w:p>
        </w:tc>
        <w:tc>
          <w:tcPr>
            <w:tcW w:w="390" w:type="pct"/>
            <w:vAlign w:val="center"/>
          </w:tcPr>
          <w:p>
            <w:pPr>
              <w:pStyle w:val="63"/>
            </w:pPr>
            <w: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7" w:type="pct"/>
            <w:vAlign w:val="center"/>
          </w:tcPr>
          <w:p>
            <w:pPr>
              <w:pStyle w:val="63"/>
            </w:pPr>
            <w:r>
              <w:rPr>
                <w:szCs w:val="21"/>
              </w:rPr>
              <w:t>N12厂界西侧1m</w:t>
            </w:r>
          </w:p>
        </w:tc>
        <w:tc>
          <w:tcPr>
            <w:tcW w:w="778" w:type="pct"/>
            <w:vAlign w:val="center"/>
          </w:tcPr>
          <w:p>
            <w:pPr>
              <w:pStyle w:val="63"/>
            </w:pPr>
            <w:r>
              <w:t>51.3</w:t>
            </w:r>
          </w:p>
        </w:tc>
        <w:tc>
          <w:tcPr>
            <w:tcW w:w="778" w:type="pct"/>
            <w:vAlign w:val="center"/>
          </w:tcPr>
          <w:p>
            <w:pPr>
              <w:pStyle w:val="63"/>
            </w:pPr>
            <w:r>
              <w:t>42</w:t>
            </w:r>
          </w:p>
        </w:tc>
        <w:tc>
          <w:tcPr>
            <w:tcW w:w="778" w:type="pct"/>
            <w:vAlign w:val="center"/>
          </w:tcPr>
          <w:p>
            <w:pPr>
              <w:pStyle w:val="63"/>
            </w:pPr>
            <w:r>
              <w:t>51.1</w:t>
            </w:r>
          </w:p>
        </w:tc>
        <w:tc>
          <w:tcPr>
            <w:tcW w:w="779" w:type="pct"/>
            <w:vAlign w:val="center"/>
          </w:tcPr>
          <w:p>
            <w:pPr>
              <w:pStyle w:val="63"/>
            </w:pPr>
            <w:r>
              <w:t>41.8</w:t>
            </w:r>
          </w:p>
        </w:tc>
        <w:tc>
          <w:tcPr>
            <w:tcW w:w="390" w:type="pct"/>
            <w:vAlign w:val="center"/>
          </w:tcPr>
          <w:p>
            <w:pPr>
              <w:pStyle w:val="63"/>
            </w:pPr>
            <w:r>
              <w:t>65</w:t>
            </w:r>
          </w:p>
        </w:tc>
        <w:tc>
          <w:tcPr>
            <w:tcW w:w="390" w:type="pct"/>
            <w:vAlign w:val="center"/>
          </w:tcPr>
          <w:p>
            <w:pPr>
              <w:pStyle w:val="63"/>
            </w:pPr>
            <w: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7" w:type="pct"/>
            <w:vAlign w:val="center"/>
          </w:tcPr>
          <w:p>
            <w:pPr>
              <w:pStyle w:val="63"/>
              <w:rPr>
                <w:szCs w:val="21"/>
              </w:rPr>
            </w:pPr>
            <w:r>
              <w:rPr>
                <w:szCs w:val="21"/>
              </w:rPr>
              <w:t>N13厂界北侧1m</w:t>
            </w:r>
          </w:p>
          <w:p>
            <w:pPr>
              <w:jc w:val="center"/>
              <w:rPr>
                <w:rFonts w:ascii="Times New Roman" w:hAnsi="Times New Roman" w:cs="Times New Roman"/>
              </w:rPr>
            </w:pPr>
            <w:r>
              <w:rPr>
                <w:rFonts w:ascii="Times New Roman" w:hAnsi="Times New Roman" w:cs="Times New Roman"/>
              </w:rPr>
              <w:t>（安置区）</w:t>
            </w:r>
          </w:p>
        </w:tc>
        <w:tc>
          <w:tcPr>
            <w:tcW w:w="778" w:type="pct"/>
            <w:vAlign w:val="center"/>
          </w:tcPr>
          <w:p>
            <w:pPr>
              <w:pStyle w:val="63"/>
            </w:pPr>
            <w:r>
              <w:t>50.7</w:t>
            </w:r>
          </w:p>
        </w:tc>
        <w:tc>
          <w:tcPr>
            <w:tcW w:w="778" w:type="pct"/>
            <w:vAlign w:val="center"/>
          </w:tcPr>
          <w:p>
            <w:pPr>
              <w:pStyle w:val="63"/>
            </w:pPr>
            <w:r>
              <w:t>41.2</w:t>
            </w:r>
          </w:p>
        </w:tc>
        <w:tc>
          <w:tcPr>
            <w:tcW w:w="778" w:type="pct"/>
            <w:vAlign w:val="center"/>
          </w:tcPr>
          <w:p>
            <w:pPr>
              <w:pStyle w:val="63"/>
            </w:pPr>
            <w:r>
              <w:t>50.7</w:t>
            </w:r>
          </w:p>
        </w:tc>
        <w:tc>
          <w:tcPr>
            <w:tcW w:w="779" w:type="pct"/>
            <w:vAlign w:val="center"/>
          </w:tcPr>
          <w:p>
            <w:pPr>
              <w:pStyle w:val="63"/>
            </w:pPr>
            <w:r>
              <w:t>41.5</w:t>
            </w:r>
          </w:p>
        </w:tc>
        <w:tc>
          <w:tcPr>
            <w:tcW w:w="390" w:type="pct"/>
            <w:vAlign w:val="center"/>
          </w:tcPr>
          <w:p>
            <w:pPr>
              <w:pStyle w:val="63"/>
            </w:pPr>
            <w:r>
              <w:t>60</w:t>
            </w:r>
          </w:p>
        </w:tc>
        <w:tc>
          <w:tcPr>
            <w:tcW w:w="390" w:type="pct"/>
            <w:vAlign w:val="center"/>
          </w:tcPr>
          <w:p>
            <w:pPr>
              <w:pStyle w:val="63"/>
            </w:pPr>
            <w:r>
              <w:t>50</w:t>
            </w:r>
          </w:p>
        </w:tc>
      </w:tr>
    </w:tbl>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根据上表监测结果可知，厂界四周点位监测期间昼、夜噪声值均符合《声环境质量标准》（GB3096-2008）中3类标准，由于厂界北侧紧邻安置区，安置区符合《声环境质量标准》（GB3096-2008）中2类标准。</w:t>
      </w:r>
    </w:p>
    <w:p>
      <w:pPr>
        <w:pStyle w:val="3"/>
        <w:rPr>
          <w:rFonts w:ascii="Times New Roman" w:hAnsi="Times New Roman" w:cs="Times New Roman" w:eastAsiaTheme="minorEastAsia"/>
        </w:rPr>
      </w:pPr>
      <w:bookmarkStart w:id="271" w:name="_Toc72788743"/>
      <w:bookmarkStart w:id="272" w:name="_Toc144276925"/>
      <w:bookmarkStart w:id="273" w:name="_Toc144236795"/>
      <w:bookmarkStart w:id="274" w:name="_Toc147848043"/>
      <w:r>
        <w:rPr>
          <w:rFonts w:ascii="Times New Roman" w:hAnsi="Times New Roman" w:cs="Times New Roman" w:eastAsiaTheme="minorEastAsia"/>
        </w:rPr>
        <w:t>5.5 土壤环境质量现状调查与评价</w:t>
      </w:r>
      <w:bookmarkEnd w:id="271"/>
      <w:bookmarkEnd w:id="272"/>
      <w:bookmarkEnd w:id="273"/>
      <w:bookmarkEnd w:id="274"/>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（1）监测布点</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本项目综合回收利用厂区用地面积为53333m</w:t>
      </w:r>
      <w:r>
        <w:rPr>
          <w:rFonts w:ascii="Times New Roman" w:hAnsi="Times New Roman" w:cs="Times New Roman"/>
          <w:u w:val="single"/>
          <w:vertAlign w:val="superscript"/>
        </w:rPr>
        <w:t>2</w:t>
      </w:r>
      <w:r>
        <w:rPr>
          <w:rFonts w:ascii="Times New Roman" w:hAnsi="Times New Roman" w:cs="Times New Roman"/>
          <w:u w:val="single"/>
        </w:rPr>
        <w:t>（5-50hm</w:t>
      </w:r>
      <w:r>
        <w:rPr>
          <w:rFonts w:ascii="Times New Roman" w:hAnsi="Times New Roman" w:cs="Times New Roman"/>
          <w:u w:val="single"/>
          <w:vertAlign w:val="superscript"/>
        </w:rPr>
        <w:t>2</w:t>
      </w:r>
      <w:r>
        <w:rPr>
          <w:rFonts w:ascii="Times New Roman" w:hAnsi="Times New Roman" w:cs="Times New Roman"/>
          <w:u w:val="single"/>
        </w:rPr>
        <w:t>），属于中型，该厂区位于湖南衡东经济开发区内，用地类型为工业用地，项目东侧存在农田，土壤环境敏感程度为“敏感”，本项目土壤环境影响评价工作等级为“三级”。</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本项目梯次利用厂区，仅进行电池包的拆卸、分选、重组工艺，根据《环境影响评价技术导则-土壤环境（试行）》（HJ964-2018），属于</w:t>
      </w:r>
      <w:r>
        <w:rPr>
          <w:rFonts w:hint="eastAsia" w:ascii="宋体" w:hAnsi="宋体" w:eastAsia="宋体" w:cs="宋体"/>
          <w:u w:val="single"/>
        </w:rPr>
        <w:t>Ⅳ</w:t>
      </w:r>
      <w:r>
        <w:rPr>
          <w:rFonts w:ascii="Times New Roman" w:hAnsi="Times New Roman" w:cs="Times New Roman"/>
          <w:u w:val="single"/>
        </w:rPr>
        <w:t>类项目，可不开展土壤环境影响评价。</w:t>
      </w:r>
    </w:p>
    <w:p>
      <w:pPr>
        <w:tabs>
          <w:tab w:val="left" w:pos="3119"/>
        </w:tabs>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因此</w:t>
      </w:r>
      <w:r>
        <w:rPr>
          <w:rFonts w:ascii="Times New Roman" w:hAnsi="Times New Roman" w:cs="Times New Roman"/>
          <w:u w:val="single"/>
        </w:rPr>
        <w:t>本项目在综合回收利用厂区共布设3个点位，具体位置见表5.5-1。</w:t>
      </w:r>
    </w:p>
    <w:p>
      <w:pPr>
        <w:pStyle w:val="6"/>
        <w:rPr>
          <w:rFonts w:ascii="Times New Roman" w:hAnsi="Times New Roman" w:cs="Times New Roman"/>
        </w:rPr>
      </w:pPr>
      <w:r>
        <w:rPr>
          <w:rFonts w:ascii="Times New Roman" w:hAnsi="Times New Roman" w:cs="Times New Roman"/>
        </w:rPr>
        <w:t>表5.5-1  土壤环境现状监测点位一览表</w:t>
      </w:r>
    </w:p>
    <w:tbl>
      <w:tblPr>
        <w:tblStyle w:val="36"/>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41"/>
        <w:gridCol w:w="1275"/>
        <w:gridCol w:w="990"/>
        <w:gridCol w:w="2052"/>
        <w:gridCol w:w="296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8" w:type="pct"/>
            <w:vAlign w:val="center"/>
          </w:tcPr>
          <w:p>
            <w:pPr>
              <w:pStyle w:val="63"/>
            </w:pPr>
            <w:r>
              <w:t>编号</w:t>
            </w:r>
          </w:p>
        </w:tc>
        <w:tc>
          <w:tcPr>
            <w:tcW w:w="748" w:type="pct"/>
            <w:tcBorders>
              <w:right w:val="single" w:color="auto" w:sz="4" w:space="0"/>
            </w:tcBorders>
            <w:vAlign w:val="center"/>
          </w:tcPr>
          <w:p>
            <w:pPr>
              <w:pStyle w:val="63"/>
            </w:pPr>
            <w:r>
              <w:t>监测点位</w:t>
            </w:r>
          </w:p>
        </w:tc>
        <w:tc>
          <w:tcPr>
            <w:tcW w:w="581" w:type="pct"/>
            <w:tcBorders>
              <w:right w:val="single" w:color="auto" w:sz="4" w:space="0"/>
            </w:tcBorders>
            <w:vAlign w:val="center"/>
          </w:tcPr>
          <w:p>
            <w:pPr>
              <w:pStyle w:val="63"/>
            </w:pPr>
            <w:r>
              <w:t>深度</w:t>
            </w:r>
          </w:p>
        </w:tc>
        <w:tc>
          <w:tcPr>
            <w:tcW w:w="1204" w:type="pct"/>
            <w:tcBorders>
              <w:right w:val="single" w:color="auto" w:sz="4" w:space="0"/>
            </w:tcBorders>
            <w:vAlign w:val="center"/>
          </w:tcPr>
          <w:p>
            <w:pPr>
              <w:pStyle w:val="63"/>
            </w:pPr>
            <w:r>
              <w:t>土地利用类型</w:t>
            </w:r>
          </w:p>
        </w:tc>
        <w:tc>
          <w:tcPr>
            <w:tcW w:w="1739" w:type="pct"/>
            <w:tcBorders>
              <w:left w:val="single" w:color="auto" w:sz="4" w:space="0"/>
              <w:bottom w:val="single" w:color="auto" w:sz="4" w:space="0"/>
            </w:tcBorders>
            <w:vAlign w:val="center"/>
          </w:tcPr>
          <w:p>
            <w:pPr>
              <w:pStyle w:val="63"/>
            </w:pPr>
            <w:r>
              <w:t>监测因子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8" w:type="pct"/>
            <w:vAlign w:val="center"/>
          </w:tcPr>
          <w:p>
            <w:pPr>
              <w:pStyle w:val="63"/>
            </w:pPr>
            <w:r>
              <w:t>T1</w:t>
            </w:r>
          </w:p>
        </w:tc>
        <w:tc>
          <w:tcPr>
            <w:tcW w:w="748" w:type="pct"/>
            <w:tcBorders>
              <w:right w:val="single" w:color="auto" w:sz="4" w:space="0"/>
            </w:tcBorders>
            <w:vAlign w:val="center"/>
          </w:tcPr>
          <w:p>
            <w:pPr>
              <w:pStyle w:val="63"/>
              <w:rPr>
                <w:szCs w:val="21"/>
              </w:rPr>
            </w:pPr>
            <w:r>
              <w:rPr>
                <w:szCs w:val="21"/>
              </w:rPr>
              <w:t>表层样</w:t>
            </w:r>
          </w:p>
        </w:tc>
        <w:tc>
          <w:tcPr>
            <w:tcW w:w="581" w:type="pct"/>
            <w:vMerge w:val="restart"/>
            <w:tcBorders>
              <w:right w:val="single" w:color="auto" w:sz="4" w:space="0"/>
            </w:tcBorders>
            <w:vAlign w:val="center"/>
          </w:tcPr>
          <w:p>
            <w:pPr>
              <w:pStyle w:val="63"/>
              <w:rPr>
                <w:szCs w:val="21"/>
              </w:rPr>
            </w:pPr>
            <w:r>
              <w:rPr>
                <w:szCs w:val="21"/>
              </w:rPr>
              <w:t>0-20cm</w:t>
            </w:r>
          </w:p>
        </w:tc>
        <w:tc>
          <w:tcPr>
            <w:tcW w:w="1204" w:type="pct"/>
            <w:tcBorders>
              <w:right w:val="single" w:color="auto" w:sz="4" w:space="0"/>
            </w:tcBorders>
            <w:vAlign w:val="center"/>
          </w:tcPr>
          <w:p>
            <w:pPr>
              <w:pStyle w:val="63"/>
              <w:rPr>
                <w:szCs w:val="21"/>
              </w:rPr>
            </w:pPr>
            <w:r>
              <w:rPr>
                <w:szCs w:val="21"/>
              </w:rPr>
              <w:t>建设用地</w:t>
            </w:r>
          </w:p>
        </w:tc>
        <w:tc>
          <w:tcPr>
            <w:tcW w:w="1739" w:type="pct"/>
            <w:tcBorders>
              <w:top w:val="single" w:color="auto" w:sz="4" w:space="0"/>
              <w:left w:val="single" w:color="auto" w:sz="4" w:space="0"/>
            </w:tcBorders>
            <w:vAlign w:val="center"/>
          </w:tcPr>
          <w:p>
            <w:pPr>
              <w:pStyle w:val="63"/>
              <w:rPr>
                <w:szCs w:val="21"/>
              </w:rPr>
            </w:pPr>
            <w:r>
              <w:rPr>
                <w:szCs w:val="21"/>
              </w:rPr>
              <w:t>45项基本因子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8" w:type="pct"/>
            <w:vAlign w:val="center"/>
          </w:tcPr>
          <w:p>
            <w:pPr>
              <w:pStyle w:val="63"/>
            </w:pPr>
            <w:r>
              <w:t>T2</w:t>
            </w:r>
          </w:p>
        </w:tc>
        <w:tc>
          <w:tcPr>
            <w:tcW w:w="748" w:type="pct"/>
            <w:tcBorders>
              <w:right w:val="single" w:color="auto" w:sz="4" w:space="0"/>
            </w:tcBorders>
            <w:vAlign w:val="center"/>
          </w:tcPr>
          <w:p>
            <w:pPr>
              <w:pStyle w:val="63"/>
              <w:rPr>
                <w:szCs w:val="21"/>
              </w:rPr>
            </w:pPr>
            <w:r>
              <w:rPr>
                <w:szCs w:val="21"/>
              </w:rPr>
              <w:t>表层样</w:t>
            </w:r>
          </w:p>
        </w:tc>
        <w:tc>
          <w:tcPr>
            <w:tcW w:w="581" w:type="pct"/>
            <w:vMerge w:val="continue"/>
            <w:tcBorders>
              <w:right w:val="single" w:color="auto" w:sz="4" w:space="0"/>
            </w:tcBorders>
            <w:vAlign w:val="center"/>
          </w:tcPr>
          <w:p>
            <w:pPr>
              <w:pStyle w:val="63"/>
              <w:rPr>
                <w:szCs w:val="21"/>
              </w:rPr>
            </w:pPr>
          </w:p>
        </w:tc>
        <w:tc>
          <w:tcPr>
            <w:tcW w:w="1204" w:type="pct"/>
            <w:tcBorders>
              <w:right w:val="single" w:color="auto" w:sz="4" w:space="0"/>
            </w:tcBorders>
            <w:vAlign w:val="center"/>
          </w:tcPr>
          <w:p>
            <w:pPr>
              <w:pStyle w:val="63"/>
              <w:rPr>
                <w:szCs w:val="21"/>
              </w:rPr>
            </w:pPr>
            <w:r>
              <w:rPr>
                <w:szCs w:val="21"/>
              </w:rPr>
              <w:t>农田</w:t>
            </w:r>
          </w:p>
        </w:tc>
        <w:tc>
          <w:tcPr>
            <w:tcW w:w="1739" w:type="pct"/>
            <w:vMerge w:val="restart"/>
            <w:tcBorders>
              <w:left w:val="single" w:color="auto" w:sz="4" w:space="0"/>
            </w:tcBorders>
            <w:vAlign w:val="center"/>
          </w:tcPr>
          <w:p>
            <w:pPr>
              <w:pStyle w:val="63"/>
              <w:rPr>
                <w:szCs w:val="21"/>
              </w:rPr>
            </w:pPr>
            <w:r>
              <w:rPr>
                <w:szCs w:val="21"/>
              </w:rPr>
              <w:t>pH、砷、镉、铬（六价）、铜、铅、汞、镍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8" w:type="pct"/>
            <w:vAlign w:val="center"/>
          </w:tcPr>
          <w:p>
            <w:pPr>
              <w:pStyle w:val="63"/>
            </w:pPr>
            <w:r>
              <w:t>T3</w:t>
            </w:r>
          </w:p>
        </w:tc>
        <w:tc>
          <w:tcPr>
            <w:tcW w:w="748" w:type="pct"/>
            <w:tcBorders>
              <w:right w:val="single" w:color="auto" w:sz="4" w:space="0"/>
            </w:tcBorders>
            <w:vAlign w:val="center"/>
          </w:tcPr>
          <w:p>
            <w:pPr>
              <w:pStyle w:val="63"/>
              <w:rPr>
                <w:szCs w:val="21"/>
              </w:rPr>
            </w:pPr>
            <w:r>
              <w:rPr>
                <w:szCs w:val="21"/>
              </w:rPr>
              <w:t>表层样</w:t>
            </w:r>
          </w:p>
        </w:tc>
        <w:tc>
          <w:tcPr>
            <w:tcW w:w="581" w:type="pct"/>
            <w:vMerge w:val="continue"/>
            <w:tcBorders>
              <w:right w:val="single" w:color="auto" w:sz="4" w:space="0"/>
            </w:tcBorders>
            <w:vAlign w:val="center"/>
          </w:tcPr>
          <w:p>
            <w:pPr>
              <w:pStyle w:val="63"/>
              <w:rPr>
                <w:szCs w:val="21"/>
              </w:rPr>
            </w:pPr>
          </w:p>
        </w:tc>
        <w:tc>
          <w:tcPr>
            <w:tcW w:w="1204" w:type="pct"/>
            <w:tcBorders>
              <w:right w:val="single" w:color="auto" w:sz="4" w:space="0"/>
            </w:tcBorders>
            <w:vAlign w:val="center"/>
          </w:tcPr>
          <w:p>
            <w:pPr>
              <w:pStyle w:val="63"/>
              <w:rPr>
                <w:szCs w:val="21"/>
              </w:rPr>
            </w:pPr>
            <w:r>
              <w:rPr>
                <w:szCs w:val="21"/>
              </w:rPr>
              <w:t>农田</w:t>
            </w:r>
          </w:p>
        </w:tc>
        <w:tc>
          <w:tcPr>
            <w:tcW w:w="1739" w:type="pct"/>
            <w:vMerge w:val="continue"/>
            <w:tcBorders>
              <w:left w:val="single" w:color="auto" w:sz="4" w:space="0"/>
            </w:tcBorders>
            <w:vAlign w:val="center"/>
          </w:tcPr>
          <w:p>
            <w:pPr>
              <w:pStyle w:val="63"/>
              <w:rPr>
                <w:szCs w:val="21"/>
              </w:rPr>
            </w:pPr>
          </w:p>
        </w:tc>
      </w:tr>
    </w:tbl>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（2）监测频次</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一次采样。</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（3）采样和分析方法</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按国家环保局颁发的《土壤环境监测技术规范》规定的要求进行。</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（4）评价标准</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项目建设地土壤环境质量执行《土壤环境质量建设用地土壤污染风险管控标准》（GB36600-2018）中的第二类用地筛选值。项目农用地土壤环境质量执行《土壤环境质量农用地土壤污染风险管控标准》（GB15618-2018）风险筛选值。</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（5）监测结果</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土壤监测数据结果见下表5.5-2、5.5-3，项目建设地土壤环境质量满足《土壤环境质量建设用地土壤污染风险管控标准》（GB36600-2018）中的第二类用地筛选值。项目农用地土壤环境质量满足《土壤环境质量农用地土壤污染风险管控标准》（GB15618-2018）风险筛选值</w:t>
      </w:r>
    </w:p>
    <w:p>
      <w:pPr>
        <w:pStyle w:val="6"/>
        <w:rPr>
          <w:rFonts w:ascii="Times New Roman" w:hAnsi="Times New Roman" w:cs="Times New Roman"/>
        </w:rPr>
      </w:pPr>
      <w:r>
        <w:rPr>
          <w:rFonts w:ascii="Times New Roman" w:hAnsi="Times New Roman" w:cs="Times New Roman"/>
        </w:rPr>
        <w:t>表5.5-2  农用地土壤环境质量现状监测与评价结果单位：mg/kg</w:t>
      </w:r>
    </w:p>
    <w:tbl>
      <w:tblPr>
        <w:tblStyle w:val="36"/>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90"/>
        <w:gridCol w:w="1222"/>
        <w:gridCol w:w="1222"/>
        <w:gridCol w:w="1222"/>
        <w:gridCol w:w="1222"/>
        <w:gridCol w:w="1401"/>
        <w:gridCol w:w="10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0" w:type="dxa"/>
            <w:vMerge w:val="restart"/>
            <w:vAlign w:val="center"/>
          </w:tcPr>
          <w:p>
            <w:pPr>
              <w:pStyle w:val="63"/>
              <w:rPr>
                <w:szCs w:val="21"/>
              </w:rPr>
            </w:pPr>
            <w:r>
              <w:rPr>
                <w:szCs w:val="21"/>
              </w:rPr>
              <w:t>项目</w:t>
            </w:r>
          </w:p>
        </w:tc>
        <w:tc>
          <w:tcPr>
            <w:tcW w:w="2444" w:type="dxa"/>
            <w:gridSpan w:val="2"/>
            <w:vAlign w:val="center"/>
          </w:tcPr>
          <w:p>
            <w:pPr>
              <w:pStyle w:val="63"/>
              <w:rPr>
                <w:szCs w:val="21"/>
              </w:rPr>
            </w:pPr>
            <w:r>
              <w:rPr>
                <w:szCs w:val="21"/>
              </w:rPr>
              <w:t>T2</w:t>
            </w:r>
          </w:p>
        </w:tc>
        <w:tc>
          <w:tcPr>
            <w:tcW w:w="2444" w:type="dxa"/>
            <w:gridSpan w:val="2"/>
            <w:vAlign w:val="center"/>
          </w:tcPr>
          <w:p>
            <w:pPr>
              <w:pStyle w:val="63"/>
              <w:rPr>
                <w:szCs w:val="21"/>
              </w:rPr>
            </w:pPr>
            <w:r>
              <w:rPr>
                <w:szCs w:val="21"/>
              </w:rPr>
              <w:t>T3</w:t>
            </w:r>
          </w:p>
        </w:tc>
        <w:tc>
          <w:tcPr>
            <w:tcW w:w="1401" w:type="dxa"/>
            <w:vMerge w:val="restart"/>
            <w:vAlign w:val="center"/>
          </w:tcPr>
          <w:p>
            <w:pPr>
              <w:pStyle w:val="63"/>
              <w:rPr>
                <w:szCs w:val="21"/>
              </w:rPr>
            </w:pPr>
            <w:r>
              <w:rPr>
                <w:szCs w:val="21"/>
              </w:rPr>
              <w:t>标准值</w:t>
            </w:r>
          </w:p>
        </w:tc>
        <w:tc>
          <w:tcPr>
            <w:tcW w:w="1043" w:type="dxa"/>
            <w:vMerge w:val="restart"/>
            <w:vAlign w:val="center"/>
          </w:tcPr>
          <w:p>
            <w:pPr>
              <w:pStyle w:val="63"/>
              <w:rPr>
                <w:szCs w:val="21"/>
              </w:rPr>
            </w:pPr>
            <w:r>
              <w:rPr>
                <w:szCs w:val="21"/>
              </w:rPr>
              <w:t>评价</w:t>
            </w:r>
          </w:p>
          <w:p>
            <w:pPr>
              <w:pStyle w:val="63"/>
              <w:rPr>
                <w:szCs w:val="21"/>
              </w:rPr>
            </w:pPr>
            <w:r>
              <w:rPr>
                <w:szCs w:val="21"/>
              </w:rPr>
              <w:t>结果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0" w:type="dxa"/>
            <w:vMerge w:val="continue"/>
            <w:vAlign w:val="center"/>
          </w:tcPr>
          <w:p>
            <w:pPr>
              <w:pStyle w:val="63"/>
              <w:rPr>
                <w:szCs w:val="21"/>
              </w:rPr>
            </w:pPr>
          </w:p>
        </w:tc>
        <w:tc>
          <w:tcPr>
            <w:tcW w:w="1222" w:type="dxa"/>
            <w:vAlign w:val="center"/>
          </w:tcPr>
          <w:p>
            <w:pPr>
              <w:pStyle w:val="63"/>
              <w:rPr>
                <w:szCs w:val="21"/>
              </w:rPr>
            </w:pPr>
            <w:r>
              <w:rPr>
                <w:szCs w:val="21"/>
              </w:rPr>
              <w:t>浓度</w:t>
            </w:r>
          </w:p>
        </w:tc>
        <w:tc>
          <w:tcPr>
            <w:tcW w:w="1222" w:type="dxa"/>
            <w:vAlign w:val="center"/>
          </w:tcPr>
          <w:p>
            <w:pPr>
              <w:pStyle w:val="63"/>
              <w:rPr>
                <w:szCs w:val="21"/>
              </w:rPr>
            </w:pPr>
            <w:r>
              <w:rPr>
                <w:szCs w:val="21"/>
              </w:rPr>
              <w:t>占标率</w:t>
            </w:r>
          </w:p>
        </w:tc>
        <w:tc>
          <w:tcPr>
            <w:tcW w:w="1222" w:type="dxa"/>
            <w:vAlign w:val="center"/>
          </w:tcPr>
          <w:p>
            <w:pPr>
              <w:pStyle w:val="63"/>
              <w:rPr>
                <w:szCs w:val="21"/>
              </w:rPr>
            </w:pPr>
            <w:r>
              <w:rPr>
                <w:szCs w:val="21"/>
              </w:rPr>
              <w:t>浓度</w:t>
            </w:r>
          </w:p>
        </w:tc>
        <w:tc>
          <w:tcPr>
            <w:tcW w:w="1222" w:type="dxa"/>
            <w:vAlign w:val="center"/>
          </w:tcPr>
          <w:p>
            <w:pPr>
              <w:pStyle w:val="63"/>
              <w:rPr>
                <w:szCs w:val="21"/>
              </w:rPr>
            </w:pPr>
            <w:r>
              <w:rPr>
                <w:szCs w:val="21"/>
              </w:rPr>
              <w:t>占标率</w:t>
            </w:r>
          </w:p>
        </w:tc>
        <w:tc>
          <w:tcPr>
            <w:tcW w:w="1401" w:type="dxa"/>
            <w:vMerge w:val="continue"/>
            <w:vAlign w:val="center"/>
          </w:tcPr>
          <w:p>
            <w:pPr>
              <w:pStyle w:val="63"/>
              <w:rPr>
                <w:szCs w:val="21"/>
              </w:rPr>
            </w:pPr>
          </w:p>
        </w:tc>
        <w:tc>
          <w:tcPr>
            <w:tcW w:w="1043" w:type="dxa"/>
            <w:vMerge w:val="continue"/>
            <w:vAlign w:val="center"/>
          </w:tcPr>
          <w:p>
            <w:pPr>
              <w:pStyle w:val="63"/>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0" w:type="dxa"/>
            <w:vAlign w:val="center"/>
          </w:tcPr>
          <w:p>
            <w:pPr>
              <w:pStyle w:val="63"/>
              <w:rPr>
                <w:szCs w:val="21"/>
              </w:rPr>
            </w:pPr>
            <w:r>
              <w:rPr>
                <w:szCs w:val="21"/>
              </w:rPr>
              <w:t>pH</w:t>
            </w:r>
          </w:p>
        </w:tc>
        <w:tc>
          <w:tcPr>
            <w:tcW w:w="1222" w:type="dxa"/>
            <w:vAlign w:val="center"/>
          </w:tcPr>
          <w:p>
            <w:pPr>
              <w:pStyle w:val="63"/>
              <w:rPr>
                <w:szCs w:val="21"/>
              </w:rPr>
            </w:pPr>
            <w:r>
              <w:rPr>
                <w:szCs w:val="21"/>
              </w:rPr>
              <w:t>6.81</w:t>
            </w:r>
          </w:p>
        </w:tc>
        <w:tc>
          <w:tcPr>
            <w:tcW w:w="1222" w:type="dxa"/>
            <w:vAlign w:val="center"/>
          </w:tcPr>
          <w:p>
            <w:pPr>
              <w:pStyle w:val="63"/>
              <w:rPr>
                <w:szCs w:val="21"/>
              </w:rPr>
            </w:pPr>
            <w:r>
              <w:rPr>
                <w:szCs w:val="21"/>
              </w:rPr>
              <w:t>/</w:t>
            </w:r>
          </w:p>
        </w:tc>
        <w:tc>
          <w:tcPr>
            <w:tcW w:w="1222" w:type="dxa"/>
            <w:vAlign w:val="center"/>
          </w:tcPr>
          <w:p>
            <w:pPr>
              <w:pStyle w:val="63"/>
              <w:rPr>
                <w:szCs w:val="21"/>
              </w:rPr>
            </w:pPr>
            <w:r>
              <w:rPr>
                <w:szCs w:val="21"/>
              </w:rPr>
              <w:t>7.41</w:t>
            </w:r>
          </w:p>
        </w:tc>
        <w:tc>
          <w:tcPr>
            <w:tcW w:w="1222" w:type="dxa"/>
            <w:vAlign w:val="center"/>
          </w:tcPr>
          <w:p>
            <w:pPr>
              <w:pStyle w:val="63"/>
              <w:rPr>
                <w:szCs w:val="21"/>
              </w:rPr>
            </w:pPr>
            <w:r>
              <w:rPr>
                <w:szCs w:val="21"/>
              </w:rPr>
              <w:t>/</w:t>
            </w:r>
          </w:p>
        </w:tc>
        <w:tc>
          <w:tcPr>
            <w:tcW w:w="1401" w:type="dxa"/>
            <w:vAlign w:val="center"/>
          </w:tcPr>
          <w:p>
            <w:pPr>
              <w:pStyle w:val="63"/>
              <w:rPr>
                <w:szCs w:val="21"/>
              </w:rPr>
            </w:pPr>
            <w:r>
              <w:rPr>
                <w:szCs w:val="21"/>
              </w:rPr>
              <w:t>6.5&lt;pH≤7.5</w:t>
            </w:r>
          </w:p>
        </w:tc>
        <w:tc>
          <w:tcPr>
            <w:tcW w:w="1043" w:type="dxa"/>
            <w:vAlign w:val="center"/>
          </w:tcPr>
          <w:p>
            <w:pPr>
              <w:pStyle w:val="63"/>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0" w:type="dxa"/>
            <w:vAlign w:val="center"/>
          </w:tcPr>
          <w:p>
            <w:pPr>
              <w:pStyle w:val="63"/>
              <w:rPr>
                <w:szCs w:val="21"/>
              </w:rPr>
            </w:pPr>
            <w:r>
              <w:rPr>
                <w:szCs w:val="21"/>
              </w:rPr>
              <w:t>铜</w:t>
            </w:r>
          </w:p>
        </w:tc>
        <w:tc>
          <w:tcPr>
            <w:tcW w:w="1222" w:type="dxa"/>
            <w:vAlign w:val="center"/>
          </w:tcPr>
          <w:p>
            <w:pPr>
              <w:pStyle w:val="63"/>
              <w:rPr>
                <w:szCs w:val="21"/>
              </w:rPr>
            </w:pPr>
            <w:r>
              <w:rPr>
                <w:kern w:val="0"/>
                <w:szCs w:val="21"/>
                <w:lang w:bidi="ar"/>
              </w:rPr>
              <w:t>35</w:t>
            </w:r>
          </w:p>
        </w:tc>
        <w:tc>
          <w:tcPr>
            <w:tcW w:w="1222" w:type="dxa"/>
            <w:vAlign w:val="center"/>
          </w:tcPr>
          <w:p>
            <w:pPr>
              <w:pStyle w:val="63"/>
              <w:rPr>
                <w:szCs w:val="21"/>
              </w:rPr>
            </w:pPr>
            <w:r>
              <w:rPr>
                <w:szCs w:val="21"/>
              </w:rPr>
              <w:t>0.350</w:t>
            </w:r>
          </w:p>
        </w:tc>
        <w:tc>
          <w:tcPr>
            <w:tcW w:w="1222" w:type="dxa"/>
            <w:vAlign w:val="center"/>
          </w:tcPr>
          <w:p>
            <w:pPr>
              <w:pStyle w:val="63"/>
              <w:rPr>
                <w:szCs w:val="21"/>
              </w:rPr>
            </w:pPr>
            <w:r>
              <w:rPr>
                <w:kern w:val="0"/>
                <w:szCs w:val="21"/>
                <w:lang w:bidi="ar"/>
              </w:rPr>
              <w:t>21</w:t>
            </w:r>
          </w:p>
        </w:tc>
        <w:tc>
          <w:tcPr>
            <w:tcW w:w="1222" w:type="dxa"/>
            <w:vAlign w:val="center"/>
          </w:tcPr>
          <w:p>
            <w:pPr>
              <w:pStyle w:val="63"/>
              <w:rPr>
                <w:szCs w:val="21"/>
              </w:rPr>
            </w:pPr>
            <w:r>
              <w:rPr>
                <w:szCs w:val="21"/>
              </w:rPr>
              <w:t>0.210</w:t>
            </w:r>
          </w:p>
        </w:tc>
        <w:tc>
          <w:tcPr>
            <w:tcW w:w="1401" w:type="dxa"/>
            <w:vAlign w:val="center"/>
          </w:tcPr>
          <w:p>
            <w:pPr>
              <w:pStyle w:val="63"/>
              <w:rPr>
                <w:szCs w:val="21"/>
              </w:rPr>
            </w:pPr>
            <w:r>
              <w:rPr>
                <w:szCs w:val="21"/>
              </w:rPr>
              <w:t>100</w:t>
            </w:r>
          </w:p>
        </w:tc>
        <w:tc>
          <w:tcPr>
            <w:tcW w:w="1043" w:type="dxa"/>
            <w:vAlign w:val="center"/>
          </w:tcPr>
          <w:p>
            <w:pPr>
              <w:pStyle w:val="63"/>
              <w:rPr>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0" w:type="dxa"/>
            <w:vAlign w:val="center"/>
          </w:tcPr>
          <w:p>
            <w:pPr>
              <w:pStyle w:val="63"/>
              <w:rPr>
                <w:szCs w:val="21"/>
              </w:rPr>
            </w:pPr>
            <w:r>
              <w:rPr>
                <w:szCs w:val="21"/>
              </w:rPr>
              <w:t>铅</w:t>
            </w:r>
          </w:p>
        </w:tc>
        <w:tc>
          <w:tcPr>
            <w:tcW w:w="1222" w:type="dxa"/>
            <w:vAlign w:val="center"/>
          </w:tcPr>
          <w:p>
            <w:pPr>
              <w:pStyle w:val="63"/>
              <w:rPr>
                <w:szCs w:val="21"/>
              </w:rPr>
            </w:pPr>
            <w:r>
              <w:rPr>
                <w:kern w:val="0"/>
                <w:szCs w:val="21"/>
                <w:lang w:bidi="ar"/>
              </w:rPr>
              <w:t>23.4</w:t>
            </w:r>
          </w:p>
        </w:tc>
        <w:tc>
          <w:tcPr>
            <w:tcW w:w="1222" w:type="dxa"/>
            <w:vAlign w:val="center"/>
          </w:tcPr>
          <w:p>
            <w:pPr>
              <w:pStyle w:val="63"/>
              <w:rPr>
                <w:szCs w:val="21"/>
              </w:rPr>
            </w:pPr>
            <w:r>
              <w:rPr>
                <w:szCs w:val="21"/>
              </w:rPr>
              <w:t>0.195</w:t>
            </w:r>
          </w:p>
        </w:tc>
        <w:tc>
          <w:tcPr>
            <w:tcW w:w="1222" w:type="dxa"/>
            <w:vAlign w:val="center"/>
          </w:tcPr>
          <w:p>
            <w:pPr>
              <w:pStyle w:val="63"/>
              <w:rPr>
                <w:szCs w:val="21"/>
              </w:rPr>
            </w:pPr>
            <w:r>
              <w:rPr>
                <w:kern w:val="0"/>
                <w:szCs w:val="21"/>
                <w:lang w:bidi="ar"/>
              </w:rPr>
              <w:t>14.2</w:t>
            </w:r>
          </w:p>
        </w:tc>
        <w:tc>
          <w:tcPr>
            <w:tcW w:w="1222" w:type="dxa"/>
            <w:vAlign w:val="center"/>
          </w:tcPr>
          <w:p>
            <w:pPr>
              <w:pStyle w:val="63"/>
              <w:rPr>
                <w:szCs w:val="21"/>
              </w:rPr>
            </w:pPr>
            <w:r>
              <w:rPr>
                <w:szCs w:val="21"/>
              </w:rPr>
              <w:t>0.118</w:t>
            </w:r>
          </w:p>
        </w:tc>
        <w:tc>
          <w:tcPr>
            <w:tcW w:w="1401" w:type="dxa"/>
            <w:vAlign w:val="center"/>
          </w:tcPr>
          <w:p>
            <w:pPr>
              <w:pStyle w:val="63"/>
              <w:rPr>
                <w:szCs w:val="21"/>
              </w:rPr>
            </w:pPr>
            <w:r>
              <w:rPr>
                <w:szCs w:val="21"/>
              </w:rPr>
              <w:t>120</w:t>
            </w:r>
          </w:p>
        </w:tc>
        <w:tc>
          <w:tcPr>
            <w:tcW w:w="1043" w:type="dxa"/>
            <w:vAlign w:val="center"/>
          </w:tcPr>
          <w:p>
            <w:pPr>
              <w:pStyle w:val="63"/>
              <w:rPr>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0" w:type="dxa"/>
            <w:vAlign w:val="center"/>
          </w:tcPr>
          <w:p>
            <w:pPr>
              <w:pStyle w:val="63"/>
              <w:rPr>
                <w:szCs w:val="21"/>
              </w:rPr>
            </w:pPr>
            <w:r>
              <w:rPr>
                <w:szCs w:val="21"/>
              </w:rPr>
              <w:t>镉</w:t>
            </w:r>
          </w:p>
        </w:tc>
        <w:tc>
          <w:tcPr>
            <w:tcW w:w="1222" w:type="dxa"/>
            <w:vAlign w:val="center"/>
          </w:tcPr>
          <w:p>
            <w:pPr>
              <w:pStyle w:val="63"/>
              <w:rPr>
                <w:szCs w:val="21"/>
              </w:rPr>
            </w:pPr>
            <w:r>
              <w:rPr>
                <w:szCs w:val="21"/>
              </w:rPr>
              <w:t>0.12</w:t>
            </w:r>
          </w:p>
        </w:tc>
        <w:tc>
          <w:tcPr>
            <w:tcW w:w="1222" w:type="dxa"/>
            <w:vAlign w:val="center"/>
          </w:tcPr>
          <w:p>
            <w:pPr>
              <w:pStyle w:val="63"/>
              <w:rPr>
                <w:szCs w:val="21"/>
              </w:rPr>
            </w:pPr>
            <w:r>
              <w:rPr>
                <w:szCs w:val="21"/>
              </w:rPr>
              <w:t>0.400</w:t>
            </w:r>
          </w:p>
        </w:tc>
        <w:tc>
          <w:tcPr>
            <w:tcW w:w="1222" w:type="dxa"/>
            <w:vAlign w:val="center"/>
          </w:tcPr>
          <w:p>
            <w:pPr>
              <w:pStyle w:val="63"/>
              <w:rPr>
                <w:szCs w:val="21"/>
              </w:rPr>
            </w:pPr>
            <w:r>
              <w:rPr>
                <w:szCs w:val="21"/>
              </w:rPr>
              <w:t>0.10</w:t>
            </w:r>
          </w:p>
        </w:tc>
        <w:tc>
          <w:tcPr>
            <w:tcW w:w="1222" w:type="dxa"/>
            <w:vAlign w:val="center"/>
          </w:tcPr>
          <w:p>
            <w:pPr>
              <w:pStyle w:val="63"/>
              <w:rPr>
                <w:szCs w:val="21"/>
              </w:rPr>
            </w:pPr>
            <w:r>
              <w:rPr>
                <w:szCs w:val="21"/>
              </w:rPr>
              <w:t>0.333</w:t>
            </w:r>
          </w:p>
        </w:tc>
        <w:tc>
          <w:tcPr>
            <w:tcW w:w="1401" w:type="dxa"/>
            <w:vAlign w:val="center"/>
          </w:tcPr>
          <w:p>
            <w:pPr>
              <w:pStyle w:val="63"/>
              <w:rPr>
                <w:szCs w:val="21"/>
              </w:rPr>
            </w:pPr>
            <w:r>
              <w:rPr>
                <w:szCs w:val="21"/>
              </w:rPr>
              <w:t>0.3</w:t>
            </w:r>
          </w:p>
        </w:tc>
        <w:tc>
          <w:tcPr>
            <w:tcW w:w="1043" w:type="dxa"/>
            <w:vAlign w:val="center"/>
          </w:tcPr>
          <w:p>
            <w:pPr>
              <w:pStyle w:val="63"/>
              <w:rPr>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0" w:type="dxa"/>
            <w:vAlign w:val="center"/>
          </w:tcPr>
          <w:p>
            <w:pPr>
              <w:pStyle w:val="63"/>
              <w:rPr>
                <w:szCs w:val="21"/>
              </w:rPr>
            </w:pPr>
            <w:r>
              <w:rPr>
                <w:szCs w:val="21"/>
              </w:rPr>
              <w:t>铬</w:t>
            </w:r>
          </w:p>
        </w:tc>
        <w:tc>
          <w:tcPr>
            <w:tcW w:w="1222" w:type="dxa"/>
            <w:vAlign w:val="center"/>
          </w:tcPr>
          <w:p>
            <w:pPr>
              <w:pStyle w:val="63"/>
              <w:rPr>
                <w:szCs w:val="21"/>
              </w:rPr>
            </w:pPr>
            <w:r>
              <w:rPr>
                <w:szCs w:val="21"/>
              </w:rPr>
              <w:t>0.5L</w:t>
            </w:r>
          </w:p>
        </w:tc>
        <w:tc>
          <w:tcPr>
            <w:tcW w:w="1222" w:type="dxa"/>
            <w:vAlign w:val="center"/>
          </w:tcPr>
          <w:p>
            <w:pPr>
              <w:pStyle w:val="63"/>
              <w:rPr>
                <w:szCs w:val="21"/>
              </w:rPr>
            </w:pPr>
            <w:r>
              <w:rPr>
                <w:szCs w:val="21"/>
              </w:rPr>
              <w:t>/</w:t>
            </w:r>
          </w:p>
        </w:tc>
        <w:tc>
          <w:tcPr>
            <w:tcW w:w="1222" w:type="dxa"/>
            <w:vAlign w:val="center"/>
          </w:tcPr>
          <w:p>
            <w:pPr>
              <w:pStyle w:val="63"/>
              <w:rPr>
                <w:szCs w:val="21"/>
              </w:rPr>
            </w:pPr>
            <w:r>
              <w:rPr>
                <w:szCs w:val="21"/>
              </w:rPr>
              <w:t>0.5L</w:t>
            </w:r>
          </w:p>
        </w:tc>
        <w:tc>
          <w:tcPr>
            <w:tcW w:w="1222" w:type="dxa"/>
            <w:vAlign w:val="center"/>
          </w:tcPr>
          <w:p>
            <w:pPr>
              <w:pStyle w:val="63"/>
              <w:rPr>
                <w:szCs w:val="21"/>
              </w:rPr>
            </w:pPr>
            <w:r>
              <w:rPr>
                <w:szCs w:val="21"/>
              </w:rPr>
              <w:t>/</w:t>
            </w:r>
          </w:p>
        </w:tc>
        <w:tc>
          <w:tcPr>
            <w:tcW w:w="1401" w:type="dxa"/>
            <w:vAlign w:val="center"/>
          </w:tcPr>
          <w:p>
            <w:pPr>
              <w:pStyle w:val="63"/>
              <w:rPr>
                <w:szCs w:val="21"/>
              </w:rPr>
            </w:pPr>
            <w:r>
              <w:rPr>
                <w:szCs w:val="21"/>
              </w:rPr>
              <w:t>300</w:t>
            </w:r>
          </w:p>
        </w:tc>
        <w:tc>
          <w:tcPr>
            <w:tcW w:w="1043" w:type="dxa"/>
            <w:vAlign w:val="center"/>
          </w:tcPr>
          <w:p>
            <w:pPr>
              <w:pStyle w:val="63"/>
              <w:rPr>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0" w:type="dxa"/>
            <w:vAlign w:val="center"/>
          </w:tcPr>
          <w:p>
            <w:pPr>
              <w:pStyle w:val="63"/>
              <w:rPr>
                <w:szCs w:val="21"/>
              </w:rPr>
            </w:pPr>
            <w:r>
              <w:rPr>
                <w:szCs w:val="21"/>
              </w:rPr>
              <w:t>汞</w:t>
            </w:r>
          </w:p>
        </w:tc>
        <w:tc>
          <w:tcPr>
            <w:tcW w:w="1222" w:type="dxa"/>
            <w:vAlign w:val="center"/>
          </w:tcPr>
          <w:p>
            <w:pPr>
              <w:pStyle w:val="63"/>
              <w:rPr>
                <w:szCs w:val="21"/>
              </w:rPr>
            </w:pPr>
            <w:r>
              <w:rPr>
                <w:szCs w:val="21"/>
              </w:rPr>
              <w:t>1.67</w:t>
            </w:r>
          </w:p>
        </w:tc>
        <w:tc>
          <w:tcPr>
            <w:tcW w:w="1222" w:type="dxa"/>
            <w:vAlign w:val="center"/>
          </w:tcPr>
          <w:p>
            <w:pPr>
              <w:pStyle w:val="63"/>
              <w:rPr>
                <w:szCs w:val="21"/>
              </w:rPr>
            </w:pPr>
            <w:r>
              <w:rPr>
                <w:szCs w:val="21"/>
              </w:rPr>
              <w:t>0.696</w:t>
            </w:r>
          </w:p>
        </w:tc>
        <w:tc>
          <w:tcPr>
            <w:tcW w:w="1222" w:type="dxa"/>
            <w:vAlign w:val="center"/>
          </w:tcPr>
          <w:p>
            <w:pPr>
              <w:pStyle w:val="63"/>
              <w:rPr>
                <w:szCs w:val="21"/>
              </w:rPr>
            </w:pPr>
            <w:r>
              <w:rPr>
                <w:szCs w:val="21"/>
              </w:rPr>
              <w:t>1.92</w:t>
            </w:r>
          </w:p>
        </w:tc>
        <w:tc>
          <w:tcPr>
            <w:tcW w:w="1222" w:type="dxa"/>
            <w:vAlign w:val="center"/>
          </w:tcPr>
          <w:p>
            <w:pPr>
              <w:pStyle w:val="63"/>
              <w:rPr>
                <w:szCs w:val="21"/>
              </w:rPr>
            </w:pPr>
            <w:r>
              <w:rPr>
                <w:szCs w:val="21"/>
              </w:rPr>
              <w:t>0.800</w:t>
            </w:r>
          </w:p>
        </w:tc>
        <w:tc>
          <w:tcPr>
            <w:tcW w:w="1401" w:type="dxa"/>
            <w:vAlign w:val="center"/>
          </w:tcPr>
          <w:p>
            <w:pPr>
              <w:pStyle w:val="63"/>
              <w:rPr>
                <w:szCs w:val="21"/>
              </w:rPr>
            </w:pPr>
            <w:r>
              <w:rPr>
                <w:szCs w:val="21"/>
              </w:rPr>
              <w:t>2.4</w:t>
            </w:r>
          </w:p>
        </w:tc>
        <w:tc>
          <w:tcPr>
            <w:tcW w:w="1043" w:type="dxa"/>
            <w:vAlign w:val="center"/>
          </w:tcPr>
          <w:p>
            <w:pPr>
              <w:pStyle w:val="63"/>
              <w:rPr>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0" w:type="dxa"/>
            <w:vAlign w:val="center"/>
          </w:tcPr>
          <w:p>
            <w:pPr>
              <w:pStyle w:val="63"/>
              <w:rPr>
                <w:szCs w:val="21"/>
              </w:rPr>
            </w:pPr>
            <w:r>
              <w:rPr>
                <w:szCs w:val="21"/>
              </w:rPr>
              <w:t>砷</w:t>
            </w:r>
          </w:p>
        </w:tc>
        <w:tc>
          <w:tcPr>
            <w:tcW w:w="1222" w:type="dxa"/>
            <w:vAlign w:val="center"/>
          </w:tcPr>
          <w:p>
            <w:pPr>
              <w:pStyle w:val="63"/>
              <w:rPr>
                <w:szCs w:val="21"/>
              </w:rPr>
            </w:pPr>
            <w:r>
              <w:rPr>
                <w:szCs w:val="21"/>
              </w:rPr>
              <w:t>8.32</w:t>
            </w:r>
          </w:p>
        </w:tc>
        <w:tc>
          <w:tcPr>
            <w:tcW w:w="1222" w:type="dxa"/>
            <w:vAlign w:val="center"/>
          </w:tcPr>
          <w:p>
            <w:pPr>
              <w:pStyle w:val="63"/>
              <w:rPr>
                <w:szCs w:val="21"/>
              </w:rPr>
            </w:pPr>
            <w:r>
              <w:rPr>
                <w:szCs w:val="21"/>
              </w:rPr>
              <w:t>0.277</w:t>
            </w:r>
          </w:p>
        </w:tc>
        <w:tc>
          <w:tcPr>
            <w:tcW w:w="1222" w:type="dxa"/>
            <w:vAlign w:val="center"/>
          </w:tcPr>
          <w:p>
            <w:pPr>
              <w:pStyle w:val="63"/>
              <w:rPr>
                <w:szCs w:val="21"/>
              </w:rPr>
            </w:pPr>
            <w:r>
              <w:rPr>
                <w:szCs w:val="21"/>
              </w:rPr>
              <w:t>3.08</w:t>
            </w:r>
          </w:p>
        </w:tc>
        <w:tc>
          <w:tcPr>
            <w:tcW w:w="1222" w:type="dxa"/>
            <w:vAlign w:val="center"/>
          </w:tcPr>
          <w:p>
            <w:pPr>
              <w:pStyle w:val="63"/>
              <w:rPr>
                <w:szCs w:val="21"/>
              </w:rPr>
            </w:pPr>
            <w:r>
              <w:rPr>
                <w:szCs w:val="21"/>
              </w:rPr>
              <w:t>0.103</w:t>
            </w:r>
          </w:p>
        </w:tc>
        <w:tc>
          <w:tcPr>
            <w:tcW w:w="1401" w:type="dxa"/>
            <w:vAlign w:val="center"/>
          </w:tcPr>
          <w:p>
            <w:pPr>
              <w:pStyle w:val="63"/>
              <w:rPr>
                <w:szCs w:val="21"/>
              </w:rPr>
            </w:pPr>
            <w:r>
              <w:rPr>
                <w:szCs w:val="21"/>
              </w:rPr>
              <w:t>30</w:t>
            </w:r>
          </w:p>
        </w:tc>
        <w:tc>
          <w:tcPr>
            <w:tcW w:w="1043" w:type="dxa"/>
            <w:vAlign w:val="center"/>
          </w:tcPr>
          <w:p>
            <w:pPr>
              <w:pStyle w:val="63"/>
              <w:rPr>
                <w:szCs w:val="21"/>
              </w:rPr>
            </w:pPr>
            <w:r>
              <w:rPr>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0" w:type="dxa"/>
            <w:vAlign w:val="center"/>
          </w:tcPr>
          <w:p>
            <w:pPr>
              <w:pStyle w:val="63"/>
              <w:rPr>
                <w:szCs w:val="21"/>
              </w:rPr>
            </w:pPr>
            <w:r>
              <w:rPr>
                <w:szCs w:val="21"/>
              </w:rPr>
              <w:t>镍</w:t>
            </w:r>
          </w:p>
        </w:tc>
        <w:tc>
          <w:tcPr>
            <w:tcW w:w="1222" w:type="dxa"/>
            <w:vAlign w:val="center"/>
          </w:tcPr>
          <w:p>
            <w:pPr>
              <w:pStyle w:val="63"/>
              <w:rPr>
                <w:szCs w:val="21"/>
              </w:rPr>
            </w:pPr>
            <w:r>
              <w:rPr>
                <w:szCs w:val="21"/>
              </w:rPr>
              <w:t>37</w:t>
            </w:r>
          </w:p>
        </w:tc>
        <w:tc>
          <w:tcPr>
            <w:tcW w:w="1222" w:type="dxa"/>
            <w:vAlign w:val="center"/>
          </w:tcPr>
          <w:p>
            <w:pPr>
              <w:pStyle w:val="63"/>
              <w:rPr>
                <w:szCs w:val="21"/>
              </w:rPr>
            </w:pPr>
            <w:r>
              <w:rPr>
                <w:szCs w:val="21"/>
              </w:rPr>
              <w:t>0.370</w:t>
            </w:r>
          </w:p>
        </w:tc>
        <w:tc>
          <w:tcPr>
            <w:tcW w:w="1222" w:type="dxa"/>
            <w:vAlign w:val="center"/>
          </w:tcPr>
          <w:p>
            <w:pPr>
              <w:pStyle w:val="63"/>
              <w:rPr>
                <w:szCs w:val="21"/>
              </w:rPr>
            </w:pPr>
            <w:r>
              <w:rPr>
                <w:szCs w:val="21"/>
              </w:rPr>
              <w:t>29</w:t>
            </w:r>
          </w:p>
        </w:tc>
        <w:tc>
          <w:tcPr>
            <w:tcW w:w="1222" w:type="dxa"/>
            <w:vAlign w:val="center"/>
          </w:tcPr>
          <w:p>
            <w:pPr>
              <w:pStyle w:val="63"/>
              <w:rPr>
                <w:szCs w:val="21"/>
              </w:rPr>
            </w:pPr>
            <w:r>
              <w:rPr>
                <w:szCs w:val="21"/>
              </w:rPr>
              <w:t>0.290</w:t>
            </w:r>
          </w:p>
        </w:tc>
        <w:tc>
          <w:tcPr>
            <w:tcW w:w="1401" w:type="dxa"/>
            <w:vAlign w:val="center"/>
          </w:tcPr>
          <w:p>
            <w:pPr>
              <w:pStyle w:val="63"/>
              <w:rPr>
                <w:szCs w:val="21"/>
              </w:rPr>
            </w:pPr>
            <w:r>
              <w:rPr>
                <w:szCs w:val="21"/>
              </w:rPr>
              <w:t>100</w:t>
            </w:r>
          </w:p>
        </w:tc>
        <w:tc>
          <w:tcPr>
            <w:tcW w:w="1043" w:type="dxa"/>
            <w:vAlign w:val="center"/>
          </w:tcPr>
          <w:p>
            <w:pPr>
              <w:pStyle w:val="63"/>
              <w:rPr>
                <w:szCs w:val="21"/>
              </w:rPr>
            </w:pPr>
            <w:r>
              <w:rPr>
                <w:szCs w:val="21"/>
              </w:rPr>
              <w:t>达标</w:t>
            </w:r>
          </w:p>
        </w:tc>
      </w:tr>
    </w:tbl>
    <w:p>
      <w:pPr>
        <w:pStyle w:val="6"/>
        <w:rPr>
          <w:rFonts w:ascii="Times New Roman" w:hAnsi="Times New Roman" w:cs="Times New Roman"/>
        </w:rPr>
      </w:pPr>
      <w:r>
        <w:rPr>
          <w:rFonts w:ascii="Times New Roman" w:hAnsi="Times New Roman" w:cs="Times New Roman"/>
        </w:rPr>
        <w:t>表5.5-3  建设用地土壤环境质量现状监测与评价结果单位：mg/kg</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882"/>
        <w:gridCol w:w="1421"/>
        <w:gridCol w:w="1420"/>
        <w:gridCol w:w="1420"/>
        <w:gridCol w:w="14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监测点位</w:t>
            </w:r>
          </w:p>
        </w:tc>
        <w:tc>
          <w:tcPr>
            <w:tcW w:w="1104"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项目</w:t>
            </w:r>
          </w:p>
        </w:tc>
        <w:tc>
          <w:tcPr>
            <w:tcW w:w="834"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监测值</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sz w:val="21"/>
                <w:szCs w:val="21"/>
              </w:rPr>
              <w:t>占标率</w:t>
            </w:r>
          </w:p>
        </w:tc>
        <w:tc>
          <w:tcPr>
            <w:tcW w:w="833" w:type="pct"/>
            <w:noWrap/>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第二类用地筛选值</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评价结果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restar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T1</w:t>
            </w: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砷</w:t>
            </w:r>
          </w:p>
        </w:tc>
        <w:tc>
          <w:tcPr>
            <w:tcW w:w="834" w:type="pct"/>
            <w:vAlign w:val="center"/>
          </w:tcPr>
          <w:p>
            <w:pPr>
              <w:jc w:val="center"/>
              <w:rPr>
                <w:rFonts w:ascii="Times New Roman" w:hAnsi="Times New Roman" w:cs="Times New Roman"/>
                <w:sz w:val="21"/>
                <w:szCs w:val="21"/>
              </w:rPr>
            </w:pPr>
            <w:r>
              <w:rPr>
                <w:rFonts w:ascii="Times New Roman" w:hAnsi="Times New Roman" w:cs="Times New Roman"/>
                <w:sz w:val="21"/>
                <w:szCs w:val="21"/>
              </w:rPr>
              <w:t>6.61</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0.110</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60</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镉</w:t>
            </w:r>
          </w:p>
        </w:tc>
        <w:tc>
          <w:tcPr>
            <w:tcW w:w="834" w:type="pct"/>
            <w:vAlign w:val="center"/>
          </w:tcPr>
          <w:p>
            <w:pPr>
              <w:jc w:val="center"/>
              <w:rPr>
                <w:rFonts w:ascii="Times New Roman" w:hAnsi="Times New Roman" w:cs="Times New Roman"/>
                <w:sz w:val="21"/>
                <w:szCs w:val="21"/>
              </w:rPr>
            </w:pPr>
            <w:r>
              <w:rPr>
                <w:rFonts w:ascii="Times New Roman" w:hAnsi="Times New Roman" w:cs="Times New Roman"/>
                <w:sz w:val="21"/>
                <w:szCs w:val="21"/>
              </w:rPr>
              <w:t>1.33</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0.020</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65</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六价铬</w:t>
            </w:r>
          </w:p>
        </w:tc>
        <w:tc>
          <w:tcPr>
            <w:tcW w:w="834" w:type="pct"/>
            <w:vAlign w:val="center"/>
          </w:tcPr>
          <w:p>
            <w:pPr>
              <w:jc w:val="center"/>
              <w:rPr>
                <w:rFonts w:ascii="Times New Roman" w:hAnsi="Times New Roman" w:cs="Times New Roman"/>
                <w:sz w:val="21"/>
                <w:szCs w:val="21"/>
              </w:rPr>
            </w:pPr>
            <w:r>
              <w:rPr>
                <w:rFonts w:ascii="Times New Roman" w:hAnsi="Times New Roman" w:cs="Times New Roman"/>
                <w:sz w:val="21"/>
                <w:szCs w:val="21"/>
              </w:rPr>
              <w:t>0.5L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5.7</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铜</w:t>
            </w:r>
          </w:p>
        </w:tc>
        <w:tc>
          <w:tcPr>
            <w:tcW w:w="834" w:type="pct"/>
            <w:vAlign w:val="center"/>
          </w:tcPr>
          <w:p>
            <w:pPr>
              <w:jc w:val="center"/>
              <w:rPr>
                <w:rFonts w:ascii="Times New Roman" w:hAnsi="Times New Roman" w:cs="Times New Roman"/>
                <w:sz w:val="21"/>
                <w:szCs w:val="21"/>
              </w:rPr>
            </w:pPr>
            <w:r>
              <w:rPr>
                <w:rFonts w:ascii="Times New Roman" w:hAnsi="Times New Roman" w:cs="Times New Roman"/>
                <w:sz w:val="21"/>
                <w:szCs w:val="21"/>
              </w:rPr>
              <w:t>35</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0.002</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18000</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铅</w:t>
            </w:r>
          </w:p>
        </w:tc>
        <w:tc>
          <w:tcPr>
            <w:tcW w:w="834" w:type="pct"/>
            <w:vAlign w:val="center"/>
          </w:tcPr>
          <w:p>
            <w:pPr>
              <w:jc w:val="center"/>
              <w:rPr>
                <w:rFonts w:ascii="Times New Roman" w:hAnsi="Times New Roman" w:cs="Times New Roman"/>
                <w:sz w:val="21"/>
                <w:szCs w:val="21"/>
              </w:rPr>
            </w:pPr>
            <w:r>
              <w:rPr>
                <w:rFonts w:ascii="Times New Roman" w:hAnsi="Times New Roman" w:cs="Times New Roman"/>
                <w:sz w:val="21"/>
                <w:szCs w:val="21"/>
              </w:rPr>
              <w:t>10.6</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0.013</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800</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汞</w:t>
            </w:r>
          </w:p>
        </w:tc>
        <w:tc>
          <w:tcPr>
            <w:tcW w:w="834" w:type="pct"/>
            <w:vAlign w:val="center"/>
          </w:tcPr>
          <w:p>
            <w:pPr>
              <w:jc w:val="center"/>
              <w:rPr>
                <w:rFonts w:ascii="Times New Roman" w:hAnsi="Times New Roman" w:cs="Times New Roman"/>
                <w:sz w:val="21"/>
                <w:szCs w:val="21"/>
              </w:rPr>
            </w:pPr>
            <w:r>
              <w:rPr>
                <w:rFonts w:ascii="Times New Roman" w:hAnsi="Times New Roman" w:cs="Times New Roman"/>
                <w:sz w:val="21"/>
                <w:szCs w:val="21"/>
              </w:rPr>
              <w:t>1.40</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0.037</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38</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镍</w:t>
            </w:r>
          </w:p>
        </w:tc>
        <w:tc>
          <w:tcPr>
            <w:tcW w:w="834" w:type="pct"/>
            <w:vAlign w:val="center"/>
          </w:tcPr>
          <w:p>
            <w:pPr>
              <w:jc w:val="center"/>
              <w:rPr>
                <w:rFonts w:ascii="Times New Roman" w:hAnsi="Times New Roman" w:cs="Times New Roman"/>
                <w:sz w:val="21"/>
                <w:szCs w:val="21"/>
              </w:rPr>
            </w:pPr>
            <w:r>
              <w:rPr>
                <w:rFonts w:ascii="Times New Roman" w:hAnsi="Times New Roman" w:cs="Times New Roman"/>
                <w:sz w:val="21"/>
                <w:szCs w:val="21"/>
              </w:rPr>
              <w:t>25</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0.028</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900</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四氯化碳</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2.1×10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2.8</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氯仿</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1.5×10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0.9</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氯甲烷</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2.6×10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37</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1，1-二氯乙烷</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1.6×10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9</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1，2-二氯乙烷</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1.3×10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5</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1，1-二氯乙烯</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8.0×10</w:t>
            </w:r>
            <w:r>
              <w:rPr>
                <w:rFonts w:ascii="Times New Roman" w:hAnsi="Times New Roman" w:cs="Times New Roman"/>
                <w:kern w:val="0"/>
                <w:sz w:val="21"/>
                <w:szCs w:val="21"/>
                <w:vertAlign w:val="superscript"/>
                <w:lang w:bidi="ar"/>
              </w:rPr>
              <w:t>-4</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66</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顺-1，2-二氯乙烯</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9.0×10</w:t>
            </w:r>
            <w:r>
              <w:rPr>
                <w:rFonts w:ascii="Times New Roman" w:hAnsi="Times New Roman" w:cs="Times New Roman"/>
                <w:kern w:val="0"/>
                <w:sz w:val="21"/>
                <w:szCs w:val="21"/>
                <w:vertAlign w:val="superscript"/>
                <w:lang w:bidi="ar"/>
              </w:rPr>
              <w:t>-4</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596</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反-1，2-二氯乙烯</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9.0×10</w:t>
            </w:r>
            <w:r>
              <w:rPr>
                <w:rFonts w:ascii="Times New Roman" w:hAnsi="Times New Roman" w:cs="Times New Roman"/>
                <w:kern w:val="0"/>
                <w:sz w:val="21"/>
                <w:szCs w:val="21"/>
                <w:vertAlign w:val="superscript"/>
                <w:lang w:bidi="ar"/>
              </w:rPr>
              <w:t>-4</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54</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二氯甲烷</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2.6×10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616</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1，2-二氯丙烷</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1.9×10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5</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1，1，1，2-四氯乙烷</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1.0×10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10</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1，1，2，2-四氯乙烷</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1.0×10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6.8</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四氯乙烯</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8.0×10</w:t>
            </w:r>
            <w:r>
              <w:rPr>
                <w:rFonts w:ascii="Times New Roman" w:hAnsi="Times New Roman" w:cs="Times New Roman"/>
                <w:kern w:val="0"/>
                <w:sz w:val="21"/>
                <w:szCs w:val="21"/>
                <w:vertAlign w:val="superscript"/>
                <w:lang w:bidi="ar"/>
              </w:rPr>
              <w:t>-4</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53</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1，1，1-三氯乙烷</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1.1×10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840</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1，1，2-三氯乙烷</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1.4×10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2.8</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三氯乙烯</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9.0×10</w:t>
            </w:r>
            <w:r>
              <w:rPr>
                <w:rFonts w:ascii="Times New Roman" w:hAnsi="Times New Roman" w:cs="Times New Roman"/>
                <w:kern w:val="0"/>
                <w:sz w:val="21"/>
                <w:szCs w:val="21"/>
                <w:vertAlign w:val="superscript"/>
                <w:lang w:bidi="ar"/>
              </w:rPr>
              <w:t>-4</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2.8</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1，2，3-三氯丙烷</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1.0×10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0.5</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氯乙烯</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1.5×10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0.43</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苯</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1.6×10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4</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氯苯</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1.1×10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270</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1，2-二氯苯</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1.0×10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560</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1，4-二氯苯</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1.2×10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20</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乙苯</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1.2×10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28</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苯乙烯</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1.6×10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1290</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甲苯</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2.0×10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1200</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间二甲苯+对二甲苯</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3.6×10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570</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邻二甲苯</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1.3×10</w:t>
            </w:r>
            <w:r>
              <w:rPr>
                <w:rFonts w:ascii="Times New Roman" w:hAnsi="Times New Roman" w:cs="Times New Roman"/>
                <w:kern w:val="0"/>
                <w:sz w:val="21"/>
                <w:szCs w:val="21"/>
                <w:vertAlign w:val="superscript"/>
                <w:lang w:bidi="ar"/>
              </w:rPr>
              <w:t>-3</w:t>
            </w:r>
            <w:r>
              <w:rPr>
                <w:rFonts w:ascii="Times New Roman" w:hAnsi="Times New Roman" w:cs="Times New Roman"/>
                <w:kern w:val="0"/>
                <w:sz w:val="21"/>
                <w:szCs w:val="21"/>
                <w:lang w:bidi="ar"/>
              </w:rPr>
              <w:t>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640</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硝基苯</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0.09L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76</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苯胺</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0.09L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260</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2-氯酚</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0.06L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2256</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苯并[a]蒽</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0.1L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15</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苯并[a]芘</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0.1L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1.5</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苯并[b]荧蒽</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0.2L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15</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苯并[k]荧蒽</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0.1L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151</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䓛</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0.1L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1293</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二苯并[a，h]蒽</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0.1L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1.5</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茚并[1，2，3-cd]芘</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0.1L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15</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3" w:type="pct"/>
            <w:vMerge w:val="continue"/>
            <w:vAlign w:val="center"/>
          </w:tcPr>
          <w:p>
            <w:pPr>
              <w:widowControl/>
              <w:jc w:val="center"/>
              <w:rPr>
                <w:rFonts w:ascii="Times New Roman" w:hAnsi="Times New Roman" w:cs="Times New Roman"/>
                <w:kern w:val="0"/>
                <w:sz w:val="21"/>
                <w:szCs w:val="21"/>
              </w:rPr>
            </w:pPr>
          </w:p>
        </w:tc>
        <w:tc>
          <w:tcPr>
            <w:tcW w:w="1104" w:type="pct"/>
            <w:vAlign w:val="center"/>
          </w:tcPr>
          <w:p>
            <w:pPr>
              <w:jc w:val="center"/>
              <w:rPr>
                <w:rFonts w:ascii="Times New Roman" w:hAnsi="Times New Roman" w:cs="Times New Roman"/>
                <w:sz w:val="21"/>
                <w:szCs w:val="21"/>
              </w:rPr>
            </w:pPr>
            <w:r>
              <w:rPr>
                <w:rFonts w:ascii="Times New Roman" w:hAnsi="Times New Roman" w:cs="Times New Roman"/>
                <w:sz w:val="21"/>
                <w:szCs w:val="21"/>
              </w:rPr>
              <w:t>萘</w:t>
            </w:r>
          </w:p>
        </w:tc>
        <w:tc>
          <w:tcPr>
            <w:tcW w:w="834" w:type="pct"/>
            <w:vAlign w:val="center"/>
          </w:tcPr>
          <w:p>
            <w:pPr>
              <w:widowControl/>
              <w:jc w:val="center"/>
              <w:textAlignment w:val="center"/>
              <w:rPr>
                <w:rFonts w:ascii="Times New Roman" w:hAnsi="Times New Roman" w:cs="Times New Roman"/>
                <w:sz w:val="21"/>
                <w:szCs w:val="21"/>
              </w:rPr>
            </w:pPr>
            <w:r>
              <w:rPr>
                <w:rFonts w:ascii="Times New Roman" w:hAnsi="Times New Roman" w:cs="Times New Roman"/>
                <w:kern w:val="0"/>
                <w:sz w:val="21"/>
                <w:szCs w:val="21"/>
                <w:lang w:bidi="ar"/>
              </w:rPr>
              <w:t>0.09L</w:t>
            </w:r>
          </w:p>
        </w:tc>
        <w:tc>
          <w:tcPr>
            <w:tcW w:w="833" w:type="pct"/>
            <w:vAlign w:val="center"/>
          </w:tcPr>
          <w:p>
            <w:pPr>
              <w:jc w:val="center"/>
              <w:rPr>
                <w:rFonts w:ascii="Times New Roman" w:hAnsi="Times New Roman" w:cs="Times New Roman"/>
                <w:sz w:val="21"/>
                <w:szCs w:val="21"/>
              </w:rPr>
            </w:pPr>
            <w:r>
              <w:rPr>
                <w:rFonts w:ascii="Times New Roman" w:hAnsi="Times New Roman" w:cs="Times New Roman"/>
                <w:sz w:val="21"/>
                <w:szCs w:val="21"/>
              </w:rPr>
              <w:t>/</w:t>
            </w:r>
          </w:p>
        </w:tc>
        <w:tc>
          <w:tcPr>
            <w:tcW w:w="833" w:type="pct"/>
            <w:noWrap/>
            <w:vAlign w:val="center"/>
          </w:tcPr>
          <w:p>
            <w:pPr>
              <w:jc w:val="center"/>
              <w:rPr>
                <w:rFonts w:ascii="Times New Roman" w:hAnsi="Times New Roman" w:cs="Times New Roman"/>
                <w:sz w:val="21"/>
                <w:szCs w:val="21"/>
              </w:rPr>
            </w:pPr>
            <w:r>
              <w:rPr>
                <w:rFonts w:ascii="Times New Roman" w:hAnsi="Times New Roman" w:cs="Times New Roman"/>
                <w:sz w:val="21"/>
                <w:szCs w:val="21"/>
              </w:rPr>
              <w:t>70</w:t>
            </w:r>
          </w:p>
        </w:tc>
        <w:tc>
          <w:tcPr>
            <w:tcW w:w="833" w:type="pct"/>
            <w:vAlign w:val="center"/>
          </w:tcPr>
          <w:p>
            <w:pPr>
              <w:jc w:val="center"/>
              <w:rPr>
                <w:rFonts w:ascii="Times New Roman" w:hAnsi="Times New Roman" w:cs="Times New Roman"/>
                <w:kern w:val="0"/>
                <w:sz w:val="21"/>
                <w:szCs w:val="21"/>
              </w:rPr>
            </w:pPr>
            <w:r>
              <w:rPr>
                <w:rFonts w:ascii="Times New Roman" w:hAnsi="Times New Roman" w:cs="Times New Roman"/>
                <w:kern w:val="0"/>
                <w:sz w:val="21"/>
                <w:szCs w:val="21"/>
              </w:rPr>
              <w:t>达标</w:t>
            </w:r>
          </w:p>
        </w:tc>
      </w:tr>
    </w:tbl>
    <w:p>
      <w:pPr>
        <w:pStyle w:val="3"/>
        <w:rPr>
          <w:rFonts w:ascii="Times New Roman" w:hAnsi="Times New Roman" w:cs="Times New Roman" w:eastAsiaTheme="minorEastAsia"/>
        </w:rPr>
      </w:pPr>
      <w:bookmarkStart w:id="275" w:name="_Toc144276926"/>
      <w:bookmarkStart w:id="276" w:name="_Toc144236796"/>
      <w:bookmarkStart w:id="277" w:name="_Toc147848044"/>
      <w:r>
        <w:rPr>
          <w:rFonts w:ascii="Times New Roman" w:hAnsi="Times New Roman" w:cs="Times New Roman" w:eastAsiaTheme="minorEastAsia"/>
        </w:rPr>
        <w:t>5.6 生态环境现状调查</w:t>
      </w:r>
      <w:bookmarkEnd w:id="275"/>
      <w:bookmarkEnd w:id="276"/>
      <w:bookmarkEnd w:id="277"/>
    </w:p>
    <w:p>
      <w:pPr>
        <w:spacing w:line="360" w:lineRule="auto"/>
        <w:ind w:firstLine="480" w:firstLineChars="200"/>
        <w:rPr>
          <w:rFonts w:ascii="Times New Roman" w:hAnsi="Times New Roman" w:cs="Times New Roman"/>
        </w:rPr>
      </w:pPr>
      <w:r>
        <w:rPr>
          <w:rFonts w:ascii="Times New Roman" w:hAnsi="Times New Roman" w:cs="Times New Roman"/>
        </w:rPr>
        <w:t>本项目位于衡东经济开发区内，</w:t>
      </w:r>
      <w:r>
        <w:rPr>
          <w:rFonts w:hint="eastAsia" w:ascii="Times New Roman" w:hAnsi="Times New Roman" w:cs="Times New Roman"/>
        </w:rPr>
        <w:t>经现场调查，园区内人类活动频繁，野生动物失去适宜的栖息繁衍场所。区域内主要野生动物田间青蛙、鼠、蛇及麻雀、燕子等各种常见的鸟类，未发现珍稀野生动物。家畜以牛、羊、猪为主，家禽以鸡、鸭、鹅为主。水塘中水生鱼类以青、草、鲤、鲫四大鱼类为主。</w:t>
      </w:r>
    </w:p>
    <w:p>
      <w:pPr>
        <w:spacing w:line="360" w:lineRule="auto"/>
        <w:ind w:firstLine="480" w:firstLineChars="200"/>
        <w:rPr>
          <w:rFonts w:ascii="Times New Roman" w:hAnsi="Times New Roman" w:cs="Times New Roman"/>
        </w:rPr>
      </w:pPr>
      <w:r>
        <w:rPr>
          <w:rFonts w:hint="eastAsia" w:ascii="Times New Roman" w:hAnsi="Times New Roman" w:cs="Times New Roman"/>
        </w:rPr>
        <w:t>园区属中亚热带常绿阔叶林地带，现有植被组成以人工植被为主，极小部分次生植被，山岗上多为灌木及低矮乔木，以落叶松为主，并有少量经果林。区域内分布有山坡林地、旱地、水田等，水田主要种植水稻，旱地为菜土主要种植冬瓜、丝瓜、四季豆等，供区内村民自食，园区内未见珍稀野生植物，</w:t>
      </w:r>
      <w:r>
        <w:rPr>
          <w:rFonts w:ascii="Times New Roman" w:hAnsi="Times New Roman" w:cs="Times New Roman"/>
        </w:rPr>
        <w:t>项目区域内不涉及生态红线，未占用基本农田。</w:t>
      </w:r>
    </w:p>
    <w:p>
      <w:pPr>
        <w:spacing w:line="360" w:lineRule="auto"/>
        <w:ind w:firstLine="480" w:firstLineChars="200"/>
        <w:rPr>
          <w:rFonts w:ascii="Times New Roman" w:hAnsi="Times New Roman" w:cs="Times New Roman"/>
        </w:rPr>
      </w:pPr>
      <w:r>
        <w:rPr>
          <w:rFonts w:hint="eastAsia" w:ascii="Times New Roman" w:hAnsi="Times New Roman" w:cs="Times New Roman"/>
        </w:rPr>
        <w:t>随着城镇化、工业化的进一步加快，评价区近年来景观系统在人为干扰作用下趋向于均质化，特别是园区基础设施开发及入园企业的建设，导致园区内整个景观生态系统多样性指数降低，系统优势度减少，总的来说，区域目前由于人为干扰，系统的生产力、稳定性、自我维持性正趋向于降低。</w:t>
      </w:r>
    </w:p>
    <w:p>
      <w:pPr>
        <w:spacing w:line="360" w:lineRule="auto"/>
        <w:ind w:firstLine="480" w:firstLineChars="200"/>
        <w:rPr>
          <w:rFonts w:ascii="Times New Roman" w:hAnsi="Times New Roman" w:cs="Times New Roman"/>
        </w:rPr>
        <w:sectPr>
          <w:pgSz w:w="11906" w:h="16838"/>
          <w:pgMar w:top="1440" w:right="1800" w:bottom="1440" w:left="1800" w:header="851" w:footer="992" w:gutter="0"/>
          <w:cols w:space="425" w:num="1"/>
          <w:docGrid w:type="lines" w:linePitch="312" w:charSpace="0"/>
        </w:sectPr>
      </w:pPr>
    </w:p>
    <w:p>
      <w:pPr>
        <w:pStyle w:val="2"/>
        <w:spacing w:before="120" w:after="120"/>
        <w:rPr>
          <w:rFonts w:ascii="Times New Roman" w:hAnsi="Times New Roman" w:cs="Times New Roman"/>
        </w:rPr>
      </w:pPr>
      <w:bookmarkStart w:id="278" w:name="_Toc144236797"/>
      <w:bookmarkStart w:id="279" w:name="_Toc144276927"/>
      <w:bookmarkStart w:id="280" w:name="_Toc147848045"/>
      <w:bookmarkStart w:id="281" w:name="_Toc102658222"/>
      <w:r>
        <w:rPr>
          <w:rFonts w:ascii="Times New Roman" w:hAnsi="Times New Roman" w:cs="Times New Roman"/>
        </w:rPr>
        <w:t>第6章 环境影响预测与评价</w:t>
      </w:r>
      <w:bookmarkEnd w:id="278"/>
      <w:bookmarkEnd w:id="279"/>
      <w:bookmarkEnd w:id="280"/>
      <w:bookmarkEnd w:id="281"/>
    </w:p>
    <w:p>
      <w:pPr>
        <w:pStyle w:val="3"/>
        <w:rPr>
          <w:rFonts w:ascii="Times New Roman" w:hAnsi="Times New Roman" w:cs="Times New Roman" w:eastAsiaTheme="minorEastAsia"/>
        </w:rPr>
      </w:pPr>
      <w:bookmarkStart w:id="282" w:name="_Toc144236798"/>
      <w:bookmarkStart w:id="283" w:name="_Toc144276928"/>
      <w:bookmarkStart w:id="284" w:name="_Toc102658223"/>
      <w:bookmarkStart w:id="285" w:name="_Toc147848046"/>
      <w:bookmarkStart w:id="286" w:name="_Toc34506591"/>
      <w:r>
        <w:rPr>
          <w:rFonts w:ascii="Times New Roman" w:hAnsi="Times New Roman" w:cs="Times New Roman" w:eastAsiaTheme="minorEastAsia"/>
        </w:rPr>
        <w:t>6.1 施工期环境影响预测与评价</w:t>
      </w:r>
      <w:bookmarkEnd w:id="282"/>
      <w:bookmarkEnd w:id="283"/>
      <w:bookmarkEnd w:id="284"/>
      <w:bookmarkEnd w:id="285"/>
      <w:bookmarkEnd w:id="286"/>
    </w:p>
    <w:p>
      <w:pPr>
        <w:pStyle w:val="4"/>
        <w:rPr>
          <w:rFonts w:ascii="Times New Roman" w:hAnsi="Times New Roman" w:cs="Times New Roman"/>
        </w:rPr>
      </w:pPr>
      <w:bookmarkStart w:id="287" w:name="_Toc144276929"/>
      <w:bookmarkStart w:id="288" w:name="_Toc144236799"/>
      <w:bookmarkStart w:id="289" w:name="_Toc147848047"/>
      <w:r>
        <w:rPr>
          <w:rFonts w:ascii="Times New Roman" w:hAnsi="Times New Roman" w:cs="Times New Roman"/>
        </w:rPr>
        <w:t>6.1.1施工期环境空气影响分析</w:t>
      </w:r>
      <w:bookmarkEnd w:id="287"/>
      <w:bookmarkEnd w:id="288"/>
      <w:bookmarkEnd w:id="289"/>
    </w:p>
    <w:p>
      <w:pPr>
        <w:spacing w:line="360" w:lineRule="auto"/>
        <w:ind w:firstLine="480" w:firstLineChars="200"/>
        <w:rPr>
          <w:rFonts w:ascii="Times New Roman" w:hAnsi="Times New Roman" w:cs="Times New Roman"/>
        </w:rPr>
      </w:pPr>
      <w:r>
        <w:rPr>
          <w:rFonts w:ascii="Times New Roman" w:hAnsi="Times New Roman" w:cs="Times New Roman"/>
        </w:rPr>
        <w:t>（1）施工扬尘</w:t>
      </w:r>
    </w:p>
    <w:p>
      <w:pPr>
        <w:spacing w:line="360" w:lineRule="auto"/>
        <w:ind w:firstLine="480" w:firstLineChars="200"/>
        <w:rPr>
          <w:rFonts w:ascii="Times New Roman" w:hAnsi="Times New Roman" w:cs="Times New Roman"/>
        </w:rPr>
      </w:pPr>
      <w:r>
        <w:rPr>
          <w:rFonts w:ascii="Times New Roman" w:hAnsi="Times New Roman" w:cs="Times New Roman"/>
        </w:rPr>
        <w:t>施工扬尘的排放源属于无组织的面源，粉尘在环境风速足够大时（大于颗粒土沙的起动速度时）就产生了扬尘，其源强大小与颗粒物的粒径大小、比重，以及环境的风速、温度等因素有关，风速越大，颗粒越小，土沙的含水率越小，扬尘的含水率越小，扬尘的产生量就越大。根据类比，受到施工扬尘影响的区域，主要是在施工场地的范围内，场地下风向也将受到一定的影响。但影响范围不超过下风向200米，100米外不会造成TSP浓度的明显超标。施工扬尘对周围环境的影响情况见下表（背景灰色为超标）。</w:t>
      </w:r>
    </w:p>
    <w:p>
      <w:pPr>
        <w:pStyle w:val="6"/>
        <w:rPr>
          <w:rFonts w:ascii="Times New Roman" w:hAnsi="Times New Roman" w:cs="Times New Roman"/>
        </w:rPr>
      </w:pPr>
      <w:r>
        <w:rPr>
          <w:rFonts w:ascii="Times New Roman" w:hAnsi="Times New Roman" w:cs="Times New Roman"/>
        </w:rPr>
        <w:t>表6.1-1  施工扬尘对周围环境的影响（TSP浓度单位mg/m</w:t>
      </w:r>
      <w:r>
        <w:rPr>
          <w:rFonts w:ascii="Times New Roman" w:hAnsi="Times New Roman" w:cs="Times New Roman"/>
          <w:vertAlign w:val="superscript"/>
        </w:rPr>
        <w:t>3</w:t>
      </w:r>
      <w:r>
        <w:rPr>
          <w:rFonts w:ascii="Times New Roman" w:hAnsi="Times New Roman" w:cs="Times New Roman"/>
        </w:rPr>
        <w:t>）</w:t>
      </w:r>
    </w:p>
    <w:tbl>
      <w:tblPr>
        <w:tblStyle w:val="3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2"/>
        <w:gridCol w:w="2133"/>
        <w:gridCol w:w="21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tcBorders>
              <w:top w:val="single" w:color="auto" w:sz="12" w:space="0"/>
              <w:left w:val="single" w:color="auto" w:sz="12" w:space="0"/>
              <w:bottom w:val="single" w:color="auto" w:sz="4" w:space="0"/>
              <w:right w:val="single" w:color="auto" w:sz="4" w:space="0"/>
            </w:tcBorders>
            <w:noWrap/>
            <w:vAlign w:val="center"/>
          </w:tcPr>
          <w:p>
            <w:pPr>
              <w:pStyle w:val="63"/>
            </w:pPr>
            <w:r>
              <w:t>下风向距离m</w:t>
            </w:r>
          </w:p>
        </w:tc>
        <w:tc>
          <w:tcPr>
            <w:tcW w:w="2132" w:type="dxa"/>
            <w:tcBorders>
              <w:top w:val="single" w:color="auto" w:sz="12" w:space="0"/>
              <w:left w:val="single" w:color="auto" w:sz="4" w:space="0"/>
              <w:bottom w:val="single" w:color="auto" w:sz="4" w:space="0"/>
              <w:right w:val="single" w:color="auto" w:sz="4" w:space="0"/>
            </w:tcBorders>
            <w:noWrap/>
            <w:vAlign w:val="center"/>
          </w:tcPr>
          <w:p>
            <w:pPr>
              <w:pStyle w:val="63"/>
            </w:pPr>
            <w:r>
              <w:t>风速&lt;3m/s</w:t>
            </w:r>
          </w:p>
        </w:tc>
        <w:tc>
          <w:tcPr>
            <w:tcW w:w="2133" w:type="dxa"/>
            <w:tcBorders>
              <w:top w:val="single" w:color="auto" w:sz="12" w:space="0"/>
              <w:left w:val="single" w:color="auto" w:sz="4" w:space="0"/>
              <w:bottom w:val="single" w:color="auto" w:sz="4" w:space="0"/>
              <w:right w:val="single" w:color="auto" w:sz="4" w:space="0"/>
            </w:tcBorders>
            <w:noWrap/>
            <w:vAlign w:val="center"/>
          </w:tcPr>
          <w:p>
            <w:pPr>
              <w:pStyle w:val="63"/>
            </w:pPr>
            <w:r>
              <w:t>风速3~5m/s</w:t>
            </w:r>
          </w:p>
        </w:tc>
        <w:tc>
          <w:tcPr>
            <w:tcW w:w="2133" w:type="dxa"/>
            <w:tcBorders>
              <w:top w:val="single" w:color="auto" w:sz="12" w:space="0"/>
              <w:left w:val="single" w:color="auto" w:sz="4" w:space="0"/>
              <w:bottom w:val="single" w:color="auto" w:sz="4" w:space="0"/>
              <w:right w:val="single" w:color="auto" w:sz="12" w:space="0"/>
            </w:tcBorders>
            <w:noWrap/>
            <w:vAlign w:val="center"/>
          </w:tcPr>
          <w:p>
            <w:pPr>
              <w:pStyle w:val="63"/>
            </w:pPr>
            <w:r>
              <w:t>风速5~8m/s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tcBorders>
              <w:top w:val="single" w:color="auto" w:sz="4" w:space="0"/>
              <w:left w:val="single" w:color="auto" w:sz="12" w:space="0"/>
              <w:bottom w:val="single" w:color="auto" w:sz="4" w:space="0"/>
              <w:right w:val="single" w:color="auto" w:sz="4" w:space="0"/>
            </w:tcBorders>
            <w:noWrap/>
            <w:vAlign w:val="center"/>
          </w:tcPr>
          <w:p>
            <w:pPr>
              <w:pStyle w:val="63"/>
            </w:pPr>
            <w:r>
              <w:t>20</w:t>
            </w:r>
          </w:p>
        </w:tc>
        <w:tc>
          <w:tcPr>
            <w:tcW w:w="2132" w:type="dxa"/>
            <w:tcBorders>
              <w:top w:val="single" w:color="auto" w:sz="4" w:space="0"/>
              <w:left w:val="single" w:color="auto" w:sz="4" w:space="0"/>
              <w:bottom w:val="single" w:color="auto" w:sz="4" w:space="0"/>
              <w:right w:val="single" w:color="auto" w:sz="4" w:space="0"/>
            </w:tcBorders>
            <w:shd w:val="clear" w:color="auto" w:fill="E0E0E0"/>
            <w:noWrap/>
            <w:vAlign w:val="center"/>
          </w:tcPr>
          <w:p>
            <w:pPr>
              <w:pStyle w:val="63"/>
            </w:pPr>
            <w:r>
              <w:t>0.20</w:t>
            </w:r>
          </w:p>
        </w:tc>
        <w:tc>
          <w:tcPr>
            <w:tcW w:w="2133" w:type="dxa"/>
            <w:tcBorders>
              <w:top w:val="single" w:color="auto" w:sz="4" w:space="0"/>
              <w:left w:val="single" w:color="auto" w:sz="4" w:space="0"/>
              <w:bottom w:val="single" w:color="auto" w:sz="4" w:space="0"/>
              <w:right w:val="single" w:color="auto" w:sz="4" w:space="0"/>
            </w:tcBorders>
            <w:shd w:val="clear" w:color="auto" w:fill="E0E0E0"/>
            <w:noWrap/>
            <w:vAlign w:val="center"/>
          </w:tcPr>
          <w:p>
            <w:pPr>
              <w:pStyle w:val="63"/>
            </w:pPr>
            <w:r>
              <w:t>0.44</w:t>
            </w:r>
          </w:p>
        </w:tc>
        <w:tc>
          <w:tcPr>
            <w:tcW w:w="2133" w:type="dxa"/>
            <w:tcBorders>
              <w:top w:val="single" w:color="auto" w:sz="4" w:space="0"/>
              <w:left w:val="single" w:color="auto" w:sz="4" w:space="0"/>
              <w:bottom w:val="single" w:color="auto" w:sz="4" w:space="0"/>
              <w:right w:val="single" w:color="auto" w:sz="12" w:space="0"/>
            </w:tcBorders>
            <w:shd w:val="clear" w:color="auto" w:fill="E0E0E0"/>
            <w:noWrap/>
            <w:vAlign w:val="center"/>
          </w:tcPr>
          <w:p>
            <w:pPr>
              <w:pStyle w:val="63"/>
            </w:pPr>
            <w:r>
              <w:t>0.65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tcBorders>
              <w:top w:val="single" w:color="auto" w:sz="4" w:space="0"/>
              <w:left w:val="single" w:color="auto" w:sz="12" w:space="0"/>
              <w:bottom w:val="single" w:color="auto" w:sz="4" w:space="0"/>
              <w:right w:val="single" w:color="auto" w:sz="4" w:space="0"/>
            </w:tcBorders>
            <w:noWrap/>
            <w:vAlign w:val="center"/>
          </w:tcPr>
          <w:p>
            <w:pPr>
              <w:pStyle w:val="63"/>
            </w:pPr>
            <w:r>
              <w:t>50</w:t>
            </w:r>
          </w:p>
        </w:tc>
        <w:tc>
          <w:tcPr>
            <w:tcW w:w="2132" w:type="dxa"/>
            <w:tcBorders>
              <w:top w:val="single" w:color="auto" w:sz="4" w:space="0"/>
              <w:left w:val="single" w:color="auto" w:sz="4" w:space="0"/>
              <w:bottom w:val="single" w:color="auto" w:sz="4" w:space="0"/>
              <w:right w:val="single" w:color="auto" w:sz="4" w:space="0"/>
            </w:tcBorders>
            <w:shd w:val="clear" w:color="auto" w:fill="E0E0E0"/>
            <w:noWrap/>
            <w:vAlign w:val="center"/>
          </w:tcPr>
          <w:p>
            <w:pPr>
              <w:pStyle w:val="63"/>
            </w:pPr>
            <w:r>
              <w:t>0.16</w:t>
            </w:r>
          </w:p>
        </w:tc>
        <w:tc>
          <w:tcPr>
            <w:tcW w:w="2133" w:type="dxa"/>
            <w:tcBorders>
              <w:top w:val="single" w:color="auto" w:sz="4" w:space="0"/>
              <w:left w:val="single" w:color="auto" w:sz="4" w:space="0"/>
              <w:bottom w:val="single" w:color="auto" w:sz="4" w:space="0"/>
              <w:right w:val="single" w:color="auto" w:sz="4" w:space="0"/>
            </w:tcBorders>
            <w:shd w:val="clear" w:color="auto" w:fill="E0E0E0"/>
            <w:noWrap/>
            <w:vAlign w:val="center"/>
          </w:tcPr>
          <w:p>
            <w:pPr>
              <w:pStyle w:val="63"/>
            </w:pPr>
            <w:r>
              <w:t>0.38</w:t>
            </w:r>
          </w:p>
        </w:tc>
        <w:tc>
          <w:tcPr>
            <w:tcW w:w="2133" w:type="dxa"/>
            <w:tcBorders>
              <w:top w:val="single" w:color="auto" w:sz="4" w:space="0"/>
              <w:left w:val="single" w:color="auto" w:sz="4" w:space="0"/>
              <w:bottom w:val="single" w:color="auto" w:sz="4" w:space="0"/>
              <w:right w:val="single" w:color="auto" w:sz="12" w:space="0"/>
            </w:tcBorders>
            <w:shd w:val="clear" w:color="auto" w:fill="E0E0E0"/>
            <w:noWrap/>
            <w:vAlign w:val="center"/>
          </w:tcPr>
          <w:p>
            <w:pPr>
              <w:pStyle w:val="63"/>
            </w:pPr>
            <w:r>
              <w:t>0.42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tcBorders>
              <w:top w:val="single" w:color="auto" w:sz="4" w:space="0"/>
              <w:left w:val="single" w:color="auto" w:sz="12" w:space="0"/>
              <w:bottom w:val="single" w:color="auto" w:sz="4" w:space="0"/>
              <w:right w:val="single" w:color="auto" w:sz="4" w:space="0"/>
            </w:tcBorders>
            <w:noWrap/>
            <w:vAlign w:val="center"/>
          </w:tcPr>
          <w:p>
            <w:pPr>
              <w:pStyle w:val="63"/>
            </w:pPr>
            <w:r>
              <w:t>100</w:t>
            </w:r>
          </w:p>
        </w:tc>
        <w:tc>
          <w:tcPr>
            <w:tcW w:w="2132" w:type="dxa"/>
            <w:tcBorders>
              <w:top w:val="single" w:color="auto" w:sz="4" w:space="0"/>
              <w:left w:val="single" w:color="auto" w:sz="4" w:space="0"/>
              <w:bottom w:val="single" w:color="auto" w:sz="4" w:space="0"/>
              <w:right w:val="single" w:color="auto" w:sz="4" w:space="0"/>
            </w:tcBorders>
            <w:noWrap/>
            <w:vAlign w:val="center"/>
          </w:tcPr>
          <w:p>
            <w:pPr>
              <w:pStyle w:val="63"/>
            </w:pPr>
            <w:r>
              <w:t>0.12</w:t>
            </w:r>
          </w:p>
        </w:tc>
        <w:tc>
          <w:tcPr>
            <w:tcW w:w="2133" w:type="dxa"/>
            <w:tcBorders>
              <w:top w:val="single" w:color="auto" w:sz="4" w:space="0"/>
              <w:left w:val="single" w:color="auto" w:sz="4" w:space="0"/>
              <w:bottom w:val="single" w:color="auto" w:sz="4" w:space="0"/>
              <w:right w:val="single" w:color="auto" w:sz="4" w:space="0"/>
            </w:tcBorders>
            <w:shd w:val="clear" w:color="auto" w:fill="D9D9D9"/>
            <w:noWrap/>
            <w:vAlign w:val="center"/>
          </w:tcPr>
          <w:p>
            <w:pPr>
              <w:pStyle w:val="63"/>
            </w:pPr>
            <w:r>
              <w:t>0.20</w:t>
            </w:r>
          </w:p>
        </w:tc>
        <w:tc>
          <w:tcPr>
            <w:tcW w:w="2133" w:type="dxa"/>
            <w:tcBorders>
              <w:top w:val="single" w:color="auto" w:sz="4" w:space="0"/>
              <w:left w:val="single" w:color="auto" w:sz="4" w:space="0"/>
              <w:bottom w:val="single" w:color="auto" w:sz="4" w:space="0"/>
              <w:right w:val="single" w:color="auto" w:sz="12" w:space="0"/>
            </w:tcBorders>
            <w:shd w:val="clear" w:color="auto" w:fill="D9D9D9"/>
            <w:noWrap/>
            <w:vAlign w:val="center"/>
          </w:tcPr>
          <w:p>
            <w:pPr>
              <w:pStyle w:val="63"/>
            </w:pPr>
            <w:r>
              <w:t>0.28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tcBorders>
              <w:top w:val="single" w:color="auto" w:sz="4" w:space="0"/>
              <w:left w:val="single" w:color="auto" w:sz="12" w:space="0"/>
              <w:bottom w:val="single" w:color="auto" w:sz="12" w:space="0"/>
              <w:right w:val="single" w:color="auto" w:sz="4" w:space="0"/>
            </w:tcBorders>
            <w:noWrap/>
            <w:vAlign w:val="center"/>
          </w:tcPr>
          <w:p>
            <w:pPr>
              <w:pStyle w:val="63"/>
            </w:pPr>
            <w:r>
              <w:t>200</w:t>
            </w:r>
          </w:p>
        </w:tc>
        <w:tc>
          <w:tcPr>
            <w:tcW w:w="2132" w:type="dxa"/>
            <w:tcBorders>
              <w:top w:val="single" w:color="auto" w:sz="4" w:space="0"/>
              <w:left w:val="single" w:color="auto" w:sz="4" w:space="0"/>
              <w:bottom w:val="single" w:color="auto" w:sz="12" w:space="0"/>
              <w:right w:val="single" w:color="auto" w:sz="4" w:space="0"/>
            </w:tcBorders>
            <w:noWrap/>
            <w:vAlign w:val="center"/>
          </w:tcPr>
          <w:p>
            <w:pPr>
              <w:pStyle w:val="63"/>
            </w:pPr>
            <w:r>
              <w:t>0.06</w:t>
            </w:r>
          </w:p>
        </w:tc>
        <w:tc>
          <w:tcPr>
            <w:tcW w:w="2133" w:type="dxa"/>
            <w:tcBorders>
              <w:top w:val="single" w:color="auto" w:sz="4" w:space="0"/>
              <w:left w:val="single" w:color="auto" w:sz="4" w:space="0"/>
              <w:bottom w:val="single" w:color="auto" w:sz="12" w:space="0"/>
              <w:right w:val="single" w:color="auto" w:sz="4" w:space="0"/>
            </w:tcBorders>
            <w:noWrap/>
            <w:vAlign w:val="center"/>
          </w:tcPr>
          <w:p>
            <w:pPr>
              <w:pStyle w:val="63"/>
            </w:pPr>
            <w:r>
              <w:t>0.10</w:t>
            </w:r>
          </w:p>
        </w:tc>
        <w:tc>
          <w:tcPr>
            <w:tcW w:w="2133" w:type="dxa"/>
            <w:tcBorders>
              <w:top w:val="single" w:color="auto" w:sz="4" w:space="0"/>
              <w:left w:val="single" w:color="auto" w:sz="4" w:space="0"/>
              <w:bottom w:val="single" w:color="auto" w:sz="12" w:space="0"/>
              <w:right w:val="single" w:color="auto" w:sz="12" w:space="0"/>
            </w:tcBorders>
            <w:noWrap/>
            <w:vAlign w:val="center"/>
          </w:tcPr>
          <w:p>
            <w:pPr>
              <w:pStyle w:val="63"/>
            </w:pPr>
            <w:r>
              <w:t>0.12</w:t>
            </w:r>
          </w:p>
        </w:tc>
      </w:tr>
    </w:tbl>
    <w:p>
      <w:pPr>
        <w:spacing w:line="360" w:lineRule="auto"/>
        <w:ind w:firstLine="480" w:firstLineChars="200"/>
        <w:rPr>
          <w:rFonts w:ascii="Times New Roman" w:hAnsi="Times New Roman" w:cs="Times New Roman"/>
        </w:rPr>
      </w:pPr>
      <w:r>
        <w:rPr>
          <w:rFonts w:ascii="Times New Roman" w:hAnsi="Times New Roman" w:cs="Times New Roman"/>
        </w:rPr>
        <w:t>从上表来看，一般情况下施工扬尘的影响范围在200m以内。在扬尘点下风向0～50m为重污染带、50～100m为污染带、100～200m为轻污染带，200m以外对大气影响甚微。</w:t>
      </w:r>
    </w:p>
    <w:p>
      <w:pPr>
        <w:spacing w:line="360" w:lineRule="auto"/>
        <w:ind w:firstLine="480" w:firstLineChars="200"/>
        <w:rPr>
          <w:rFonts w:ascii="Times New Roman" w:hAnsi="Times New Roman" w:cs="Times New Roman"/>
        </w:rPr>
      </w:pPr>
      <w:r>
        <w:rPr>
          <w:rFonts w:ascii="Times New Roman" w:hAnsi="Times New Roman" w:cs="Times New Roman"/>
        </w:rPr>
        <w:t>在同样路面清洁情况下，车速越快，扬尘量越大；而在同样车速情况下，路面清洁度越差，则扬尘量越大。根据类比调查，一般情况下，施工场地、施工道路在自然风作用下产生的扬尘所影响的范围在100m以内。</w:t>
      </w:r>
    </w:p>
    <w:p>
      <w:pPr>
        <w:spacing w:line="360" w:lineRule="auto"/>
        <w:ind w:firstLine="480" w:firstLineChars="200"/>
        <w:rPr>
          <w:rFonts w:ascii="Times New Roman" w:hAnsi="Times New Roman" w:cs="Times New Roman"/>
        </w:rPr>
      </w:pPr>
      <w:r>
        <w:rPr>
          <w:rFonts w:ascii="Times New Roman" w:hAnsi="Times New Roman" w:cs="Times New Roman"/>
        </w:rPr>
        <w:t>抑制扬尘的一个简洁有效的措施是洒水。如果在施工期内对车辆行驶的路面实施洒水抑尘，每天洒水4-5次，可使扬尘减少70%左右。施工过程中对施工场地实施每天洒水4-5次进行抑尘，可有效地控制施工扬尘，并可将TSP污染距离缩小到20-50m范围。</w:t>
      </w:r>
    </w:p>
    <w:p>
      <w:pPr>
        <w:spacing w:line="360" w:lineRule="auto"/>
        <w:ind w:firstLine="480" w:firstLineChars="200"/>
        <w:rPr>
          <w:rFonts w:ascii="Times New Roman" w:hAnsi="Times New Roman" w:cs="Times New Roman"/>
        </w:rPr>
      </w:pPr>
      <w:r>
        <w:rPr>
          <w:rFonts w:ascii="Times New Roman" w:hAnsi="Times New Roman" w:cs="Times New Roman"/>
        </w:rPr>
        <w:t>（2）焊接烟尘</w:t>
      </w:r>
    </w:p>
    <w:p>
      <w:pPr>
        <w:spacing w:line="360" w:lineRule="auto"/>
        <w:ind w:firstLine="480" w:firstLineChars="200"/>
        <w:rPr>
          <w:rFonts w:ascii="Times New Roman" w:hAnsi="Times New Roman" w:cs="Times New Roman"/>
        </w:rPr>
      </w:pPr>
      <w:r>
        <w:rPr>
          <w:rFonts w:ascii="Times New Roman" w:hAnsi="Times New Roman" w:cs="Times New Roman"/>
        </w:rPr>
        <w:t>本项目施工期短，焊条使用量少，所在地地势开阔，空气流动性较好，可在一定程度上加速焊接烟尘的扩散，对焊接烟尘起到稀释作用。为了降低焊接烟尘对环境的影响，在施工期应多加注意设备的维护，使其能够正常的运行，提高设备的利用率，在施工现场设置移动式焊烟净化装置和吸气罩，将焊烟收集处理后排放。因此，项目焊接烟尘对环境影响较小。</w:t>
      </w:r>
    </w:p>
    <w:p>
      <w:pPr>
        <w:spacing w:line="360" w:lineRule="auto"/>
        <w:ind w:firstLine="480" w:firstLineChars="200"/>
        <w:rPr>
          <w:rFonts w:ascii="Times New Roman" w:hAnsi="Times New Roman" w:cs="Times New Roman"/>
        </w:rPr>
      </w:pPr>
      <w:r>
        <w:rPr>
          <w:rFonts w:ascii="Times New Roman" w:hAnsi="Times New Roman" w:cs="Times New Roman"/>
        </w:rPr>
        <w:t>（3）燃油废气</w:t>
      </w:r>
    </w:p>
    <w:p>
      <w:pPr>
        <w:spacing w:line="360" w:lineRule="auto"/>
        <w:ind w:firstLine="480" w:firstLineChars="200"/>
        <w:rPr>
          <w:rFonts w:ascii="Times New Roman" w:hAnsi="Times New Roman" w:cs="Times New Roman"/>
        </w:rPr>
      </w:pPr>
      <w:r>
        <w:rPr>
          <w:rFonts w:ascii="Times New Roman" w:hAnsi="Times New Roman" w:cs="Times New Roman"/>
        </w:rPr>
        <w:t>项目施工期车辆运输将产生车辆废气，主要污染物为CxHy、CO、NOx。本工程使用的多为大型运输车辆，尾气排放量与污染物含量均较轻型车辆高，因此，按照国家的有关规定，施工运输车辆必须执行《在用汽车报废标准》，推行强制更新报废制度，对于发动机耗油多、效率低、排放尾气严重超标的老、旧车辆，要及时更新；燃油机械设备应选用符合国家有关卫生标准的施工机械，使其排放的废气符合国家有关标准。</w:t>
      </w:r>
    </w:p>
    <w:p>
      <w:pPr>
        <w:spacing w:line="360" w:lineRule="auto"/>
        <w:ind w:firstLine="480" w:firstLineChars="200"/>
        <w:rPr>
          <w:rFonts w:ascii="Times New Roman" w:hAnsi="Times New Roman" w:cs="Times New Roman"/>
        </w:rPr>
      </w:pPr>
      <w:r>
        <w:rPr>
          <w:rFonts w:ascii="Times New Roman" w:hAnsi="Times New Roman" w:cs="Times New Roman"/>
        </w:rPr>
        <w:t>按《汽车排污监管办法》和《汽车排放监测制度》要求，对施工区运输车辆进行监督管理，定期和不定期的对运输车辆排放的尾气进行监测，对未达标的车辆实施严厉的处罚措施或禁止其在施工区的使用。加之本项目施工车辆废气产生量较小，影响范围有限。另外，施工场地地形开阔，有利于燃油废气的扩散。因此，施工期施工机械尾气对沿线大气环境质量影响很小，且影响是短暂的，随着施工的结束而消失。</w:t>
      </w:r>
    </w:p>
    <w:p>
      <w:pPr>
        <w:spacing w:line="360" w:lineRule="auto"/>
        <w:ind w:firstLine="480" w:firstLineChars="200"/>
        <w:rPr>
          <w:rFonts w:ascii="Times New Roman" w:hAnsi="Times New Roman" w:cs="Times New Roman"/>
        </w:rPr>
      </w:pPr>
      <w:r>
        <w:rPr>
          <w:rFonts w:ascii="Times New Roman" w:hAnsi="Times New Roman" w:cs="Times New Roman"/>
        </w:rPr>
        <w:t>（4）装修废气</w:t>
      </w:r>
    </w:p>
    <w:p>
      <w:pPr>
        <w:spacing w:line="360" w:lineRule="auto"/>
        <w:ind w:firstLine="480" w:firstLineChars="200"/>
        <w:rPr>
          <w:rFonts w:ascii="Times New Roman" w:hAnsi="Times New Roman" w:cs="Times New Roman"/>
        </w:rPr>
      </w:pPr>
      <w:r>
        <w:rPr>
          <w:rFonts w:ascii="Times New Roman" w:hAnsi="Times New Roman" w:cs="Times New Roman"/>
        </w:rPr>
        <w:t>项目室内装修阶段对环境产生污染的材料主要是人造板、饰面人造板以及油漆等有机溶剂（主要有溶剂型涂料、溶剂型胶粘剂，水性阻燃剂、防水剂、防腐剂、防虫剂等）。其主要污染因子为甲苯和二甲苯，此外还有极少量的汽油、丁醇和丙醇等。</w:t>
      </w:r>
    </w:p>
    <w:p>
      <w:pPr>
        <w:spacing w:line="360" w:lineRule="auto"/>
        <w:ind w:firstLine="480" w:firstLineChars="200"/>
        <w:rPr>
          <w:rFonts w:ascii="Times New Roman" w:hAnsi="Times New Roman" w:cs="Times New Roman"/>
        </w:rPr>
      </w:pPr>
      <w:r>
        <w:rPr>
          <w:rFonts w:ascii="Times New Roman" w:hAnsi="Times New Roman" w:cs="Times New Roman"/>
        </w:rPr>
        <w:t>装修阶段向周围环境空气排放的甲苯和二甲苯排放时间和部位不能十分明确。因此，在装修期间，应加强室内的通风换气，装修完成以后，也应每天进行通风换气一至二个月后才能投入使用。由于装修时采用的三合板和油漆中含有的甲醛、甲苯、二甲苯等有毒有害物质的挥发时间长，所以投入使用后也要注意室内空气的流畅。油漆废气对大气的影响主要表现在施工后期，主要影响为现场施工人员，对项目周边环境空气的影响小。</w:t>
      </w:r>
    </w:p>
    <w:p>
      <w:pPr>
        <w:spacing w:line="360" w:lineRule="auto"/>
        <w:ind w:firstLine="480" w:firstLineChars="200"/>
        <w:rPr>
          <w:rFonts w:ascii="Times New Roman" w:hAnsi="Times New Roman" w:cs="Times New Roman"/>
        </w:rPr>
      </w:pPr>
      <w:r>
        <w:rPr>
          <w:rFonts w:ascii="Times New Roman" w:hAnsi="Times New Roman" w:cs="Times New Roman"/>
        </w:rPr>
        <w:t>项目的建筑材料及装修必须严格贯彻执行《民用建筑工程室内环境污染控制规范》（GB50325-2001），同时室内装饰装修材料的选择应符合《室内装饰装修材料有害物质限量》的规定，确保室内空气质量达到《室内空气质量标准》（GB18883-2002）标准限值之内。</w:t>
      </w:r>
    </w:p>
    <w:p>
      <w:pPr>
        <w:pStyle w:val="4"/>
        <w:rPr>
          <w:rFonts w:ascii="Times New Roman" w:hAnsi="Times New Roman" w:cs="Times New Roman"/>
        </w:rPr>
      </w:pPr>
      <w:bookmarkStart w:id="290" w:name="_Toc144236800"/>
      <w:bookmarkStart w:id="291" w:name="_Toc144276930"/>
      <w:bookmarkStart w:id="292" w:name="_Toc147848048"/>
      <w:r>
        <w:rPr>
          <w:rFonts w:ascii="Times New Roman" w:hAnsi="Times New Roman" w:cs="Times New Roman"/>
        </w:rPr>
        <w:t>6.1.2 施工期废水影响分析</w:t>
      </w:r>
      <w:bookmarkEnd w:id="290"/>
      <w:bookmarkEnd w:id="291"/>
      <w:bookmarkEnd w:id="292"/>
    </w:p>
    <w:p>
      <w:pPr>
        <w:spacing w:line="360" w:lineRule="auto"/>
        <w:ind w:firstLine="480" w:firstLineChars="200"/>
        <w:rPr>
          <w:rFonts w:ascii="Times New Roman" w:hAnsi="Times New Roman" w:cs="Times New Roman"/>
        </w:rPr>
      </w:pPr>
      <w:r>
        <w:rPr>
          <w:rFonts w:ascii="Times New Roman" w:hAnsi="Times New Roman" w:cs="Times New Roman"/>
        </w:rPr>
        <w:t>（1）施工废水</w:t>
      </w:r>
    </w:p>
    <w:p>
      <w:pPr>
        <w:spacing w:line="360" w:lineRule="auto"/>
        <w:ind w:firstLine="480" w:firstLineChars="200"/>
        <w:rPr>
          <w:rFonts w:ascii="Times New Roman" w:hAnsi="Times New Roman" w:cs="Times New Roman"/>
        </w:rPr>
      </w:pPr>
      <w:r>
        <w:rPr>
          <w:rFonts w:ascii="Times New Roman" w:hAnsi="Times New Roman" w:cs="Times New Roman"/>
        </w:rPr>
        <w:t>项目施工期间地基挖填以及由此造成的地表裸露，弃土临时堆放处等在大雨冲刷时泥土会随雨水流失，形成含泥沙的废水，为减少雨天在项目施工场地形成的地面径流对周围环境的影响，项目应在施工场地内开挖临时雨水排水沟，在雨水排水口处设置沉淀池，对场地内的雨水径流进行简易沉淀处理，并在排水口设置细格栅，拦截大的块状物。经沉淀处理后的废水用于绿化或路面洒水。</w:t>
      </w:r>
    </w:p>
    <w:p>
      <w:pPr>
        <w:spacing w:line="360" w:lineRule="auto"/>
        <w:ind w:firstLine="480" w:firstLineChars="200"/>
        <w:rPr>
          <w:rFonts w:ascii="Times New Roman" w:hAnsi="Times New Roman" w:cs="Times New Roman"/>
        </w:rPr>
      </w:pPr>
      <w:r>
        <w:rPr>
          <w:rFonts w:ascii="Times New Roman" w:hAnsi="Times New Roman" w:cs="Times New Roman"/>
        </w:rPr>
        <w:t>一般施工期的生产废水主要是施工过程中少量混凝土搅拌产生的泥浆水，但本项目将主要使用商品混凝土，搅拌废水的产生量较少。此类废水颗粒物浓度高，经沉淀池收集沉淀后回用于路面洒水，避免生产废水进入地表水体而带来污染。</w:t>
      </w:r>
    </w:p>
    <w:p>
      <w:pPr>
        <w:spacing w:line="360" w:lineRule="auto"/>
        <w:ind w:firstLine="480" w:firstLineChars="200"/>
        <w:rPr>
          <w:rFonts w:ascii="Times New Roman" w:hAnsi="Times New Roman" w:cs="Times New Roman"/>
        </w:rPr>
      </w:pPr>
      <w:r>
        <w:rPr>
          <w:rFonts w:ascii="Times New Roman" w:hAnsi="Times New Roman" w:cs="Times New Roman"/>
        </w:rPr>
        <w:t>施工现场将使用的挖掘机、推土机、载重汽车等施工机械和设备，施工过程机械维修将产生一些清洗废水，其主要污染物为石油类和泥沙。由于油污消解时间长，且有一定的渗透能力，因此必须加强管理。</w:t>
      </w:r>
    </w:p>
    <w:p>
      <w:pPr>
        <w:spacing w:line="360" w:lineRule="auto"/>
        <w:ind w:firstLine="480" w:firstLineChars="200"/>
        <w:rPr>
          <w:rFonts w:ascii="Times New Roman" w:hAnsi="Times New Roman" w:cs="Times New Roman"/>
        </w:rPr>
      </w:pPr>
      <w:r>
        <w:rPr>
          <w:rFonts w:ascii="Times New Roman" w:hAnsi="Times New Roman" w:cs="Times New Roman"/>
        </w:rPr>
        <w:t>施工废水中主要污染物是泥土等悬浮物和石油类，可在项目施工场区内修建临时沉淀池和隔油池，经沉淀池和隔油池处理后的废水用于施工期道路浇洒、车辆清洗以及抑尘。施工废水经回用后，对周边环境的影响较小。沉淀池内淤泥必须定期清理，定期与建筑垃圾一起清运至有关部门指定的建筑垃圾堆填地点处置。</w:t>
      </w:r>
    </w:p>
    <w:p>
      <w:pPr>
        <w:spacing w:line="360" w:lineRule="auto"/>
        <w:ind w:firstLine="480" w:firstLineChars="200"/>
        <w:rPr>
          <w:rFonts w:ascii="Times New Roman" w:hAnsi="Times New Roman" w:cs="Times New Roman"/>
        </w:rPr>
      </w:pPr>
      <w:r>
        <w:rPr>
          <w:rFonts w:ascii="Times New Roman" w:hAnsi="Times New Roman" w:cs="Times New Roman"/>
        </w:rPr>
        <w:t>（2）生活污水</w:t>
      </w:r>
    </w:p>
    <w:p>
      <w:pPr>
        <w:spacing w:line="360" w:lineRule="auto"/>
        <w:ind w:firstLine="480" w:firstLineChars="200"/>
        <w:rPr>
          <w:rFonts w:ascii="Times New Roman" w:hAnsi="Times New Roman" w:cs="Times New Roman"/>
        </w:rPr>
      </w:pPr>
      <w:r>
        <w:rPr>
          <w:rFonts w:ascii="Times New Roman" w:hAnsi="Times New Roman" w:cs="Times New Roman"/>
        </w:rPr>
        <w:t>本项目高峰期施工人员约为50人，施工人员生活用水量约为100L/人·d，污水排放系数取0.8，则施工人员生活污水产生量为2.56m</w:t>
      </w:r>
      <w:r>
        <w:rPr>
          <w:rFonts w:ascii="Times New Roman" w:hAnsi="Times New Roman" w:cs="Times New Roman"/>
          <w:vertAlign w:val="superscript"/>
        </w:rPr>
        <w:t>3</w:t>
      </w:r>
      <w:r>
        <w:rPr>
          <w:rFonts w:ascii="Times New Roman" w:hAnsi="Times New Roman" w:cs="Times New Roman"/>
        </w:rPr>
        <w:t>/d，主要污染物浓度一般为COD：50-250mg/L，BOD</w:t>
      </w:r>
      <w:r>
        <w:rPr>
          <w:rFonts w:ascii="Times New Roman" w:hAnsi="Times New Roman" w:cs="Times New Roman"/>
          <w:vertAlign w:val="subscript"/>
        </w:rPr>
        <w:t>5</w:t>
      </w:r>
      <w:r>
        <w:rPr>
          <w:rFonts w:ascii="Times New Roman" w:hAnsi="Times New Roman" w:cs="Times New Roman"/>
        </w:rPr>
        <w:t>：25-150mg/L，SS：100-200mg/L，NH</w:t>
      </w:r>
      <w:r>
        <w:rPr>
          <w:rFonts w:ascii="Times New Roman" w:hAnsi="Times New Roman" w:cs="Times New Roman"/>
          <w:vertAlign w:val="subscript"/>
        </w:rPr>
        <w:t>3</w:t>
      </w:r>
      <w:r>
        <w:rPr>
          <w:rFonts w:ascii="Times New Roman" w:hAnsi="Times New Roman" w:cs="Times New Roman"/>
        </w:rPr>
        <w:t>-N：15-30mg/L。对施工期的生活废水必须进行收集处理，对施工期的生活废水经化粪池处理后排入园区污水管网。</w:t>
      </w:r>
    </w:p>
    <w:p>
      <w:pPr>
        <w:spacing w:line="360" w:lineRule="auto"/>
        <w:ind w:firstLine="480" w:firstLineChars="200"/>
        <w:rPr>
          <w:rFonts w:ascii="Times New Roman" w:hAnsi="Times New Roman" w:cs="Times New Roman"/>
        </w:rPr>
      </w:pPr>
      <w:r>
        <w:rPr>
          <w:rFonts w:ascii="Times New Roman" w:hAnsi="Times New Roman" w:cs="Times New Roman"/>
        </w:rPr>
        <w:t>（3）地表径流</w:t>
      </w:r>
    </w:p>
    <w:p>
      <w:pPr>
        <w:spacing w:line="360" w:lineRule="auto"/>
        <w:ind w:firstLine="480" w:firstLineChars="200"/>
        <w:rPr>
          <w:rFonts w:ascii="Times New Roman" w:hAnsi="Times New Roman" w:cs="Times New Roman"/>
        </w:rPr>
      </w:pPr>
      <w:r>
        <w:rPr>
          <w:rFonts w:ascii="Times New Roman" w:hAnsi="Times New Roman" w:cs="Times New Roman"/>
        </w:rPr>
        <w:t>本项目进行场地平整、基础开挖时将造成较大面积的地表裸露，在建筑物施工和绿化或防护之前，雨季时雨水冲刷泥土，若雨水直接排入，极易造成泥水流入排水渠，因此在施工场地四周设置截排水沟，场地内的雨水经沉淀沉淀理后回用。</w:t>
      </w:r>
    </w:p>
    <w:p>
      <w:pPr>
        <w:spacing w:line="360" w:lineRule="auto"/>
        <w:ind w:firstLine="480" w:firstLineChars="200"/>
        <w:rPr>
          <w:rFonts w:ascii="Times New Roman" w:hAnsi="Times New Roman" w:cs="Times New Roman"/>
        </w:rPr>
      </w:pPr>
      <w:r>
        <w:rPr>
          <w:rFonts w:ascii="Times New Roman" w:hAnsi="Times New Roman" w:cs="Times New Roman"/>
        </w:rPr>
        <w:t>因此，本项目施工期产生的废水均能够得到有效处置，对周围环境影响较小。</w:t>
      </w:r>
    </w:p>
    <w:p>
      <w:pPr>
        <w:pStyle w:val="4"/>
        <w:rPr>
          <w:rFonts w:ascii="Times New Roman" w:hAnsi="Times New Roman" w:cs="Times New Roman"/>
        </w:rPr>
      </w:pPr>
      <w:bookmarkStart w:id="293" w:name="_Toc144236801"/>
      <w:bookmarkStart w:id="294" w:name="_Toc144276931"/>
      <w:bookmarkStart w:id="295" w:name="_Toc147848049"/>
      <w:r>
        <w:rPr>
          <w:rFonts w:ascii="Times New Roman" w:hAnsi="Times New Roman" w:cs="Times New Roman"/>
        </w:rPr>
        <w:t>6.1.3 施工期噪声影响分析</w:t>
      </w:r>
      <w:bookmarkEnd w:id="293"/>
      <w:bookmarkEnd w:id="294"/>
      <w:bookmarkEnd w:id="295"/>
    </w:p>
    <w:p>
      <w:pPr>
        <w:pStyle w:val="5"/>
        <w:ind w:firstLine="482"/>
        <w:rPr>
          <w:rFonts w:ascii="Times New Roman" w:hAnsi="Times New Roman" w:cs="Times New Roman" w:eastAsiaTheme="minorEastAsia"/>
        </w:rPr>
      </w:pPr>
      <w:r>
        <w:rPr>
          <w:rFonts w:ascii="Times New Roman" w:hAnsi="Times New Roman" w:cs="Times New Roman" w:eastAsiaTheme="minorEastAsia"/>
        </w:rPr>
        <w:t>6.1.3.1 噪声源强</w:t>
      </w:r>
    </w:p>
    <w:p>
      <w:pPr>
        <w:spacing w:line="360" w:lineRule="auto"/>
        <w:ind w:firstLine="480" w:firstLineChars="200"/>
        <w:rPr>
          <w:rFonts w:ascii="Times New Roman" w:hAnsi="Times New Roman" w:cs="Times New Roman"/>
        </w:rPr>
      </w:pPr>
      <w:r>
        <w:rPr>
          <w:rFonts w:ascii="Times New Roman" w:hAnsi="Times New Roman" w:cs="Times New Roman"/>
        </w:rPr>
        <w:t>在施工过程中，由于各种施工机械设备的运转和各类车辆的运行，不可避免地将产生噪声污染。施工中使用的各种施工机械、运输车辆等都是噪声的产生源。根据有关资料主要施工机械的噪声状况列于表4.3-3。</w:t>
      </w:r>
    </w:p>
    <w:p>
      <w:pPr>
        <w:pStyle w:val="5"/>
        <w:ind w:firstLine="482"/>
        <w:rPr>
          <w:rFonts w:ascii="Times New Roman" w:hAnsi="Times New Roman" w:cs="Times New Roman" w:eastAsiaTheme="minorEastAsia"/>
        </w:rPr>
      </w:pPr>
      <w:r>
        <w:rPr>
          <w:rFonts w:ascii="Times New Roman" w:hAnsi="Times New Roman" w:cs="Times New Roman" w:eastAsiaTheme="minorEastAsia"/>
        </w:rPr>
        <w:t>6.1.3.2 评价标准</w:t>
      </w:r>
    </w:p>
    <w:p>
      <w:pPr>
        <w:spacing w:line="360" w:lineRule="auto"/>
        <w:ind w:firstLine="480" w:firstLineChars="200"/>
        <w:rPr>
          <w:rFonts w:ascii="Times New Roman" w:hAnsi="Times New Roman" w:cs="Times New Roman"/>
        </w:rPr>
      </w:pPr>
      <w:r>
        <w:rPr>
          <w:rFonts w:ascii="Times New Roman" w:hAnsi="Times New Roman" w:cs="Times New Roman"/>
        </w:rPr>
        <w:t>本项目施工期应执行《建筑施工场界环境噪声排放标准》（GB12523-2011）中噪声限值，见表下表。</w:t>
      </w:r>
    </w:p>
    <w:p>
      <w:pPr>
        <w:pStyle w:val="6"/>
        <w:rPr>
          <w:rFonts w:ascii="Times New Roman" w:hAnsi="Times New Roman" w:cs="Times New Roman"/>
        </w:rPr>
      </w:pPr>
      <w:r>
        <w:rPr>
          <w:rFonts w:ascii="Times New Roman" w:hAnsi="Times New Roman" w:cs="Times New Roman"/>
        </w:rPr>
        <w:t>表6.1-2  建筑施工场界环境噪声排放限值</w:t>
      </w:r>
    </w:p>
    <w:tbl>
      <w:tblPr>
        <w:tblStyle w:val="35"/>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4124"/>
        <w:gridCol w:w="440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4124" w:type="dxa"/>
            <w:tcBorders>
              <w:top w:val="single" w:color="000000" w:sz="12" w:space="0"/>
              <w:left w:val="single" w:color="000000" w:sz="12" w:space="0"/>
              <w:bottom w:val="single" w:color="000000" w:sz="4" w:space="0"/>
              <w:right w:val="single" w:color="000000" w:sz="4" w:space="0"/>
            </w:tcBorders>
            <w:noWrap/>
            <w:vAlign w:val="center"/>
          </w:tcPr>
          <w:p>
            <w:pPr>
              <w:pStyle w:val="63"/>
            </w:pPr>
            <w:r>
              <w:t>昼间</w:t>
            </w:r>
          </w:p>
        </w:tc>
        <w:tc>
          <w:tcPr>
            <w:tcW w:w="4404" w:type="dxa"/>
            <w:tcBorders>
              <w:top w:val="single" w:color="000000" w:sz="12" w:space="0"/>
              <w:left w:val="single" w:color="000000" w:sz="4" w:space="0"/>
              <w:bottom w:val="single" w:color="000000" w:sz="4" w:space="0"/>
              <w:right w:val="single" w:color="000000" w:sz="12" w:space="0"/>
            </w:tcBorders>
            <w:noWrap/>
            <w:vAlign w:val="center"/>
          </w:tcPr>
          <w:p>
            <w:pPr>
              <w:pStyle w:val="63"/>
            </w:pPr>
            <w:r>
              <w:t>夜间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4124" w:type="dxa"/>
            <w:tcBorders>
              <w:top w:val="single" w:color="000000" w:sz="4" w:space="0"/>
              <w:left w:val="single" w:color="000000" w:sz="12" w:space="0"/>
              <w:bottom w:val="single" w:color="000000" w:sz="12" w:space="0"/>
              <w:right w:val="single" w:color="000000" w:sz="4" w:space="0"/>
            </w:tcBorders>
            <w:noWrap/>
            <w:vAlign w:val="center"/>
          </w:tcPr>
          <w:p>
            <w:pPr>
              <w:pStyle w:val="63"/>
            </w:pPr>
            <w:r>
              <w:t>70</w:t>
            </w:r>
          </w:p>
        </w:tc>
        <w:tc>
          <w:tcPr>
            <w:tcW w:w="4404" w:type="dxa"/>
            <w:tcBorders>
              <w:top w:val="single" w:color="000000" w:sz="4" w:space="0"/>
              <w:left w:val="single" w:color="000000" w:sz="4" w:space="0"/>
              <w:bottom w:val="single" w:color="000000" w:sz="12" w:space="0"/>
              <w:right w:val="single" w:color="000000" w:sz="12" w:space="0"/>
            </w:tcBorders>
            <w:noWrap/>
            <w:vAlign w:val="center"/>
          </w:tcPr>
          <w:p>
            <w:pPr>
              <w:pStyle w:val="63"/>
            </w:pPr>
            <w:r>
              <w:t>55</w:t>
            </w:r>
          </w:p>
        </w:tc>
      </w:tr>
    </w:tbl>
    <w:p>
      <w:pPr>
        <w:spacing w:line="360" w:lineRule="auto"/>
        <w:ind w:firstLine="482" w:firstLineChars="200"/>
        <w:rPr>
          <w:rFonts w:ascii="Times New Roman" w:hAnsi="Times New Roman" w:cs="Times New Roman"/>
          <w:b/>
          <w:bCs/>
        </w:rPr>
      </w:pPr>
      <w:r>
        <w:rPr>
          <w:rFonts w:ascii="Times New Roman" w:hAnsi="Times New Roman" w:cs="Times New Roman"/>
          <w:b/>
          <w:bCs/>
        </w:rPr>
        <w:t>6.1.3.3 预测模式</w:t>
      </w:r>
    </w:p>
    <w:p>
      <w:pPr>
        <w:spacing w:line="360" w:lineRule="auto"/>
        <w:ind w:firstLine="480" w:firstLineChars="200"/>
        <w:rPr>
          <w:rFonts w:ascii="Times New Roman" w:hAnsi="Times New Roman" w:cs="Times New Roman"/>
        </w:rPr>
      </w:pPr>
      <w:r>
        <w:rPr>
          <w:rFonts w:ascii="Times New Roman" w:hAnsi="Times New Roman" w:cs="Times New Roman"/>
        </w:rPr>
        <w:t>本项目施工期施工设备位于车间内，根据《环境影响评价技术导则——声环境》（HJ2.4-2009），噪声预测模式为：</w:t>
      </w:r>
    </w:p>
    <w:p>
      <w:pPr>
        <w:spacing w:line="360" w:lineRule="auto"/>
        <w:ind w:firstLine="480" w:firstLineChars="200"/>
        <w:rPr>
          <w:rFonts w:ascii="Times New Roman" w:hAnsi="Times New Roman" w:cs="Times New Roman"/>
        </w:rPr>
      </w:pPr>
      <w:r>
        <w:rPr>
          <w:rFonts w:ascii="Times New Roman" w:hAnsi="Times New Roman" w:cs="Times New Roman"/>
        </w:rPr>
        <w:t>（1）单个室外的点声源在预测点产生的声级计算基本公示</w:t>
      </w:r>
    </w:p>
    <w:p>
      <w:pPr>
        <w:spacing w:line="360" w:lineRule="auto"/>
        <w:ind w:firstLine="480" w:firstLineChars="200"/>
        <w:jc w:val="center"/>
        <w:rPr>
          <w:rFonts w:ascii="Times New Roman" w:hAnsi="Times New Roman" w:cs="Times New Roman"/>
        </w:rPr>
      </w:pPr>
      <w:r>
        <w:rPr>
          <w:rFonts w:ascii="Times New Roman" w:hAnsi="Times New Roman" w:cs="Times New Roman"/>
        </w:rPr>
        <w:t>Lp（r）=Lw+Dc-A</w:t>
      </w:r>
    </w:p>
    <w:p>
      <w:pPr>
        <w:spacing w:line="360" w:lineRule="auto"/>
        <w:ind w:firstLine="480" w:firstLineChars="200"/>
        <w:jc w:val="center"/>
        <w:rPr>
          <w:rFonts w:ascii="Times New Roman" w:hAnsi="Times New Roman" w:cs="Times New Roman"/>
        </w:rPr>
      </w:pPr>
      <w:r>
        <w:rPr>
          <w:rFonts w:ascii="Times New Roman" w:hAnsi="Times New Roman" w:cs="Times New Roman"/>
        </w:rPr>
        <w:t>A=Adiv+Atam+Abar+Agr+Amisc</w:t>
      </w:r>
    </w:p>
    <w:p>
      <w:pPr>
        <w:spacing w:line="360" w:lineRule="auto"/>
        <w:ind w:firstLine="480" w:firstLineChars="200"/>
        <w:rPr>
          <w:rFonts w:ascii="Times New Roman" w:hAnsi="Times New Roman" w:cs="Times New Roman"/>
        </w:rPr>
      </w:pPr>
      <w:r>
        <w:rPr>
          <w:rFonts w:ascii="Times New Roman" w:hAnsi="Times New Roman" w:cs="Times New Roman"/>
        </w:rPr>
        <w:t>式中：</w:t>
      </w:r>
    </w:p>
    <w:p>
      <w:pPr>
        <w:spacing w:line="360" w:lineRule="auto"/>
        <w:ind w:firstLine="480" w:firstLineChars="200"/>
        <w:rPr>
          <w:rFonts w:ascii="Times New Roman" w:hAnsi="Times New Roman" w:cs="Times New Roman"/>
        </w:rPr>
      </w:pPr>
      <w:r>
        <w:rPr>
          <w:rFonts w:ascii="Times New Roman" w:hAnsi="Times New Roman" w:cs="Times New Roman"/>
        </w:rPr>
        <w:t>Lp（r）——预测点位置的倍频带声压级，dB；</w:t>
      </w:r>
    </w:p>
    <w:p>
      <w:pPr>
        <w:spacing w:line="360" w:lineRule="auto"/>
        <w:ind w:firstLine="480" w:firstLineChars="200"/>
        <w:rPr>
          <w:rFonts w:ascii="Times New Roman" w:hAnsi="Times New Roman" w:cs="Times New Roman"/>
        </w:rPr>
      </w:pPr>
      <w:r>
        <w:rPr>
          <w:rFonts w:ascii="Times New Roman" w:hAnsi="Times New Roman" w:cs="Times New Roman"/>
        </w:rPr>
        <w:t>Lw——倍频带声功率级，dB；</w:t>
      </w:r>
    </w:p>
    <w:p>
      <w:pPr>
        <w:spacing w:line="360" w:lineRule="auto"/>
        <w:ind w:firstLine="480" w:firstLineChars="200"/>
        <w:rPr>
          <w:rFonts w:ascii="Times New Roman" w:hAnsi="Times New Roman" w:cs="Times New Roman"/>
        </w:rPr>
      </w:pPr>
      <w:r>
        <w:rPr>
          <w:rFonts w:ascii="Times New Roman" w:hAnsi="Times New Roman" w:cs="Times New Roman"/>
        </w:rPr>
        <w:t>Dc——指向性校正，dB；</w:t>
      </w:r>
    </w:p>
    <w:p>
      <w:pPr>
        <w:spacing w:line="360" w:lineRule="auto"/>
        <w:ind w:firstLine="480" w:firstLineChars="200"/>
        <w:rPr>
          <w:rFonts w:ascii="Times New Roman" w:hAnsi="Times New Roman" w:cs="Times New Roman"/>
        </w:rPr>
      </w:pPr>
      <w:r>
        <w:rPr>
          <w:rFonts w:ascii="Times New Roman" w:hAnsi="Times New Roman" w:cs="Times New Roman"/>
        </w:rPr>
        <w:t>A——倍频带衰减，dB；</w:t>
      </w:r>
    </w:p>
    <w:p>
      <w:pPr>
        <w:spacing w:line="360" w:lineRule="auto"/>
        <w:ind w:firstLine="480" w:firstLineChars="200"/>
        <w:rPr>
          <w:rFonts w:ascii="Times New Roman" w:hAnsi="Times New Roman" w:cs="Times New Roman"/>
        </w:rPr>
      </w:pPr>
      <w:r>
        <w:rPr>
          <w:rFonts w:ascii="Times New Roman" w:hAnsi="Times New Roman" w:cs="Times New Roman"/>
        </w:rPr>
        <w:t>Adiv——几何发散引起的倍频带衰减，dB；</w:t>
      </w:r>
    </w:p>
    <w:p>
      <w:pPr>
        <w:spacing w:line="360" w:lineRule="auto"/>
        <w:ind w:firstLine="480" w:firstLineChars="200"/>
        <w:rPr>
          <w:rFonts w:ascii="Times New Roman" w:hAnsi="Times New Roman" w:cs="Times New Roman"/>
        </w:rPr>
      </w:pPr>
      <w:r>
        <w:rPr>
          <w:rFonts w:ascii="Times New Roman" w:hAnsi="Times New Roman" w:cs="Times New Roman"/>
        </w:rPr>
        <w:t>Atam——大气吸收引起的倍频带衰减，dB；</w:t>
      </w:r>
    </w:p>
    <w:p>
      <w:pPr>
        <w:spacing w:line="360" w:lineRule="auto"/>
        <w:ind w:firstLine="480" w:firstLineChars="200"/>
        <w:rPr>
          <w:rFonts w:ascii="Times New Roman" w:hAnsi="Times New Roman" w:cs="Times New Roman"/>
        </w:rPr>
      </w:pPr>
      <w:r>
        <w:rPr>
          <w:rFonts w:ascii="Times New Roman" w:hAnsi="Times New Roman" w:cs="Times New Roman"/>
        </w:rPr>
        <w:t>Abar——地面效应引起的倍频带衰减，dB；</w:t>
      </w:r>
    </w:p>
    <w:p>
      <w:pPr>
        <w:spacing w:line="360" w:lineRule="auto"/>
        <w:ind w:firstLine="480" w:firstLineChars="200"/>
        <w:rPr>
          <w:rFonts w:ascii="Times New Roman" w:hAnsi="Times New Roman" w:cs="Times New Roman"/>
        </w:rPr>
      </w:pPr>
      <w:r>
        <w:rPr>
          <w:rFonts w:ascii="Times New Roman" w:hAnsi="Times New Roman" w:cs="Times New Roman"/>
        </w:rPr>
        <w:t>Agr——声屏障引起的倍频带衰减，dB；</w:t>
      </w:r>
    </w:p>
    <w:p>
      <w:pPr>
        <w:spacing w:line="360" w:lineRule="auto"/>
        <w:ind w:firstLine="480" w:firstLineChars="200"/>
        <w:rPr>
          <w:rFonts w:ascii="Times New Roman" w:hAnsi="Times New Roman" w:cs="Times New Roman"/>
        </w:rPr>
      </w:pPr>
      <w:r>
        <w:rPr>
          <w:rFonts w:ascii="Times New Roman" w:hAnsi="Times New Roman" w:cs="Times New Roman"/>
        </w:rPr>
        <w:t>Amisc——其他多方面效应引起的倍频带衰减，dB。</w:t>
      </w:r>
    </w:p>
    <w:p>
      <w:pPr>
        <w:spacing w:line="360" w:lineRule="auto"/>
        <w:ind w:firstLine="480" w:firstLineChars="200"/>
        <w:rPr>
          <w:rFonts w:ascii="Times New Roman" w:hAnsi="Times New Roman" w:cs="Times New Roman"/>
        </w:rPr>
      </w:pPr>
      <w:r>
        <w:rPr>
          <w:rFonts w:ascii="Times New Roman" w:hAnsi="Times New Roman" w:cs="Times New Roman"/>
        </w:rPr>
        <w:t>（2）室内声压级计算</w:t>
      </w:r>
    </w:p>
    <w:p>
      <w:pPr>
        <w:spacing w:line="360" w:lineRule="auto"/>
        <w:ind w:firstLine="480" w:firstLineChars="200"/>
        <w:rPr>
          <w:rFonts w:ascii="Times New Roman" w:hAnsi="Times New Roman" w:cs="Times New Roman"/>
        </w:rPr>
      </w:pPr>
      <w:r>
        <w:rPr>
          <w:rFonts w:hint="eastAsia" w:ascii="宋体" w:hAnsi="宋体" w:eastAsia="宋体" w:cs="宋体"/>
        </w:rPr>
        <w:t>①</w:t>
      </w:r>
      <w:r>
        <w:rPr>
          <w:rFonts w:ascii="Times New Roman" w:hAnsi="Times New Roman" w:cs="Times New Roman"/>
        </w:rPr>
        <w:t>某一室内声源靠近围护结构处产生的倍频带声压级的计算</w:t>
      </w:r>
    </w:p>
    <w:p>
      <w:pPr>
        <w:spacing w:line="360" w:lineRule="auto"/>
        <w:ind w:firstLine="480" w:firstLineChars="200"/>
        <w:jc w:val="center"/>
        <w:rPr>
          <w:rFonts w:ascii="Times New Roman" w:hAnsi="Times New Roman" w:cs="Times New Roman"/>
        </w:rPr>
      </w:pPr>
      <w:r>
        <w:rPr>
          <w:rFonts w:ascii="Times New Roman" w:hAnsi="Times New Roman" w:cs="Times New Roman"/>
        </w:rPr>
        <w:drawing>
          <wp:inline distT="0" distB="0" distL="0" distR="0">
            <wp:extent cx="1920240" cy="429895"/>
            <wp:effectExtent l="0" t="0" r="3810"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1927851" cy="431608"/>
                    </a:xfrm>
                    <a:prstGeom prst="rect">
                      <a:avLst/>
                    </a:prstGeom>
                    <a:noFill/>
                    <a:ln>
                      <a:noFill/>
                    </a:ln>
                  </pic:spPr>
                </pic:pic>
              </a:graphicData>
            </a:graphic>
          </wp:inline>
        </w:drawing>
      </w:r>
    </w:p>
    <w:p>
      <w:pPr>
        <w:spacing w:line="360" w:lineRule="auto"/>
        <w:ind w:firstLine="480" w:firstLineChars="200"/>
        <w:rPr>
          <w:rFonts w:ascii="Times New Roman" w:hAnsi="Times New Roman" w:cs="Times New Roman"/>
        </w:rPr>
      </w:pPr>
      <w:r>
        <w:rPr>
          <w:rFonts w:ascii="Times New Roman" w:hAnsi="Times New Roman" w:cs="Times New Roman"/>
        </w:rPr>
        <w:t>式中：</w:t>
      </w:r>
    </w:p>
    <w:p>
      <w:pPr>
        <w:spacing w:line="360" w:lineRule="auto"/>
        <w:ind w:firstLine="480" w:firstLineChars="200"/>
        <w:rPr>
          <w:rFonts w:ascii="Times New Roman" w:hAnsi="Times New Roman" w:cs="Times New Roman"/>
        </w:rPr>
      </w:pPr>
      <w:r>
        <w:rPr>
          <w:rFonts w:ascii="Times New Roman" w:hAnsi="Times New Roman" w:cs="Times New Roman"/>
        </w:rPr>
        <w:t>Q——指向性因素；通常对无指向性声源，当声源放在房间中心时，Q=1；当放在一面墙的中心时，Q=2；当放在两面墙夹角处时，Q=4；当放在三面墙夹角处时，Q=8。</w:t>
      </w:r>
    </w:p>
    <w:p>
      <w:pPr>
        <w:spacing w:line="360" w:lineRule="auto"/>
        <w:ind w:firstLine="480" w:firstLineChars="200"/>
        <w:rPr>
          <w:rFonts w:ascii="Times New Roman" w:hAnsi="Times New Roman" w:cs="Times New Roman"/>
        </w:rPr>
      </w:pPr>
      <w:r>
        <w:rPr>
          <w:rFonts w:ascii="Times New Roman" w:hAnsi="Times New Roman" w:cs="Times New Roman"/>
        </w:rPr>
        <w:t>R——房间常数；R =Sα/（1-α），S为房间内表面面积，m</w:t>
      </w:r>
      <w:r>
        <w:rPr>
          <w:rFonts w:ascii="Times New Roman" w:hAnsi="Times New Roman" w:cs="Times New Roman"/>
          <w:vertAlign w:val="superscript"/>
        </w:rPr>
        <w:t>2</w:t>
      </w:r>
      <w:r>
        <w:rPr>
          <w:rFonts w:ascii="Times New Roman" w:hAnsi="Times New Roman" w:cs="Times New Roman"/>
        </w:rPr>
        <w:t>；α为平均吸声系数。</w:t>
      </w:r>
    </w:p>
    <w:p>
      <w:pPr>
        <w:spacing w:line="360" w:lineRule="auto"/>
        <w:ind w:firstLine="480" w:firstLineChars="200"/>
        <w:rPr>
          <w:rFonts w:ascii="Times New Roman" w:hAnsi="Times New Roman" w:cs="Times New Roman"/>
        </w:rPr>
      </w:pPr>
      <w:r>
        <w:rPr>
          <w:rFonts w:ascii="Times New Roman" w:hAnsi="Times New Roman" w:cs="Times New Roman"/>
        </w:rPr>
        <w:t>r——声源到靠近围护结构某点处的距离，m。</w:t>
      </w:r>
    </w:p>
    <w:p>
      <w:pPr>
        <w:spacing w:line="360" w:lineRule="auto"/>
        <w:ind w:firstLine="480" w:firstLineChars="200"/>
        <w:rPr>
          <w:rFonts w:ascii="Times New Roman" w:hAnsi="Times New Roman" w:cs="Times New Roman"/>
        </w:rPr>
      </w:pPr>
      <w:r>
        <w:rPr>
          <w:rFonts w:hint="eastAsia" w:ascii="宋体" w:hAnsi="宋体" w:eastAsia="宋体" w:cs="宋体"/>
        </w:rPr>
        <w:t>②</w:t>
      </w:r>
      <w:r>
        <w:rPr>
          <w:rFonts w:ascii="Times New Roman" w:hAnsi="Times New Roman" w:cs="Times New Roman"/>
        </w:rPr>
        <w:t>所有室内声源室内i倍频带叠加声压的计算</w:t>
      </w:r>
    </w:p>
    <w:p>
      <w:pPr>
        <w:spacing w:line="360" w:lineRule="auto"/>
        <w:ind w:firstLine="480" w:firstLineChars="200"/>
        <w:jc w:val="center"/>
        <w:rPr>
          <w:rFonts w:ascii="Times New Roman" w:hAnsi="Times New Roman" w:cs="Times New Roman"/>
        </w:rPr>
      </w:pPr>
      <w:r>
        <w:rPr>
          <w:rFonts w:ascii="Times New Roman" w:hAnsi="Times New Roman" w:cs="Times New Roman"/>
        </w:rPr>
        <w:drawing>
          <wp:inline distT="0" distB="0" distL="0" distR="0">
            <wp:extent cx="1653540" cy="501015"/>
            <wp:effectExtent l="0" t="0" r="381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1653540" cy="501484"/>
                    </a:xfrm>
                    <a:prstGeom prst="rect">
                      <a:avLst/>
                    </a:prstGeom>
                    <a:noFill/>
                    <a:ln>
                      <a:noFill/>
                    </a:ln>
                  </pic:spPr>
                </pic:pic>
              </a:graphicData>
            </a:graphic>
          </wp:inline>
        </w:drawing>
      </w:r>
    </w:p>
    <w:p>
      <w:pPr>
        <w:spacing w:line="360" w:lineRule="auto"/>
        <w:ind w:firstLine="480" w:firstLineChars="200"/>
        <w:rPr>
          <w:rFonts w:ascii="Times New Roman" w:hAnsi="Times New Roman" w:cs="Times New Roman"/>
        </w:rPr>
      </w:pPr>
      <w:r>
        <w:rPr>
          <w:rFonts w:ascii="Times New Roman" w:hAnsi="Times New Roman" w:cs="Times New Roman"/>
        </w:rPr>
        <w:t>式中：</w:t>
      </w:r>
    </w:p>
    <w:p>
      <w:pPr>
        <w:spacing w:line="360" w:lineRule="auto"/>
        <w:ind w:firstLine="480" w:firstLineChars="200"/>
        <w:rPr>
          <w:rFonts w:ascii="Times New Roman" w:hAnsi="Times New Roman" w:cs="Times New Roman"/>
        </w:rPr>
      </w:pPr>
      <w:r>
        <w:rPr>
          <w:rFonts w:ascii="Times New Roman" w:hAnsi="Times New Roman" w:cs="Times New Roman"/>
        </w:rPr>
        <w:t>L</w:t>
      </w:r>
      <w:r>
        <w:rPr>
          <w:rFonts w:ascii="Times New Roman" w:hAnsi="Times New Roman" w:cs="Times New Roman"/>
          <w:vertAlign w:val="subscript"/>
        </w:rPr>
        <w:t>P1i</w:t>
      </w:r>
      <w:r>
        <w:rPr>
          <w:rFonts w:ascii="Times New Roman" w:hAnsi="Times New Roman" w:cs="Times New Roman"/>
        </w:rPr>
        <w:t>（r） ——靠近围护结构处室内N个声源i倍频带的叠加声压级，dB；</w:t>
      </w:r>
    </w:p>
    <w:p>
      <w:pPr>
        <w:spacing w:line="360" w:lineRule="auto"/>
        <w:ind w:firstLine="480" w:firstLineChars="200"/>
        <w:rPr>
          <w:rFonts w:ascii="Times New Roman" w:hAnsi="Times New Roman" w:cs="Times New Roman"/>
        </w:rPr>
      </w:pPr>
      <w:r>
        <w:rPr>
          <w:rFonts w:ascii="Times New Roman" w:hAnsi="Times New Roman" w:cs="Times New Roman"/>
        </w:rPr>
        <w:t>LP</w:t>
      </w:r>
      <w:r>
        <w:rPr>
          <w:rFonts w:ascii="Times New Roman" w:hAnsi="Times New Roman" w:cs="Times New Roman"/>
          <w:vertAlign w:val="subscript"/>
        </w:rPr>
        <w:t>1ij</w:t>
      </w:r>
      <w:r>
        <w:rPr>
          <w:rFonts w:ascii="Times New Roman" w:hAnsi="Times New Roman" w:cs="Times New Roman"/>
        </w:rPr>
        <w:t>（r） ——室内j声源i倍频带的声压级，dB；</w:t>
      </w:r>
    </w:p>
    <w:p>
      <w:pPr>
        <w:spacing w:line="360" w:lineRule="auto"/>
        <w:ind w:firstLine="480" w:firstLineChars="200"/>
        <w:rPr>
          <w:rFonts w:ascii="Times New Roman" w:hAnsi="Times New Roman" w:cs="Times New Roman"/>
        </w:rPr>
      </w:pPr>
      <w:r>
        <w:rPr>
          <w:rFonts w:ascii="Times New Roman" w:hAnsi="Times New Roman" w:cs="Times New Roman"/>
        </w:rPr>
        <w:t>N——室内声源总数。</w:t>
      </w:r>
    </w:p>
    <w:p>
      <w:pPr>
        <w:spacing w:line="360" w:lineRule="auto"/>
        <w:ind w:firstLine="480" w:firstLineChars="200"/>
        <w:rPr>
          <w:rFonts w:ascii="Times New Roman" w:hAnsi="Times New Roman" w:cs="Times New Roman"/>
        </w:rPr>
      </w:pPr>
      <w:r>
        <w:rPr>
          <w:rFonts w:hint="eastAsia" w:ascii="宋体" w:hAnsi="宋体" w:eastAsia="宋体" w:cs="宋体"/>
        </w:rPr>
        <w:t>③</w:t>
      </w:r>
      <w:r>
        <w:rPr>
          <w:rFonts w:ascii="Times New Roman" w:hAnsi="Times New Roman" w:cs="Times New Roman"/>
        </w:rPr>
        <w:t>靠近室外围护结构处的声压级的计算</w:t>
      </w:r>
    </w:p>
    <w:p>
      <w:pPr>
        <w:spacing w:line="360" w:lineRule="auto"/>
        <w:ind w:firstLine="480" w:firstLineChars="200"/>
        <w:jc w:val="center"/>
        <w:rPr>
          <w:rFonts w:ascii="Times New Roman" w:hAnsi="Times New Roman" w:cs="Times New Roman"/>
        </w:rPr>
      </w:pPr>
      <w:r>
        <w:rPr>
          <w:rFonts w:ascii="Times New Roman" w:hAnsi="Times New Roman" w:cs="Times New Roman"/>
        </w:rPr>
        <w:drawing>
          <wp:inline distT="0" distB="0" distL="0" distR="0">
            <wp:extent cx="2110740" cy="295275"/>
            <wp:effectExtent l="0" t="0" r="381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2110740" cy="295668"/>
                    </a:xfrm>
                    <a:prstGeom prst="rect">
                      <a:avLst/>
                    </a:prstGeom>
                    <a:noFill/>
                    <a:ln>
                      <a:noFill/>
                    </a:ln>
                  </pic:spPr>
                </pic:pic>
              </a:graphicData>
            </a:graphic>
          </wp:inline>
        </w:drawing>
      </w:r>
    </w:p>
    <w:p>
      <w:pPr>
        <w:spacing w:line="360" w:lineRule="auto"/>
        <w:ind w:firstLine="480" w:firstLineChars="200"/>
        <w:rPr>
          <w:rFonts w:ascii="Times New Roman" w:hAnsi="Times New Roman" w:cs="Times New Roman"/>
        </w:rPr>
      </w:pPr>
      <w:r>
        <w:rPr>
          <w:rFonts w:ascii="Times New Roman" w:hAnsi="Times New Roman" w:cs="Times New Roman"/>
        </w:rPr>
        <w:t>式中：</w:t>
      </w:r>
    </w:p>
    <w:p>
      <w:pPr>
        <w:spacing w:line="360" w:lineRule="auto"/>
        <w:ind w:firstLine="480" w:firstLineChars="200"/>
        <w:rPr>
          <w:rFonts w:ascii="Times New Roman" w:hAnsi="Times New Roman" w:cs="Times New Roman"/>
        </w:rPr>
      </w:pPr>
      <w:r>
        <w:rPr>
          <w:rFonts w:ascii="Times New Roman" w:hAnsi="Times New Roman" w:cs="Times New Roman"/>
        </w:rPr>
        <w:t>LP2i（r）——靠近围护结构处室外N个声源i倍频带的叠加声压级，dB；</w:t>
      </w:r>
    </w:p>
    <w:p>
      <w:pPr>
        <w:spacing w:line="360" w:lineRule="auto"/>
        <w:ind w:firstLine="480" w:firstLineChars="200"/>
        <w:rPr>
          <w:rFonts w:ascii="Times New Roman" w:hAnsi="Times New Roman" w:cs="Times New Roman"/>
        </w:rPr>
      </w:pPr>
      <w:r>
        <w:rPr>
          <w:rFonts w:ascii="Times New Roman" w:hAnsi="Times New Roman" w:cs="Times New Roman"/>
        </w:rPr>
        <w:t>T</w:t>
      </w:r>
      <w:r>
        <w:rPr>
          <w:rFonts w:ascii="Times New Roman" w:hAnsi="Times New Roman" w:cs="Times New Roman"/>
          <w:vertAlign w:val="subscript"/>
        </w:rPr>
        <w:t>li</w:t>
      </w:r>
      <w:r>
        <w:rPr>
          <w:rFonts w:ascii="Times New Roman" w:hAnsi="Times New Roman" w:cs="Times New Roman"/>
        </w:rPr>
        <w:t>——围护结构i倍频带的隔声量，dB。</w:t>
      </w:r>
    </w:p>
    <w:p>
      <w:pPr>
        <w:spacing w:line="360" w:lineRule="auto"/>
        <w:ind w:firstLine="480" w:firstLineChars="200"/>
        <w:rPr>
          <w:rFonts w:ascii="Times New Roman" w:hAnsi="Times New Roman" w:cs="Times New Roman"/>
        </w:rPr>
      </w:pPr>
      <w:r>
        <w:rPr>
          <w:rFonts w:hint="eastAsia" w:ascii="宋体" w:hAnsi="宋体" w:eastAsia="宋体" w:cs="宋体"/>
        </w:rPr>
        <w:t>④</w:t>
      </w:r>
      <w:r>
        <w:rPr>
          <w:rFonts w:ascii="Times New Roman" w:hAnsi="Times New Roman" w:cs="Times New Roman"/>
        </w:rPr>
        <w:t>等效的室外声源中心位置位于透声面积（S）处的等效声源的倍频带声功率级的计算</w:t>
      </w:r>
    </w:p>
    <w:p>
      <w:pPr>
        <w:spacing w:line="360" w:lineRule="auto"/>
        <w:ind w:firstLine="480" w:firstLineChars="200"/>
        <w:jc w:val="center"/>
        <w:rPr>
          <w:rFonts w:ascii="Times New Roman" w:hAnsi="Times New Roman" w:cs="Times New Roman"/>
        </w:rPr>
      </w:pPr>
      <w:r>
        <w:rPr>
          <w:rFonts w:ascii="Times New Roman" w:hAnsi="Times New Roman" w:cs="Times New Roman"/>
        </w:rPr>
        <w:drawing>
          <wp:inline distT="0" distB="0" distL="0" distR="0">
            <wp:extent cx="1485900" cy="30797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1485900" cy="308245"/>
                    </a:xfrm>
                    <a:prstGeom prst="rect">
                      <a:avLst/>
                    </a:prstGeom>
                    <a:noFill/>
                    <a:ln>
                      <a:noFill/>
                    </a:ln>
                  </pic:spPr>
                </pic:pic>
              </a:graphicData>
            </a:graphic>
          </wp:inline>
        </w:drawing>
      </w:r>
    </w:p>
    <w:p>
      <w:pPr>
        <w:spacing w:line="360" w:lineRule="auto"/>
        <w:ind w:firstLine="480" w:firstLineChars="200"/>
        <w:rPr>
          <w:rFonts w:ascii="Times New Roman" w:hAnsi="Times New Roman" w:cs="Times New Roman"/>
        </w:rPr>
      </w:pPr>
      <w:r>
        <w:rPr>
          <w:rFonts w:ascii="Times New Roman" w:hAnsi="Times New Roman" w:cs="Times New Roman"/>
        </w:rPr>
        <w:t>（3）预测点A声级的计算</w:t>
      </w:r>
    </w:p>
    <w:p>
      <w:pPr>
        <w:spacing w:line="360" w:lineRule="auto"/>
        <w:ind w:firstLine="480" w:firstLineChars="200"/>
        <w:jc w:val="center"/>
        <w:rPr>
          <w:rFonts w:ascii="Times New Roman" w:hAnsi="Times New Roman" w:cs="Times New Roman"/>
        </w:rPr>
      </w:pPr>
      <w:r>
        <w:rPr>
          <w:rFonts w:ascii="Times New Roman" w:hAnsi="Times New Roman" w:cs="Times New Roman"/>
        </w:rPr>
        <w:drawing>
          <wp:inline distT="0" distB="0" distL="0" distR="0">
            <wp:extent cx="1600200" cy="3429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1600200" cy="343338"/>
                    </a:xfrm>
                    <a:prstGeom prst="rect">
                      <a:avLst/>
                    </a:prstGeom>
                    <a:noFill/>
                    <a:ln>
                      <a:noFill/>
                    </a:ln>
                  </pic:spPr>
                </pic:pic>
              </a:graphicData>
            </a:graphic>
          </wp:inline>
        </w:drawing>
      </w:r>
    </w:p>
    <w:p>
      <w:pPr>
        <w:spacing w:line="360" w:lineRule="auto"/>
        <w:ind w:firstLine="480" w:firstLineChars="200"/>
        <w:rPr>
          <w:rFonts w:ascii="Times New Roman" w:hAnsi="Times New Roman" w:cs="Times New Roman"/>
        </w:rPr>
      </w:pPr>
      <w:r>
        <w:rPr>
          <w:rFonts w:ascii="Times New Roman" w:hAnsi="Times New Roman" w:cs="Times New Roman"/>
        </w:rPr>
        <w:t>式中：</w:t>
      </w:r>
    </w:p>
    <w:p>
      <w:pPr>
        <w:spacing w:line="360" w:lineRule="auto"/>
        <w:ind w:firstLine="480" w:firstLineChars="200"/>
        <w:rPr>
          <w:rFonts w:ascii="Times New Roman" w:hAnsi="Times New Roman" w:cs="Times New Roman"/>
        </w:rPr>
      </w:pPr>
      <w:r>
        <w:rPr>
          <w:rFonts w:ascii="Times New Roman" w:hAnsi="Times New Roman" w:cs="Times New Roman"/>
        </w:rPr>
        <w:t>LA（r）——预测点（r）处A声级，dB（A）；</w:t>
      </w:r>
    </w:p>
    <w:p>
      <w:pPr>
        <w:spacing w:line="360" w:lineRule="auto"/>
        <w:ind w:firstLine="480" w:firstLineChars="200"/>
        <w:rPr>
          <w:rFonts w:ascii="Times New Roman" w:hAnsi="Times New Roman" w:cs="Times New Roman"/>
        </w:rPr>
      </w:pPr>
      <w:r>
        <w:rPr>
          <w:rFonts w:ascii="Times New Roman" w:hAnsi="Times New Roman" w:cs="Times New Roman"/>
        </w:rPr>
        <w:t>LPi（r）——预测点（r）处，第i倍频带声压级，dB；</w:t>
      </w:r>
    </w:p>
    <w:p>
      <w:pPr>
        <w:spacing w:line="360" w:lineRule="auto"/>
        <w:ind w:firstLine="480" w:firstLineChars="200"/>
        <w:rPr>
          <w:rFonts w:ascii="Times New Roman" w:hAnsi="Times New Roman" w:cs="Times New Roman"/>
        </w:rPr>
      </w:pPr>
      <w:r>
        <w:rPr>
          <w:rFonts w:ascii="Times New Roman" w:hAnsi="Times New Roman" w:cs="Times New Roman"/>
        </w:rPr>
        <w:t>Δli——i倍频带A计权网络修正值，dB。</w:t>
      </w:r>
    </w:p>
    <w:p>
      <w:pPr>
        <w:spacing w:line="360" w:lineRule="auto"/>
        <w:ind w:firstLine="482" w:firstLineChars="200"/>
        <w:rPr>
          <w:rFonts w:ascii="Times New Roman" w:hAnsi="Times New Roman" w:cs="Times New Roman"/>
          <w:b/>
          <w:bCs/>
        </w:rPr>
      </w:pPr>
      <w:r>
        <w:rPr>
          <w:rFonts w:ascii="Times New Roman" w:hAnsi="Times New Roman" w:cs="Times New Roman"/>
          <w:b/>
          <w:bCs/>
        </w:rPr>
        <w:t>6.1.3.4 预测结果</w:t>
      </w:r>
    </w:p>
    <w:p>
      <w:pPr>
        <w:spacing w:line="360" w:lineRule="auto"/>
        <w:ind w:firstLine="480" w:firstLineChars="200"/>
        <w:rPr>
          <w:rFonts w:ascii="Times New Roman" w:hAnsi="Times New Roman" w:cs="Times New Roman"/>
        </w:rPr>
      </w:pPr>
      <w:r>
        <w:rPr>
          <w:rFonts w:ascii="Times New Roman" w:hAnsi="Times New Roman" w:cs="Times New Roman"/>
        </w:rPr>
        <w:t>根据计算，本项目施工期设备同时在靠近厂界处施工时产生的施工噪声在厂界处的噪声见下表。</w:t>
      </w:r>
    </w:p>
    <w:p>
      <w:pPr>
        <w:pStyle w:val="6"/>
        <w:rPr>
          <w:rFonts w:ascii="Times New Roman" w:hAnsi="Times New Roman" w:cs="Times New Roman"/>
        </w:rPr>
      </w:pPr>
      <w:r>
        <w:rPr>
          <w:rFonts w:ascii="Times New Roman" w:hAnsi="Times New Roman" w:cs="Times New Roman"/>
        </w:rPr>
        <w:t>表6.1-3  噪声预测结果单位：dB（A）</w:t>
      </w:r>
    </w:p>
    <w:tbl>
      <w:tblPr>
        <w:tblStyle w:val="35"/>
        <w:tblW w:w="0" w:type="auto"/>
        <w:tblInd w:w="123"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42"/>
        <w:gridCol w:w="2843"/>
        <w:gridCol w:w="28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42" w:type="dxa"/>
            <w:tcBorders>
              <w:top w:val="single" w:color="auto" w:sz="12" w:space="0"/>
              <w:left w:val="single" w:color="auto" w:sz="12" w:space="0"/>
              <w:bottom w:val="single" w:color="auto" w:sz="4" w:space="0"/>
              <w:right w:val="single" w:color="auto" w:sz="4" w:space="0"/>
            </w:tcBorders>
            <w:noWrap/>
            <w:vAlign w:val="center"/>
          </w:tcPr>
          <w:p>
            <w:pPr>
              <w:pStyle w:val="63"/>
            </w:pPr>
            <w:r>
              <w:t>序号</w:t>
            </w:r>
          </w:p>
        </w:tc>
        <w:tc>
          <w:tcPr>
            <w:tcW w:w="2843" w:type="dxa"/>
            <w:tcBorders>
              <w:top w:val="single" w:color="auto" w:sz="12" w:space="0"/>
              <w:left w:val="single" w:color="auto" w:sz="4" w:space="0"/>
              <w:bottom w:val="single" w:color="auto" w:sz="4" w:space="0"/>
              <w:right w:val="single" w:color="auto" w:sz="4" w:space="0"/>
            </w:tcBorders>
            <w:noWrap/>
            <w:vAlign w:val="center"/>
          </w:tcPr>
          <w:p>
            <w:pPr>
              <w:pStyle w:val="63"/>
            </w:pPr>
            <w:r>
              <w:t>噪声预测点</w:t>
            </w:r>
          </w:p>
        </w:tc>
        <w:tc>
          <w:tcPr>
            <w:tcW w:w="2843" w:type="dxa"/>
            <w:tcBorders>
              <w:top w:val="single" w:color="auto" w:sz="12" w:space="0"/>
              <w:left w:val="single" w:color="auto" w:sz="4" w:space="0"/>
              <w:bottom w:val="single" w:color="auto" w:sz="4" w:space="0"/>
              <w:right w:val="single" w:color="auto" w:sz="12" w:space="0"/>
            </w:tcBorders>
            <w:noWrap/>
            <w:vAlign w:val="center"/>
          </w:tcPr>
          <w:p>
            <w:pPr>
              <w:pStyle w:val="63"/>
            </w:pPr>
            <w:r>
              <w:t>施工噪声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42" w:type="dxa"/>
            <w:tcBorders>
              <w:top w:val="single" w:color="auto" w:sz="4" w:space="0"/>
              <w:left w:val="single" w:color="auto" w:sz="12" w:space="0"/>
              <w:bottom w:val="single" w:color="auto" w:sz="4" w:space="0"/>
              <w:right w:val="single" w:color="auto" w:sz="4" w:space="0"/>
            </w:tcBorders>
            <w:noWrap/>
            <w:vAlign w:val="center"/>
          </w:tcPr>
          <w:p>
            <w:pPr>
              <w:pStyle w:val="63"/>
            </w:pPr>
            <w:r>
              <w:t>1</w:t>
            </w:r>
          </w:p>
        </w:tc>
        <w:tc>
          <w:tcPr>
            <w:tcW w:w="2843" w:type="dxa"/>
            <w:tcBorders>
              <w:top w:val="single" w:color="auto" w:sz="4" w:space="0"/>
              <w:left w:val="single" w:color="auto" w:sz="4" w:space="0"/>
              <w:bottom w:val="single" w:color="auto" w:sz="4" w:space="0"/>
              <w:right w:val="single" w:color="auto" w:sz="4" w:space="0"/>
            </w:tcBorders>
            <w:noWrap/>
            <w:vAlign w:val="center"/>
          </w:tcPr>
          <w:p>
            <w:pPr>
              <w:pStyle w:val="63"/>
            </w:pPr>
            <w:r>
              <w:t>厂界东侧外1m</w:t>
            </w:r>
          </w:p>
        </w:tc>
        <w:tc>
          <w:tcPr>
            <w:tcW w:w="2843" w:type="dxa"/>
            <w:tcBorders>
              <w:top w:val="single" w:color="auto" w:sz="4" w:space="0"/>
              <w:left w:val="single" w:color="auto" w:sz="4" w:space="0"/>
              <w:bottom w:val="single" w:color="auto" w:sz="4" w:space="0"/>
              <w:right w:val="single" w:color="auto" w:sz="12" w:space="0"/>
            </w:tcBorders>
            <w:noWrap/>
            <w:vAlign w:val="center"/>
          </w:tcPr>
          <w:p>
            <w:pPr>
              <w:pStyle w:val="63"/>
            </w:pPr>
            <w:r>
              <w:t>55.6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42" w:type="dxa"/>
            <w:tcBorders>
              <w:top w:val="single" w:color="auto" w:sz="4" w:space="0"/>
              <w:left w:val="single" w:color="auto" w:sz="12" w:space="0"/>
              <w:bottom w:val="single" w:color="auto" w:sz="4" w:space="0"/>
              <w:right w:val="single" w:color="auto" w:sz="4" w:space="0"/>
            </w:tcBorders>
            <w:noWrap/>
            <w:vAlign w:val="center"/>
          </w:tcPr>
          <w:p>
            <w:pPr>
              <w:pStyle w:val="63"/>
            </w:pPr>
            <w:r>
              <w:t>2</w:t>
            </w:r>
          </w:p>
        </w:tc>
        <w:tc>
          <w:tcPr>
            <w:tcW w:w="2843" w:type="dxa"/>
            <w:tcBorders>
              <w:top w:val="single" w:color="auto" w:sz="4" w:space="0"/>
              <w:left w:val="single" w:color="auto" w:sz="4" w:space="0"/>
              <w:bottom w:val="single" w:color="auto" w:sz="4" w:space="0"/>
              <w:right w:val="single" w:color="auto" w:sz="4" w:space="0"/>
            </w:tcBorders>
            <w:noWrap/>
            <w:vAlign w:val="center"/>
          </w:tcPr>
          <w:p>
            <w:pPr>
              <w:pStyle w:val="63"/>
            </w:pPr>
            <w:r>
              <w:t>厂界南侧外1m</w:t>
            </w:r>
          </w:p>
        </w:tc>
        <w:tc>
          <w:tcPr>
            <w:tcW w:w="2843" w:type="dxa"/>
            <w:tcBorders>
              <w:top w:val="single" w:color="auto" w:sz="4" w:space="0"/>
              <w:left w:val="single" w:color="auto" w:sz="4" w:space="0"/>
              <w:bottom w:val="single" w:color="auto" w:sz="4" w:space="0"/>
              <w:right w:val="single" w:color="auto" w:sz="12" w:space="0"/>
            </w:tcBorders>
            <w:noWrap/>
            <w:vAlign w:val="center"/>
          </w:tcPr>
          <w:p>
            <w:pPr>
              <w:pStyle w:val="63"/>
            </w:pPr>
            <w:r>
              <w:t>57.3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42" w:type="dxa"/>
            <w:tcBorders>
              <w:top w:val="single" w:color="auto" w:sz="4" w:space="0"/>
              <w:left w:val="single" w:color="auto" w:sz="12" w:space="0"/>
              <w:bottom w:val="single" w:color="auto" w:sz="4" w:space="0"/>
              <w:right w:val="single" w:color="auto" w:sz="4" w:space="0"/>
            </w:tcBorders>
            <w:noWrap/>
            <w:vAlign w:val="center"/>
          </w:tcPr>
          <w:p>
            <w:pPr>
              <w:pStyle w:val="63"/>
            </w:pPr>
            <w:r>
              <w:t>3</w:t>
            </w:r>
          </w:p>
        </w:tc>
        <w:tc>
          <w:tcPr>
            <w:tcW w:w="2843" w:type="dxa"/>
            <w:tcBorders>
              <w:top w:val="single" w:color="auto" w:sz="4" w:space="0"/>
              <w:left w:val="single" w:color="auto" w:sz="4" w:space="0"/>
              <w:bottom w:val="single" w:color="auto" w:sz="4" w:space="0"/>
              <w:right w:val="single" w:color="auto" w:sz="4" w:space="0"/>
            </w:tcBorders>
            <w:noWrap/>
            <w:vAlign w:val="center"/>
          </w:tcPr>
          <w:p>
            <w:pPr>
              <w:pStyle w:val="63"/>
            </w:pPr>
            <w:r>
              <w:t>厂界西侧外1m</w:t>
            </w:r>
          </w:p>
        </w:tc>
        <w:tc>
          <w:tcPr>
            <w:tcW w:w="2843" w:type="dxa"/>
            <w:tcBorders>
              <w:top w:val="single" w:color="auto" w:sz="4" w:space="0"/>
              <w:left w:val="single" w:color="auto" w:sz="4" w:space="0"/>
              <w:bottom w:val="single" w:color="auto" w:sz="4" w:space="0"/>
              <w:right w:val="single" w:color="auto" w:sz="12" w:space="0"/>
            </w:tcBorders>
            <w:noWrap/>
            <w:vAlign w:val="center"/>
          </w:tcPr>
          <w:p>
            <w:pPr>
              <w:pStyle w:val="63"/>
            </w:pPr>
            <w:r>
              <w:t>54.8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42" w:type="dxa"/>
            <w:tcBorders>
              <w:top w:val="single" w:color="auto" w:sz="4" w:space="0"/>
              <w:left w:val="single" w:color="auto" w:sz="12" w:space="0"/>
              <w:bottom w:val="single" w:color="auto" w:sz="12" w:space="0"/>
              <w:right w:val="single" w:color="auto" w:sz="4" w:space="0"/>
            </w:tcBorders>
            <w:noWrap/>
            <w:vAlign w:val="center"/>
          </w:tcPr>
          <w:p>
            <w:pPr>
              <w:pStyle w:val="63"/>
            </w:pPr>
            <w:r>
              <w:t>4</w:t>
            </w:r>
          </w:p>
        </w:tc>
        <w:tc>
          <w:tcPr>
            <w:tcW w:w="2843" w:type="dxa"/>
            <w:tcBorders>
              <w:top w:val="single" w:color="auto" w:sz="4" w:space="0"/>
              <w:left w:val="single" w:color="auto" w:sz="4" w:space="0"/>
              <w:bottom w:val="single" w:color="auto" w:sz="12" w:space="0"/>
              <w:right w:val="single" w:color="auto" w:sz="4" w:space="0"/>
            </w:tcBorders>
            <w:noWrap/>
            <w:vAlign w:val="center"/>
          </w:tcPr>
          <w:p>
            <w:pPr>
              <w:pStyle w:val="63"/>
            </w:pPr>
            <w:r>
              <w:t>厂界北侧外1m</w:t>
            </w:r>
          </w:p>
        </w:tc>
        <w:tc>
          <w:tcPr>
            <w:tcW w:w="2843" w:type="dxa"/>
            <w:tcBorders>
              <w:top w:val="single" w:color="auto" w:sz="4" w:space="0"/>
              <w:left w:val="single" w:color="auto" w:sz="4" w:space="0"/>
              <w:bottom w:val="single" w:color="auto" w:sz="12" w:space="0"/>
              <w:right w:val="single" w:color="auto" w:sz="12" w:space="0"/>
            </w:tcBorders>
            <w:noWrap/>
            <w:vAlign w:val="center"/>
          </w:tcPr>
          <w:p>
            <w:pPr>
              <w:pStyle w:val="63"/>
            </w:pPr>
            <w:r>
              <w:t>56.2</w:t>
            </w:r>
          </w:p>
        </w:tc>
      </w:tr>
    </w:tbl>
    <w:p>
      <w:pPr>
        <w:spacing w:line="360" w:lineRule="auto"/>
        <w:ind w:firstLine="480" w:firstLineChars="200"/>
        <w:rPr>
          <w:rFonts w:ascii="Times New Roman" w:hAnsi="Times New Roman" w:cs="Times New Roman"/>
        </w:rPr>
      </w:pPr>
      <w:r>
        <w:rPr>
          <w:rFonts w:ascii="Times New Roman" w:hAnsi="Times New Roman" w:cs="Times New Roman"/>
        </w:rPr>
        <w:t>由上表可见，本项目施工期各厂界处噪声均达到《建筑施工场界环境噪声排放标准》（GB12523-2011）中标准限值昼间标准，由于本项目夜间不施工，对周边声环境不会产生影响。</w:t>
      </w:r>
    </w:p>
    <w:p>
      <w:pPr>
        <w:pStyle w:val="4"/>
        <w:rPr>
          <w:rFonts w:ascii="Times New Roman" w:hAnsi="Times New Roman" w:cs="Times New Roman"/>
        </w:rPr>
      </w:pPr>
      <w:bookmarkStart w:id="296" w:name="_Toc144236802"/>
      <w:bookmarkStart w:id="297" w:name="_Toc144276932"/>
      <w:bookmarkStart w:id="298" w:name="_Toc147848050"/>
      <w:r>
        <w:rPr>
          <w:rFonts w:ascii="Times New Roman" w:hAnsi="Times New Roman" w:cs="Times New Roman"/>
        </w:rPr>
        <w:t>6.1.4 施工期固体废物影响分析</w:t>
      </w:r>
      <w:bookmarkEnd w:id="296"/>
      <w:bookmarkEnd w:id="297"/>
      <w:bookmarkEnd w:id="298"/>
    </w:p>
    <w:p>
      <w:pPr>
        <w:spacing w:line="360" w:lineRule="auto"/>
        <w:ind w:firstLine="480" w:firstLineChars="200"/>
        <w:rPr>
          <w:rFonts w:ascii="Times New Roman" w:hAnsi="Times New Roman" w:cs="Times New Roman"/>
        </w:rPr>
      </w:pPr>
      <w:r>
        <w:rPr>
          <w:rFonts w:ascii="Times New Roman" w:hAnsi="Times New Roman" w:cs="Times New Roman"/>
        </w:rPr>
        <w:t>施工过程中产生的固体废物主要为建筑渣土及建筑垃圾，包括一些包装袋、碎木块、废混凝土浇注体、地基开挖渣土等，项目施工期建筑垃圾产生量为2762t。项目建筑渣土和建筑垃圾用于低洼地势的回填。项目施工渣土周围环境的污染可控制在较小的范围。项目施工期所有的施工渣土、废料和建筑垃圾可得到合理处置，不会对环境产生不良影响。</w:t>
      </w:r>
    </w:p>
    <w:p>
      <w:pPr>
        <w:spacing w:line="360" w:lineRule="auto"/>
        <w:ind w:firstLine="480" w:firstLineChars="200"/>
        <w:rPr>
          <w:rFonts w:ascii="Times New Roman" w:hAnsi="Times New Roman" w:cs="Times New Roman"/>
        </w:rPr>
      </w:pPr>
      <w:r>
        <w:rPr>
          <w:rFonts w:ascii="Times New Roman" w:hAnsi="Times New Roman" w:cs="Times New Roman"/>
        </w:rPr>
        <w:t>本项目施工期生活垃圾产生量为25kg/d，施工期的施工人员的生活垃圾集中至工地设置的垃圾收集筒后，定期清运。不会对项目用地周围环境造成不良影响。</w:t>
      </w:r>
    </w:p>
    <w:p>
      <w:pPr>
        <w:spacing w:line="360" w:lineRule="auto"/>
        <w:ind w:firstLine="480" w:firstLineChars="200"/>
        <w:rPr>
          <w:rFonts w:ascii="Times New Roman" w:hAnsi="Times New Roman" w:cs="Times New Roman"/>
        </w:rPr>
      </w:pPr>
      <w:r>
        <w:rPr>
          <w:rFonts w:ascii="Times New Roman" w:hAnsi="Times New Roman" w:cs="Times New Roman"/>
        </w:rPr>
        <w:t>综上所述，项目施工期产生的固体废物对周围环境影响较小。</w:t>
      </w:r>
    </w:p>
    <w:p>
      <w:pPr>
        <w:pStyle w:val="4"/>
        <w:rPr>
          <w:rFonts w:ascii="Times New Roman" w:hAnsi="Times New Roman" w:cs="Times New Roman"/>
        </w:rPr>
      </w:pPr>
      <w:bookmarkStart w:id="299" w:name="_Toc144236803"/>
      <w:bookmarkStart w:id="300" w:name="_Toc147848051"/>
      <w:bookmarkStart w:id="301" w:name="_Toc144276933"/>
      <w:r>
        <w:rPr>
          <w:rFonts w:ascii="Times New Roman" w:hAnsi="Times New Roman" w:cs="Times New Roman"/>
        </w:rPr>
        <w:t>6.1.5 施工期生态环境影响分析</w:t>
      </w:r>
      <w:bookmarkEnd w:id="299"/>
      <w:bookmarkEnd w:id="300"/>
      <w:bookmarkEnd w:id="301"/>
    </w:p>
    <w:p>
      <w:pPr>
        <w:spacing w:line="360" w:lineRule="auto"/>
        <w:ind w:firstLine="480" w:firstLineChars="200"/>
        <w:rPr>
          <w:rFonts w:ascii="Times New Roman" w:hAnsi="Times New Roman" w:cs="Times New Roman"/>
        </w:rPr>
      </w:pPr>
      <w:r>
        <w:rPr>
          <w:rFonts w:ascii="Times New Roman" w:hAnsi="Times New Roman" w:cs="Times New Roman"/>
        </w:rPr>
        <w:t>本项目位于湖南衡东经济开发区，项目区用地为工业用地。项目现有地块为空地，植被覆盖率低，主要为杂草。本项目的建设对项目所在区域的生态环境影响较小。</w:t>
      </w:r>
    </w:p>
    <w:p>
      <w:pPr>
        <w:pStyle w:val="4"/>
        <w:rPr>
          <w:rFonts w:ascii="Times New Roman" w:hAnsi="Times New Roman" w:cs="Times New Roman"/>
        </w:rPr>
      </w:pPr>
      <w:bookmarkStart w:id="302" w:name="_Toc144236804"/>
      <w:bookmarkStart w:id="303" w:name="_Toc144276934"/>
      <w:bookmarkStart w:id="304" w:name="_Toc147848052"/>
      <w:r>
        <w:rPr>
          <w:rFonts w:ascii="Times New Roman" w:hAnsi="Times New Roman" w:cs="Times New Roman"/>
        </w:rPr>
        <w:t>6.1.6 水土保持影响分析</w:t>
      </w:r>
      <w:bookmarkEnd w:id="302"/>
      <w:bookmarkEnd w:id="303"/>
      <w:bookmarkEnd w:id="304"/>
    </w:p>
    <w:p>
      <w:pPr>
        <w:spacing w:line="360" w:lineRule="auto"/>
        <w:ind w:firstLine="480" w:firstLineChars="200"/>
        <w:rPr>
          <w:rFonts w:ascii="Times New Roman" w:hAnsi="Times New Roman" w:cs="Times New Roman"/>
        </w:rPr>
      </w:pPr>
      <w:r>
        <w:rPr>
          <w:rFonts w:ascii="Times New Roman" w:hAnsi="Times New Roman" w:cs="Times New Roman"/>
        </w:rPr>
        <w:t>项目在施工过程中将有土石方开挖、回填、基础处理，破坏地表植被，增大地表裸露面积。工程初期，施工前的场地清理工作，需将场地内建筑区域坡地挖填平整，道路用地及施工区内的植被进行清理，工程范围内的植被会遭到破坏，致使该地区的土壤失去保护，增大水土流失的可能性。施工过程中的基础开挖、场区排水等必然出现大量挖方、填方，使周边开挖面的土壤结构发生较大改变，其抵抗侵蚀的能力也随之减弱，极易引发水土流失。加之所在区域暴雨集中、强度大，时程短，突发性强等潜在影响的自然因素，均通过人为生产活动的诱发、引发、触发作用而造成大量的水土流失。</w:t>
      </w:r>
    </w:p>
    <w:p>
      <w:pPr>
        <w:spacing w:line="360" w:lineRule="auto"/>
        <w:ind w:firstLine="480" w:firstLineChars="200"/>
        <w:rPr>
          <w:rFonts w:ascii="Times New Roman" w:hAnsi="Times New Roman" w:cs="Times New Roman"/>
        </w:rPr>
      </w:pPr>
      <w:r>
        <w:rPr>
          <w:rFonts w:ascii="Times New Roman" w:hAnsi="Times New Roman" w:cs="Times New Roman"/>
        </w:rPr>
        <w:t>自然恢复期，对已破坏的地面采取的工程措施和绿化措施，已发挥固土保水的作用，可以达到保护环境、恢复生态的目的。因此工程建成后，自然恢复期的水土流失可以大大减少。可见，工程造成的水土流失主要发生在施工期。</w:t>
      </w:r>
    </w:p>
    <w:p>
      <w:pPr>
        <w:spacing w:line="360" w:lineRule="auto"/>
        <w:ind w:firstLine="480" w:firstLineChars="200"/>
        <w:rPr>
          <w:rFonts w:ascii="Times New Roman" w:hAnsi="Times New Roman" w:cs="Times New Roman"/>
        </w:rPr>
      </w:pPr>
      <w:r>
        <w:rPr>
          <w:rFonts w:ascii="Times New Roman" w:hAnsi="Times New Roman" w:cs="Times New Roman"/>
        </w:rPr>
        <w:t>本项目工程施工期间设置有围墙预防水土流失，结合项目的上述特点，确定本工程水土流失主要产生于施工建设期。</w:t>
      </w:r>
    </w:p>
    <w:p>
      <w:pPr>
        <w:spacing w:line="360" w:lineRule="auto"/>
        <w:ind w:firstLine="480" w:firstLineChars="200"/>
        <w:rPr>
          <w:rFonts w:ascii="Times New Roman" w:hAnsi="Times New Roman" w:cs="Times New Roman"/>
        </w:rPr>
      </w:pPr>
      <w:r>
        <w:rPr>
          <w:rFonts w:ascii="Times New Roman" w:hAnsi="Times New Roman" w:cs="Times New Roman"/>
        </w:rPr>
        <w:t>建设单位施工期应采取有效的水土保持措施，减少水土流失：</w:t>
      </w:r>
    </w:p>
    <w:p>
      <w:pPr>
        <w:spacing w:line="360" w:lineRule="auto"/>
        <w:ind w:firstLine="480" w:firstLineChars="200"/>
        <w:rPr>
          <w:rFonts w:ascii="Times New Roman" w:hAnsi="Times New Roman" w:cs="Times New Roman"/>
        </w:rPr>
      </w:pPr>
      <w:r>
        <w:rPr>
          <w:rFonts w:ascii="Times New Roman" w:hAnsi="Times New Roman" w:cs="Times New Roman"/>
        </w:rPr>
        <w:t>（1）合理选择施工工期，尽量避免在雨季开挖各种基础。</w:t>
      </w:r>
    </w:p>
    <w:p>
      <w:pPr>
        <w:spacing w:line="360" w:lineRule="auto"/>
        <w:ind w:firstLine="480" w:firstLineChars="200"/>
        <w:rPr>
          <w:rFonts w:ascii="Times New Roman" w:hAnsi="Times New Roman" w:cs="Times New Roman"/>
        </w:rPr>
      </w:pPr>
      <w:r>
        <w:rPr>
          <w:rFonts w:ascii="Times New Roman" w:hAnsi="Times New Roman" w:cs="Times New Roman"/>
        </w:rPr>
        <w:t>（2）堆放土石方时，把易产生水土流失的土料堆放在堆放场地中间，开采的块石堆放在其周围，起临时拦挡作用。建议施工单位将开挖的土石方尽快回填，避免产生大量的水土流失。</w:t>
      </w:r>
    </w:p>
    <w:p>
      <w:pPr>
        <w:spacing w:line="360" w:lineRule="auto"/>
        <w:ind w:firstLine="480" w:firstLineChars="200"/>
        <w:rPr>
          <w:rFonts w:ascii="Times New Roman" w:hAnsi="Times New Roman" w:cs="Times New Roman"/>
        </w:rPr>
      </w:pPr>
      <w:r>
        <w:rPr>
          <w:rFonts w:ascii="Times New Roman" w:hAnsi="Times New Roman" w:cs="Times New Roman"/>
        </w:rPr>
        <w:t>（3）在道路的两侧修筑排水沟以便及时排走汇积雨水。</w:t>
      </w:r>
    </w:p>
    <w:p>
      <w:pPr>
        <w:spacing w:line="360" w:lineRule="auto"/>
        <w:ind w:firstLine="480" w:firstLineChars="200"/>
        <w:rPr>
          <w:rFonts w:ascii="Times New Roman" w:hAnsi="Times New Roman" w:cs="Times New Roman"/>
        </w:rPr>
      </w:pPr>
      <w:r>
        <w:rPr>
          <w:rFonts w:ascii="Times New Roman" w:hAnsi="Times New Roman" w:cs="Times New Roman"/>
        </w:rPr>
        <w:t>（4）主体工程完工后，应同时实施绿化计划。</w:t>
      </w:r>
    </w:p>
    <w:p>
      <w:pPr>
        <w:pStyle w:val="4"/>
        <w:rPr>
          <w:rFonts w:ascii="Times New Roman" w:hAnsi="Times New Roman" w:cs="Times New Roman"/>
        </w:rPr>
      </w:pPr>
      <w:bookmarkStart w:id="305" w:name="_Toc144236805"/>
      <w:bookmarkStart w:id="306" w:name="_Toc147848053"/>
      <w:bookmarkStart w:id="307" w:name="_Toc144276935"/>
      <w:r>
        <w:rPr>
          <w:rFonts w:ascii="Times New Roman" w:hAnsi="Times New Roman" w:cs="Times New Roman"/>
        </w:rPr>
        <w:t>6.1.7 施工期小结</w:t>
      </w:r>
      <w:bookmarkEnd w:id="305"/>
      <w:bookmarkEnd w:id="306"/>
      <w:bookmarkEnd w:id="307"/>
    </w:p>
    <w:p>
      <w:pPr>
        <w:spacing w:line="360" w:lineRule="auto"/>
        <w:ind w:firstLine="480" w:firstLineChars="200"/>
        <w:rPr>
          <w:rFonts w:ascii="Times New Roman" w:hAnsi="Times New Roman" w:cs="Times New Roman"/>
        </w:rPr>
      </w:pPr>
      <w:r>
        <w:rPr>
          <w:rFonts w:ascii="Times New Roman" w:hAnsi="Times New Roman" w:cs="Times New Roman"/>
        </w:rPr>
        <w:t>通过以上预测分析，为了把施工噪声、扬尘对环境敏感点的影响降至最低，在施工期，由施工单位负责场地环境管理，并接受当地环保部门监督、管理。项目建设过程中涉及到地基开挖，在施工中，若发现未勘探到的地下文物，应及时上报有关文物管理部门。</w:t>
      </w:r>
    </w:p>
    <w:p>
      <w:pPr>
        <w:spacing w:line="360" w:lineRule="auto"/>
        <w:ind w:firstLine="480" w:firstLineChars="200"/>
        <w:rPr>
          <w:rFonts w:ascii="Times New Roman" w:hAnsi="Times New Roman" w:cs="Times New Roman"/>
        </w:rPr>
      </w:pPr>
      <w:r>
        <w:rPr>
          <w:rFonts w:ascii="Times New Roman" w:hAnsi="Times New Roman" w:cs="Times New Roman"/>
        </w:rPr>
        <w:t>环境管理工作应根据国家有关法律法规及地方环保部门的要求建立一套“环境污染控制管理方案”，并利用其中的“运行控制程序”进行严格管理，以便做到文明施工，把对周围环境造成的污染影响降至最低。</w:t>
      </w:r>
    </w:p>
    <w:p>
      <w:pPr>
        <w:pStyle w:val="3"/>
        <w:rPr>
          <w:rFonts w:ascii="Times New Roman" w:hAnsi="Times New Roman" w:cs="Times New Roman" w:eastAsiaTheme="minorEastAsia"/>
        </w:rPr>
      </w:pPr>
      <w:bookmarkStart w:id="308" w:name="_Toc144236806"/>
      <w:bookmarkStart w:id="309" w:name="_Toc102658224"/>
      <w:bookmarkStart w:id="310" w:name="_Toc144276936"/>
      <w:bookmarkStart w:id="311" w:name="_Toc147848054"/>
      <w:r>
        <w:rPr>
          <w:rFonts w:ascii="Times New Roman" w:hAnsi="Times New Roman" w:cs="Times New Roman" w:eastAsiaTheme="minorEastAsia"/>
        </w:rPr>
        <w:t>6.2 运营期环境影响分析</w:t>
      </w:r>
      <w:bookmarkEnd w:id="308"/>
      <w:bookmarkEnd w:id="309"/>
      <w:bookmarkEnd w:id="310"/>
      <w:bookmarkEnd w:id="311"/>
    </w:p>
    <w:p>
      <w:pPr>
        <w:pStyle w:val="4"/>
        <w:rPr>
          <w:rFonts w:ascii="Times New Roman" w:hAnsi="Times New Roman" w:cs="Times New Roman"/>
        </w:rPr>
      </w:pPr>
      <w:bookmarkStart w:id="312" w:name="_Toc144276937"/>
      <w:bookmarkStart w:id="313" w:name="_Toc144236807"/>
      <w:bookmarkStart w:id="314" w:name="_Toc147848055"/>
      <w:r>
        <w:rPr>
          <w:rFonts w:ascii="Times New Roman" w:hAnsi="Times New Roman" w:cs="Times New Roman"/>
        </w:rPr>
        <w:t>6.2.1 运营期大气环境影响分析</w:t>
      </w:r>
      <w:bookmarkEnd w:id="312"/>
      <w:bookmarkEnd w:id="313"/>
      <w:bookmarkEnd w:id="314"/>
    </w:p>
    <w:p>
      <w:pPr>
        <w:pStyle w:val="5"/>
        <w:ind w:firstLine="482"/>
        <w:rPr>
          <w:rFonts w:ascii="Times New Roman" w:hAnsi="Times New Roman" w:cs="Times New Roman" w:eastAsiaTheme="minorEastAsia"/>
        </w:rPr>
      </w:pPr>
      <w:r>
        <w:rPr>
          <w:rFonts w:ascii="Times New Roman" w:hAnsi="Times New Roman" w:cs="Times New Roman" w:eastAsiaTheme="minorEastAsia"/>
        </w:rPr>
        <w:t>6.2.1.1 气象资料</w:t>
      </w:r>
    </w:p>
    <w:p>
      <w:pPr>
        <w:spacing w:line="360" w:lineRule="auto"/>
        <w:ind w:firstLine="482" w:firstLineChars="200"/>
        <w:rPr>
          <w:rFonts w:ascii="Times New Roman" w:hAnsi="Times New Roman" w:cs="Times New Roman"/>
          <w:b/>
        </w:rPr>
      </w:pPr>
      <w:r>
        <w:rPr>
          <w:rFonts w:ascii="Times New Roman" w:hAnsi="Times New Roman" w:cs="Times New Roman"/>
          <w:b/>
        </w:rPr>
        <w:t>1、多年常规气象数据分析</w:t>
      </w:r>
    </w:p>
    <w:p>
      <w:pPr>
        <w:spacing w:line="360" w:lineRule="auto"/>
        <w:ind w:firstLine="480"/>
        <w:rPr>
          <w:rFonts w:ascii="Times New Roman" w:hAnsi="Times New Roman" w:cs="Times New Roman"/>
        </w:rPr>
      </w:pPr>
      <w:r>
        <w:rPr>
          <w:rFonts w:ascii="Times New Roman" w:hAnsi="Times New Roman" w:cs="Times New Roman"/>
        </w:rPr>
        <w:t>（1）资料来源</w:t>
      </w:r>
    </w:p>
    <w:p>
      <w:pPr>
        <w:spacing w:line="360" w:lineRule="auto"/>
        <w:ind w:firstLine="480"/>
        <w:rPr>
          <w:rFonts w:ascii="Times New Roman" w:hAnsi="Times New Roman" w:cs="Times New Roman"/>
        </w:rPr>
      </w:pPr>
      <w:r>
        <w:rPr>
          <w:rFonts w:ascii="Times New Roman" w:hAnsi="Times New Roman" w:cs="Times New Roman"/>
        </w:rPr>
        <w:t>本评价采用衡东气象站2003年-2022年的常规气象统计资料，气象站地理坐标为东经112.9847°，北纬27.0525°，海拔高度109m。</w:t>
      </w:r>
    </w:p>
    <w:p>
      <w:pPr>
        <w:spacing w:line="360" w:lineRule="auto"/>
        <w:ind w:firstLine="480"/>
        <w:rPr>
          <w:rFonts w:ascii="Times New Roman" w:hAnsi="Times New Roman" w:cs="Times New Roman"/>
        </w:rPr>
      </w:pPr>
      <w:r>
        <w:rPr>
          <w:rFonts w:ascii="Times New Roman" w:hAnsi="Times New Roman" w:cs="Times New Roman"/>
        </w:rPr>
        <w:t>（2）气候特征</w:t>
      </w:r>
    </w:p>
    <w:p>
      <w:pPr>
        <w:spacing w:line="360" w:lineRule="auto"/>
        <w:ind w:firstLine="480"/>
        <w:rPr>
          <w:rFonts w:ascii="Times New Roman" w:hAnsi="Times New Roman" w:cs="Times New Roman"/>
        </w:rPr>
      </w:pPr>
      <w:r>
        <w:rPr>
          <w:rFonts w:ascii="Times New Roman" w:hAnsi="Times New Roman" w:cs="Times New Roman"/>
        </w:rPr>
        <w:t>根据气象站统计资料，衡东多年平均气温18.58</w:t>
      </w:r>
      <w:r>
        <w:rPr>
          <w:rFonts w:hint="eastAsia" w:ascii="宋体" w:hAnsi="宋体" w:eastAsia="宋体" w:cs="宋体"/>
        </w:rPr>
        <w:t>℃</w:t>
      </w:r>
      <w:r>
        <w:rPr>
          <w:rFonts w:ascii="Times New Roman" w:hAnsi="Times New Roman" w:cs="Times New Roman"/>
        </w:rPr>
        <w:t>，多年平均气压1006.6hPa，多年平均降水量1334.0mm，多年平均相对湿度为78.1%，多年平均风速1.5m/s，多年主导风向为N、风向频率为15%。</w:t>
      </w:r>
    </w:p>
    <w:p>
      <w:pPr>
        <w:pStyle w:val="6"/>
        <w:rPr>
          <w:rFonts w:ascii="Times New Roman" w:hAnsi="Times New Roman" w:cs="Times New Roman"/>
          <w:lang w:val="zh-CN"/>
        </w:rPr>
      </w:pPr>
      <w:r>
        <w:rPr>
          <w:rFonts w:ascii="Times New Roman" w:hAnsi="Times New Roman" w:cs="Times New Roman"/>
          <w:lang w:val="zh-CN"/>
        </w:rPr>
        <w:t>表</w:t>
      </w:r>
      <w:r>
        <w:rPr>
          <w:rFonts w:ascii="Times New Roman" w:hAnsi="Times New Roman" w:cs="Times New Roman"/>
        </w:rPr>
        <w:t>6</w:t>
      </w:r>
      <w:r>
        <w:rPr>
          <w:rFonts w:ascii="Times New Roman" w:hAnsi="Times New Roman" w:cs="Times New Roman"/>
          <w:lang w:val="zh-CN"/>
        </w:rPr>
        <w:t>.2.1-1  衡东气象站常规气象项目统计（2003-2022）</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1448"/>
        <w:gridCol w:w="2394"/>
        <w:gridCol w:w="1417"/>
        <w:gridCol w:w="1730"/>
        <w:gridCol w:w="1354"/>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303" w:type="pct"/>
            <w:gridSpan w:val="2"/>
            <w:tcBorders>
              <w:top w:val="single" w:color="000000" w:sz="12" w:space="0"/>
              <w:left w:val="single" w:color="000000" w:sz="12" w:space="0"/>
              <w:bottom w:val="single" w:color="000000" w:sz="6" w:space="0"/>
              <w:right w:val="single" w:color="000000" w:sz="6" w:space="0"/>
            </w:tcBorders>
            <w:vAlign w:val="center"/>
          </w:tcPr>
          <w:p>
            <w:pPr>
              <w:pStyle w:val="63"/>
              <w:rPr>
                <w:lang w:val="zh-CN"/>
              </w:rPr>
            </w:pPr>
            <w:r>
              <w:rPr>
                <w:lang w:val="zh-CN"/>
              </w:rPr>
              <w:t>统计项目</w:t>
            </w:r>
          </w:p>
        </w:tc>
        <w:tc>
          <w:tcPr>
            <w:tcW w:w="849" w:type="pct"/>
            <w:tcBorders>
              <w:top w:val="single" w:color="000000" w:sz="12" w:space="0"/>
              <w:left w:val="single" w:color="000000" w:sz="6" w:space="0"/>
              <w:bottom w:val="single" w:color="000000" w:sz="6" w:space="0"/>
              <w:right w:val="single" w:color="000000" w:sz="6" w:space="0"/>
            </w:tcBorders>
            <w:vAlign w:val="center"/>
          </w:tcPr>
          <w:p>
            <w:pPr>
              <w:pStyle w:val="63"/>
              <w:rPr>
                <w:lang w:val="zh-CN"/>
              </w:rPr>
            </w:pPr>
            <w:r>
              <w:rPr>
                <w:lang w:val="zh-CN"/>
              </w:rPr>
              <w:t>统计值</w:t>
            </w:r>
          </w:p>
        </w:tc>
        <w:tc>
          <w:tcPr>
            <w:tcW w:w="1037" w:type="pct"/>
            <w:tcBorders>
              <w:top w:val="single" w:color="000000" w:sz="12" w:space="0"/>
              <w:left w:val="single" w:color="000000" w:sz="6" w:space="0"/>
              <w:bottom w:val="single" w:color="000000" w:sz="6" w:space="0"/>
              <w:right w:val="single" w:color="000000" w:sz="6" w:space="0"/>
            </w:tcBorders>
            <w:vAlign w:val="center"/>
          </w:tcPr>
          <w:p>
            <w:pPr>
              <w:pStyle w:val="63"/>
              <w:rPr>
                <w:lang w:val="zh-CN"/>
              </w:rPr>
            </w:pPr>
            <w:r>
              <w:rPr>
                <w:lang w:val="zh-CN"/>
              </w:rPr>
              <w:t>极值出现时间</w:t>
            </w:r>
          </w:p>
        </w:tc>
        <w:tc>
          <w:tcPr>
            <w:tcW w:w="811" w:type="pct"/>
            <w:tcBorders>
              <w:top w:val="single" w:color="000000" w:sz="12" w:space="0"/>
              <w:left w:val="single" w:color="000000" w:sz="6" w:space="0"/>
              <w:bottom w:val="single" w:color="000000" w:sz="6" w:space="0"/>
              <w:right w:val="single" w:color="000000" w:sz="12" w:space="0"/>
            </w:tcBorders>
            <w:vAlign w:val="center"/>
          </w:tcPr>
          <w:p>
            <w:pPr>
              <w:pStyle w:val="63"/>
              <w:rPr>
                <w:lang w:val="zh-CN"/>
              </w:rPr>
            </w:pPr>
            <w:r>
              <w:rPr>
                <w:lang w:val="zh-CN"/>
              </w:rPr>
              <w:t>极值</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303" w:type="pct"/>
            <w:gridSpan w:val="2"/>
            <w:tcBorders>
              <w:top w:val="single" w:color="000000" w:sz="6" w:space="0"/>
              <w:left w:val="single" w:color="000000" w:sz="12" w:space="0"/>
              <w:bottom w:val="single" w:color="000000" w:sz="6" w:space="0"/>
              <w:right w:val="single" w:color="000000" w:sz="6" w:space="0"/>
            </w:tcBorders>
            <w:vAlign w:val="center"/>
          </w:tcPr>
          <w:p>
            <w:pPr>
              <w:pStyle w:val="63"/>
              <w:rPr>
                <w:lang w:val="zh-CN"/>
              </w:rPr>
            </w:pPr>
            <w:r>
              <w:rPr>
                <w:lang w:val="zh-CN"/>
              </w:rPr>
              <w:t>多年平均气温（</w:t>
            </w:r>
            <w:r>
              <w:rPr>
                <w:rFonts w:hint="eastAsia" w:ascii="宋体" w:hAnsi="宋体" w:eastAsia="宋体" w:cs="宋体"/>
                <w:lang w:val="zh-CN"/>
              </w:rPr>
              <w:t>℃</w:t>
            </w:r>
            <w:r>
              <w:rPr>
                <w:lang w:val="zh-CN"/>
              </w:rPr>
              <w:t>）</w:t>
            </w:r>
          </w:p>
        </w:tc>
        <w:tc>
          <w:tcPr>
            <w:tcW w:w="849" w:type="pct"/>
            <w:tcBorders>
              <w:top w:val="single" w:color="000000" w:sz="6" w:space="0"/>
              <w:left w:val="single" w:color="000000" w:sz="6" w:space="0"/>
              <w:bottom w:val="single" w:color="000000" w:sz="6" w:space="0"/>
              <w:right w:val="single" w:color="000000" w:sz="6" w:space="0"/>
            </w:tcBorders>
            <w:vAlign w:val="center"/>
          </w:tcPr>
          <w:p>
            <w:pPr>
              <w:pStyle w:val="63"/>
            </w:pPr>
            <w:r>
              <w:t>18.58</w:t>
            </w:r>
          </w:p>
        </w:tc>
        <w:tc>
          <w:tcPr>
            <w:tcW w:w="1037" w:type="pct"/>
            <w:tcBorders>
              <w:top w:val="single" w:color="000000" w:sz="6" w:space="0"/>
              <w:left w:val="single" w:color="000000" w:sz="6" w:space="0"/>
              <w:bottom w:val="single" w:color="000000" w:sz="6" w:space="0"/>
              <w:right w:val="single" w:color="000000" w:sz="6" w:space="0"/>
            </w:tcBorders>
            <w:vAlign w:val="center"/>
          </w:tcPr>
          <w:p>
            <w:pPr>
              <w:pStyle w:val="63"/>
              <w:rPr>
                <w:lang w:val="zh-CN"/>
              </w:rPr>
            </w:pPr>
          </w:p>
        </w:tc>
        <w:tc>
          <w:tcPr>
            <w:tcW w:w="811" w:type="pct"/>
            <w:tcBorders>
              <w:top w:val="single" w:color="000000" w:sz="6" w:space="0"/>
              <w:left w:val="single" w:color="000000" w:sz="6" w:space="0"/>
              <w:bottom w:val="single" w:color="000000" w:sz="6" w:space="0"/>
              <w:right w:val="single" w:color="000000" w:sz="12" w:space="0"/>
            </w:tcBorders>
            <w:vAlign w:val="center"/>
          </w:tcPr>
          <w:p>
            <w:pPr>
              <w:pStyle w:val="63"/>
              <w:rPr>
                <w:lang w:val="zh-CN"/>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303" w:type="pct"/>
            <w:gridSpan w:val="2"/>
            <w:tcBorders>
              <w:top w:val="single" w:color="000000" w:sz="6" w:space="0"/>
              <w:left w:val="single" w:color="000000" w:sz="12" w:space="0"/>
              <w:bottom w:val="single" w:color="000000" w:sz="6" w:space="0"/>
              <w:right w:val="single" w:color="000000" w:sz="6" w:space="0"/>
            </w:tcBorders>
            <w:vAlign w:val="center"/>
          </w:tcPr>
          <w:p>
            <w:pPr>
              <w:pStyle w:val="63"/>
              <w:rPr>
                <w:lang w:val="zh-CN"/>
              </w:rPr>
            </w:pPr>
            <w:r>
              <w:rPr>
                <w:lang w:val="zh-CN"/>
              </w:rPr>
              <w:t>累年极端最高气温（</w:t>
            </w:r>
            <w:r>
              <w:rPr>
                <w:rFonts w:hint="eastAsia" w:ascii="宋体" w:hAnsi="宋体" w:eastAsia="宋体" w:cs="宋体"/>
                <w:lang w:val="zh-CN"/>
              </w:rPr>
              <w:t>℃</w:t>
            </w:r>
            <w:r>
              <w:rPr>
                <w:lang w:val="zh-CN"/>
              </w:rPr>
              <w:t>）</w:t>
            </w:r>
          </w:p>
        </w:tc>
        <w:tc>
          <w:tcPr>
            <w:tcW w:w="849" w:type="pct"/>
            <w:tcBorders>
              <w:top w:val="single" w:color="000000" w:sz="6" w:space="0"/>
              <w:left w:val="single" w:color="000000" w:sz="6" w:space="0"/>
              <w:bottom w:val="single" w:color="000000" w:sz="6" w:space="0"/>
              <w:right w:val="single" w:color="000000" w:sz="6" w:space="0"/>
            </w:tcBorders>
            <w:vAlign w:val="center"/>
          </w:tcPr>
          <w:p>
            <w:pPr>
              <w:pStyle w:val="63"/>
            </w:pPr>
            <w:r>
              <w:t>39.0</w:t>
            </w:r>
          </w:p>
        </w:tc>
        <w:tc>
          <w:tcPr>
            <w:tcW w:w="1037" w:type="pct"/>
            <w:tcBorders>
              <w:top w:val="single" w:color="000000" w:sz="6" w:space="0"/>
              <w:left w:val="single" w:color="000000" w:sz="6" w:space="0"/>
              <w:bottom w:val="single" w:color="000000" w:sz="6" w:space="0"/>
              <w:right w:val="single" w:color="000000" w:sz="6" w:space="0"/>
            </w:tcBorders>
            <w:vAlign w:val="center"/>
          </w:tcPr>
          <w:p>
            <w:pPr>
              <w:pStyle w:val="63"/>
              <w:rPr>
                <w:lang w:val="zh-CN"/>
              </w:rPr>
            </w:pPr>
            <w:r>
              <w:rPr>
                <w:lang w:val="zh-CN"/>
              </w:rPr>
              <w:t>2003-08-03</w:t>
            </w:r>
          </w:p>
        </w:tc>
        <w:tc>
          <w:tcPr>
            <w:tcW w:w="811" w:type="pct"/>
            <w:tcBorders>
              <w:top w:val="single" w:color="000000" w:sz="6" w:space="0"/>
              <w:left w:val="single" w:color="000000" w:sz="6" w:space="0"/>
              <w:bottom w:val="single" w:color="000000" w:sz="6" w:space="0"/>
              <w:right w:val="single" w:color="000000" w:sz="12" w:space="0"/>
            </w:tcBorders>
            <w:vAlign w:val="center"/>
          </w:tcPr>
          <w:p>
            <w:pPr>
              <w:pStyle w:val="63"/>
            </w:pPr>
            <w:r>
              <w:t>41.2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303" w:type="pct"/>
            <w:gridSpan w:val="2"/>
            <w:tcBorders>
              <w:top w:val="single" w:color="000000" w:sz="6" w:space="0"/>
              <w:left w:val="single" w:color="000000" w:sz="12" w:space="0"/>
              <w:bottom w:val="single" w:color="000000" w:sz="6" w:space="0"/>
              <w:right w:val="single" w:color="000000" w:sz="6" w:space="0"/>
            </w:tcBorders>
            <w:vAlign w:val="center"/>
          </w:tcPr>
          <w:p>
            <w:pPr>
              <w:pStyle w:val="63"/>
              <w:rPr>
                <w:lang w:val="zh-CN"/>
              </w:rPr>
            </w:pPr>
            <w:r>
              <w:rPr>
                <w:lang w:val="zh-CN"/>
              </w:rPr>
              <w:t>累年极端最低气温（</w:t>
            </w:r>
            <w:r>
              <w:rPr>
                <w:rFonts w:hint="eastAsia" w:ascii="宋体" w:hAnsi="宋体" w:eastAsia="宋体" w:cs="宋体"/>
                <w:lang w:val="zh-CN"/>
              </w:rPr>
              <w:t>℃</w:t>
            </w:r>
            <w:r>
              <w:rPr>
                <w:lang w:val="zh-CN"/>
              </w:rPr>
              <w:t>）</w:t>
            </w:r>
          </w:p>
        </w:tc>
        <w:tc>
          <w:tcPr>
            <w:tcW w:w="849" w:type="pct"/>
            <w:tcBorders>
              <w:top w:val="single" w:color="000000" w:sz="6" w:space="0"/>
              <w:left w:val="single" w:color="000000" w:sz="6" w:space="0"/>
              <w:bottom w:val="single" w:color="000000" w:sz="6" w:space="0"/>
              <w:right w:val="single" w:color="000000" w:sz="6" w:space="0"/>
            </w:tcBorders>
            <w:vAlign w:val="center"/>
          </w:tcPr>
          <w:p>
            <w:pPr>
              <w:pStyle w:val="63"/>
            </w:pPr>
            <w:r>
              <w:t>-2.6</w:t>
            </w:r>
          </w:p>
        </w:tc>
        <w:tc>
          <w:tcPr>
            <w:tcW w:w="1037" w:type="pct"/>
            <w:tcBorders>
              <w:top w:val="single" w:color="000000" w:sz="6" w:space="0"/>
              <w:left w:val="single" w:color="000000" w:sz="6" w:space="0"/>
              <w:bottom w:val="single" w:color="000000" w:sz="6" w:space="0"/>
              <w:right w:val="single" w:color="000000" w:sz="6" w:space="0"/>
            </w:tcBorders>
            <w:vAlign w:val="center"/>
          </w:tcPr>
          <w:p>
            <w:pPr>
              <w:pStyle w:val="63"/>
            </w:pPr>
            <w:r>
              <w:t>2008-02-03</w:t>
            </w:r>
          </w:p>
        </w:tc>
        <w:tc>
          <w:tcPr>
            <w:tcW w:w="811" w:type="pct"/>
            <w:tcBorders>
              <w:top w:val="single" w:color="000000" w:sz="6" w:space="0"/>
              <w:left w:val="single" w:color="000000" w:sz="6" w:space="0"/>
              <w:bottom w:val="single" w:color="000000" w:sz="6" w:space="0"/>
              <w:right w:val="single" w:color="000000" w:sz="12" w:space="0"/>
            </w:tcBorders>
            <w:vAlign w:val="center"/>
          </w:tcPr>
          <w:p>
            <w:pPr>
              <w:pStyle w:val="63"/>
            </w:pPr>
            <w:r>
              <w:t>-5.4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303" w:type="pct"/>
            <w:gridSpan w:val="2"/>
            <w:tcBorders>
              <w:top w:val="single" w:color="000000" w:sz="6" w:space="0"/>
              <w:left w:val="single" w:color="000000" w:sz="12" w:space="0"/>
              <w:bottom w:val="single" w:color="000000" w:sz="6" w:space="0"/>
              <w:right w:val="single" w:color="000000" w:sz="6" w:space="0"/>
            </w:tcBorders>
            <w:vAlign w:val="center"/>
          </w:tcPr>
          <w:p>
            <w:pPr>
              <w:pStyle w:val="63"/>
              <w:rPr>
                <w:lang w:val="zh-CN"/>
              </w:rPr>
            </w:pPr>
            <w:r>
              <w:rPr>
                <w:lang w:val="zh-CN"/>
              </w:rPr>
              <w:t>多年平均气压（hPa）</w:t>
            </w:r>
          </w:p>
        </w:tc>
        <w:tc>
          <w:tcPr>
            <w:tcW w:w="849" w:type="pct"/>
            <w:tcBorders>
              <w:top w:val="single" w:color="000000" w:sz="6" w:space="0"/>
              <w:left w:val="single" w:color="000000" w:sz="6" w:space="0"/>
              <w:bottom w:val="single" w:color="000000" w:sz="6" w:space="0"/>
              <w:right w:val="single" w:color="000000" w:sz="6" w:space="0"/>
            </w:tcBorders>
            <w:vAlign w:val="center"/>
          </w:tcPr>
          <w:p>
            <w:pPr>
              <w:pStyle w:val="63"/>
            </w:pPr>
            <w:r>
              <w:t>1006.6</w:t>
            </w:r>
          </w:p>
        </w:tc>
        <w:tc>
          <w:tcPr>
            <w:tcW w:w="1037" w:type="pct"/>
            <w:tcBorders>
              <w:top w:val="single" w:color="000000" w:sz="6" w:space="0"/>
              <w:left w:val="single" w:color="000000" w:sz="6" w:space="0"/>
              <w:bottom w:val="single" w:color="000000" w:sz="6" w:space="0"/>
              <w:right w:val="single" w:color="000000" w:sz="6" w:space="0"/>
            </w:tcBorders>
            <w:vAlign w:val="center"/>
          </w:tcPr>
          <w:p>
            <w:pPr>
              <w:pStyle w:val="63"/>
              <w:rPr>
                <w:lang w:val="zh-CN"/>
              </w:rPr>
            </w:pPr>
          </w:p>
        </w:tc>
        <w:tc>
          <w:tcPr>
            <w:tcW w:w="811" w:type="pct"/>
            <w:tcBorders>
              <w:top w:val="single" w:color="000000" w:sz="6" w:space="0"/>
              <w:left w:val="single" w:color="000000" w:sz="6" w:space="0"/>
              <w:bottom w:val="single" w:color="000000" w:sz="6" w:space="0"/>
              <w:right w:val="single" w:color="000000" w:sz="12" w:space="0"/>
            </w:tcBorders>
            <w:vAlign w:val="center"/>
          </w:tcPr>
          <w:p>
            <w:pPr>
              <w:pStyle w:val="63"/>
              <w:rPr>
                <w:lang w:val="zh-CN"/>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303" w:type="pct"/>
            <w:gridSpan w:val="2"/>
            <w:tcBorders>
              <w:top w:val="single" w:color="000000" w:sz="6" w:space="0"/>
              <w:left w:val="single" w:color="000000" w:sz="12" w:space="0"/>
              <w:bottom w:val="single" w:color="000000" w:sz="6" w:space="0"/>
              <w:right w:val="single" w:color="000000" w:sz="6" w:space="0"/>
            </w:tcBorders>
            <w:vAlign w:val="center"/>
          </w:tcPr>
          <w:p>
            <w:pPr>
              <w:pStyle w:val="63"/>
              <w:rPr>
                <w:lang w:val="zh-CN"/>
              </w:rPr>
            </w:pPr>
            <w:r>
              <w:rPr>
                <w:lang w:val="zh-CN"/>
              </w:rPr>
              <w:t>多年平均相对湿度（%）</w:t>
            </w:r>
          </w:p>
        </w:tc>
        <w:tc>
          <w:tcPr>
            <w:tcW w:w="849" w:type="pct"/>
            <w:tcBorders>
              <w:top w:val="single" w:color="000000" w:sz="6" w:space="0"/>
              <w:left w:val="single" w:color="000000" w:sz="6" w:space="0"/>
              <w:bottom w:val="single" w:color="000000" w:sz="6" w:space="0"/>
              <w:right w:val="single" w:color="000000" w:sz="6" w:space="0"/>
            </w:tcBorders>
            <w:vAlign w:val="center"/>
          </w:tcPr>
          <w:p>
            <w:pPr>
              <w:pStyle w:val="63"/>
            </w:pPr>
            <w:r>
              <w:t>78.1</w:t>
            </w:r>
          </w:p>
        </w:tc>
        <w:tc>
          <w:tcPr>
            <w:tcW w:w="1037" w:type="pct"/>
            <w:tcBorders>
              <w:top w:val="single" w:color="000000" w:sz="6" w:space="0"/>
              <w:left w:val="single" w:color="000000" w:sz="6" w:space="0"/>
              <w:bottom w:val="single" w:color="000000" w:sz="6" w:space="0"/>
              <w:right w:val="single" w:color="000000" w:sz="6" w:space="0"/>
            </w:tcBorders>
            <w:vAlign w:val="center"/>
          </w:tcPr>
          <w:p>
            <w:pPr>
              <w:pStyle w:val="63"/>
              <w:rPr>
                <w:lang w:val="zh-CN"/>
              </w:rPr>
            </w:pPr>
          </w:p>
        </w:tc>
        <w:tc>
          <w:tcPr>
            <w:tcW w:w="811" w:type="pct"/>
            <w:tcBorders>
              <w:top w:val="single" w:color="000000" w:sz="6" w:space="0"/>
              <w:left w:val="single" w:color="000000" w:sz="6" w:space="0"/>
              <w:bottom w:val="single" w:color="000000" w:sz="6" w:space="0"/>
              <w:right w:val="single" w:color="000000" w:sz="12" w:space="0"/>
            </w:tcBorders>
            <w:vAlign w:val="center"/>
          </w:tcPr>
          <w:p>
            <w:pPr>
              <w:pStyle w:val="63"/>
              <w:rPr>
                <w:lang w:val="zh-CN"/>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303" w:type="pct"/>
            <w:gridSpan w:val="2"/>
            <w:tcBorders>
              <w:top w:val="single" w:color="000000" w:sz="6" w:space="0"/>
              <w:left w:val="single" w:color="000000" w:sz="12" w:space="0"/>
              <w:bottom w:val="single" w:color="000000" w:sz="6" w:space="0"/>
              <w:right w:val="single" w:color="000000" w:sz="6" w:space="0"/>
            </w:tcBorders>
            <w:vAlign w:val="center"/>
          </w:tcPr>
          <w:p>
            <w:pPr>
              <w:pStyle w:val="63"/>
            </w:pPr>
            <w:r>
              <w:rPr>
                <w:lang w:val="zh-CN"/>
              </w:rPr>
              <w:t>多年平均降雨量</w:t>
            </w:r>
            <w:r>
              <w:t>（mm）</w:t>
            </w:r>
          </w:p>
        </w:tc>
        <w:tc>
          <w:tcPr>
            <w:tcW w:w="849" w:type="pct"/>
            <w:tcBorders>
              <w:top w:val="single" w:color="000000" w:sz="6" w:space="0"/>
              <w:left w:val="single" w:color="000000" w:sz="6" w:space="0"/>
              <w:bottom w:val="single" w:color="000000" w:sz="6" w:space="0"/>
              <w:right w:val="single" w:color="000000" w:sz="6" w:space="0"/>
            </w:tcBorders>
            <w:vAlign w:val="center"/>
          </w:tcPr>
          <w:p>
            <w:pPr>
              <w:pStyle w:val="63"/>
            </w:pPr>
            <w:r>
              <w:t>1344.0</w:t>
            </w:r>
          </w:p>
        </w:tc>
        <w:tc>
          <w:tcPr>
            <w:tcW w:w="1037" w:type="pct"/>
            <w:tcBorders>
              <w:top w:val="single" w:color="000000" w:sz="6" w:space="0"/>
              <w:left w:val="single" w:color="000000" w:sz="6" w:space="0"/>
              <w:bottom w:val="single" w:color="000000" w:sz="6" w:space="0"/>
              <w:right w:val="single" w:color="000000" w:sz="6" w:space="0"/>
            </w:tcBorders>
            <w:vAlign w:val="center"/>
          </w:tcPr>
          <w:p>
            <w:pPr>
              <w:pStyle w:val="63"/>
            </w:pPr>
            <w:r>
              <w:t>2007-08-21</w:t>
            </w:r>
          </w:p>
        </w:tc>
        <w:tc>
          <w:tcPr>
            <w:tcW w:w="811" w:type="pct"/>
            <w:tcBorders>
              <w:top w:val="single" w:color="000000" w:sz="6" w:space="0"/>
              <w:left w:val="single" w:color="000000" w:sz="6" w:space="0"/>
              <w:bottom w:val="single" w:color="000000" w:sz="6" w:space="0"/>
              <w:right w:val="single" w:color="000000" w:sz="12" w:space="0"/>
            </w:tcBorders>
            <w:vAlign w:val="center"/>
          </w:tcPr>
          <w:p>
            <w:pPr>
              <w:pStyle w:val="63"/>
            </w:pPr>
            <w:r>
              <w:t>151.9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868" w:type="pct"/>
            <w:vMerge w:val="restart"/>
            <w:tcBorders>
              <w:top w:val="single" w:color="000000" w:sz="6" w:space="0"/>
              <w:left w:val="single" w:color="000000" w:sz="12" w:space="0"/>
              <w:bottom w:val="single" w:color="000000" w:sz="6" w:space="0"/>
              <w:right w:val="single" w:color="000000" w:sz="6" w:space="0"/>
            </w:tcBorders>
            <w:vAlign w:val="center"/>
          </w:tcPr>
          <w:p>
            <w:pPr>
              <w:pStyle w:val="63"/>
              <w:rPr>
                <w:lang w:val="zh-CN"/>
              </w:rPr>
            </w:pPr>
            <w:r>
              <w:rPr>
                <w:lang w:val="zh-CN"/>
              </w:rPr>
              <w:t>灾害天气统计</w:t>
            </w:r>
          </w:p>
        </w:tc>
        <w:tc>
          <w:tcPr>
            <w:tcW w:w="1435" w:type="pct"/>
            <w:tcBorders>
              <w:top w:val="single" w:color="000000" w:sz="6" w:space="0"/>
              <w:left w:val="single" w:color="000000" w:sz="6" w:space="0"/>
              <w:bottom w:val="single" w:color="000000" w:sz="6" w:space="0"/>
              <w:right w:val="single" w:color="000000" w:sz="6" w:space="0"/>
            </w:tcBorders>
            <w:vAlign w:val="center"/>
          </w:tcPr>
          <w:p>
            <w:pPr>
              <w:pStyle w:val="63"/>
              <w:rPr>
                <w:lang w:val="zh-CN"/>
              </w:rPr>
            </w:pPr>
            <w:r>
              <w:rPr>
                <w:lang w:val="zh-CN"/>
              </w:rPr>
              <w:t>多年平均雷暴日数（d）</w:t>
            </w:r>
          </w:p>
        </w:tc>
        <w:tc>
          <w:tcPr>
            <w:tcW w:w="849" w:type="pct"/>
            <w:tcBorders>
              <w:top w:val="single" w:color="000000" w:sz="6" w:space="0"/>
              <w:left w:val="single" w:color="000000" w:sz="6" w:space="0"/>
              <w:bottom w:val="single" w:color="000000" w:sz="6" w:space="0"/>
              <w:right w:val="single" w:color="000000" w:sz="6" w:space="0"/>
            </w:tcBorders>
            <w:vAlign w:val="center"/>
          </w:tcPr>
          <w:p>
            <w:pPr>
              <w:pStyle w:val="63"/>
            </w:pPr>
            <w:r>
              <w:t>36.0</w:t>
            </w:r>
          </w:p>
        </w:tc>
        <w:tc>
          <w:tcPr>
            <w:tcW w:w="1037" w:type="pct"/>
            <w:tcBorders>
              <w:top w:val="single" w:color="000000" w:sz="6" w:space="0"/>
              <w:left w:val="single" w:color="000000" w:sz="6" w:space="0"/>
              <w:bottom w:val="single" w:color="000000" w:sz="6" w:space="0"/>
              <w:right w:val="single" w:color="000000" w:sz="6" w:space="0"/>
            </w:tcBorders>
            <w:vAlign w:val="center"/>
          </w:tcPr>
          <w:p>
            <w:pPr>
              <w:pStyle w:val="63"/>
              <w:rPr>
                <w:lang w:val="zh-CN"/>
              </w:rPr>
            </w:pPr>
          </w:p>
        </w:tc>
        <w:tc>
          <w:tcPr>
            <w:tcW w:w="811" w:type="pct"/>
            <w:tcBorders>
              <w:top w:val="single" w:color="000000" w:sz="6" w:space="0"/>
              <w:left w:val="single" w:color="000000" w:sz="6" w:space="0"/>
              <w:bottom w:val="single" w:color="000000" w:sz="6" w:space="0"/>
              <w:right w:val="single" w:color="000000" w:sz="12" w:space="0"/>
            </w:tcBorders>
            <w:vAlign w:val="center"/>
          </w:tcPr>
          <w:p>
            <w:pPr>
              <w:pStyle w:val="63"/>
              <w:rPr>
                <w:lang w:val="zh-CN"/>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868" w:type="pct"/>
            <w:vMerge w:val="continue"/>
            <w:tcBorders>
              <w:top w:val="single" w:color="000000" w:sz="6" w:space="0"/>
              <w:left w:val="single" w:color="000000" w:sz="12" w:space="0"/>
              <w:bottom w:val="single" w:color="000000" w:sz="6" w:space="0"/>
              <w:right w:val="single" w:color="000000" w:sz="6" w:space="0"/>
            </w:tcBorders>
            <w:vAlign w:val="center"/>
          </w:tcPr>
          <w:p>
            <w:pPr>
              <w:pStyle w:val="63"/>
              <w:rPr>
                <w:lang w:val="zh-CN"/>
              </w:rPr>
            </w:pPr>
          </w:p>
        </w:tc>
        <w:tc>
          <w:tcPr>
            <w:tcW w:w="1435" w:type="pct"/>
            <w:tcBorders>
              <w:top w:val="single" w:color="000000" w:sz="6" w:space="0"/>
              <w:left w:val="single" w:color="000000" w:sz="6" w:space="0"/>
              <w:bottom w:val="single" w:color="000000" w:sz="6" w:space="0"/>
              <w:right w:val="single" w:color="000000" w:sz="6" w:space="0"/>
            </w:tcBorders>
            <w:vAlign w:val="center"/>
          </w:tcPr>
          <w:p>
            <w:pPr>
              <w:pStyle w:val="63"/>
              <w:rPr>
                <w:lang w:val="zh-CN"/>
              </w:rPr>
            </w:pPr>
            <w:r>
              <w:rPr>
                <w:lang w:val="zh-CN"/>
              </w:rPr>
              <w:t>多年平均冰雹日数（d）</w:t>
            </w:r>
          </w:p>
        </w:tc>
        <w:tc>
          <w:tcPr>
            <w:tcW w:w="849" w:type="pct"/>
            <w:tcBorders>
              <w:top w:val="single" w:color="000000" w:sz="6" w:space="0"/>
              <w:left w:val="single" w:color="000000" w:sz="6" w:space="0"/>
              <w:bottom w:val="single" w:color="000000" w:sz="6" w:space="0"/>
              <w:right w:val="single" w:color="000000" w:sz="6" w:space="0"/>
            </w:tcBorders>
            <w:vAlign w:val="center"/>
          </w:tcPr>
          <w:p>
            <w:pPr>
              <w:pStyle w:val="63"/>
            </w:pPr>
            <w:r>
              <w:t>0.2</w:t>
            </w:r>
          </w:p>
        </w:tc>
        <w:tc>
          <w:tcPr>
            <w:tcW w:w="1037" w:type="pct"/>
            <w:tcBorders>
              <w:top w:val="single" w:color="000000" w:sz="6" w:space="0"/>
              <w:left w:val="single" w:color="000000" w:sz="6" w:space="0"/>
              <w:bottom w:val="single" w:color="000000" w:sz="6" w:space="0"/>
              <w:right w:val="single" w:color="000000" w:sz="6" w:space="0"/>
            </w:tcBorders>
            <w:vAlign w:val="center"/>
          </w:tcPr>
          <w:p>
            <w:pPr>
              <w:pStyle w:val="63"/>
              <w:rPr>
                <w:lang w:val="zh-CN"/>
              </w:rPr>
            </w:pPr>
          </w:p>
        </w:tc>
        <w:tc>
          <w:tcPr>
            <w:tcW w:w="811" w:type="pct"/>
            <w:tcBorders>
              <w:top w:val="single" w:color="000000" w:sz="6" w:space="0"/>
              <w:left w:val="single" w:color="000000" w:sz="6" w:space="0"/>
              <w:bottom w:val="single" w:color="000000" w:sz="6" w:space="0"/>
              <w:right w:val="single" w:color="000000" w:sz="12" w:space="0"/>
            </w:tcBorders>
            <w:vAlign w:val="center"/>
          </w:tcPr>
          <w:p>
            <w:pPr>
              <w:pStyle w:val="63"/>
              <w:rPr>
                <w:lang w:val="zh-CN"/>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868" w:type="pct"/>
            <w:vMerge w:val="continue"/>
            <w:tcBorders>
              <w:top w:val="single" w:color="000000" w:sz="6" w:space="0"/>
              <w:left w:val="single" w:color="000000" w:sz="12" w:space="0"/>
              <w:bottom w:val="single" w:color="000000" w:sz="6" w:space="0"/>
              <w:right w:val="single" w:color="000000" w:sz="6" w:space="0"/>
            </w:tcBorders>
            <w:vAlign w:val="center"/>
          </w:tcPr>
          <w:p>
            <w:pPr>
              <w:pStyle w:val="63"/>
              <w:rPr>
                <w:lang w:val="zh-CN"/>
              </w:rPr>
            </w:pPr>
          </w:p>
        </w:tc>
        <w:tc>
          <w:tcPr>
            <w:tcW w:w="1435" w:type="pct"/>
            <w:tcBorders>
              <w:top w:val="single" w:color="000000" w:sz="6" w:space="0"/>
              <w:left w:val="single" w:color="000000" w:sz="6" w:space="0"/>
              <w:bottom w:val="single" w:color="000000" w:sz="6" w:space="0"/>
              <w:right w:val="single" w:color="000000" w:sz="6" w:space="0"/>
            </w:tcBorders>
            <w:vAlign w:val="center"/>
          </w:tcPr>
          <w:p>
            <w:pPr>
              <w:pStyle w:val="63"/>
              <w:rPr>
                <w:lang w:val="zh-CN"/>
              </w:rPr>
            </w:pPr>
            <w:r>
              <w:rPr>
                <w:lang w:val="zh-CN"/>
              </w:rPr>
              <w:t>多年平均大风日数（d）</w:t>
            </w:r>
          </w:p>
        </w:tc>
        <w:tc>
          <w:tcPr>
            <w:tcW w:w="849" w:type="pct"/>
            <w:tcBorders>
              <w:top w:val="single" w:color="000000" w:sz="6" w:space="0"/>
              <w:left w:val="single" w:color="000000" w:sz="6" w:space="0"/>
              <w:bottom w:val="single" w:color="000000" w:sz="6" w:space="0"/>
              <w:right w:val="single" w:color="000000" w:sz="6" w:space="0"/>
            </w:tcBorders>
            <w:vAlign w:val="center"/>
          </w:tcPr>
          <w:p>
            <w:pPr>
              <w:pStyle w:val="63"/>
            </w:pPr>
            <w:r>
              <w:t>0.7</w:t>
            </w:r>
          </w:p>
        </w:tc>
        <w:tc>
          <w:tcPr>
            <w:tcW w:w="1037" w:type="pct"/>
            <w:tcBorders>
              <w:top w:val="single" w:color="000000" w:sz="6" w:space="0"/>
              <w:left w:val="single" w:color="000000" w:sz="6" w:space="0"/>
              <w:bottom w:val="single" w:color="000000" w:sz="6" w:space="0"/>
              <w:right w:val="single" w:color="000000" w:sz="6" w:space="0"/>
            </w:tcBorders>
            <w:vAlign w:val="center"/>
          </w:tcPr>
          <w:p>
            <w:pPr>
              <w:pStyle w:val="63"/>
              <w:rPr>
                <w:lang w:val="zh-CN"/>
              </w:rPr>
            </w:pPr>
          </w:p>
        </w:tc>
        <w:tc>
          <w:tcPr>
            <w:tcW w:w="811" w:type="pct"/>
            <w:tcBorders>
              <w:top w:val="single" w:color="000000" w:sz="6" w:space="0"/>
              <w:left w:val="single" w:color="000000" w:sz="6" w:space="0"/>
              <w:bottom w:val="single" w:color="000000" w:sz="6" w:space="0"/>
              <w:right w:val="single" w:color="000000" w:sz="12" w:space="0"/>
            </w:tcBorders>
            <w:vAlign w:val="center"/>
          </w:tcPr>
          <w:p>
            <w:pPr>
              <w:pStyle w:val="63"/>
              <w:rPr>
                <w:lang w:val="zh-CN"/>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303" w:type="pct"/>
            <w:gridSpan w:val="2"/>
            <w:tcBorders>
              <w:top w:val="single" w:color="000000" w:sz="6" w:space="0"/>
              <w:left w:val="single" w:color="000000" w:sz="12" w:space="0"/>
              <w:bottom w:val="single" w:color="000000" w:sz="6" w:space="0"/>
              <w:right w:val="single" w:color="000000" w:sz="6" w:space="0"/>
            </w:tcBorders>
            <w:vAlign w:val="center"/>
          </w:tcPr>
          <w:p>
            <w:pPr>
              <w:pStyle w:val="63"/>
              <w:rPr>
                <w:lang w:val="zh-CN"/>
              </w:rPr>
            </w:pPr>
            <w:r>
              <w:rPr>
                <w:lang w:val="zh-CN"/>
              </w:rPr>
              <w:t>多年实测极大风速（m/s）、相应风向</w:t>
            </w:r>
          </w:p>
        </w:tc>
        <w:tc>
          <w:tcPr>
            <w:tcW w:w="849" w:type="pct"/>
            <w:tcBorders>
              <w:top w:val="single" w:color="000000" w:sz="6" w:space="0"/>
              <w:left w:val="single" w:color="000000" w:sz="6" w:space="0"/>
              <w:bottom w:val="single" w:color="000000" w:sz="6" w:space="0"/>
              <w:right w:val="single" w:color="000000" w:sz="6" w:space="0"/>
            </w:tcBorders>
            <w:vAlign w:val="center"/>
          </w:tcPr>
          <w:p>
            <w:pPr>
              <w:pStyle w:val="63"/>
            </w:pPr>
            <w:r>
              <w:t>22.1</w:t>
            </w:r>
          </w:p>
        </w:tc>
        <w:tc>
          <w:tcPr>
            <w:tcW w:w="1037" w:type="pct"/>
            <w:tcBorders>
              <w:top w:val="single" w:color="000000" w:sz="6" w:space="0"/>
              <w:left w:val="single" w:color="000000" w:sz="6" w:space="0"/>
              <w:bottom w:val="single" w:color="000000" w:sz="6" w:space="0"/>
              <w:right w:val="single" w:color="000000" w:sz="6" w:space="0"/>
            </w:tcBorders>
            <w:vAlign w:val="center"/>
          </w:tcPr>
          <w:p>
            <w:pPr>
              <w:pStyle w:val="63"/>
            </w:pPr>
            <w:r>
              <w:t>2022-04-28</w:t>
            </w:r>
          </w:p>
        </w:tc>
        <w:tc>
          <w:tcPr>
            <w:tcW w:w="811" w:type="pct"/>
            <w:tcBorders>
              <w:top w:val="single" w:color="000000" w:sz="6" w:space="0"/>
              <w:left w:val="single" w:color="000000" w:sz="6" w:space="0"/>
              <w:bottom w:val="single" w:color="000000" w:sz="6" w:space="0"/>
              <w:right w:val="single" w:color="000000" w:sz="12" w:space="0"/>
            </w:tcBorders>
            <w:vAlign w:val="center"/>
          </w:tcPr>
          <w:p>
            <w:pPr>
              <w:pStyle w:val="63"/>
            </w:pPr>
            <w:r>
              <w:t>336.0/NNW</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303" w:type="pct"/>
            <w:gridSpan w:val="2"/>
            <w:tcBorders>
              <w:top w:val="single" w:color="000000" w:sz="6" w:space="0"/>
              <w:left w:val="single" w:color="000000" w:sz="12" w:space="0"/>
              <w:bottom w:val="single" w:color="000000" w:sz="6" w:space="0"/>
              <w:right w:val="single" w:color="000000" w:sz="6" w:space="0"/>
            </w:tcBorders>
            <w:vAlign w:val="center"/>
          </w:tcPr>
          <w:p>
            <w:pPr>
              <w:pStyle w:val="63"/>
              <w:rPr>
                <w:lang w:val="zh-CN"/>
              </w:rPr>
            </w:pPr>
            <w:r>
              <w:rPr>
                <w:lang w:val="zh-CN"/>
              </w:rPr>
              <w:t>多年平均风速（m/s）</w:t>
            </w:r>
          </w:p>
        </w:tc>
        <w:tc>
          <w:tcPr>
            <w:tcW w:w="849" w:type="pct"/>
            <w:tcBorders>
              <w:top w:val="single" w:color="000000" w:sz="6" w:space="0"/>
              <w:left w:val="single" w:color="000000" w:sz="6" w:space="0"/>
              <w:bottom w:val="single" w:color="000000" w:sz="6" w:space="0"/>
              <w:right w:val="single" w:color="000000" w:sz="6" w:space="0"/>
            </w:tcBorders>
            <w:vAlign w:val="center"/>
          </w:tcPr>
          <w:p>
            <w:pPr>
              <w:pStyle w:val="63"/>
            </w:pPr>
            <w:r>
              <w:t>1.5</w:t>
            </w:r>
          </w:p>
        </w:tc>
        <w:tc>
          <w:tcPr>
            <w:tcW w:w="1037" w:type="pct"/>
            <w:tcBorders>
              <w:top w:val="single" w:color="000000" w:sz="6" w:space="0"/>
              <w:left w:val="single" w:color="000000" w:sz="6" w:space="0"/>
              <w:bottom w:val="single" w:color="000000" w:sz="6" w:space="0"/>
              <w:right w:val="single" w:color="000000" w:sz="6" w:space="0"/>
            </w:tcBorders>
            <w:vAlign w:val="center"/>
          </w:tcPr>
          <w:p>
            <w:pPr>
              <w:pStyle w:val="63"/>
              <w:rPr>
                <w:lang w:val="zh-CN"/>
              </w:rPr>
            </w:pPr>
          </w:p>
        </w:tc>
        <w:tc>
          <w:tcPr>
            <w:tcW w:w="811" w:type="pct"/>
            <w:tcBorders>
              <w:top w:val="single" w:color="000000" w:sz="6" w:space="0"/>
              <w:left w:val="single" w:color="000000" w:sz="6" w:space="0"/>
              <w:bottom w:val="single" w:color="000000" w:sz="6" w:space="0"/>
              <w:right w:val="single" w:color="000000" w:sz="12" w:space="0"/>
            </w:tcBorders>
            <w:vAlign w:val="center"/>
          </w:tcPr>
          <w:p>
            <w:pPr>
              <w:pStyle w:val="63"/>
              <w:rPr>
                <w:lang w:val="zh-CN"/>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303" w:type="pct"/>
            <w:gridSpan w:val="2"/>
            <w:tcBorders>
              <w:top w:val="single" w:color="000000" w:sz="6" w:space="0"/>
              <w:left w:val="single" w:color="000000" w:sz="12" w:space="0"/>
              <w:bottom w:val="single" w:color="000000" w:sz="6" w:space="0"/>
              <w:right w:val="single" w:color="000000" w:sz="6" w:space="0"/>
            </w:tcBorders>
            <w:vAlign w:val="center"/>
          </w:tcPr>
          <w:p>
            <w:pPr>
              <w:pStyle w:val="63"/>
              <w:rPr>
                <w:lang w:val="zh-CN"/>
              </w:rPr>
            </w:pPr>
            <w:r>
              <w:rPr>
                <w:lang w:val="zh-CN"/>
              </w:rPr>
              <w:t>多年主导风向、风向频率（%）</w:t>
            </w:r>
          </w:p>
        </w:tc>
        <w:tc>
          <w:tcPr>
            <w:tcW w:w="849" w:type="pct"/>
            <w:tcBorders>
              <w:top w:val="single" w:color="000000" w:sz="6" w:space="0"/>
              <w:left w:val="single" w:color="000000" w:sz="6" w:space="0"/>
              <w:bottom w:val="single" w:color="000000" w:sz="6" w:space="0"/>
              <w:right w:val="single" w:color="000000" w:sz="6" w:space="0"/>
            </w:tcBorders>
            <w:vAlign w:val="center"/>
          </w:tcPr>
          <w:p>
            <w:pPr>
              <w:pStyle w:val="63"/>
              <w:rPr>
                <w:lang w:val="zh-CN"/>
              </w:rPr>
            </w:pPr>
            <w:r>
              <w:rPr>
                <w:lang w:val="zh-CN"/>
              </w:rPr>
              <w:t>N、15%</w:t>
            </w:r>
          </w:p>
        </w:tc>
        <w:tc>
          <w:tcPr>
            <w:tcW w:w="1037" w:type="pct"/>
            <w:tcBorders>
              <w:top w:val="single" w:color="000000" w:sz="6" w:space="0"/>
              <w:left w:val="single" w:color="000000" w:sz="6" w:space="0"/>
              <w:bottom w:val="single" w:color="000000" w:sz="6" w:space="0"/>
              <w:right w:val="single" w:color="000000" w:sz="6" w:space="0"/>
            </w:tcBorders>
            <w:vAlign w:val="center"/>
          </w:tcPr>
          <w:p>
            <w:pPr>
              <w:pStyle w:val="63"/>
              <w:rPr>
                <w:lang w:val="zh-CN"/>
              </w:rPr>
            </w:pPr>
          </w:p>
        </w:tc>
        <w:tc>
          <w:tcPr>
            <w:tcW w:w="811" w:type="pct"/>
            <w:tcBorders>
              <w:top w:val="single" w:color="000000" w:sz="6" w:space="0"/>
              <w:left w:val="single" w:color="000000" w:sz="6" w:space="0"/>
              <w:bottom w:val="single" w:color="000000" w:sz="6" w:space="0"/>
              <w:right w:val="single" w:color="000000" w:sz="12" w:space="0"/>
            </w:tcBorders>
            <w:vAlign w:val="center"/>
          </w:tcPr>
          <w:p>
            <w:pPr>
              <w:pStyle w:val="63"/>
              <w:rPr>
                <w:lang w:val="zh-CN"/>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303" w:type="pct"/>
            <w:gridSpan w:val="2"/>
            <w:tcBorders>
              <w:top w:val="single" w:color="000000" w:sz="6" w:space="0"/>
              <w:left w:val="single" w:color="000000" w:sz="12" w:space="0"/>
              <w:bottom w:val="single" w:color="000000" w:sz="6" w:space="0"/>
              <w:right w:val="single" w:color="000000" w:sz="6" w:space="0"/>
            </w:tcBorders>
            <w:vAlign w:val="center"/>
          </w:tcPr>
          <w:p>
            <w:pPr>
              <w:pStyle w:val="63"/>
              <w:rPr>
                <w:lang w:val="zh-CN"/>
              </w:rPr>
            </w:pPr>
            <w:r>
              <w:rPr>
                <w:lang w:val="zh-CN"/>
              </w:rPr>
              <w:t>多年静风频率（风速&lt;=0.2m/s）（%）</w:t>
            </w:r>
          </w:p>
        </w:tc>
        <w:tc>
          <w:tcPr>
            <w:tcW w:w="849" w:type="pct"/>
            <w:tcBorders>
              <w:top w:val="single" w:color="000000" w:sz="6" w:space="0"/>
              <w:left w:val="single" w:color="000000" w:sz="6" w:space="0"/>
              <w:bottom w:val="single" w:color="000000" w:sz="6" w:space="0"/>
              <w:right w:val="single" w:color="000000" w:sz="6" w:space="0"/>
            </w:tcBorders>
            <w:vAlign w:val="center"/>
          </w:tcPr>
          <w:p>
            <w:pPr>
              <w:pStyle w:val="63"/>
            </w:pPr>
            <w:r>
              <w:t>18</w:t>
            </w:r>
          </w:p>
        </w:tc>
        <w:tc>
          <w:tcPr>
            <w:tcW w:w="1037" w:type="pct"/>
            <w:tcBorders>
              <w:top w:val="single" w:color="000000" w:sz="6" w:space="0"/>
              <w:left w:val="single" w:color="000000" w:sz="6" w:space="0"/>
              <w:bottom w:val="single" w:color="000000" w:sz="6" w:space="0"/>
              <w:right w:val="single" w:color="000000" w:sz="6" w:space="0"/>
            </w:tcBorders>
            <w:vAlign w:val="center"/>
          </w:tcPr>
          <w:p>
            <w:pPr>
              <w:pStyle w:val="63"/>
              <w:rPr>
                <w:lang w:val="zh-CN"/>
              </w:rPr>
            </w:pPr>
          </w:p>
        </w:tc>
        <w:tc>
          <w:tcPr>
            <w:tcW w:w="811" w:type="pct"/>
            <w:tcBorders>
              <w:top w:val="single" w:color="000000" w:sz="6" w:space="0"/>
              <w:left w:val="single" w:color="000000" w:sz="6" w:space="0"/>
              <w:bottom w:val="single" w:color="000000" w:sz="6" w:space="0"/>
              <w:right w:val="single" w:color="000000" w:sz="12" w:space="0"/>
            </w:tcBorders>
            <w:vAlign w:val="center"/>
          </w:tcPr>
          <w:p>
            <w:pPr>
              <w:pStyle w:val="63"/>
              <w:rPr>
                <w:lang w:val="zh-CN"/>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303" w:type="pct"/>
            <w:gridSpan w:val="2"/>
            <w:tcBorders>
              <w:top w:val="single" w:color="000000" w:sz="6" w:space="0"/>
              <w:left w:val="single" w:color="000000" w:sz="12" w:space="0"/>
              <w:bottom w:val="single" w:color="000000" w:sz="12" w:space="0"/>
              <w:right w:val="single" w:color="000000" w:sz="6" w:space="0"/>
            </w:tcBorders>
            <w:vAlign w:val="center"/>
          </w:tcPr>
          <w:p>
            <w:pPr>
              <w:pStyle w:val="63"/>
              <w:rPr>
                <w:lang w:val="zh-CN"/>
              </w:rPr>
            </w:pPr>
            <w:r>
              <w:rPr>
                <w:lang w:val="zh-CN"/>
              </w:rPr>
              <w:t>*统计值代表均值</w:t>
            </w:r>
          </w:p>
          <w:p>
            <w:pPr>
              <w:pStyle w:val="63"/>
              <w:rPr>
                <w:lang w:val="zh-CN"/>
              </w:rPr>
            </w:pPr>
            <w:r>
              <w:rPr>
                <w:lang w:val="zh-CN"/>
              </w:rPr>
              <w:t>**极值代表极端值</w:t>
            </w:r>
          </w:p>
        </w:tc>
        <w:tc>
          <w:tcPr>
            <w:tcW w:w="849" w:type="pct"/>
            <w:tcBorders>
              <w:top w:val="single" w:color="000000" w:sz="6" w:space="0"/>
              <w:left w:val="single" w:color="000000" w:sz="6" w:space="0"/>
              <w:bottom w:val="single" w:color="000000" w:sz="12" w:space="0"/>
              <w:right w:val="single" w:color="000000" w:sz="6" w:space="0"/>
            </w:tcBorders>
            <w:vAlign w:val="center"/>
          </w:tcPr>
          <w:p>
            <w:pPr>
              <w:pStyle w:val="63"/>
              <w:rPr>
                <w:lang w:val="zh-CN"/>
              </w:rPr>
            </w:pPr>
            <w:r>
              <w:rPr>
                <w:lang w:val="zh-CN"/>
              </w:rPr>
              <w:t>举例：累年极端最高气温</w:t>
            </w:r>
          </w:p>
        </w:tc>
        <w:tc>
          <w:tcPr>
            <w:tcW w:w="1037" w:type="pct"/>
            <w:tcBorders>
              <w:top w:val="single" w:color="000000" w:sz="6" w:space="0"/>
              <w:left w:val="single" w:color="000000" w:sz="6" w:space="0"/>
              <w:bottom w:val="single" w:color="000000" w:sz="12" w:space="0"/>
              <w:right w:val="single" w:color="000000" w:sz="6" w:space="0"/>
            </w:tcBorders>
            <w:vAlign w:val="center"/>
          </w:tcPr>
          <w:p>
            <w:pPr>
              <w:pStyle w:val="63"/>
              <w:rPr>
                <w:lang w:val="zh-CN"/>
              </w:rPr>
            </w:pPr>
            <w:r>
              <w:rPr>
                <w:lang w:val="zh-CN"/>
              </w:rPr>
              <w:t>*代表极端最高气温的累年平均值</w:t>
            </w:r>
          </w:p>
        </w:tc>
        <w:tc>
          <w:tcPr>
            <w:tcW w:w="811" w:type="pct"/>
            <w:tcBorders>
              <w:top w:val="single" w:color="000000" w:sz="6" w:space="0"/>
              <w:left w:val="single" w:color="000000" w:sz="6" w:space="0"/>
              <w:bottom w:val="single" w:color="000000" w:sz="12" w:space="0"/>
              <w:right w:val="single" w:color="000000" w:sz="12" w:space="0"/>
            </w:tcBorders>
            <w:vAlign w:val="center"/>
          </w:tcPr>
          <w:p>
            <w:pPr>
              <w:pStyle w:val="63"/>
              <w:rPr>
                <w:lang w:val="zh-CN"/>
              </w:rPr>
            </w:pPr>
            <w:r>
              <w:rPr>
                <w:lang w:val="zh-CN"/>
              </w:rPr>
              <w:t>**代表极端最高气温的累年</w:t>
            </w:r>
          </w:p>
        </w:tc>
      </w:tr>
    </w:tbl>
    <w:p>
      <w:pPr>
        <w:spacing w:line="360" w:lineRule="auto"/>
        <w:ind w:firstLine="480"/>
        <w:rPr>
          <w:rFonts w:ascii="Times New Roman" w:hAnsi="Times New Roman" w:cs="Times New Roman"/>
        </w:rPr>
      </w:pPr>
      <w:r>
        <w:rPr>
          <w:rFonts w:hint="eastAsia" w:ascii="宋体" w:hAnsi="宋体" w:eastAsia="宋体" w:cs="宋体"/>
        </w:rPr>
        <w:t>①</w:t>
      </w:r>
      <w:r>
        <w:rPr>
          <w:rFonts w:ascii="Times New Roman" w:hAnsi="Times New Roman" w:cs="Times New Roman"/>
        </w:rPr>
        <w:t>温度</w:t>
      </w:r>
    </w:p>
    <w:p>
      <w:pPr>
        <w:spacing w:line="360" w:lineRule="auto"/>
        <w:ind w:firstLine="480"/>
        <w:rPr>
          <w:rFonts w:ascii="Times New Roman" w:hAnsi="Times New Roman" w:cs="Times New Roman"/>
        </w:rPr>
      </w:pPr>
      <w:r>
        <w:rPr>
          <w:rFonts w:ascii="Times New Roman" w:hAnsi="Times New Roman" w:cs="Times New Roman"/>
        </w:rPr>
        <w:t>衡东气象站近20年极端最高气温出现在</w:t>
      </w:r>
      <w:r>
        <w:rPr>
          <w:rFonts w:ascii="Times New Roman" w:hAnsi="Times New Roman" w:cs="Times New Roman"/>
          <w:lang w:val="zh-CN"/>
        </w:rPr>
        <w:t>2003-08-03</w:t>
      </w:r>
      <w:r>
        <w:rPr>
          <w:rFonts w:ascii="Times New Roman" w:hAnsi="Times New Roman" w:cs="Times New Roman"/>
        </w:rPr>
        <w:t>（41.2</w:t>
      </w:r>
      <w:r>
        <w:rPr>
          <w:rFonts w:hint="eastAsia" w:ascii="宋体" w:hAnsi="宋体" w:eastAsia="宋体" w:cs="宋体"/>
        </w:rPr>
        <w:t>℃</w:t>
      </w:r>
      <w:r>
        <w:rPr>
          <w:rFonts w:ascii="Times New Roman" w:hAnsi="Times New Roman" w:cs="Times New Roman"/>
        </w:rPr>
        <w:t>），近20年极端最低气温出现在2008-02-03（-5.4</w:t>
      </w:r>
      <w:r>
        <w:rPr>
          <w:rFonts w:hint="eastAsia" w:ascii="宋体" w:hAnsi="宋体" w:eastAsia="宋体" w:cs="宋体"/>
        </w:rPr>
        <w:t>℃</w:t>
      </w:r>
      <w:r>
        <w:rPr>
          <w:rFonts w:ascii="Times New Roman" w:hAnsi="Times New Roman" w:cs="Times New Roman"/>
        </w:rPr>
        <w:t>）。</w:t>
      </w:r>
    </w:p>
    <w:p>
      <w:pPr>
        <w:spacing w:line="360" w:lineRule="auto"/>
        <w:ind w:firstLine="480"/>
        <w:rPr>
          <w:rFonts w:ascii="Times New Roman" w:hAnsi="Times New Roman" w:cs="Times New Roman"/>
        </w:rPr>
      </w:pPr>
      <w:r>
        <w:rPr>
          <w:rFonts w:hint="eastAsia" w:ascii="宋体" w:hAnsi="宋体" w:eastAsia="宋体" w:cs="宋体"/>
        </w:rPr>
        <w:t>②</w:t>
      </w:r>
      <w:r>
        <w:rPr>
          <w:rFonts w:ascii="Times New Roman" w:hAnsi="Times New Roman" w:cs="Times New Roman"/>
        </w:rPr>
        <w:t>风速</w:t>
      </w:r>
    </w:p>
    <w:p>
      <w:pPr>
        <w:spacing w:line="360" w:lineRule="auto"/>
        <w:ind w:firstLine="480"/>
        <w:rPr>
          <w:rFonts w:ascii="Times New Roman" w:hAnsi="Times New Roman" w:cs="Times New Roman"/>
        </w:rPr>
      </w:pPr>
      <w:r>
        <w:rPr>
          <w:rFonts w:ascii="Times New Roman" w:hAnsi="Times New Roman" w:cs="Times New Roman"/>
        </w:rPr>
        <w:t>衡东气象站月平均风速</w:t>
      </w:r>
      <w:r>
        <w:rPr>
          <w:rFonts w:hint="eastAsia" w:ascii="Times New Roman" w:hAnsi="Times New Roman" w:cs="Times New Roman"/>
        </w:rPr>
        <w:t>见下表</w:t>
      </w:r>
      <w:r>
        <w:rPr>
          <w:rFonts w:ascii="Times New Roman" w:hAnsi="Times New Roman" w:cs="Times New Roman"/>
        </w:rPr>
        <w:t>，07月平均风速最大（1.7m/s），11、12月平均风速最小（1.3m/s）。</w:t>
      </w:r>
    </w:p>
    <w:p>
      <w:pPr>
        <w:pStyle w:val="6"/>
        <w:rPr>
          <w:rFonts w:ascii="Times New Roman" w:hAnsi="Times New Roman" w:cs="Times New Roman"/>
          <w:lang w:val="zh-CN"/>
        </w:rPr>
      </w:pPr>
      <w:r>
        <w:rPr>
          <w:rFonts w:ascii="Times New Roman" w:hAnsi="Times New Roman" w:cs="Times New Roman"/>
          <w:lang w:val="zh-CN"/>
        </w:rPr>
        <w:t>表</w:t>
      </w:r>
      <w:r>
        <w:rPr>
          <w:rFonts w:ascii="Times New Roman" w:hAnsi="Times New Roman" w:cs="Times New Roman"/>
        </w:rPr>
        <w:t>6</w:t>
      </w:r>
      <w:r>
        <w:rPr>
          <w:rFonts w:ascii="Times New Roman" w:hAnsi="Times New Roman" w:cs="Times New Roman"/>
          <w:lang w:val="zh-CN"/>
        </w:rPr>
        <w:t>.2.1-2  2003-2022 年气象站年平均风速的月变化情况（m/s）</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91"/>
        <w:gridCol w:w="602"/>
        <w:gridCol w:w="602"/>
        <w:gridCol w:w="602"/>
        <w:gridCol w:w="602"/>
        <w:gridCol w:w="604"/>
        <w:gridCol w:w="604"/>
        <w:gridCol w:w="604"/>
        <w:gridCol w:w="604"/>
        <w:gridCol w:w="602"/>
        <w:gridCol w:w="604"/>
        <w:gridCol w:w="604"/>
        <w:gridCol w:w="60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57" w:type="pct"/>
            <w:vAlign w:val="center"/>
          </w:tcPr>
          <w:p>
            <w:pPr>
              <w:pStyle w:val="63"/>
            </w:pPr>
            <w:r>
              <w:t>月份</w:t>
            </w:r>
          </w:p>
        </w:tc>
        <w:tc>
          <w:tcPr>
            <w:tcW w:w="353" w:type="pct"/>
            <w:vAlign w:val="center"/>
          </w:tcPr>
          <w:p>
            <w:pPr>
              <w:pStyle w:val="63"/>
            </w:pPr>
            <w:r>
              <w:t>1</w:t>
            </w:r>
          </w:p>
        </w:tc>
        <w:tc>
          <w:tcPr>
            <w:tcW w:w="353" w:type="pct"/>
            <w:vAlign w:val="center"/>
          </w:tcPr>
          <w:p>
            <w:pPr>
              <w:pStyle w:val="63"/>
            </w:pPr>
            <w:r>
              <w:t>2</w:t>
            </w:r>
          </w:p>
        </w:tc>
        <w:tc>
          <w:tcPr>
            <w:tcW w:w="353" w:type="pct"/>
            <w:vAlign w:val="center"/>
          </w:tcPr>
          <w:p>
            <w:pPr>
              <w:pStyle w:val="63"/>
            </w:pPr>
            <w:r>
              <w:t>3</w:t>
            </w:r>
          </w:p>
        </w:tc>
        <w:tc>
          <w:tcPr>
            <w:tcW w:w="353" w:type="pct"/>
            <w:vAlign w:val="center"/>
          </w:tcPr>
          <w:p>
            <w:pPr>
              <w:pStyle w:val="63"/>
            </w:pPr>
            <w:r>
              <w:t>4</w:t>
            </w:r>
          </w:p>
        </w:tc>
        <w:tc>
          <w:tcPr>
            <w:tcW w:w="354" w:type="pct"/>
            <w:vAlign w:val="center"/>
          </w:tcPr>
          <w:p>
            <w:pPr>
              <w:pStyle w:val="63"/>
            </w:pPr>
            <w:r>
              <w:t>5</w:t>
            </w:r>
          </w:p>
        </w:tc>
        <w:tc>
          <w:tcPr>
            <w:tcW w:w="354" w:type="pct"/>
            <w:vAlign w:val="center"/>
          </w:tcPr>
          <w:p>
            <w:pPr>
              <w:pStyle w:val="63"/>
            </w:pPr>
            <w:r>
              <w:t>6</w:t>
            </w:r>
          </w:p>
        </w:tc>
        <w:tc>
          <w:tcPr>
            <w:tcW w:w="354" w:type="pct"/>
            <w:vAlign w:val="center"/>
          </w:tcPr>
          <w:p>
            <w:pPr>
              <w:pStyle w:val="63"/>
            </w:pPr>
            <w:r>
              <w:t>7</w:t>
            </w:r>
          </w:p>
        </w:tc>
        <w:tc>
          <w:tcPr>
            <w:tcW w:w="354" w:type="pct"/>
            <w:vAlign w:val="center"/>
          </w:tcPr>
          <w:p>
            <w:pPr>
              <w:pStyle w:val="63"/>
            </w:pPr>
            <w:r>
              <w:t>8</w:t>
            </w:r>
          </w:p>
        </w:tc>
        <w:tc>
          <w:tcPr>
            <w:tcW w:w="353" w:type="pct"/>
            <w:vAlign w:val="center"/>
          </w:tcPr>
          <w:p>
            <w:pPr>
              <w:pStyle w:val="63"/>
            </w:pPr>
            <w:r>
              <w:t>9</w:t>
            </w:r>
          </w:p>
        </w:tc>
        <w:tc>
          <w:tcPr>
            <w:tcW w:w="354" w:type="pct"/>
            <w:vAlign w:val="center"/>
          </w:tcPr>
          <w:p>
            <w:pPr>
              <w:pStyle w:val="63"/>
            </w:pPr>
            <w:r>
              <w:t>10</w:t>
            </w:r>
          </w:p>
        </w:tc>
        <w:tc>
          <w:tcPr>
            <w:tcW w:w="354" w:type="pct"/>
            <w:vAlign w:val="center"/>
          </w:tcPr>
          <w:p>
            <w:pPr>
              <w:pStyle w:val="63"/>
            </w:pPr>
            <w:r>
              <w:t>11</w:t>
            </w:r>
          </w:p>
        </w:tc>
        <w:tc>
          <w:tcPr>
            <w:tcW w:w="354" w:type="pct"/>
            <w:vAlign w:val="center"/>
          </w:tcPr>
          <w:p>
            <w:pPr>
              <w:pStyle w:val="63"/>
            </w:pPr>
            <w:r>
              <w:t>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57" w:type="pct"/>
            <w:vAlign w:val="center"/>
          </w:tcPr>
          <w:p>
            <w:pPr>
              <w:pStyle w:val="63"/>
            </w:pPr>
            <w:r>
              <w:t>平均风速</w:t>
            </w:r>
          </w:p>
        </w:tc>
        <w:tc>
          <w:tcPr>
            <w:tcW w:w="353" w:type="pct"/>
            <w:vAlign w:val="center"/>
          </w:tcPr>
          <w:p>
            <w:pPr>
              <w:pStyle w:val="63"/>
            </w:pPr>
            <w:r>
              <w:t>1.4</w:t>
            </w:r>
          </w:p>
        </w:tc>
        <w:tc>
          <w:tcPr>
            <w:tcW w:w="353" w:type="pct"/>
            <w:vAlign w:val="center"/>
          </w:tcPr>
          <w:p>
            <w:pPr>
              <w:pStyle w:val="63"/>
            </w:pPr>
            <w:r>
              <w:t>1.5</w:t>
            </w:r>
          </w:p>
        </w:tc>
        <w:tc>
          <w:tcPr>
            <w:tcW w:w="353" w:type="pct"/>
            <w:vAlign w:val="center"/>
          </w:tcPr>
          <w:p>
            <w:pPr>
              <w:pStyle w:val="63"/>
            </w:pPr>
            <w:r>
              <w:t>1.4</w:t>
            </w:r>
          </w:p>
        </w:tc>
        <w:tc>
          <w:tcPr>
            <w:tcW w:w="353" w:type="pct"/>
            <w:vAlign w:val="center"/>
          </w:tcPr>
          <w:p>
            <w:pPr>
              <w:pStyle w:val="63"/>
            </w:pPr>
            <w:r>
              <w:t>1.5</w:t>
            </w:r>
          </w:p>
        </w:tc>
        <w:tc>
          <w:tcPr>
            <w:tcW w:w="354" w:type="pct"/>
            <w:vAlign w:val="center"/>
          </w:tcPr>
          <w:p>
            <w:pPr>
              <w:pStyle w:val="63"/>
            </w:pPr>
            <w:r>
              <w:t>1.4</w:t>
            </w:r>
          </w:p>
        </w:tc>
        <w:tc>
          <w:tcPr>
            <w:tcW w:w="354" w:type="pct"/>
            <w:vAlign w:val="center"/>
          </w:tcPr>
          <w:p>
            <w:pPr>
              <w:pStyle w:val="63"/>
            </w:pPr>
            <w:r>
              <w:t>1.4</w:t>
            </w:r>
          </w:p>
        </w:tc>
        <w:tc>
          <w:tcPr>
            <w:tcW w:w="354" w:type="pct"/>
            <w:vAlign w:val="center"/>
          </w:tcPr>
          <w:p>
            <w:pPr>
              <w:pStyle w:val="63"/>
            </w:pPr>
            <w:r>
              <w:t>1.7</w:t>
            </w:r>
          </w:p>
        </w:tc>
        <w:tc>
          <w:tcPr>
            <w:tcW w:w="354" w:type="pct"/>
            <w:vAlign w:val="center"/>
          </w:tcPr>
          <w:p>
            <w:pPr>
              <w:pStyle w:val="63"/>
            </w:pPr>
            <w:r>
              <w:t>1.5</w:t>
            </w:r>
          </w:p>
        </w:tc>
        <w:tc>
          <w:tcPr>
            <w:tcW w:w="353" w:type="pct"/>
            <w:vAlign w:val="center"/>
          </w:tcPr>
          <w:p>
            <w:pPr>
              <w:pStyle w:val="63"/>
            </w:pPr>
            <w:r>
              <w:t>1.5</w:t>
            </w:r>
          </w:p>
        </w:tc>
        <w:tc>
          <w:tcPr>
            <w:tcW w:w="354" w:type="pct"/>
            <w:vAlign w:val="center"/>
          </w:tcPr>
          <w:p>
            <w:pPr>
              <w:pStyle w:val="63"/>
            </w:pPr>
            <w:r>
              <w:t>1.5</w:t>
            </w:r>
          </w:p>
        </w:tc>
        <w:tc>
          <w:tcPr>
            <w:tcW w:w="354" w:type="pct"/>
            <w:vAlign w:val="center"/>
          </w:tcPr>
          <w:p>
            <w:pPr>
              <w:pStyle w:val="63"/>
            </w:pPr>
            <w:r>
              <w:t>1.3</w:t>
            </w:r>
          </w:p>
        </w:tc>
        <w:tc>
          <w:tcPr>
            <w:tcW w:w="354" w:type="pct"/>
            <w:vAlign w:val="center"/>
          </w:tcPr>
          <w:p>
            <w:pPr>
              <w:pStyle w:val="63"/>
            </w:pPr>
            <w:r>
              <w:t>1.3</w:t>
            </w:r>
          </w:p>
        </w:tc>
      </w:tr>
    </w:tbl>
    <w:p>
      <w:pPr>
        <w:spacing w:line="360" w:lineRule="auto"/>
        <w:ind w:firstLine="480"/>
        <w:rPr>
          <w:rFonts w:ascii="Times New Roman" w:hAnsi="Times New Roman" w:cs="Times New Roman"/>
        </w:rPr>
      </w:pPr>
      <w:r>
        <w:rPr>
          <w:rFonts w:hint="eastAsia" w:ascii="宋体" w:hAnsi="宋体" w:eastAsia="宋体" w:cs="宋体"/>
        </w:rPr>
        <w:t>③</w:t>
      </w:r>
      <w:r>
        <w:rPr>
          <w:rFonts w:ascii="Times New Roman" w:hAnsi="Times New Roman" w:cs="Times New Roman"/>
        </w:rPr>
        <w:t>风向</w:t>
      </w:r>
    </w:p>
    <w:p>
      <w:pPr>
        <w:spacing w:line="360" w:lineRule="auto"/>
        <w:ind w:firstLine="480"/>
        <w:rPr>
          <w:rFonts w:ascii="Times New Roman" w:hAnsi="Times New Roman" w:cs="Times New Roman"/>
        </w:rPr>
      </w:pPr>
      <w:r>
        <w:rPr>
          <w:rFonts w:ascii="Times New Roman" w:hAnsi="Times New Roman" w:cs="Times New Roman"/>
        </w:rPr>
        <w:t>衡东气象站近20年资料分析的风向玫瑰图如</w:t>
      </w:r>
      <w:r>
        <w:rPr>
          <w:rFonts w:hint="eastAsia" w:ascii="Times New Roman" w:hAnsi="Times New Roman" w:cs="Times New Roman"/>
        </w:rPr>
        <w:t>下图</w:t>
      </w:r>
      <w:r>
        <w:rPr>
          <w:rFonts w:ascii="Times New Roman" w:hAnsi="Times New Roman" w:cs="Times New Roman"/>
        </w:rPr>
        <w:t>所示，衡东气象站主要风向为N、NNE和NE，共占36.1%，其中以N为主风向，占到全年15%左右。</w:t>
      </w:r>
    </w:p>
    <w:p>
      <w:pPr>
        <w:pStyle w:val="6"/>
        <w:rPr>
          <w:rFonts w:ascii="Times New Roman" w:hAnsi="Times New Roman" w:cs="Times New Roman"/>
          <w:lang w:val="zh-CN"/>
        </w:rPr>
      </w:pPr>
      <w:r>
        <w:rPr>
          <w:rFonts w:ascii="Times New Roman" w:hAnsi="Times New Roman" w:cs="Times New Roman"/>
          <w:lang w:val="zh-CN"/>
        </w:rPr>
        <w:t>表</w:t>
      </w:r>
      <w:r>
        <w:rPr>
          <w:rFonts w:ascii="Times New Roman" w:hAnsi="Times New Roman" w:cs="Times New Roman"/>
        </w:rPr>
        <w:t>6</w:t>
      </w:r>
      <w:r>
        <w:rPr>
          <w:rFonts w:ascii="Times New Roman" w:hAnsi="Times New Roman" w:cs="Times New Roman"/>
          <w:lang w:val="zh-CN"/>
        </w:rPr>
        <w:t>.2.1-3  2003-2022年气象站年风向频率统计（单位%）</w:t>
      </w:r>
    </w:p>
    <w:tbl>
      <w:tblPr>
        <w:tblStyle w:val="35"/>
        <w:tblW w:w="850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850"/>
        <w:gridCol w:w="850"/>
        <w:gridCol w:w="850"/>
        <w:gridCol w:w="850"/>
        <w:gridCol w:w="850"/>
        <w:gridCol w:w="850"/>
        <w:gridCol w:w="850"/>
        <w:gridCol w:w="850"/>
        <w:gridCol w:w="850"/>
        <w:gridCol w:w="85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54" w:hRule="exact"/>
          <w:jc w:val="center"/>
        </w:trPr>
        <w:tc>
          <w:tcPr>
            <w:tcW w:w="850" w:type="dxa"/>
            <w:noWrap/>
            <w:tcMar>
              <w:top w:w="15" w:type="dxa"/>
              <w:left w:w="15" w:type="dxa"/>
              <w:bottom w:w="0" w:type="dxa"/>
              <w:right w:w="15" w:type="dxa"/>
            </w:tcMar>
            <w:vAlign w:val="center"/>
          </w:tcPr>
          <w:p>
            <w:pPr>
              <w:pStyle w:val="63"/>
              <w:rPr>
                <w:lang w:bidi="ar"/>
              </w:rPr>
            </w:pPr>
            <w:r>
              <w:rPr>
                <w:lang w:bidi="ar"/>
              </w:rPr>
              <w:t>风向</w:t>
            </w:r>
          </w:p>
        </w:tc>
        <w:tc>
          <w:tcPr>
            <w:tcW w:w="850" w:type="dxa"/>
            <w:noWrap/>
            <w:tcMar>
              <w:top w:w="15" w:type="dxa"/>
              <w:left w:w="15" w:type="dxa"/>
              <w:bottom w:w="0" w:type="dxa"/>
              <w:right w:w="15" w:type="dxa"/>
            </w:tcMar>
            <w:vAlign w:val="center"/>
          </w:tcPr>
          <w:p>
            <w:pPr>
              <w:pStyle w:val="63"/>
            </w:pPr>
            <w:r>
              <w:rPr>
                <w:lang w:bidi="ar"/>
              </w:rPr>
              <w:t>N</w:t>
            </w:r>
          </w:p>
        </w:tc>
        <w:tc>
          <w:tcPr>
            <w:tcW w:w="850" w:type="dxa"/>
            <w:noWrap/>
            <w:tcMar>
              <w:top w:w="15" w:type="dxa"/>
              <w:left w:w="15" w:type="dxa"/>
              <w:bottom w:w="0" w:type="dxa"/>
              <w:right w:w="15" w:type="dxa"/>
            </w:tcMar>
            <w:vAlign w:val="center"/>
          </w:tcPr>
          <w:p>
            <w:pPr>
              <w:pStyle w:val="63"/>
            </w:pPr>
            <w:r>
              <w:rPr>
                <w:lang w:bidi="ar"/>
              </w:rPr>
              <w:t>NNE</w:t>
            </w:r>
          </w:p>
        </w:tc>
        <w:tc>
          <w:tcPr>
            <w:tcW w:w="850" w:type="dxa"/>
            <w:noWrap/>
            <w:tcMar>
              <w:top w:w="15" w:type="dxa"/>
              <w:left w:w="15" w:type="dxa"/>
              <w:bottom w:w="0" w:type="dxa"/>
              <w:right w:w="15" w:type="dxa"/>
            </w:tcMar>
            <w:vAlign w:val="center"/>
          </w:tcPr>
          <w:p>
            <w:pPr>
              <w:pStyle w:val="63"/>
            </w:pPr>
            <w:r>
              <w:rPr>
                <w:lang w:bidi="ar"/>
              </w:rPr>
              <w:t>NE</w:t>
            </w:r>
          </w:p>
        </w:tc>
        <w:tc>
          <w:tcPr>
            <w:tcW w:w="850" w:type="dxa"/>
            <w:noWrap/>
            <w:tcMar>
              <w:top w:w="15" w:type="dxa"/>
              <w:left w:w="15" w:type="dxa"/>
              <w:bottom w:w="0" w:type="dxa"/>
              <w:right w:w="15" w:type="dxa"/>
            </w:tcMar>
            <w:vAlign w:val="center"/>
          </w:tcPr>
          <w:p>
            <w:pPr>
              <w:pStyle w:val="63"/>
            </w:pPr>
            <w:r>
              <w:rPr>
                <w:lang w:bidi="ar"/>
              </w:rPr>
              <w:t>ENE</w:t>
            </w:r>
          </w:p>
        </w:tc>
        <w:tc>
          <w:tcPr>
            <w:tcW w:w="850" w:type="dxa"/>
            <w:noWrap/>
            <w:tcMar>
              <w:top w:w="15" w:type="dxa"/>
              <w:left w:w="15" w:type="dxa"/>
              <w:bottom w:w="0" w:type="dxa"/>
              <w:right w:w="15" w:type="dxa"/>
            </w:tcMar>
            <w:vAlign w:val="center"/>
          </w:tcPr>
          <w:p>
            <w:pPr>
              <w:pStyle w:val="63"/>
            </w:pPr>
            <w:r>
              <w:rPr>
                <w:lang w:bidi="ar"/>
              </w:rPr>
              <w:t>E</w:t>
            </w:r>
          </w:p>
        </w:tc>
        <w:tc>
          <w:tcPr>
            <w:tcW w:w="850" w:type="dxa"/>
            <w:noWrap/>
            <w:tcMar>
              <w:top w:w="15" w:type="dxa"/>
              <w:left w:w="15" w:type="dxa"/>
              <w:bottom w:w="0" w:type="dxa"/>
              <w:right w:w="15" w:type="dxa"/>
            </w:tcMar>
            <w:vAlign w:val="center"/>
          </w:tcPr>
          <w:p>
            <w:pPr>
              <w:pStyle w:val="63"/>
            </w:pPr>
            <w:r>
              <w:rPr>
                <w:lang w:bidi="ar"/>
              </w:rPr>
              <w:t>ESE</w:t>
            </w:r>
          </w:p>
        </w:tc>
        <w:tc>
          <w:tcPr>
            <w:tcW w:w="850" w:type="dxa"/>
            <w:noWrap/>
            <w:tcMar>
              <w:top w:w="15" w:type="dxa"/>
              <w:left w:w="15" w:type="dxa"/>
              <w:bottom w:w="0" w:type="dxa"/>
              <w:right w:w="15" w:type="dxa"/>
            </w:tcMar>
            <w:vAlign w:val="center"/>
          </w:tcPr>
          <w:p>
            <w:pPr>
              <w:pStyle w:val="63"/>
            </w:pPr>
            <w:r>
              <w:rPr>
                <w:lang w:bidi="ar"/>
              </w:rPr>
              <w:t>SE</w:t>
            </w:r>
          </w:p>
        </w:tc>
        <w:tc>
          <w:tcPr>
            <w:tcW w:w="850" w:type="dxa"/>
            <w:noWrap/>
            <w:tcMar>
              <w:top w:w="15" w:type="dxa"/>
              <w:left w:w="15" w:type="dxa"/>
              <w:bottom w:w="0" w:type="dxa"/>
              <w:right w:w="15" w:type="dxa"/>
            </w:tcMar>
            <w:vAlign w:val="center"/>
          </w:tcPr>
          <w:p>
            <w:pPr>
              <w:pStyle w:val="63"/>
            </w:pPr>
            <w:r>
              <w:rPr>
                <w:lang w:bidi="ar"/>
              </w:rPr>
              <w:t>SSE</w:t>
            </w:r>
          </w:p>
        </w:tc>
        <w:tc>
          <w:tcPr>
            <w:tcW w:w="854" w:type="dxa"/>
            <w:noWrap/>
            <w:tcMar>
              <w:top w:w="15" w:type="dxa"/>
              <w:left w:w="15" w:type="dxa"/>
              <w:bottom w:w="0" w:type="dxa"/>
              <w:right w:w="15" w:type="dxa"/>
            </w:tcMar>
            <w:vAlign w:val="center"/>
          </w:tcPr>
          <w:p>
            <w:pPr>
              <w:pStyle w:val="63"/>
            </w:pPr>
            <w:r>
              <w:rPr>
                <w:lang w:bidi="ar"/>
              </w:rPr>
              <w:t>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54" w:hRule="exact"/>
          <w:jc w:val="center"/>
        </w:trPr>
        <w:tc>
          <w:tcPr>
            <w:tcW w:w="850" w:type="dxa"/>
            <w:noWrap/>
            <w:tcMar>
              <w:top w:w="15" w:type="dxa"/>
              <w:left w:w="15" w:type="dxa"/>
              <w:bottom w:w="0" w:type="dxa"/>
              <w:right w:w="15" w:type="dxa"/>
            </w:tcMar>
            <w:vAlign w:val="center"/>
          </w:tcPr>
          <w:p>
            <w:pPr>
              <w:pStyle w:val="63"/>
              <w:rPr>
                <w:lang w:bidi="ar"/>
              </w:rPr>
            </w:pPr>
            <w:r>
              <w:rPr>
                <w:lang w:bidi="ar"/>
              </w:rPr>
              <w:t>频率</w:t>
            </w:r>
          </w:p>
        </w:tc>
        <w:tc>
          <w:tcPr>
            <w:tcW w:w="850" w:type="dxa"/>
            <w:noWrap/>
            <w:tcMar>
              <w:top w:w="15" w:type="dxa"/>
              <w:left w:w="15" w:type="dxa"/>
              <w:bottom w:w="0" w:type="dxa"/>
              <w:right w:w="15" w:type="dxa"/>
            </w:tcMar>
            <w:vAlign w:val="center"/>
          </w:tcPr>
          <w:p>
            <w:pPr>
              <w:pStyle w:val="63"/>
              <w:rPr>
                <w:lang w:bidi="ar"/>
              </w:rPr>
            </w:pPr>
            <w:r>
              <w:rPr>
                <w:lang w:bidi="ar"/>
              </w:rPr>
              <w:t>15.4</w:t>
            </w:r>
          </w:p>
        </w:tc>
        <w:tc>
          <w:tcPr>
            <w:tcW w:w="850" w:type="dxa"/>
            <w:noWrap/>
            <w:tcMar>
              <w:top w:w="15" w:type="dxa"/>
              <w:left w:w="15" w:type="dxa"/>
              <w:bottom w:w="0" w:type="dxa"/>
              <w:right w:w="15" w:type="dxa"/>
            </w:tcMar>
            <w:vAlign w:val="center"/>
          </w:tcPr>
          <w:p>
            <w:pPr>
              <w:pStyle w:val="63"/>
              <w:rPr>
                <w:lang w:bidi="ar"/>
              </w:rPr>
            </w:pPr>
            <w:r>
              <w:rPr>
                <w:lang w:bidi="ar"/>
              </w:rPr>
              <w:t>13.95</w:t>
            </w:r>
          </w:p>
        </w:tc>
        <w:tc>
          <w:tcPr>
            <w:tcW w:w="850" w:type="dxa"/>
            <w:noWrap/>
            <w:tcMar>
              <w:top w:w="15" w:type="dxa"/>
              <w:left w:w="15" w:type="dxa"/>
              <w:bottom w:w="0" w:type="dxa"/>
              <w:right w:w="15" w:type="dxa"/>
            </w:tcMar>
            <w:vAlign w:val="center"/>
          </w:tcPr>
          <w:p>
            <w:pPr>
              <w:pStyle w:val="63"/>
              <w:rPr>
                <w:lang w:bidi="ar"/>
              </w:rPr>
            </w:pPr>
            <w:r>
              <w:rPr>
                <w:lang w:bidi="ar"/>
              </w:rPr>
              <w:t>6.75</w:t>
            </w:r>
          </w:p>
        </w:tc>
        <w:tc>
          <w:tcPr>
            <w:tcW w:w="850" w:type="dxa"/>
            <w:noWrap/>
            <w:tcMar>
              <w:top w:w="15" w:type="dxa"/>
              <w:left w:w="15" w:type="dxa"/>
              <w:bottom w:w="0" w:type="dxa"/>
              <w:right w:w="15" w:type="dxa"/>
            </w:tcMar>
            <w:vAlign w:val="center"/>
          </w:tcPr>
          <w:p>
            <w:pPr>
              <w:pStyle w:val="63"/>
              <w:rPr>
                <w:lang w:bidi="ar"/>
              </w:rPr>
            </w:pPr>
            <w:r>
              <w:rPr>
                <w:lang w:bidi="ar"/>
              </w:rPr>
              <w:t>4.35</w:t>
            </w:r>
          </w:p>
        </w:tc>
        <w:tc>
          <w:tcPr>
            <w:tcW w:w="850" w:type="dxa"/>
            <w:noWrap/>
            <w:tcMar>
              <w:top w:w="15" w:type="dxa"/>
              <w:left w:w="15" w:type="dxa"/>
              <w:bottom w:w="0" w:type="dxa"/>
              <w:right w:w="15" w:type="dxa"/>
            </w:tcMar>
            <w:vAlign w:val="center"/>
          </w:tcPr>
          <w:p>
            <w:pPr>
              <w:pStyle w:val="63"/>
              <w:rPr>
                <w:lang w:bidi="ar"/>
              </w:rPr>
            </w:pPr>
            <w:r>
              <w:rPr>
                <w:lang w:bidi="ar"/>
              </w:rPr>
              <w:t>5.85</w:t>
            </w:r>
          </w:p>
        </w:tc>
        <w:tc>
          <w:tcPr>
            <w:tcW w:w="850" w:type="dxa"/>
            <w:noWrap/>
            <w:tcMar>
              <w:top w:w="15" w:type="dxa"/>
              <w:left w:w="15" w:type="dxa"/>
              <w:bottom w:w="0" w:type="dxa"/>
              <w:right w:w="15" w:type="dxa"/>
            </w:tcMar>
            <w:vAlign w:val="center"/>
          </w:tcPr>
          <w:p>
            <w:pPr>
              <w:pStyle w:val="63"/>
              <w:rPr>
                <w:lang w:bidi="ar"/>
              </w:rPr>
            </w:pPr>
            <w:r>
              <w:rPr>
                <w:lang w:bidi="ar"/>
              </w:rPr>
              <w:t>5.05</w:t>
            </w:r>
          </w:p>
        </w:tc>
        <w:tc>
          <w:tcPr>
            <w:tcW w:w="850" w:type="dxa"/>
            <w:noWrap/>
            <w:tcMar>
              <w:top w:w="15" w:type="dxa"/>
              <w:left w:w="15" w:type="dxa"/>
              <w:bottom w:w="0" w:type="dxa"/>
              <w:right w:w="15" w:type="dxa"/>
            </w:tcMar>
            <w:vAlign w:val="center"/>
          </w:tcPr>
          <w:p>
            <w:pPr>
              <w:pStyle w:val="63"/>
              <w:rPr>
                <w:lang w:bidi="ar"/>
              </w:rPr>
            </w:pPr>
            <w:r>
              <w:rPr>
                <w:lang w:bidi="ar"/>
              </w:rPr>
              <w:t>2.45</w:t>
            </w:r>
          </w:p>
        </w:tc>
        <w:tc>
          <w:tcPr>
            <w:tcW w:w="850" w:type="dxa"/>
            <w:noWrap/>
            <w:tcMar>
              <w:top w:w="15" w:type="dxa"/>
              <w:left w:w="15" w:type="dxa"/>
              <w:bottom w:w="0" w:type="dxa"/>
              <w:right w:w="15" w:type="dxa"/>
            </w:tcMar>
            <w:vAlign w:val="center"/>
          </w:tcPr>
          <w:p>
            <w:pPr>
              <w:pStyle w:val="63"/>
              <w:rPr>
                <w:lang w:bidi="ar"/>
              </w:rPr>
            </w:pPr>
            <w:r>
              <w:rPr>
                <w:lang w:bidi="ar"/>
              </w:rPr>
              <w:t>2.4</w:t>
            </w:r>
          </w:p>
        </w:tc>
        <w:tc>
          <w:tcPr>
            <w:tcW w:w="854" w:type="dxa"/>
            <w:noWrap/>
            <w:tcMar>
              <w:top w:w="15" w:type="dxa"/>
              <w:left w:w="15" w:type="dxa"/>
              <w:bottom w:w="0" w:type="dxa"/>
              <w:right w:w="15" w:type="dxa"/>
            </w:tcMar>
            <w:vAlign w:val="center"/>
          </w:tcPr>
          <w:p>
            <w:pPr>
              <w:pStyle w:val="63"/>
              <w:rPr>
                <w:lang w:bidi="ar"/>
              </w:rPr>
            </w:pPr>
            <w:r>
              <w:rPr>
                <w:lang w:bidi="ar"/>
              </w:rPr>
              <w:t>3.2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54" w:hRule="exact"/>
          <w:jc w:val="center"/>
        </w:trPr>
        <w:tc>
          <w:tcPr>
            <w:tcW w:w="850" w:type="dxa"/>
            <w:noWrap/>
            <w:tcMar>
              <w:top w:w="15" w:type="dxa"/>
              <w:left w:w="15" w:type="dxa"/>
              <w:bottom w:w="0" w:type="dxa"/>
              <w:right w:w="15" w:type="dxa"/>
            </w:tcMar>
            <w:vAlign w:val="center"/>
          </w:tcPr>
          <w:p>
            <w:pPr>
              <w:pStyle w:val="63"/>
              <w:rPr>
                <w:lang w:bidi="ar"/>
              </w:rPr>
            </w:pPr>
            <w:r>
              <w:rPr>
                <w:lang w:bidi="ar"/>
              </w:rPr>
              <w:t>风向</w:t>
            </w:r>
          </w:p>
        </w:tc>
        <w:tc>
          <w:tcPr>
            <w:tcW w:w="850" w:type="dxa"/>
            <w:noWrap/>
            <w:tcMar>
              <w:top w:w="15" w:type="dxa"/>
              <w:left w:w="15" w:type="dxa"/>
              <w:bottom w:w="0" w:type="dxa"/>
              <w:right w:w="15" w:type="dxa"/>
            </w:tcMar>
            <w:vAlign w:val="center"/>
          </w:tcPr>
          <w:p>
            <w:pPr>
              <w:pStyle w:val="63"/>
              <w:rPr>
                <w:lang w:bidi="ar"/>
              </w:rPr>
            </w:pPr>
            <w:r>
              <w:rPr>
                <w:lang w:bidi="ar"/>
              </w:rPr>
              <w:t>SSW</w:t>
            </w:r>
          </w:p>
        </w:tc>
        <w:tc>
          <w:tcPr>
            <w:tcW w:w="850" w:type="dxa"/>
            <w:noWrap/>
            <w:tcMar>
              <w:top w:w="15" w:type="dxa"/>
              <w:left w:w="15" w:type="dxa"/>
              <w:bottom w:w="0" w:type="dxa"/>
              <w:right w:w="15" w:type="dxa"/>
            </w:tcMar>
            <w:vAlign w:val="center"/>
          </w:tcPr>
          <w:p>
            <w:pPr>
              <w:pStyle w:val="63"/>
              <w:rPr>
                <w:lang w:bidi="ar"/>
              </w:rPr>
            </w:pPr>
            <w:r>
              <w:rPr>
                <w:lang w:bidi="ar"/>
              </w:rPr>
              <w:t>SW</w:t>
            </w:r>
          </w:p>
        </w:tc>
        <w:tc>
          <w:tcPr>
            <w:tcW w:w="850" w:type="dxa"/>
            <w:noWrap/>
            <w:tcMar>
              <w:top w:w="15" w:type="dxa"/>
              <w:left w:w="15" w:type="dxa"/>
              <w:bottom w:w="0" w:type="dxa"/>
              <w:right w:w="15" w:type="dxa"/>
            </w:tcMar>
            <w:vAlign w:val="center"/>
          </w:tcPr>
          <w:p>
            <w:pPr>
              <w:pStyle w:val="63"/>
              <w:rPr>
                <w:lang w:bidi="ar"/>
              </w:rPr>
            </w:pPr>
            <w:r>
              <w:rPr>
                <w:lang w:bidi="ar"/>
              </w:rPr>
              <w:t>WSW</w:t>
            </w:r>
          </w:p>
        </w:tc>
        <w:tc>
          <w:tcPr>
            <w:tcW w:w="850" w:type="dxa"/>
            <w:noWrap/>
            <w:tcMar>
              <w:top w:w="15" w:type="dxa"/>
              <w:left w:w="15" w:type="dxa"/>
              <w:bottom w:w="0" w:type="dxa"/>
              <w:right w:w="15" w:type="dxa"/>
            </w:tcMar>
            <w:vAlign w:val="center"/>
          </w:tcPr>
          <w:p>
            <w:pPr>
              <w:pStyle w:val="63"/>
              <w:rPr>
                <w:lang w:bidi="ar"/>
              </w:rPr>
            </w:pPr>
            <w:r>
              <w:rPr>
                <w:lang w:bidi="ar"/>
              </w:rPr>
              <w:t>W</w:t>
            </w:r>
          </w:p>
        </w:tc>
        <w:tc>
          <w:tcPr>
            <w:tcW w:w="850" w:type="dxa"/>
            <w:noWrap/>
            <w:tcMar>
              <w:top w:w="15" w:type="dxa"/>
              <w:left w:w="15" w:type="dxa"/>
              <w:bottom w:w="0" w:type="dxa"/>
              <w:right w:w="15" w:type="dxa"/>
            </w:tcMar>
            <w:vAlign w:val="center"/>
          </w:tcPr>
          <w:p>
            <w:pPr>
              <w:pStyle w:val="63"/>
              <w:rPr>
                <w:lang w:bidi="ar"/>
              </w:rPr>
            </w:pPr>
            <w:r>
              <w:rPr>
                <w:lang w:bidi="ar"/>
              </w:rPr>
              <w:t>WNW</w:t>
            </w:r>
          </w:p>
        </w:tc>
        <w:tc>
          <w:tcPr>
            <w:tcW w:w="850" w:type="dxa"/>
            <w:noWrap/>
            <w:tcMar>
              <w:top w:w="15" w:type="dxa"/>
              <w:left w:w="15" w:type="dxa"/>
              <w:bottom w:w="0" w:type="dxa"/>
              <w:right w:w="15" w:type="dxa"/>
            </w:tcMar>
            <w:vAlign w:val="center"/>
          </w:tcPr>
          <w:p>
            <w:pPr>
              <w:pStyle w:val="63"/>
              <w:rPr>
                <w:lang w:bidi="ar"/>
              </w:rPr>
            </w:pPr>
            <w:r>
              <w:rPr>
                <w:lang w:bidi="ar"/>
              </w:rPr>
              <w:t>NW</w:t>
            </w:r>
          </w:p>
        </w:tc>
        <w:tc>
          <w:tcPr>
            <w:tcW w:w="850" w:type="dxa"/>
            <w:noWrap/>
            <w:tcMar>
              <w:top w:w="15" w:type="dxa"/>
              <w:left w:w="15" w:type="dxa"/>
              <w:bottom w:w="0" w:type="dxa"/>
              <w:right w:w="15" w:type="dxa"/>
            </w:tcMar>
            <w:vAlign w:val="center"/>
          </w:tcPr>
          <w:p>
            <w:pPr>
              <w:pStyle w:val="63"/>
              <w:rPr>
                <w:lang w:bidi="ar"/>
              </w:rPr>
            </w:pPr>
            <w:r>
              <w:rPr>
                <w:lang w:bidi="ar"/>
              </w:rPr>
              <w:t>NNW</w:t>
            </w:r>
          </w:p>
        </w:tc>
        <w:tc>
          <w:tcPr>
            <w:tcW w:w="850" w:type="dxa"/>
            <w:noWrap/>
            <w:tcMar>
              <w:top w:w="15" w:type="dxa"/>
              <w:left w:w="15" w:type="dxa"/>
              <w:bottom w:w="0" w:type="dxa"/>
              <w:right w:w="15" w:type="dxa"/>
            </w:tcMar>
            <w:vAlign w:val="center"/>
          </w:tcPr>
          <w:p>
            <w:pPr>
              <w:pStyle w:val="63"/>
              <w:rPr>
                <w:lang w:bidi="ar"/>
              </w:rPr>
            </w:pPr>
            <w:r>
              <w:rPr>
                <w:lang w:bidi="ar"/>
              </w:rPr>
              <w:t>C</w:t>
            </w:r>
          </w:p>
        </w:tc>
        <w:tc>
          <w:tcPr>
            <w:tcW w:w="854" w:type="dxa"/>
            <w:noWrap/>
            <w:tcMar>
              <w:top w:w="15" w:type="dxa"/>
              <w:left w:w="15" w:type="dxa"/>
              <w:bottom w:w="0" w:type="dxa"/>
              <w:right w:w="15" w:type="dxa"/>
            </w:tcMar>
            <w:vAlign w:val="center"/>
          </w:tcPr>
          <w:p>
            <w:pPr>
              <w:pStyle w:val="63"/>
              <w:rPr>
                <w:lang w:bidi="ar"/>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cantSplit/>
          <w:trHeight w:val="454" w:hRule="exact"/>
          <w:jc w:val="center"/>
        </w:trPr>
        <w:tc>
          <w:tcPr>
            <w:tcW w:w="850" w:type="dxa"/>
            <w:noWrap/>
            <w:tcMar>
              <w:top w:w="15" w:type="dxa"/>
              <w:left w:w="15" w:type="dxa"/>
              <w:bottom w:w="0" w:type="dxa"/>
              <w:right w:w="15" w:type="dxa"/>
            </w:tcMar>
            <w:vAlign w:val="center"/>
          </w:tcPr>
          <w:p>
            <w:pPr>
              <w:pStyle w:val="63"/>
              <w:rPr>
                <w:lang w:bidi="ar"/>
              </w:rPr>
            </w:pPr>
            <w:r>
              <w:rPr>
                <w:lang w:bidi="ar"/>
              </w:rPr>
              <w:t>频率</w:t>
            </w:r>
          </w:p>
        </w:tc>
        <w:tc>
          <w:tcPr>
            <w:tcW w:w="850" w:type="dxa"/>
            <w:noWrap/>
            <w:tcMar>
              <w:top w:w="15" w:type="dxa"/>
              <w:left w:w="15" w:type="dxa"/>
              <w:bottom w:w="0" w:type="dxa"/>
              <w:right w:w="15" w:type="dxa"/>
            </w:tcMar>
            <w:vAlign w:val="center"/>
          </w:tcPr>
          <w:p>
            <w:pPr>
              <w:pStyle w:val="63"/>
              <w:rPr>
                <w:lang w:bidi="ar"/>
              </w:rPr>
            </w:pPr>
            <w:r>
              <w:rPr>
                <w:lang w:bidi="ar"/>
              </w:rPr>
              <w:t>3</w:t>
            </w:r>
          </w:p>
        </w:tc>
        <w:tc>
          <w:tcPr>
            <w:tcW w:w="850" w:type="dxa"/>
            <w:noWrap/>
            <w:tcMar>
              <w:top w:w="15" w:type="dxa"/>
              <w:left w:w="15" w:type="dxa"/>
              <w:bottom w:w="0" w:type="dxa"/>
              <w:right w:w="15" w:type="dxa"/>
            </w:tcMar>
            <w:vAlign w:val="center"/>
          </w:tcPr>
          <w:p>
            <w:pPr>
              <w:pStyle w:val="63"/>
              <w:rPr>
                <w:lang w:bidi="ar"/>
              </w:rPr>
            </w:pPr>
            <w:r>
              <w:rPr>
                <w:lang w:bidi="ar"/>
              </w:rPr>
              <w:t>2.6</w:t>
            </w:r>
          </w:p>
        </w:tc>
        <w:tc>
          <w:tcPr>
            <w:tcW w:w="850" w:type="dxa"/>
            <w:noWrap/>
            <w:tcMar>
              <w:top w:w="15" w:type="dxa"/>
              <w:left w:w="15" w:type="dxa"/>
              <w:bottom w:w="0" w:type="dxa"/>
              <w:right w:w="15" w:type="dxa"/>
            </w:tcMar>
            <w:vAlign w:val="center"/>
          </w:tcPr>
          <w:p>
            <w:pPr>
              <w:pStyle w:val="63"/>
              <w:rPr>
                <w:lang w:bidi="ar"/>
              </w:rPr>
            </w:pPr>
            <w:r>
              <w:rPr>
                <w:lang w:bidi="ar"/>
              </w:rPr>
              <w:t>2.55</w:t>
            </w:r>
          </w:p>
        </w:tc>
        <w:tc>
          <w:tcPr>
            <w:tcW w:w="850" w:type="dxa"/>
            <w:noWrap/>
            <w:tcMar>
              <w:top w:w="15" w:type="dxa"/>
              <w:left w:w="15" w:type="dxa"/>
              <w:bottom w:w="0" w:type="dxa"/>
              <w:right w:w="15" w:type="dxa"/>
            </w:tcMar>
            <w:vAlign w:val="center"/>
          </w:tcPr>
          <w:p>
            <w:pPr>
              <w:pStyle w:val="63"/>
              <w:rPr>
                <w:lang w:bidi="ar"/>
              </w:rPr>
            </w:pPr>
            <w:r>
              <w:rPr>
                <w:lang w:bidi="ar"/>
              </w:rPr>
              <w:t>2.05</w:t>
            </w:r>
          </w:p>
        </w:tc>
        <w:tc>
          <w:tcPr>
            <w:tcW w:w="850" w:type="dxa"/>
            <w:noWrap/>
            <w:tcMar>
              <w:top w:w="15" w:type="dxa"/>
              <w:left w:w="15" w:type="dxa"/>
              <w:bottom w:w="0" w:type="dxa"/>
              <w:right w:w="15" w:type="dxa"/>
            </w:tcMar>
            <w:vAlign w:val="center"/>
          </w:tcPr>
          <w:p>
            <w:pPr>
              <w:pStyle w:val="63"/>
              <w:rPr>
                <w:lang w:bidi="ar"/>
              </w:rPr>
            </w:pPr>
            <w:r>
              <w:rPr>
                <w:lang w:bidi="ar"/>
              </w:rPr>
              <w:t>2.2</w:t>
            </w:r>
          </w:p>
        </w:tc>
        <w:tc>
          <w:tcPr>
            <w:tcW w:w="850" w:type="dxa"/>
            <w:noWrap/>
            <w:tcMar>
              <w:top w:w="15" w:type="dxa"/>
              <w:left w:w="15" w:type="dxa"/>
              <w:bottom w:w="0" w:type="dxa"/>
              <w:right w:w="15" w:type="dxa"/>
            </w:tcMar>
            <w:vAlign w:val="center"/>
          </w:tcPr>
          <w:p>
            <w:pPr>
              <w:pStyle w:val="63"/>
              <w:rPr>
                <w:lang w:bidi="ar"/>
              </w:rPr>
            </w:pPr>
            <w:r>
              <w:rPr>
                <w:lang w:bidi="ar"/>
              </w:rPr>
              <w:t>3.45</w:t>
            </w:r>
          </w:p>
        </w:tc>
        <w:tc>
          <w:tcPr>
            <w:tcW w:w="850" w:type="dxa"/>
            <w:noWrap/>
            <w:tcMar>
              <w:top w:w="15" w:type="dxa"/>
              <w:left w:w="15" w:type="dxa"/>
              <w:bottom w:w="0" w:type="dxa"/>
              <w:right w:w="15" w:type="dxa"/>
            </w:tcMar>
            <w:vAlign w:val="center"/>
          </w:tcPr>
          <w:p>
            <w:pPr>
              <w:pStyle w:val="63"/>
              <w:rPr>
                <w:lang w:bidi="ar"/>
              </w:rPr>
            </w:pPr>
            <w:r>
              <w:rPr>
                <w:lang w:bidi="ar"/>
              </w:rPr>
              <w:t>6.75</w:t>
            </w:r>
          </w:p>
        </w:tc>
        <w:tc>
          <w:tcPr>
            <w:tcW w:w="850" w:type="dxa"/>
            <w:noWrap/>
            <w:tcMar>
              <w:top w:w="15" w:type="dxa"/>
              <w:left w:w="15" w:type="dxa"/>
              <w:bottom w:w="0" w:type="dxa"/>
              <w:right w:w="15" w:type="dxa"/>
            </w:tcMar>
            <w:vAlign w:val="center"/>
          </w:tcPr>
          <w:p>
            <w:pPr>
              <w:pStyle w:val="63"/>
              <w:rPr>
                <w:lang w:bidi="ar"/>
              </w:rPr>
            </w:pPr>
            <w:r>
              <w:rPr>
                <w:lang w:bidi="ar"/>
              </w:rPr>
              <w:t>18.05</w:t>
            </w:r>
          </w:p>
        </w:tc>
        <w:tc>
          <w:tcPr>
            <w:tcW w:w="854" w:type="dxa"/>
            <w:noWrap/>
            <w:tcMar>
              <w:top w:w="15" w:type="dxa"/>
              <w:left w:w="15" w:type="dxa"/>
              <w:bottom w:w="0" w:type="dxa"/>
              <w:right w:w="15" w:type="dxa"/>
            </w:tcMar>
            <w:vAlign w:val="center"/>
          </w:tcPr>
          <w:p>
            <w:pPr>
              <w:pStyle w:val="63"/>
              <w:rPr>
                <w:lang w:bidi="ar"/>
              </w:rPr>
            </w:pPr>
          </w:p>
        </w:tc>
      </w:tr>
    </w:tbl>
    <w:p>
      <w:pPr>
        <w:jc w:val="center"/>
        <w:rPr>
          <w:rFonts w:ascii="Times New Roman" w:hAnsi="Times New Roman" w:cs="Times New Roman"/>
        </w:rPr>
      </w:pPr>
    </w:p>
    <w:tbl>
      <w:tblPr>
        <w:tblStyle w:val="35"/>
        <w:tblW w:w="0" w:type="auto"/>
        <w:tblInd w:w="108" w:type="dxa"/>
        <w:tblLayout w:type="fixed"/>
        <w:tblCellMar>
          <w:top w:w="0" w:type="dxa"/>
          <w:left w:w="108" w:type="dxa"/>
          <w:bottom w:w="0" w:type="dxa"/>
          <w:right w:w="108" w:type="dxa"/>
        </w:tblCellMar>
      </w:tblPr>
      <w:tblGrid>
        <w:gridCol w:w="3969"/>
        <w:gridCol w:w="4253"/>
      </w:tblGrid>
      <w:tr>
        <w:tblPrEx>
          <w:tblCellMar>
            <w:top w:w="0" w:type="dxa"/>
            <w:left w:w="108" w:type="dxa"/>
            <w:bottom w:w="0" w:type="dxa"/>
            <w:right w:w="108" w:type="dxa"/>
          </w:tblCellMar>
        </w:tblPrEx>
        <w:tc>
          <w:tcPr>
            <w:tcW w:w="3969" w:type="dxa"/>
            <w:vAlign w:val="center"/>
          </w:tcPr>
          <w:p>
            <w:pPr>
              <w:jc w:val="center"/>
              <w:rPr>
                <w:rFonts w:ascii="Times New Roman" w:hAnsi="Times New Roman" w:cs="Times New Roman"/>
              </w:rPr>
            </w:pPr>
            <w:r>
              <w:rPr>
                <w:rFonts w:ascii="Times New Roman" w:hAnsi="Times New Roman" w:cs="Times New Roman"/>
              </w:rPr>
              <w:drawing>
                <wp:inline distT="0" distB="0" distL="0" distR="0">
                  <wp:extent cx="2457450" cy="232410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2457450" cy="2324100"/>
                          </a:xfrm>
                          <a:prstGeom prst="rect">
                            <a:avLst/>
                          </a:prstGeom>
                          <a:noFill/>
                          <a:ln>
                            <a:noFill/>
                          </a:ln>
                        </pic:spPr>
                      </pic:pic>
                    </a:graphicData>
                  </a:graphic>
                </wp:inline>
              </w:drawing>
            </w:r>
          </w:p>
        </w:tc>
        <w:tc>
          <w:tcPr>
            <w:tcW w:w="4253" w:type="dxa"/>
            <w:vAlign w:val="center"/>
          </w:tcPr>
          <w:p>
            <w:pPr>
              <w:jc w:val="center"/>
              <w:rPr>
                <w:rFonts w:ascii="Times New Roman" w:hAnsi="Times New Roman" w:cs="Times New Roman"/>
              </w:rPr>
            </w:pPr>
            <w:r>
              <w:rPr>
                <w:rFonts w:ascii="Times New Roman" w:hAnsi="Times New Roman" w:cs="Times New Roman"/>
              </w:rPr>
              <w:drawing>
                <wp:inline distT="0" distB="0" distL="0" distR="0">
                  <wp:extent cx="2419350" cy="230505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2419350" cy="2305050"/>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3969" w:type="dxa"/>
            <w:vAlign w:val="center"/>
          </w:tcPr>
          <w:p>
            <w:pPr>
              <w:jc w:val="center"/>
              <w:rPr>
                <w:rFonts w:ascii="Times New Roman" w:hAnsi="Times New Roman" w:cs="Times New Roman"/>
              </w:rPr>
            </w:pPr>
            <w:r>
              <w:rPr>
                <w:rFonts w:ascii="Times New Roman" w:hAnsi="Times New Roman" w:cs="Times New Roman"/>
              </w:rPr>
              <w:drawing>
                <wp:inline distT="0" distB="0" distL="0" distR="0">
                  <wp:extent cx="2543175" cy="2438400"/>
                  <wp:effectExtent l="0" t="0" r="952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2543175" cy="2438400"/>
                          </a:xfrm>
                          <a:prstGeom prst="rect">
                            <a:avLst/>
                          </a:prstGeom>
                          <a:noFill/>
                          <a:ln>
                            <a:noFill/>
                          </a:ln>
                        </pic:spPr>
                      </pic:pic>
                    </a:graphicData>
                  </a:graphic>
                </wp:inline>
              </w:drawing>
            </w:r>
          </w:p>
        </w:tc>
        <w:tc>
          <w:tcPr>
            <w:tcW w:w="4253" w:type="dxa"/>
            <w:vAlign w:val="center"/>
          </w:tcPr>
          <w:p>
            <w:pPr>
              <w:jc w:val="center"/>
              <w:rPr>
                <w:rFonts w:ascii="Times New Roman" w:hAnsi="Times New Roman" w:cs="Times New Roman"/>
              </w:rPr>
            </w:pPr>
            <w:r>
              <w:rPr>
                <w:rFonts w:ascii="Times New Roman" w:hAnsi="Times New Roman" w:cs="Times New Roman"/>
              </w:rPr>
              <w:drawing>
                <wp:inline distT="0" distB="0" distL="0" distR="0">
                  <wp:extent cx="2486025" cy="2381250"/>
                  <wp:effectExtent l="0" t="0" r="952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2486025" cy="2381250"/>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3969" w:type="dxa"/>
            <w:vAlign w:val="center"/>
          </w:tcPr>
          <w:p>
            <w:pPr>
              <w:jc w:val="center"/>
              <w:rPr>
                <w:rFonts w:ascii="Times New Roman" w:hAnsi="Times New Roman" w:cs="Times New Roman"/>
              </w:rPr>
            </w:pPr>
            <w:r>
              <w:rPr>
                <w:rFonts w:ascii="Times New Roman" w:hAnsi="Times New Roman" w:cs="Times New Roman"/>
              </w:rPr>
              <w:drawing>
                <wp:inline distT="0" distB="0" distL="0" distR="0">
                  <wp:extent cx="2466975" cy="2362200"/>
                  <wp:effectExtent l="0" t="0" r="9525"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466975" cy="2362200"/>
                          </a:xfrm>
                          <a:prstGeom prst="rect">
                            <a:avLst/>
                          </a:prstGeom>
                          <a:noFill/>
                          <a:ln>
                            <a:noFill/>
                          </a:ln>
                        </pic:spPr>
                      </pic:pic>
                    </a:graphicData>
                  </a:graphic>
                </wp:inline>
              </w:drawing>
            </w:r>
          </w:p>
        </w:tc>
        <w:tc>
          <w:tcPr>
            <w:tcW w:w="4253" w:type="dxa"/>
            <w:vAlign w:val="center"/>
          </w:tcPr>
          <w:p>
            <w:pPr>
              <w:jc w:val="center"/>
              <w:rPr>
                <w:rFonts w:ascii="Times New Roman" w:hAnsi="Times New Roman" w:cs="Times New Roman"/>
              </w:rPr>
            </w:pPr>
            <w:r>
              <w:rPr>
                <w:rFonts w:ascii="Times New Roman" w:hAnsi="Times New Roman" w:cs="Times New Roman"/>
              </w:rPr>
              <w:drawing>
                <wp:inline distT="0" distB="0" distL="0" distR="0">
                  <wp:extent cx="2390775" cy="2305050"/>
                  <wp:effectExtent l="0" t="0" r="952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2390775" cy="2305050"/>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3969" w:type="dxa"/>
            <w:vAlign w:val="center"/>
          </w:tcPr>
          <w:p>
            <w:pPr>
              <w:jc w:val="center"/>
              <w:rPr>
                <w:rFonts w:ascii="Times New Roman" w:hAnsi="Times New Roman" w:cs="Times New Roman"/>
              </w:rPr>
            </w:pPr>
            <w:r>
              <w:rPr>
                <w:rFonts w:ascii="Times New Roman" w:hAnsi="Times New Roman" w:cs="Times New Roman"/>
              </w:rPr>
              <w:drawing>
                <wp:inline distT="0" distB="0" distL="0" distR="0">
                  <wp:extent cx="2543175" cy="2495550"/>
                  <wp:effectExtent l="0" t="0" r="952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2543175" cy="2495550"/>
                          </a:xfrm>
                          <a:prstGeom prst="rect">
                            <a:avLst/>
                          </a:prstGeom>
                          <a:noFill/>
                          <a:ln>
                            <a:noFill/>
                          </a:ln>
                        </pic:spPr>
                      </pic:pic>
                    </a:graphicData>
                  </a:graphic>
                </wp:inline>
              </w:drawing>
            </w:r>
          </w:p>
        </w:tc>
        <w:tc>
          <w:tcPr>
            <w:tcW w:w="4253" w:type="dxa"/>
            <w:vAlign w:val="center"/>
          </w:tcPr>
          <w:p>
            <w:pPr>
              <w:jc w:val="center"/>
              <w:rPr>
                <w:rFonts w:ascii="Times New Roman" w:hAnsi="Times New Roman" w:cs="Times New Roman"/>
              </w:rPr>
            </w:pPr>
            <w:r>
              <w:rPr>
                <w:rFonts w:ascii="Times New Roman" w:hAnsi="Times New Roman" w:cs="Times New Roman"/>
              </w:rPr>
              <w:drawing>
                <wp:inline distT="0" distB="0" distL="0" distR="0">
                  <wp:extent cx="2466975" cy="2381250"/>
                  <wp:effectExtent l="0" t="0" r="9525"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2466975" cy="2381250"/>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3969" w:type="dxa"/>
            <w:vAlign w:val="center"/>
          </w:tcPr>
          <w:p>
            <w:pPr>
              <w:jc w:val="center"/>
              <w:rPr>
                <w:rFonts w:ascii="Times New Roman" w:hAnsi="Times New Roman" w:cs="Times New Roman"/>
              </w:rPr>
            </w:pPr>
            <w:r>
              <w:rPr>
                <w:rFonts w:ascii="Times New Roman" w:hAnsi="Times New Roman" w:cs="Times New Roman"/>
              </w:rPr>
              <w:drawing>
                <wp:inline distT="0" distB="0" distL="0" distR="0">
                  <wp:extent cx="2409825" cy="2333625"/>
                  <wp:effectExtent l="0" t="0" r="9525" b="95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409825" cy="2333625"/>
                          </a:xfrm>
                          <a:prstGeom prst="rect">
                            <a:avLst/>
                          </a:prstGeom>
                          <a:noFill/>
                          <a:ln>
                            <a:noFill/>
                          </a:ln>
                        </pic:spPr>
                      </pic:pic>
                    </a:graphicData>
                  </a:graphic>
                </wp:inline>
              </w:drawing>
            </w:r>
          </w:p>
        </w:tc>
        <w:tc>
          <w:tcPr>
            <w:tcW w:w="4253" w:type="dxa"/>
            <w:vAlign w:val="center"/>
          </w:tcPr>
          <w:p>
            <w:pPr>
              <w:jc w:val="center"/>
              <w:rPr>
                <w:rFonts w:ascii="Times New Roman" w:hAnsi="Times New Roman" w:cs="Times New Roman"/>
              </w:rPr>
            </w:pPr>
            <w:r>
              <w:rPr>
                <w:rFonts w:ascii="Times New Roman" w:hAnsi="Times New Roman" w:cs="Times New Roman"/>
              </w:rPr>
              <w:drawing>
                <wp:inline distT="0" distB="0" distL="0" distR="0">
                  <wp:extent cx="2552700" cy="249555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552700" cy="2495550"/>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3969" w:type="dxa"/>
            <w:vAlign w:val="center"/>
          </w:tcPr>
          <w:p>
            <w:pPr>
              <w:jc w:val="center"/>
              <w:rPr>
                <w:rFonts w:ascii="Times New Roman" w:hAnsi="Times New Roman" w:cs="Times New Roman"/>
              </w:rPr>
            </w:pPr>
            <w:r>
              <w:rPr>
                <w:rFonts w:ascii="Times New Roman" w:hAnsi="Times New Roman" w:cs="Times New Roman"/>
              </w:rPr>
              <w:drawing>
                <wp:inline distT="0" distB="0" distL="0" distR="0">
                  <wp:extent cx="2476500" cy="238125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2476500" cy="2381250"/>
                          </a:xfrm>
                          <a:prstGeom prst="rect">
                            <a:avLst/>
                          </a:prstGeom>
                          <a:noFill/>
                          <a:ln>
                            <a:noFill/>
                          </a:ln>
                        </pic:spPr>
                      </pic:pic>
                    </a:graphicData>
                  </a:graphic>
                </wp:inline>
              </w:drawing>
            </w:r>
          </w:p>
        </w:tc>
        <w:tc>
          <w:tcPr>
            <w:tcW w:w="4253" w:type="dxa"/>
            <w:vAlign w:val="center"/>
          </w:tcPr>
          <w:p>
            <w:pPr>
              <w:jc w:val="center"/>
              <w:rPr>
                <w:rFonts w:ascii="Times New Roman" w:hAnsi="Times New Roman" w:cs="Times New Roman"/>
              </w:rPr>
            </w:pPr>
            <w:r>
              <w:rPr>
                <w:rFonts w:ascii="Times New Roman" w:hAnsi="Times New Roman" w:cs="Times New Roman"/>
              </w:rPr>
              <w:drawing>
                <wp:inline distT="0" distB="0" distL="0" distR="0">
                  <wp:extent cx="2590800" cy="241935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2590800" cy="2419350"/>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3969" w:type="dxa"/>
            <w:vAlign w:val="center"/>
          </w:tcPr>
          <w:p>
            <w:pPr>
              <w:jc w:val="center"/>
              <w:rPr>
                <w:rFonts w:ascii="Times New Roman" w:hAnsi="Times New Roman" w:cs="Times New Roman"/>
              </w:rPr>
            </w:pPr>
            <w:r>
              <w:rPr>
                <w:rFonts w:ascii="Times New Roman" w:hAnsi="Times New Roman" w:cs="Times New Roman"/>
              </w:rPr>
              <w:drawing>
                <wp:inline distT="0" distB="0" distL="0" distR="0">
                  <wp:extent cx="2571750" cy="2447925"/>
                  <wp:effectExtent l="0" t="0" r="0" b="952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2571750" cy="2447925"/>
                          </a:xfrm>
                          <a:prstGeom prst="rect">
                            <a:avLst/>
                          </a:prstGeom>
                          <a:noFill/>
                          <a:ln>
                            <a:noFill/>
                          </a:ln>
                        </pic:spPr>
                      </pic:pic>
                    </a:graphicData>
                  </a:graphic>
                </wp:inline>
              </w:drawing>
            </w:r>
          </w:p>
        </w:tc>
        <w:tc>
          <w:tcPr>
            <w:tcW w:w="4253" w:type="dxa"/>
            <w:vAlign w:val="center"/>
          </w:tcPr>
          <w:p>
            <w:pPr>
              <w:jc w:val="center"/>
              <w:rPr>
                <w:rFonts w:ascii="Times New Roman" w:hAnsi="Times New Roman" w:cs="Times New Roman"/>
              </w:rPr>
            </w:pPr>
          </w:p>
        </w:tc>
      </w:tr>
    </w:tbl>
    <w:p>
      <w:pPr>
        <w:pStyle w:val="6"/>
        <w:rPr>
          <w:rFonts w:ascii="Times New Roman" w:hAnsi="Times New Roman" w:cs="Times New Roman"/>
          <w:lang w:val="zh-CN"/>
        </w:rPr>
      </w:pPr>
      <w:r>
        <w:rPr>
          <w:rFonts w:ascii="Times New Roman" w:hAnsi="Times New Roman" w:cs="Times New Roman"/>
          <w:lang w:val="zh-CN"/>
        </w:rPr>
        <w:t>图</w:t>
      </w:r>
      <w:r>
        <w:rPr>
          <w:rFonts w:ascii="Times New Roman" w:hAnsi="Times New Roman" w:cs="Times New Roman"/>
        </w:rPr>
        <w:t>6</w:t>
      </w:r>
      <w:r>
        <w:rPr>
          <w:rFonts w:ascii="Times New Roman" w:hAnsi="Times New Roman" w:cs="Times New Roman"/>
          <w:lang w:val="zh-CN"/>
        </w:rPr>
        <w:t>.2.1-1  衡东气象站（2003-2022年）风向玫瑰图</w:t>
      </w:r>
    </w:p>
    <w:p>
      <w:pPr>
        <w:pStyle w:val="8"/>
        <w:spacing w:line="240" w:lineRule="auto"/>
        <w:ind w:firstLine="200"/>
        <w:jc w:val="center"/>
        <w:rPr>
          <w:rFonts w:ascii="Times New Roman" w:hAnsi="Times New Roman" w:cs="Times New Roman"/>
          <w:b w:val="0"/>
          <w:lang w:val="zh-CN"/>
        </w:rPr>
        <w:sectPr>
          <w:headerReference r:id="rId8" w:type="first"/>
          <w:footerReference r:id="rId11" w:type="first"/>
          <w:headerReference r:id="rId6" w:type="default"/>
          <w:footerReference r:id="rId9" w:type="default"/>
          <w:headerReference r:id="rId7" w:type="even"/>
          <w:footerReference r:id="rId10" w:type="even"/>
          <w:pgSz w:w="11907" w:h="16839"/>
          <w:pgMar w:top="1440" w:right="1797" w:bottom="1440" w:left="1797" w:header="720" w:footer="720" w:gutter="0"/>
          <w:cols w:space="720" w:num="1"/>
          <w:docGrid w:linePitch="326" w:charSpace="0"/>
        </w:sectPr>
      </w:pPr>
    </w:p>
    <w:p>
      <w:pPr>
        <w:pStyle w:val="6"/>
        <w:rPr>
          <w:rFonts w:ascii="Times New Roman" w:hAnsi="Times New Roman" w:cs="Times New Roman"/>
          <w:lang w:val="zh-CN"/>
        </w:rPr>
      </w:pPr>
      <w:r>
        <w:rPr>
          <w:rFonts w:ascii="Times New Roman" w:hAnsi="Times New Roman" w:cs="Times New Roman"/>
          <w:lang w:val="zh-CN"/>
        </w:rPr>
        <w:t>表</w:t>
      </w:r>
      <w:r>
        <w:rPr>
          <w:rFonts w:ascii="Times New Roman" w:hAnsi="Times New Roman" w:cs="Times New Roman"/>
        </w:rPr>
        <w:t>6</w:t>
      </w:r>
      <w:r>
        <w:rPr>
          <w:rFonts w:ascii="Times New Roman" w:hAnsi="Times New Roman" w:cs="Times New Roman"/>
          <w:lang w:val="zh-CN"/>
        </w:rPr>
        <w:t>.2.1-4  衡东气象站全年风向频率（%）统计结果（2003-2022年）</w:t>
      </w:r>
    </w:p>
    <w:tbl>
      <w:tblPr>
        <w:tblStyle w:val="35"/>
        <w:tblW w:w="137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193"/>
        <w:gridCol w:w="726"/>
        <w:gridCol w:w="732"/>
        <w:gridCol w:w="670"/>
        <w:gridCol w:w="837"/>
        <w:gridCol w:w="670"/>
        <w:gridCol w:w="670"/>
        <w:gridCol w:w="670"/>
        <w:gridCol w:w="670"/>
        <w:gridCol w:w="670"/>
        <w:gridCol w:w="837"/>
        <w:gridCol w:w="670"/>
        <w:gridCol w:w="837"/>
        <w:gridCol w:w="670"/>
        <w:gridCol w:w="837"/>
        <w:gridCol w:w="670"/>
        <w:gridCol w:w="837"/>
        <w:gridCol w:w="85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trPr>
        <w:tc>
          <w:tcPr>
            <w:tcW w:w="1193" w:type="dxa"/>
            <w:tcBorders>
              <w:top w:val="single" w:color="auto" w:sz="12" w:space="0"/>
              <w:left w:val="single" w:color="auto" w:sz="12" w:space="0"/>
              <w:bottom w:val="single" w:color="auto" w:sz="6" w:space="0"/>
              <w:right w:val="single" w:color="auto" w:sz="6" w:space="0"/>
              <w:tl2br w:val="single" w:color="auto" w:sz="4" w:space="0"/>
            </w:tcBorders>
            <w:vAlign w:val="center"/>
          </w:tcPr>
          <w:p>
            <w:pPr>
              <w:pStyle w:val="63"/>
              <w:jc w:val="both"/>
            </w:pPr>
            <w:r>
              <w:t xml:space="preserve">      风向</w:t>
            </w:r>
          </w:p>
          <w:p>
            <w:pPr>
              <w:pStyle w:val="63"/>
              <w:jc w:val="both"/>
            </w:pPr>
            <w:r>
              <w:t>月份</w:t>
            </w:r>
          </w:p>
        </w:tc>
        <w:tc>
          <w:tcPr>
            <w:tcW w:w="726" w:type="dxa"/>
            <w:tcBorders>
              <w:top w:val="single" w:color="auto" w:sz="12" w:space="0"/>
              <w:left w:val="nil"/>
              <w:bottom w:val="single" w:color="auto" w:sz="6" w:space="0"/>
              <w:right w:val="single" w:color="auto" w:sz="6" w:space="0"/>
            </w:tcBorders>
            <w:vAlign w:val="center"/>
          </w:tcPr>
          <w:p>
            <w:pPr>
              <w:pStyle w:val="63"/>
            </w:pPr>
            <w:r>
              <w:t>N</w:t>
            </w:r>
          </w:p>
        </w:tc>
        <w:tc>
          <w:tcPr>
            <w:tcW w:w="732" w:type="dxa"/>
            <w:tcBorders>
              <w:top w:val="single" w:color="auto" w:sz="12" w:space="0"/>
              <w:left w:val="nil"/>
              <w:bottom w:val="single" w:color="auto" w:sz="6" w:space="0"/>
              <w:right w:val="single" w:color="auto" w:sz="6" w:space="0"/>
            </w:tcBorders>
            <w:vAlign w:val="center"/>
          </w:tcPr>
          <w:p>
            <w:pPr>
              <w:pStyle w:val="63"/>
              <w:rPr>
                <w:spacing w:val="-6"/>
              </w:rPr>
            </w:pPr>
            <w:r>
              <w:rPr>
                <w:spacing w:val="-6"/>
              </w:rPr>
              <w:t>NNE</w:t>
            </w:r>
          </w:p>
        </w:tc>
        <w:tc>
          <w:tcPr>
            <w:tcW w:w="670" w:type="dxa"/>
            <w:tcBorders>
              <w:top w:val="single" w:color="auto" w:sz="12" w:space="0"/>
              <w:left w:val="nil"/>
              <w:bottom w:val="single" w:color="auto" w:sz="6" w:space="0"/>
              <w:right w:val="single" w:color="auto" w:sz="6" w:space="0"/>
            </w:tcBorders>
            <w:vAlign w:val="center"/>
          </w:tcPr>
          <w:p>
            <w:pPr>
              <w:pStyle w:val="63"/>
            </w:pPr>
            <w:r>
              <w:t>NE</w:t>
            </w:r>
          </w:p>
        </w:tc>
        <w:tc>
          <w:tcPr>
            <w:tcW w:w="837" w:type="dxa"/>
            <w:tcBorders>
              <w:top w:val="single" w:color="auto" w:sz="12" w:space="0"/>
              <w:left w:val="nil"/>
              <w:bottom w:val="single" w:color="auto" w:sz="6" w:space="0"/>
              <w:right w:val="single" w:color="auto" w:sz="6" w:space="0"/>
            </w:tcBorders>
            <w:vAlign w:val="center"/>
          </w:tcPr>
          <w:p>
            <w:pPr>
              <w:pStyle w:val="63"/>
            </w:pPr>
            <w:r>
              <w:t>ENE</w:t>
            </w:r>
          </w:p>
        </w:tc>
        <w:tc>
          <w:tcPr>
            <w:tcW w:w="670" w:type="dxa"/>
            <w:tcBorders>
              <w:top w:val="single" w:color="auto" w:sz="12" w:space="0"/>
              <w:left w:val="nil"/>
              <w:bottom w:val="single" w:color="auto" w:sz="6" w:space="0"/>
              <w:right w:val="single" w:color="auto" w:sz="6" w:space="0"/>
            </w:tcBorders>
            <w:vAlign w:val="center"/>
          </w:tcPr>
          <w:p>
            <w:pPr>
              <w:pStyle w:val="63"/>
            </w:pPr>
            <w:r>
              <w:t>E</w:t>
            </w:r>
          </w:p>
        </w:tc>
        <w:tc>
          <w:tcPr>
            <w:tcW w:w="670" w:type="dxa"/>
            <w:tcBorders>
              <w:top w:val="single" w:color="auto" w:sz="12" w:space="0"/>
              <w:left w:val="nil"/>
              <w:bottom w:val="single" w:color="auto" w:sz="6" w:space="0"/>
              <w:right w:val="single" w:color="auto" w:sz="6" w:space="0"/>
            </w:tcBorders>
            <w:vAlign w:val="center"/>
          </w:tcPr>
          <w:p>
            <w:pPr>
              <w:pStyle w:val="63"/>
            </w:pPr>
            <w:r>
              <w:t>ESE</w:t>
            </w:r>
          </w:p>
        </w:tc>
        <w:tc>
          <w:tcPr>
            <w:tcW w:w="670" w:type="dxa"/>
            <w:tcBorders>
              <w:top w:val="single" w:color="auto" w:sz="12" w:space="0"/>
              <w:left w:val="nil"/>
              <w:bottom w:val="single" w:color="auto" w:sz="6" w:space="0"/>
              <w:right w:val="single" w:color="auto" w:sz="6" w:space="0"/>
            </w:tcBorders>
            <w:vAlign w:val="center"/>
          </w:tcPr>
          <w:p>
            <w:pPr>
              <w:pStyle w:val="63"/>
            </w:pPr>
            <w:r>
              <w:t>SE</w:t>
            </w:r>
          </w:p>
        </w:tc>
        <w:tc>
          <w:tcPr>
            <w:tcW w:w="670" w:type="dxa"/>
            <w:tcBorders>
              <w:top w:val="single" w:color="auto" w:sz="12" w:space="0"/>
              <w:left w:val="nil"/>
              <w:bottom w:val="single" w:color="auto" w:sz="6" w:space="0"/>
              <w:right w:val="single" w:color="auto" w:sz="6" w:space="0"/>
            </w:tcBorders>
            <w:vAlign w:val="center"/>
          </w:tcPr>
          <w:p>
            <w:pPr>
              <w:pStyle w:val="63"/>
            </w:pPr>
            <w:r>
              <w:t>SSE</w:t>
            </w:r>
          </w:p>
        </w:tc>
        <w:tc>
          <w:tcPr>
            <w:tcW w:w="670" w:type="dxa"/>
            <w:tcBorders>
              <w:top w:val="single" w:color="auto" w:sz="12" w:space="0"/>
              <w:left w:val="nil"/>
              <w:bottom w:val="single" w:color="auto" w:sz="6" w:space="0"/>
              <w:right w:val="single" w:color="auto" w:sz="6" w:space="0"/>
            </w:tcBorders>
            <w:vAlign w:val="center"/>
          </w:tcPr>
          <w:p>
            <w:pPr>
              <w:pStyle w:val="63"/>
            </w:pPr>
            <w:r>
              <w:t>S</w:t>
            </w:r>
          </w:p>
        </w:tc>
        <w:tc>
          <w:tcPr>
            <w:tcW w:w="837" w:type="dxa"/>
            <w:tcBorders>
              <w:top w:val="single" w:color="auto" w:sz="12" w:space="0"/>
              <w:left w:val="nil"/>
              <w:bottom w:val="single" w:color="auto" w:sz="6" w:space="0"/>
              <w:right w:val="single" w:color="auto" w:sz="6" w:space="0"/>
            </w:tcBorders>
            <w:vAlign w:val="center"/>
          </w:tcPr>
          <w:p>
            <w:pPr>
              <w:pStyle w:val="63"/>
            </w:pPr>
            <w:r>
              <w:t>SSW</w:t>
            </w:r>
          </w:p>
        </w:tc>
        <w:tc>
          <w:tcPr>
            <w:tcW w:w="670" w:type="dxa"/>
            <w:tcBorders>
              <w:top w:val="single" w:color="auto" w:sz="12" w:space="0"/>
              <w:left w:val="nil"/>
              <w:bottom w:val="single" w:color="auto" w:sz="6" w:space="0"/>
              <w:right w:val="single" w:color="auto" w:sz="6" w:space="0"/>
            </w:tcBorders>
            <w:vAlign w:val="center"/>
          </w:tcPr>
          <w:p>
            <w:pPr>
              <w:pStyle w:val="63"/>
            </w:pPr>
            <w:r>
              <w:t>SW</w:t>
            </w:r>
          </w:p>
        </w:tc>
        <w:tc>
          <w:tcPr>
            <w:tcW w:w="837" w:type="dxa"/>
            <w:tcBorders>
              <w:top w:val="single" w:color="auto" w:sz="12" w:space="0"/>
              <w:left w:val="nil"/>
              <w:bottom w:val="single" w:color="auto" w:sz="6" w:space="0"/>
              <w:right w:val="single" w:color="auto" w:sz="6" w:space="0"/>
            </w:tcBorders>
            <w:vAlign w:val="center"/>
          </w:tcPr>
          <w:p>
            <w:pPr>
              <w:pStyle w:val="63"/>
              <w:rPr>
                <w:spacing w:val="-6"/>
              </w:rPr>
            </w:pPr>
            <w:r>
              <w:rPr>
                <w:spacing w:val="-6"/>
              </w:rPr>
              <w:t>WSW</w:t>
            </w:r>
          </w:p>
        </w:tc>
        <w:tc>
          <w:tcPr>
            <w:tcW w:w="670" w:type="dxa"/>
            <w:tcBorders>
              <w:top w:val="single" w:color="auto" w:sz="12" w:space="0"/>
              <w:left w:val="nil"/>
              <w:bottom w:val="single" w:color="auto" w:sz="6" w:space="0"/>
              <w:right w:val="single" w:color="auto" w:sz="6" w:space="0"/>
            </w:tcBorders>
            <w:vAlign w:val="center"/>
          </w:tcPr>
          <w:p>
            <w:pPr>
              <w:pStyle w:val="63"/>
            </w:pPr>
            <w:r>
              <w:t>W</w:t>
            </w:r>
          </w:p>
        </w:tc>
        <w:tc>
          <w:tcPr>
            <w:tcW w:w="837" w:type="dxa"/>
            <w:tcBorders>
              <w:top w:val="single" w:color="auto" w:sz="12" w:space="0"/>
              <w:left w:val="nil"/>
              <w:bottom w:val="single" w:color="auto" w:sz="6" w:space="0"/>
              <w:right w:val="single" w:color="auto" w:sz="6" w:space="0"/>
            </w:tcBorders>
            <w:vAlign w:val="center"/>
          </w:tcPr>
          <w:p>
            <w:pPr>
              <w:pStyle w:val="63"/>
              <w:rPr>
                <w:spacing w:val="-10"/>
              </w:rPr>
            </w:pPr>
            <w:r>
              <w:rPr>
                <w:spacing w:val="-10"/>
              </w:rPr>
              <w:t>WNW</w:t>
            </w:r>
          </w:p>
        </w:tc>
        <w:tc>
          <w:tcPr>
            <w:tcW w:w="670" w:type="dxa"/>
            <w:tcBorders>
              <w:top w:val="single" w:color="auto" w:sz="12" w:space="0"/>
              <w:left w:val="nil"/>
              <w:bottom w:val="single" w:color="auto" w:sz="6" w:space="0"/>
              <w:right w:val="single" w:color="auto" w:sz="6" w:space="0"/>
            </w:tcBorders>
            <w:vAlign w:val="center"/>
          </w:tcPr>
          <w:p>
            <w:pPr>
              <w:pStyle w:val="63"/>
            </w:pPr>
            <w:r>
              <w:t>NW</w:t>
            </w:r>
          </w:p>
        </w:tc>
        <w:tc>
          <w:tcPr>
            <w:tcW w:w="837" w:type="dxa"/>
            <w:tcBorders>
              <w:top w:val="single" w:color="auto" w:sz="12" w:space="0"/>
              <w:left w:val="nil"/>
              <w:bottom w:val="single" w:color="auto" w:sz="6" w:space="0"/>
              <w:right w:val="single" w:color="auto" w:sz="6" w:space="0"/>
            </w:tcBorders>
            <w:vAlign w:val="center"/>
          </w:tcPr>
          <w:p>
            <w:pPr>
              <w:pStyle w:val="63"/>
            </w:pPr>
            <w:r>
              <w:t>NNW</w:t>
            </w:r>
          </w:p>
        </w:tc>
        <w:tc>
          <w:tcPr>
            <w:tcW w:w="856" w:type="dxa"/>
            <w:tcBorders>
              <w:top w:val="single" w:color="auto" w:sz="12" w:space="0"/>
              <w:left w:val="nil"/>
              <w:bottom w:val="single" w:color="auto" w:sz="6" w:space="0"/>
              <w:right w:val="single" w:color="auto" w:sz="12" w:space="0"/>
            </w:tcBorders>
            <w:vAlign w:val="center"/>
          </w:tcPr>
          <w:p>
            <w:pPr>
              <w:pStyle w:val="63"/>
            </w:pPr>
            <w:r>
              <w:t>C</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trPr>
        <w:tc>
          <w:tcPr>
            <w:tcW w:w="1193" w:type="dxa"/>
            <w:tcBorders>
              <w:top w:val="single" w:color="auto" w:sz="6" w:space="0"/>
              <w:left w:val="single" w:color="auto" w:sz="12" w:space="0"/>
              <w:bottom w:val="single" w:color="auto" w:sz="6" w:space="0"/>
              <w:right w:val="single" w:color="auto" w:sz="6" w:space="0"/>
            </w:tcBorders>
            <w:vAlign w:val="center"/>
          </w:tcPr>
          <w:p>
            <w:pPr>
              <w:pStyle w:val="63"/>
            </w:pPr>
            <w:r>
              <w:t>1</w:t>
            </w:r>
          </w:p>
        </w:tc>
        <w:tc>
          <w:tcPr>
            <w:tcW w:w="726" w:type="dxa"/>
            <w:tcBorders>
              <w:top w:val="single" w:color="auto" w:sz="6" w:space="0"/>
              <w:left w:val="nil"/>
              <w:bottom w:val="single" w:color="auto" w:sz="6" w:space="0"/>
              <w:right w:val="single" w:color="auto" w:sz="6" w:space="0"/>
            </w:tcBorders>
            <w:vAlign w:val="center"/>
          </w:tcPr>
          <w:p>
            <w:pPr>
              <w:pStyle w:val="63"/>
            </w:pPr>
            <w:r>
              <w:t>21.7</w:t>
            </w:r>
          </w:p>
        </w:tc>
        <w:tc>
          <w:tcPr>
            <w:tcW w:w="732" w:type="dxa"/>
            <w:tcBorders>
              <w:top w:val="single" w:color="auto" w:sz="6" w:space="0"/>
              <w:left w:val="nil"/>
              <w:bottom w:val="single" w:color="auto" w:sz="6" w:space="0"/>
              <w:right w:val="single" w:color="auto" w:sz="6" w:space="0"/>
            </w:tcBorders>
            <w:vAlign w:val="center"/>
          </w:tcPr>
          <w:p>
            <w:pPr>
              <w:pStyle w:val="63"/>
            </w:pPr>
            <w:r>
              <w:t>18.2</w:t>
            </w:r>
          </w:p>
        </w:tc>
        <w:tc>
          <w:tcPr>
            <w:tcW w:w="670" w:type="dxa"/>
            <w:tcBorders>
              <w:top w:val="single" w:color="auto" w:sz="6" w:space="0"/>
              <w:left w:val="nil"/>
              <w:bottom w:val="single" w:color="auto" w:sz="6" w:space="0"/>
              <w:right w:val="single" w:color="auto" w:sz="6" w:space="0"/>
            </w:tcBorders>
            <w:vAlign w:val="center"/>
          </w:tcPr>
          <w:p>
            <w:pPr>
              <w:pStyle w:val="63"/>
            </w:pPr>
            <w:r>
              <w:t>9.4</w:t>
            </w:r>
          </w:p>
        </w:tc>
        <w:tc>
          <w:tcPr>
            <w:tcW w:w="837" w:type="dxa"/>
            <w:tcBorders>
              <w:top w:val="single" w:color="auto" w:sz="6" w:space="0"/>
              <w:left w:val="nil"/>
              <w:bottom w:val="single" w:color="auto" w:sz="6" w:space="0"/>
              <w:right w:val="single" w:color="auto" w:sz="6" w:space="0"/>
            </w:tcBorders>
            <w:vAlign w:val="center"/>
          </w:tcPr>
          <w:p>
            <w:pPr>
              <w:pStyle w:val="63"/>
            </w:pPr>
            <w:r>
              <w:t>4.6</w:t>
            </w:r>
          </w:p>
        </w:tc>
        <w:tc>
          <w:tcPr>
            <w:tcW w:w="670" w:type="dxa"/>
            <w:tcBorders>
              <w:top w:val="single" w:color="auto" w:sz="6" w:space="0"/>
              <w:left w:val="nil"/>
              <w:bottom w:val="single" w:color="auto" w:sz="6" w:space="0"/>
              <w:right w:val="single" w:color="auto" w:sz="6" w:space="0"/>
            </w:tcBorders>
            <w:vAlign w:val="center"/>
          </w:tcPr>
          <w:p>
            <w:pPr>
              <w:pStyle w:val="63"/>
            </w:pPr>
            <w:r>
              <w:t>4.3</w:t>
            </w:r>
          </w:p>
        </w:tc>
        <w:tc>
          <w:tcPr>
            <w:tcW w:w="670" w:type="dxa"/>
            <w:tcBorders>
              <w:top w:val="single" w:color="auto" w:sz="6" w:space="0"/>
              <w:left w:val="nil"/>
              <w:bottom w:val="single" w:color="auto" w:sz="6" w:space="0"/>
              <w:right w:val="single" w:color="auto" w:sz="6" w:space="0"/>
            </w:tcBorders>
            <w:vAlign w:val="center"/>
          </w:tcPr>
          <w:p>
            <w:pPr>
              <w:pStyle w:val="63"/>
            </w:pPr>
            <w:r>
              <w:t>3.2</w:t>
            </w:r>
          </w:p>
        </w:tc>
        <w:tc>
          <w:tcPr>
            <w:tcW w:w="670" w:type="dxa"/>
            <w:tcBorders>
              <w:top w:val="single" w:color="auto" w:sz="6" w:space="0"/>
              <w:left w:val="nil"/>
              <w:bottom w:val="single" w:color="auto" w:sz="6" w:space="0"/>
              <w:right w:val="single" w:color="auto" w:sz="6" w:space="0"/>
            </w:tcBorders>
            <w:vAlign w:val="center"/>
          </w:tcPr>
          <w:p>
            <w:pPr>
              <w:pStyle w:val="63"/>
            </w:pPr>
            <w:r>
              <w:t>2.3</w:t>
            </w:r>
          </w:p>
        </w:tc>
        <w:tc>
          <w:tcPr>
            <w:tcW w:w="670" w:type="dxa"/>
            <w:tcBorders>
              <w:top w:val="single" w:color="auto" w:sz="6" w:space="0"/>
              <w:left w:val="nil"/>
              <w:bottom w:val="single" w:color="auto" w:sz="6" w:space="0"/>
              <w:right w:val="single" w:color="auto" w:sz="6" w:space="0"/>
            </w:tcBorders>
            <w:vAlign w:val="center"/>
          </w:tcPr>
          <w:p>
            <w:pPr>
              <w:pStyle w:val="63"/>
            </w:pPr>
            <w:r>
              <w:t>1.6</w:t>
            </w:r>
          </w:p>
        </w:tc>
        <w:tc>
          <w:tcPr>
            <w:tcW w:w="670" w:type="dxa"/>
            <w:tcBorders>
              <w:top w:val="single" w:color="auto" w:sz="6" w:space="0"/>
              <w:left w:val="nil"/>
              <w:bottom w:val="single" w:color="auto" w:sz="6" w:space="0"/>
              <w:right w:val="single" w:color="auto" w:sz="6" w:space="0"/>
            </w:tcBorders>
            <w:vAlign w:val="center"/>
          </w:tcPr>
          <w:p>
            <w:pPr>
              <w:pStyle w:val="63"/>
            </w:pPr>
            <w:r>
              <w:t>1.4</w:t>
            </w:r>
          </w:p>
        </w:tc>
        <w:tc>
          <w:tcPr>
            <w:tcW w:w="837" w:type="dxa"/>
            <w:tcBorders>
              <w:top w:val="single" w:color="auto" w:sz="6" w:space="0"/>
              <w:left w:val="nil"/>
              <w:bottom w:val="single" w:color="auto" w:sz="6" w:space="0"/>
              <w:right w:val="single" w:color="auto" w:sz="6" w:space="0"/>
            </w:tcBorders>
            <w:vAlign w:val="center"/>
          </w:tcPr>
          <w:p>
            <w:pPr>
              <w:pStyle w:val="63"/>
            </w:pPr>
            <w:r>
              <w:t>1.2</w:t>
            </w:r>
          </w:p>
        </w:tc>
        <w:tc>
          <w:tcPr>
            <w:tcW w:w="670" w:type="dxa"/>
            <w:tcBorders>
              <w:top w:val="single" w:color="auto" w:sz="6" w:space="0"/>
              <w:left w:val="nil"/>
              <w:bottom w:val="single" w:color="auto" w:sz="6" w:space="0"/>
              <w:right w:val="single" w:color="auto" w:sz="6" w:space="0"/>
            </w:tcBorders>
            <w:vAlign w:val="center"/>
          </w:tcPr>
          <w:p>
            <w:pPr>
              <w:pStyle w:val="63"/>
            </w:pPr>
            <w:r>
              <w:t>1.1</w:t>
            </w:r>
          </w:p>
        </w:tc>
        <w:tc>
          <w:tcPr>
            <w:tcW w:w="837" w:type="dxa"/>
            <w:tcBorders>
              <w:top w:val="single" w:color="auto" w:sz="6" w:space="0"/>
              <w:left w:val="nil"/>
              <w:bottom w:val="single" w:color="auto" w:sz="6" w:space="0"/>
              <w:right w:val="single" w:color="auto" w:sz="6" w:space="0"/>
            </w:tcBorders>
            <w:vAlign w:val="center"/>
          </w:tcPr>
          <w:p>
            <w:pPr>
              <w:pStyle w:val="63"/>
            </w:pPr>
            <w:r>
              <w:t>1.5</w:t>
            </w:r>
          </w:p>
        </w:tc>
        <w:tc>
          <w:tcPr>
            <w:tcW w:w="670" w:type="dxa"/>
            <w:tcBorders>
              <w:top w:val="single" w:color="auto" w:sz="6" w:space="0"/>
              <w:left w:val="nil"/>
              <w:bottom w:val="single" w:color="auto" w:sz="6" w:space="0"/>
              <w:right w:val="single" w:color="auto" w:sz="6" w:space="0"/>
            </w:tcBorders>
            <w:vAlign w:val="center"/>
          </w:tcPr>
          <w:p>
            <w:pPr>
              <w:pStyle w:val="63"/>
            </w:pPr>
            <w:r>
              <w:t>1.8</w:t>
            </w:r>
          </w:p>
        </w:tc>
        <w:tc>
          <w:tcPr>
            <w:tcW w:w="837" w:type="dxa"/>
            <w:tcBorders>
              <w:top w:val="single" w:color="auto" w:sz="6" w:space="0"/>
              <w:left w:val="nil"/>
              <w:bottom w:val="single" w:color="auto" w:sz="6" w:space="0"/>
              <w:right w:val="single" w:color="auto" w:sz="6" w:space="0"/>
            </w:tcBorders>
            <w:vAlign w:val="center"/>
          </w:tcPr>
          <w:p>
            <w:pPr>
              <w:pStyle w:val="63"/>
            </w:pPr>
            <w:r>
              <w:t>2.2</w:t>
            </w:r>
          </w:p>
        </w:tc>
        <w:tc>
          <w:tcPr>
            <w:tcW w:w="670" w:type="dxa"/>
            <w:tcBorders>
              <w:top w:val="single" w:color="auto" w:sz="6" w:space="0"/>
              <w:left w:val="nil"/>
              <w:bottom w:val="single" w:color="auto" w:sz="6" w:space="0"/>
              <w:right w:val="single" w:color="auto" w:sz="6" w:space="0"/>
            </w:tcBorders>
            <w:vAlign w:val="center"/>
          </w:tcPr>
          <w:p>
            <w:pPr>
              <w:pStyle w:val="63"/>
            </w:pPr>
            <w:r>
              <w:t>4.3</w:t>
            </w:r>
          </w:p>
        </w:tc>
        <w:tc>
          <w:tcPr>
            <w:tcW w:w="837" w:type="dxa"/>
            <w:tcBorders>
              <w:top w:val="single" w:color="auto" w:sz="6" w:space="0"/>
              <w:left w:val="nil"/>
              <w:bottom w:val="single" w:color="auto" w:sz="6" w:space="0"/>
              <w:right w:val="single" w:color="auto" w:sz="6" w:space="0"/>
            </w:tcBorders>
            <w:vAlign w:val="center"/>
          </w:tcPr>
          <w:p>
            <w:pPr>
              <w:pStyle w:val="63"/>
            </w:pPr>
            <w:r>
              <w:t>8.5</w:t>
            </w:r>
          </w:p>
        </w:tc>
        <w:tc>
          <w:tcPr>
            <w:tcW w:w="856" w:type="dxa"/>
            <w:tcBorders>
              <w:top w:val="single" w:color="auto" w:sz="6" w:space="0"/>
              <w:left w:val="nil"/>
              <w:bottom w:val="single" w:color="auto" w:sz="6" w:space="0"/>
              <w:right w:val="single" w:color="auto" w:sz="12" w:space="0"/>
            </w:tcBorders>
            <w:vAlign w:val="center"/>
          </w:tcPr>
          <w:p>
            <w:pPr>
              <w:pStyle w:val="63"/>
            </w:pPr>
            <w:r>
              <w:t>19.3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trPr>
        <w:tc>
          <w:tcPr>
            <w:tcW w:w="1193" w:type="dxa"/>
            <w:tcBorders>
              <w:top w:val="single" w:color="auto" w:sz="6" w:space="0"/>
              <w:left w:val="single" w:color="auto" w:sz="12" w:space="0"/>
              <w:bottom w:val="single" w:color="auto" w:sz="6" w:space="0"/>
              <w:right w:val="single" w:color="auto" w:sz="6" w:space="0"/>
            </w:tcBorders>
            <w:vAlign w:val="center"/>
          </w:tcPr>
          <w:p>
            <w:pPr>
              <w:pStyle w:val="63"/>
            </w:pPr>
            <w:r>
              <w:t>2</w:t>
            </w:r>
          </w:p>
        </w:tc>
        <w:tc>
          <w:tcPr>
            <w:tcW w:w="726" w:type="dxa"/>
            <w:tcBorders>
              <w:top w:val="single" w:color="auto" w:sz="6" w:space="0"/>
              <w:left w:val="nil"/>
              <w:bottom w:val="single" w:color="auto" w:sz="6" w:space="0"/>
              <w:right w:val="single" w:color="auto" w:sz="6" w:space="0"/>
            </w:tcBorders>
            <w:vAlign w:val="center"/>
          </w:tcPr>
          <w:p>
            <w:pPr>
              <w:pStyle w:val="63"/>
            </w:pPr>
            <w:r>
              <w:t>20</w:t>
            </w:r>
          </w:p>
        </w:tc>
        <w:tc>
          <w:tcPr>
            <w:tcW w:w="732" w:type="dxa"/>
            <w:tcBorders>
              <w:top w:val="single" w:color="auto" w:sz="6" w:space="0"/>
              <w:left w:val="nil"/>
              <w:bottom w:val="single" w:color="auto" w:sz="6" w:space="0"/>
              <w:right w:val="single" w:color="auto" w:sz="6" w:space="0"/>
            </w:tcBorders>
            <w:vAlign w:val="center"/>
          </w:tcPr>
          <w:p>
            <w:pPr>
              <w:pStyle w:val="63"/>
            </w:pPr>
            <w:r>
              <w:t>17.7</w:t>
            </w:r>
          </w:p>
        </w:tc>
        <w:tc>
          <w:tcPr>
            <w:tcW w:w="670" w:type="dxa"/>
            <w:tcBorders>
              <w:top w:val="single" w:color="auto" w:sz="6" w:space="0"/>
              <w:left w:val="nil"/>
              <w:bottom w:val="single" w:color="auto" w:sz="6" w:space="0"/>
              <w:right w:val="single" w:color="auto" w:sz="6" w:space="0"/>
            </w:tcBorders>
            <w:vAlign w:val="center"/>
          </w:tcPr>
          <w:p>
            <w:pPr>
              <w:pStyle w:val="63"/>
            </w:pPr>
            <w:r>
              <w:t>9.9</w:t>
            </w:r>
          </w:p>
        </w:tc>
        <w:tc>
          <w:tcPr>
            <w:tcW w:w="837" w:type="dxa"/>
            <w:tcBorders>
              <w:top w:val="single" w:color="auto" w:sz="6" w:space="0"/>
              <w:left w:val="nil"/>
              <w:bottom w:val="single" w:color="auto" w:sz="6" w:space="0"/>
              <w:right w:val="single" w:color="auto" w:sz="6" w:space="0"/>
            </w:tcBorders>
            <w:vAlign w:val="center"/>
          </w:tcPr>
          <w:p>
            <w:pPr>
              <w:pStyle w:val="63"/>
            </w:pPr>
            <w:r>
              <w:t>4.6</w:t>
            </w:r>
          </w:p>
        </w:tc>
        <w:tc>
          <w:tcPr>
            <w:tcW w:w="670" w:type="dxa"/>
            <w:tcBorders>
              <w:top w:val="single" w:color="auto" w:sz="6" w:space="0"/>
              <w:left w:val="nil"/>
              <w:bottom w:val="single" w:color="auto" w:sz="6" w:space="0"/>
              <w:right w:val="single" w:color="auto" w:sz="6" w:space="0"/>
            </w:tcBorders>
            <w:vAlign w:val="center"/>
          </w:tcPr>
          <w:p>
            <w:pPr>
              <w:pStyle w:val="63"/>
            </w:pPr>
            <w:r>
              <w:t>5.3</w:t>
            </w:r>
          </w:p>
        </w:tc>
        <w:tc>
          <w:tcPr>
            <w:tcW w:w="670" w:type="dxa"/>
            <w:tcBorders>
              <w:top w:val="single" w:color="auto" w:sz="6" w:space="0"/>
              <w:left w:val="nil"/>
              <w:bottom w:val="single" w:color="auto" w:sz="6" w:space="0"/>
              <w:right w:val="single" w:color="auto" w:sz="6" w:space="0"/>
            </w:tcBorders>
            <w:vAlign w:val="center"/>
          </w:tcPr>
          <w:p>
            <w:pPr>
              <w:pStyle w:val="63"/>
            </w:pPr>
            <w:r>
              <w:t>3.9</w:t>
            </w:r>
          </w:p>
        </w:tc>
        <w:tc>
          <w:tcPr>
            <w:tcW w:w="670" w:type="dxa"/>
            <w:tcBorders>
              <w:top w:val="single" w:color="auto" w:sz="6" w:space="0"/>
              <w:left w:val="nil"/>
              <w:bottom w:val="single" w:color="auto" w:sz="6" w:space="0"/>
              <w:right w:val="single" w:color="auto" w:sz="6" w:space="0"/>
            </w:tcBorders>
            <w:vAlign w:val="center"/>
          </w:tcPr>
          <w:p>
            <w:pPr>
              <w:pStyle w:val="63"/>
            </w:pPr>
            <w:r>
              <w:t>2.3</w:t>
            </w:r>
          </w:p>
        </w:tc>
        <w:tc>
          <w:tcPr>
            <w:tcW w:w="670" w:type="dxa"/>
            <w:tcBorders>
              <w:top w:val="single" w:color="auto" w:sz="6" w:space="0"/>
              <w:left w:val="nil"/>
              <w:bottom w:val="single" w:color="auto" w:sz="6" w:space="0"/>
              <w:right w:val="single" w:color="auto" w:sz="6" w:space="0"/>
            </w:tcBorders>
            <w:vAlign w:val="center"/>
          </w:tcPr>
          <w:p>
            <w:pPr>
              <w:pStyle w:val="63"/>
            </w:pPr>
            <w:r>
              <w:t>2</w:t>
            </w:r>
          </w:p>
        </w:tc>
        <w:tc>
          <w:tcPr>
            <w:tcW w:w="670" w:type="dxa"/>
            <w:tcBorders>
              <w:top w:val="single" w:color="auto" w:sz="6" w:space="0"/>
              <w:left w:val="nil"/>
              <w:bottom w:val="single" w:color="auto" w:sz="6" w:space="0"/>
              <w:right w:val="single" w:color="auto" w:sz="6" w:space="0"/>
            </w:tcBorders>
            <w:vAlign w:val="center"/>
          </w:tcPr>
          <w:p>
            <w:pPr>
              <w:pStyle w:val="63"/>
            </w:pPr>
            <w:r>
              <w:t>2.4</w:t>
            </w:r>
          </w:p>
        </w:tc>
        <w:tc>
          <w:tcPr>
            <w:tcW w:w="837" w:type="dxa"/>
            <w:tcBorders>
              <w:top w:val="single" w:color="auto" w:sz="6" w:space="0"/>
              <w:left w:val="nil"/>
              <w:bottom w:val="single" w:color="auto" w:sz="6" w:space="0"/>
              <w:right w:val="single" w:color="auto" w:sz="6" w:space="0"/>
            </w:tcBorders>
            <w:vAlign w:val="center"/>
          </w:tcPr>
          <w:p>
            <w:pPr>
              <w:pStyle w:val="63"/>
            </w:pPr>
            <w:r>
              <w:t>2</w:t>
            </w:r>
          </w:p>
        </w:tc>
        <w:tc>
          <w:tcPr>
            <w:tcW w:w="670" w:type="dxa"/>
            <w:tcBorders>
              <w:top w:val="single" w:color="auto" w:sz="6" w:space="0"/>
              <w:left w:val="nil"/>
              <w:bottom w:val="single" w:color="auto" w:sz="6" w:space="0"/>
              <w:right w:val="single" w:color="auto" w:sz="6" w:space="0"/>
            </w:tcBorders>
            <w:vAlign w:val="center"/>
          </w:tcPr>
          <w:p>
            <w:pPr>
              <w:pStyle w:val="63"/>
            </w:pPr>
            <w:r>
              <w:t>1.8</w:t>
            </w:r>
          </w:p>
        </w:tc>
        <w:tc>
          <w:tcPr>
            <w:tcW w:w="837" w:type="dxa"/>
            <w:tcBorders>
              <w:top w:val="single" w:color="auto" w:sz="6" w:space="0"/>
              <w:left w:val="nil"/>
              <w:bottom w:val="single" w:color="auto" w:sz="6" w:space="0"/>
              <w:right w:val="single" w:color="auto" w:sz="6" w:space="0"/>
            </w:tcBorders>
            <w:vAlign w:val="center"/>
          </w:tcPr>
          <w:p>
            <w:pPr>
              <w:pStyle w:val="63"/>
            </w:pPr>
            <w:r>
              <w:t>2</w:t>
            </w:r>
          </w:p>
        </w:tc>
        <w:tc>
          <w:tcPr>
            <w:tcW w:w="670" w:type="dxa"/>
            <w:tcBorders>
              <w:top w:val="single" w:color="auto" w:sz="6" w:space="0"/>
              <w:left w:val="nil"/>
              <w:bottom w:val="single" w:color="auto" w:sz="6" w:space="0"/>
              <w:right w:val="single" w:color="auto" w:sz="6" w:space="0"/>
            </w:tcBorders>
            <w:vAlign w:val="center"/>
          </w:tcPr>
          <w:p>
            <w:pPr>
              <w:pStyle w:val="63"/>
            </w:pPr>
            <w:r>
              <w:t>2.4</w:t>
            </w:r>
          </w:p>
        </w:tc>
        <w:tc>
          <w:tcPr>
            <w:tcW w:w="837" w:type="dxa"/>
            <w:tcBorders>
              <w:top w:val="single" w:color="auto" w:sz="6" w:space="0"/>
              <w:left w:val="nil"/>
              <w:bottom w:val="single" w:color="auto" w:sz="6" w:space="0"/>
              <w:right w:val="single" w:color="auto" w:sz="6" w:space="0"/>
            </w:tcBorders>
            <w:vAlign w:val="center"/>
          </w:tcPr>
          <w:p>
            <w:pPr>
              <w:pStyle w:val="63"/>
            </w:pPr>
            <w:r>
              <w:t>2.4</w:t>
            </w:r>
          </w:p>
        </w:tc>
        <w:tc>
          <w:tcPr>
            <w:tcW w:w="670" w:type="dxa"/>
            <w:tcBorders>
              <w:top w:val="single" w:color="auto" w:sz="6" w:space="0"/>
              <w:left w:val="nil"/>
              <w:bottom w:val="single" w:color="auto" w:sz="6" w:space="0"/>
              <w:right w:val="single" w:color="auto" w:sz="6" w:space="0"/>
            </w:tcBorders>
            <w:vAlign w:val="center"/>
          </w:tcPr>
          <w:p>
            <w:pPr>
              <w:pStyle w:val="63"/>
            </w:pPr>
            <w:r>
              <w:t>4.1</w:t>
            </w:r>
          </w:p>
        </w:tc>
        <w:tc>
          <w:tcPr>
            <w:tcW w:w="837" w:type="dxa"/>
            <w:tcBorders>
              <w:top w:val="single" w:color="auto" w:sz="6" w:space="0"/>
              <w:left w:val="nil"/>
              <w:bottom w:val="single" w:color="auto" w:sz="6" w:space="0"/>
              <w:right w:val="single" w:color="auto" w:sz="6" w:space="0"/>
            </w:tcBorders>
            <w:vAlign w:val="center"/>
          </w:tcPr>
          <w:p>
            <w:pPr>
              <w:pStyle w:val="63"/>
            </w:pPr>
            <w:r>
              <w:t>7.5</w:t>
            </w:r>
          </w:p>
        </w:tc>
        <w:tc>
          <w:tcPr>
            <w:tcW w:w="856" w:type="dxa"/>
            <w:tcBorders>
              <w:top w:val="single" w:color="auto" w:sz="6" w:space="0"/>
              <w:left w:val="nil"/>
              <w:bottom w:val="single" w:color="auto" w:sz="6" w:space="0"/>
              <w:right w:val="single" w:color="auto" w:sz="12" w:space="0"/>
            </w:tcBorders>
            <w:vAlign w:val="center"/>
          </w:tcPr>
          <w:p>
            <w:pPr>
              <w:pStyle w:val="63"/>
            </w:pPr>
            <w:r>
              <w:t>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trPr>
        <w:tc>
          <w:tcPr>
            <w:tcW w:w="1193" w:type="dxa"/>
            <w:tcBorders>
              <w:top w:val="single" w:color="auto" w:sz="6" w:space="0"/>
              <w:left w:val="single" w:color="auto" w:sz="12" w:space="0"/>
              <w:bottom w:val="single" w:color="auto" w:sz="6" w:space="0"/>
              <w:right w:val="single" w:color="auto" w:sz="6" w:space="0"/>
            </w:tcBorders>
            <w:vAlign w:val="center"/>
          </w:tcPr>
          <w:p>
            <w:pPr>
              <w:pStyle w:val="63"/>
            </w:pPr>
            <w:r>
              <w:t>3</w:t>
            </w:r>
          </w:p>
        </w:tc>
        <w:tc>
          <w:tcPr>
            <w:tcW w:w="726" w:type="dxa"/>
            <w:tcBorders>
              <w:top w:val="single" w:color="auto" w:sz="6" w:space="0"/>
              <w:left w:val="nil"/>
              <w:bottom w:val="single" w:color="auto" w:sz="6" w:space="0"/>
              <w:right w:val="single" w:color="auto" w:sz="6" w:space="0"/>
            </w:tcBorders>
            <w:vAlign w:val="center"/>
          </w:tcPr>
          <w:p>
            <w:pPr>
              <w:pStyle w:val="63"/>
            </w:pPr>
            <w:r>
              <w:t>14.8</w:t>
            </w:r>
          </w:p>
        </w:tc>
        <w:tc>
          <w:tcPr>
            <w:tcW w:w="732" w:type="dxa"/>
            <w:tcBorders>
              <w:top w:val="single" w:color="auto" w:sz="6" w:space="0"/>
              <w:left w:val="nil"/>
              <w:bottom w:val="single" w:color="auto" w:sz="6" w:space="0"/>
              <w:right w:val="single" w:color="auto" w:sz="6" w:space="0"/>
            </w:tcBorders>
            <w:vAlign w:val="center"/>
          </w:tcPr>
          <w:p>
            <w:pPr>
              <w:pStyle w:val="63"/>
            </w:pPr>
            <w:r>
              <w:t>14.4</w:t>
            </w:r>
          </w:p>
        </w:tc>
        <w:tc>
          <w:tcPr>
            <w:tcW w:w="670" w:type="dxa"/>
            <w:tcBorders>
              <w:top w:val="single" w:color="auto" w:sz="6" w:space="0"/>
              <w:left w:val="nil"/>
              <w:bottom w:val="single" w:color="auto" w:sz="6" w:space="0"/>
              <w:right w:val="single" w:color="auto" w:sz="6" w:space="0"/>
            </w:tcBorders>
            <w:vAlign w:val="center"/>
          </w:tcPr>
          <w:p>
            <w:pPr>
              <w:pStyle w:val="63"/>
            </w:pPr>
            <w:r>
              <w:t>8.3</w:t>
            </w:r>
          </w:p>
        </w:tc>
        <w:tc>
          <w:tcPr>
            <w:tcW w:w="837" w:type="dxa"/>
            <w:tcBorders>
              <w:top w:val="single" w:color="auto" w:sz="6" w:space="0"/>
              <w:left w:val="nil"/>
              <w:bottom w:val="single" w:color="auto" w:sz="6" w:space="0"/>
              <w:right w:val="single" w:color="auto" w:sz="6" w:space="0"/>
            </w:tcBorders>
            <w:vAlign w:val="center"/>
          </w:tcPr>
          <w:p>
            <w:pPr>
              <w:pStyle w:val="63"/>
            </w:pPr>
            <w:r>
              <w:t>4.9</w:t>
            </w:r>
          </w:p>
        </w:tc>
        <w:tc>
          <w:tcPr>
            <w:tcW w:w="670" w:type="dxa"/>
            <w:tcBorders>
              <w:top w:val="single" w:color="auto" w:sz="6" w:space="0"/>
              <w:left w:val="nil"/>
              <w:bottom w:val="single" w:color="auto" w:sz="6" w:space="0"/>
              <w:right w:val="single" w:color="auto" w:sz="6" w:space="0"/>
            </w:tcBorders>
            <w:vAlign w:val="center"/>
          </w:tcPr>
          <w:p>
            <w:pPr>
              <w:pStyle w:val="63"/>
            </w:pPr>
            <w:r>
              <w:t>5.1</w:t>
            </w:r>
          </w:p>
        </w:tc>
        <w:tc>
          <w:tcPr>
            <w:tcW w:w="670" w:type="dxa"/>
            <w:tcBorders>
              <w:top w:val="single" w:color="auto" w:sz="6" w:space="0"/>
              <w:left w:val="nil"/>
              <w:bottom w:val="single" w:color="auto" w:sz="6" w:space="0"/>
              <w:right w:val="single" w:color="auto" w:sz="6" w:space="0"/>
            </w:tcBorders>
            <w:vAlign w:val="center"/>
          </w:tcPr>
          <w:p>
            <w:pPr>
              <w:pStyle w:val="63"/>
            </w:pPr>
            <w:r>
              <w:t>4.1</w:t>
            </w:r>
          </w:p>
        </w:tc>
        <w:tc>
          <w:tcPr>
            <w:tcW w:w="670" w:type="dxa"/>
            <w:tcBorders>
              <w:top w:val="single" w:color="auto" w:sz="6" w:space="0"/>
              <w:left w:val="nil"/>
              <w:bottom w:val="single" w:color="auto" w:sz="6" w:space="0"/>
              <w:right w:val="single" w:color="auto" w:sz="6" w:space="0"/>
            </w:tcBorders>
            <w:vAlign w:val="center"/>
          </w:tcPr>
          <w:p>
            <w:pPr>
              <w:pStyle w:val="63"/>
            </w:pPr>
            <w:r>
              <w:t>2.7</w:t>
            </w:r>
          </w:p>
        </w:tc>
        <w:tc>
          <w:tcPr>
            <w:tcW w:w="670" w:type="dxa"/>
            <w:tcBorders>
              <w:top w:val="single" w:color="auto" w:sz="6" w:space="0"/>
              <w:left w:val="nil"/>
              <w:bottom w:val="single" w:color="auto" w:sz="6" w:space="0"/>
              <w:right w:val="single" w:color="auto" w:sz="6" w:space="0"/>
            </w:tcBorders>
            <w:vAlign w:val="center"/>
          </w:tcPr>
          <w:p>
            <w:pPr>
              <w:pStyle w:val="63"/>
            </w:pPr>
            <w:r>
              <w:t>1.9</w:t>
            </w:r>
          </w:p>
        </w:tc>
        <w:tc>
          <w:tcPr>
            <w:tcW w:w="670" w:type="dxa"/>
            <w:tcBorders>
              <w:top w:val="single" w:color="auto" w:sz="6" w:space="0"/>
              <w:left w:val="nil"/>
              <w:bottom w:val="single" w:color="auto" w:sz="6" w:space="0"/>
              <w:right w:val="single" w:color="auto" w:sz="6" w:space="0"/>
            </w:tcBorders>
            <w:vAlign w:val="center"/>
          </w:tcPr>
          <w:p>
            <w:pPr>
              <w:pStyle w:val="63"/>
            </w:pPr>
            <w:r>
              <w:t>2.6</w:t>
            </w:r>
          </w:p>
        </w:tc>
        <w:tc>
          <w:tcPr>
            <w:tcW w:w="837" w:type="dxa"/>
            <w:tcBorders>
              <w:top w:val="single" w:color="auto" w:sz="6" w:space="0"/>
              <w:left w:val="nil"/>
              <w:bottom w:val="single" w:color="auto" w:sz="6" w:space="0"/>
              <w:right w:val="single" w:color="auto" w:sz="6" w:space="0"/>
            </w:tcBorders>
            <w:vAlign w:val="center"/>
          </w:tcPr>
          <w:p>
            <w:pPr>
              <w:pStyle w:val="63"/>
            </w:pPr>
            <w:r>
              <w:t>2.5</w:t>
            </w:r>
          </w:p>
        </w:tc>
        <w:tc>
          <w:tcPr>
            <w:tcW w:w="670" w:type="dxa"/>
            <w:tcBorders>
              <w:top w:val="single" w:color="auto" w:sz="6" w:space="0"/>
              <w:left w:val="nil"/>
              <w:bottom w:val="single" w:color="auto" w:sz="6" w:space="0"/>
              <w:right w:val="single" w:color="auto" w:sz="6" w:space="0"/>
            </w:tcBorders>
            <w:vAlign w:val="center"/>
          </w:tcPr>
          <w:p>
            <w:pPr>
              <w:pStyle w:val="63"/>
            </w:pPr>
            <w:r>
              <w:t>2.3</w:t>
            </w:r>
          </w:p>
        </w:tc>
        <w:tc>
          <w:tcPr>
            <w:tcW w:w="837" w:type="dxa"/>
            <w:tcBorders>
              <w:top w:val="single" w:color="auto" w:sz="6" w:space="0"/>
              <w:left w:val="nil"/>
              <w:bottom w:val="single" w:color="auto" w:sz="6" w:space="0"/>
              <w:right w:val="single" w:color="auto" w:sz="6" w:space="0"/>
            </w:tcBorders>
            <w:vAlign w:val="center"/>
          </w:tcPr>
          <w:p>
            <w:pPr>
              <w:pStyle w:val="63"/>
            </w:pPr>
            <w:r>
              <w:t>2.5</w:t>
            </w:r>
          </w:p>
        </w:tc>
        <w:tc>
          <w:tcPr>
            <w:tcW w:w="670" w:type="dxa"/>
            <w:tcBorders>
              <w:top w:val="single" w:color="auto" w:sz="6" w:space="0"/>
              <w:left w:val="nil"/>
              <w:bottom w:val="single" w:color="auto" w:sz="6" w:space="0"/>
              <w:right w:val="single" w:color="auto" w:sz="6" w:space="0"/>
            </w:tcBorders>
            <w:vAlign w:val="center"/>
          </w:tcPr>
          <w:p>
            <w:pPr>
              <w:pStyle w:val="63"/>
            </w:pPr>
            <w:r>
              <w:t>2.6</w:t>
            </w:r>
          </w:p>
        </w:tc>
        <w:tc>
          <w:tcPr>
            <w:tcW w:w="837" w:type="dxa"/>
            <w:tcBorders>
              <w:top w:val="single" w:color="auto" w:sz="6" w:space="0"/>
              <w:left w:val="nil"/>
              <w:bottom w:val="single" w:color="auto" w:sz="6" w:space="0"/>
              <w:right w:val="single" w:color="auto" w:sz="6" w:space="0"/>
            </w:tcBorders>
            <w:vAlign w:val="center"/>
          </w:tcPr>
          <w:p>
            <w:pPr>
              <w:pStyle w:val="63"/>
            </w:pPr>
            <w:r>
              <w:t>2.9</w:t>
            </w:r>
          </w:p>
        </w:tc>
        <w:tc>
          <w:tcPr>
            <w:tcW w:w="670" w:type="dxa"/>
            <w:tcBorders>
              <w:top w:val="single" w:color="auto" w:sz="6" w:space="0"/>
              <w:left w:val="nil"/>
              <w:bottom w:val="single" w:color="auto" w:sz="6" w:space="0"/>
              <w:right w:val="single" w:color="auto" w:sz="6" w:space="0"/>
            </w:tcBorders>
            <w:vAlign w:val="center"/>
          </w:tcPr>
          <w:p>
            <w:pPr>
              <w:pStyle w:val="63"/>
            </w:pPr>
            <w:r>
              <w:t>3.7</w:t>
            </w:r>
          </w:p>
        </w:tc>
        <w:tc>
          <w:tcPr>
            <w:tcW w:w="837" w:type="dxa"/>
            <w:tcBorders>
              <w:top w:val="single" w:color="auto" w:sz="6" w:space="0"/>
              <w:left w:val="nil"/>
              <w:bottom w:val="single" w:color="auto" w:sz="6" w:space="0"/>
              <w:right w:val="single" w:color="auto" w:sz="6" w:space="0"/>
            </w:tcBorders>
            <w:vAlign w:val="center"/>
          </w:tcPr>
          <w:p>
            <w:pPr>
              <w:pStyle w:val="63"/>
            </w:pPr>
            <w:r>
              <w:t>7.5</w:t>
            </w:r>
          </w:p>
        </w:tc>
        <w:tc>
          <w:tcPr>
            <w:tcW w:w="856" w:type="dxa"/>
            <w:tcBorders>
              <w:top w:val="single" w:color="auto" w:sz="6" w:space="0"/>
              <w:left w:val="nil"/>
              <w:bottom w:val="single" w:color="auto" w:sz="6" w:space="0"/>
              <w:right w:val="single" w:color="auto" w:sz="12" w:space="0"/>
            </w:tcBorders>
            <w:vAlign w:val="center"/>
          </w:tcPr>
          <w:p>
            <w:pPr>
              <w:pStyle w:val="63"/>
            </w:pPr>
            <w:r>
              <w:t>22.1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trPr>
        <w:tc>
          <w:tcPr>
            <w:tcW w:w="1193" w:type="dxa"/>
            <w:tcBorders>
              <w:top w:val="single" w:color="auto" w:sz="6" w:space="0"/>
              <w:left w:val="single" w:color="auto" w:sz="12" w:space="0"/>
              <w:bottom w:val="single" w:color="auto" w:sz="6" w:space="0"/>
              <w:right w:val="single" w:color="auto" w:sz="6" w:space="0"/>
            </w:tcBorders>
            <w:vAlign w:val="center"/>
          </w:tcPr>
          <w:p>
            <w:pPr>
              <w:pStyle w:val="63"/>
            </w:pPr>
            <w:r>
              <w:t>4</w:t>
            </w:r>
          </w:p>
        </w:tc>
        <w:tc>
          <w:tcPr>
            <w:tcW w:w="726" w:type="dxa"/>
            <w:tcBorders>
              <w:top w:val="single" w:color="auto" w:sz="6" w:space="0"/>
              <w:left w:val="nil"/>
              <w:bottom w:val="single" w:color="auto" w:sz="6" w:space="0"/>
              <w:right w:val="single" w:color="auto" w:sz="6" w:space="0"/>
            </w:tcBorders>
            <w:vAlign w:val="center"/>
          </w:tcPr>
          <w:p>
            <w:pPr>
              <w:pStyle w:val="63"/>
            </w:pPr>
            <w:r>
              <w:t>13</w:t>
            </w:r>
          </w:p>
        </w:tc>
        <w:tc>
          <w:tcPr>
            <w:tcW w:w="732" w:type="dxa"/>
            <w:tcBorders>
              <w:top w:val="single" w:color="auto" w:sz="6" w:space="0"/>
              <w:left w:val="nil"/>
              <w:bottom w:val="single" w:color="auto" w:sz="6" w:space="0"/>
              <w:right w:val="single" w:color="auto" w:sz="6" w:space="0"/>
            </w:tcBorders>
            <w:vAlign w:val="center"/>
          </w:tcPr>
          <w:p>
            <w:pPr>
              <w:pStyle w:val="63"/>
            </w:pPr>
            <w:r>
              <w:t>11.2</w:t>
            </w:r>
          </w:p>
        </w:tc>
        <w:tc>
          <w:tcPr>
            <w:tcW w:w="670" w:type="dxa"/>
            <w:tcBorders>
              <w:top w:val="single" w:color="auto" w:sz="6" w:space="0"/>
              <w:left w:val="nil"/>
              <w:bottom w:val="single" w:color="auto" w:sz="6" w:space="0"/>
              <w:right w:val="single" w:color="auto" w:sz="6" w:space="0"/>
            </w:tcBorders>
            <w:vAlign w:val="center"/>
          </w:tcPr>
          <w:p>
            <w:pPr>
              <w:pStyle w:val="63"/>
            </w:pPr>
            <w:r>
              <w:t>7.6</w:t>
            </w:r>
          </w:p>
        </w:tc>
        <w:tc>
          <w:tcPr>
            <w:tcW w:w="837" w:type="dxa"/>
            <w:tcBorders>
              <w:top w:val="single" w:color="auto" w:sz="6" w:space="0"/>
              <w:left w:val="nil"/>
              <w:bottom w:val="single" w:color="auto" w:sz="6" w:space="0"/>
              <w:right w:val="single" w:color="auto" w:sz="6" w:space="0"/>
            </w:tcBorders>
            <w:vAlign w:val="center"/>
          </w:tcPr>
          <w:p>
            <w:pPr>
              <w:pStyle w:val="63"/>
            </w:pPr>
            <w:r>
              <w:t>5</w:t>
            </w:r>
          </w:p>
        </w:tc>
        <w:tc>
          <w:tcPr>
            <w:tcW w:w="670" w:type="dxa"/>
            <w:tcBorders>
              <w:top w:val="single" w:color="auto" w:sz="6" w:space="0"/>
              <w:left w:val="nil"/>
              <w:bottom w:val="single" w:color="auto" w:sz="6" w:space="0"/>
              <w:right w:val="single" w:color="auto" w:sz="6" w:space="0"/>
            </w:tcBorders>
            <w:vAlign w:val="center"/>
          </w:tcPr>
          <w:p>
            <w:pPr>
              <w:pStyle w:val="63"/>
            </w:pPr>
            <w:r>
              <w:t>6.1</w:t>
            </w:r>
          </w:p>
        </w:tc>
        <w:tc>
          <w:tcPr>
            <w:tcW w:w="670" w:type="dxa"/>
            <w:tcBorders>
              <w:top w:val="single" w:color="auto" w:sz="6" w:space="0"/>
              <w:left w:val="nil"/>
              <w:bottom w:val="single" w:color="auto" w:sz="6" w:space="0"/>
              <w:right w:val="single" w:color="auto" w:sz="6" w:space="0"/>
            </w:tcBorders>
            <w:vAlign w:val="center"/>
          </w:tcPr>
          <w:p>
            <w:pPr>
              <w:pStyle w:val="63"/>
            </w:pPr>
            <w:r>
              <w:t>5</w:t>
            </w:r>
          </w:p>
        </w:tc>
        <w:tc>
          <w:tcPr>
            <w:tcW w:w="670" w:type="dxa"/>
            <w:tcBorders>
              <w:top w:val="single" w:color="auto" w:sz="6" w:space="0"/>
              <w:left w:val="nil"/>
              <w:bottom w:val="single" w:color="auto" w:sz="6" w:space="0"/>
              <w:right w:val="single" w:color="auto" w:sz="6" w:space="0"/>
            </w:tcBorders>
            <w:vAlign w:val="center"/>
          </w:tcPr>
          <w:p>
            <w:pPr>
              <w:pStyle w:val="63"/>
            </w:pPr>
            <w:r>
              <w:t>3.1</w:t>
            </w:r>
          </w:p>
        </w:tc>
        <w:tc>
          <w:tcPr>
            <w:tcW w:w="670" w:type="dxa"/>
            <w:tcBorders>
              <w:top w:val="single" w:color="auto" w:sz="6" w:space="0"/>
              <w:left w:val="nil"/>
              <w:bottom w:val="single" w:color="auto" w:sz="6" w:space="0"/>
              <w:right w:val="single" w:color="auto" w:sz="6" w:space="0"/>
            </w:tcBorders>
            <w:vAlign w:val="center"/>
          </w:tcPr>
          <w:p>
            <w:pPr>
              <w:pStyle w:val="63"/>
            </w:pPr>
            <w:r>
              <w:t>3</w:t>
            </w:r>
          </w:p>
        </w:tc>
        <w:tc>
          <w:tcPr>
            <w:tcW w:w="670" w:type="dxa"/>
            <w:tcBorders>
              <w:top w:val="single" w:color="auto" w:sz="6" w:space="0"/>
              <w:left w:val="nil"/>
              <w:bottom w:val="single" w:color="auto" w:sz="6" w:space="0"/>
              <w:right w:val="single" w:color="auto" w:sz="6" w:space="0"/>
            </w:tcBorders>
            <w:vAlign w:val="center"/>
          </w:tcPr>
          <w:p>
            <w:pPr>
              <w:pStyle w:val="63"/>
            </w:pPr>
            <w:r>
              <w:t>4.7</w:t>
            </w:r>
          </w:p>
        </w:tc>
        <w:tc>
          <w:tcPr>
            <w:tcW w:w="837" w:type="dxa"/>
            <w:tcBorders>
              <w:top w:val="single" w:color="auto" w:sz="6" w:space="0"/>
              <w:left w:val="nil"/>
              <w:bottom w:val="single" w:color="auto" w:sz="6" w:space="0"/>
              <w:right w:val="single" w:color="auto" w:sz="6" w:space="0"/>
            </w:tcBorders>
            <w:vAlign w:val="center"/>
          </w:tcPr>
          <w:p>
            <w:pPr>
              <w:pStyle w:val="63"/>
            </w:pPr>
            <w:r>
              <w:t>3.8</w:t>
            </w:r>
          </w:p>
        </w:tc>
        <w:tc>
          <w:tcPr>
            <w:tcW w:w="670" w:type="dxa"/>
            <w:tcBorders>
              <w:top w:val="single" w:color="auto" w:sz="6" w:space="0"/>
              <w:left w:val="nil"/>
              <w:bottom w:val="single" w:color="auto" w:sz="6" w:space="0"/>
              <w:right w:val="single" w:color="auto" w:sz="6" w:space="0"/>
            </w:tcBorders>
            <w:vAlign w:val="center"/>
          </w:tcPr>
          <w:p>
            <w:pPr>
              <w:pStyle w:val="63"/>
            </w:pPr>
            <w:r>
              <w:t>3.2</w:t>
            </w:r>
          </w:p>
        </w:tc>
        <w:tc>
          <w:tcPr>
            <w:tcW w:w="837" w:type="dxa"/>
            <w:tcBorders>
              <w:top w:val="single" w:color="auto" w:sz="6" w:space="0"/>
              <w:left w:val="nil"/>
              <w:bottom w:val="single" w:color="auto" w:sz="6" w:space="0"/>
              <w:right w:val="single" w:color="auto" w:sz="6" w:space="0"/>
            </w:tcBorders>
            <w:vAlign w:val="center"/>
          </w:tcPr>
          <w:p>
            <w:pPr>
              <w:pStyle w:val="63"/>
            </w:pPr>
            <w:r>
              <w:t>3.4</w:t>
            </w:r>
          </w:p>
        </w:tc>
        <w:tc>
          <w:tcPr>
            <w:tcW w:w="670" w:type="dxa"/>
            <w:tcBorders>
              <w:top w:val="single" w:color="auto" w:sz="6" w:space="0"/>
              <w:left w:val="nil"/>
              <w:bottom w:val="single" w:color="auto" w:sz="6" w:space="0"/>
              <w:right w:val="single" w:color="auto" w:sz="6" w:space="0"/>
            </w:tcBorders>
            <w:vAlign w:val="center"/>
          </w:tcPr>
          <w:p>
            <w:pPr>
              <w:pStyle w:val="63"/>
            </w:pPr>
            <w:r>
              <w:t>2.8</w:t>
            </w:r>
          </w:p>
        </w:tc>
        <w:tc>
          <w:tcPr>
            <w:tcW w:w="837" w:type="dxa"/>
            <w:tcBorders>
              <w:top w:val="single" w:color="auto" w:sz="6" w:space="0"/>
              <w:left w:val="nil"/>
              <w:bottom w:val="single" w:color="auto" w:sz="6" w:space="0"/>
              <w:right w:val="single" w:color="auto" w:sz="6" w:space="0"/>
            </w:tcBorders>
            <w:vAlign w:val="center"/>
          </w:tcPr>
          <w:p>
            <w:pPr>
              <w:pStyle w:val="63"/>
            </w:pPr>
            <w:r>
              <w:t>3.2</w:t>
            </w:r>
          </w:p>
        </w:tc>
        <w:tc>
          <w:tcPr>
            <w:tcW w:w="670" w:type="dxa"/>
            <w:tcBorders>
              <w:top w:val="single" w:color="auto" w:sz="6" w:space="0"/>
              <w:left w:val="nil"/>
              <w:bottom w:val="single" w:color="auto" w:sz="6" w:space="0"/>
              <w:right w:val="single" w:color="auto" w:sz="6" w:space="0"/>
            </w:tcBorders>
            <w:vAlign w:val="center"/>
          </w:tcPr>
          <w:p>
            <w:pPr>
              <w:pStyle w:val="63"/>
            </w:pPr>
            <w:r>
              <w:t>3.8</w:t>
            </w:r>
          </w:p>
        </w:tc>
        <w:tc>
          <w:tcPr>
            <w:tcW w:w="837" w:type="dxa"/>
            <w:tcBorders>
              <w:top w:val="single" w:color="auto" w:sz="6" w:space="0"/>
              <w:left w:val="nil"/>
              <w:bottom w:val="single" w:color="auto" w:sz="6" w:space="0"/>
              <w:right w:val="single" w:color="auto" w:sz="6" w:space="0"/>
            </w:tcBorders>
            <w:vAlign w:val="center"/>
          </w:tcPr>
          <w:p>
            <w:pPr>
              <w:pStyle w:val="63"/>
            </w:pPr>
            <w:r>
              <w:t>6.2</w:t>
            </w:r>
          </w:p>
        </w:tc>
        <w:tc>
          <w:tcPr>
            <w:tcW w:w="856" w:type="dxa"/>
            <w:tcBorders>
              <w:top w:val="single" w:color="auto" w:sz="6" w:space="0"/>
              <w:left w:val="nil"/>
              <w:bottom w:val="single" w:color="auto" w:sz="6" w:space="0"/>
              <w:right w:val="single" w:color="auto" w:sz="12" w:space="0"/>
            </w:tcBorders>
            <w:vAlign w:val="center"/>
          </w:tcPr>
          <w:p>
            <w:pPr>
              <w:pStyle w:val="63"/>
            </w:pPr>
            <w: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trPr>
        <w:tc>
          <w:tcPr>
            <w:tcW w:w="1193" w:type="dxa"/>
            <w:tcBorders>
              <w:top w:val="single" w:color="auto" w:sz="6" w:space="0"/>
              <w:left w:val="single" w:color="auto" w:sz="12" w:space="0"/>
              <w:bottom w:val="single" w:color="auto" w:sz="6" w:space="0"/>
              <w:right w:val="single" w:color="auto" w:sz="6" w:space="0"/>
            </w:tcBorders>
            <w:vAlign w:val="center"/>
          </w:tcPr>
          <w:p>
            <w:pPr>
              <w:pStyle w:val="63"/>
            </w:pPr>
            <w:r>
              <w:t>5</w:t>
            </w:r>
          </w:p>
        </w:tc>
        <w:tc>
          <w:tcPr>
            <w:tcW w:w="726" w:type="dxa"/>
            <w:tcBorders>
              <w:top w:val="single" w:color="auto" w:sz="6" w:space="0"/>
              <w:left w:val="nil"/>
              <w:bottom w:val="single" w:color="auto" w:sz="6" w:space="0"/>
              <w:right w:val="single" w:color="auto" w:sz="6" w:space="0"/>
            </w:tcBorders>
            <w:vAlign w:val="center"/>
          </w:tcPr>
          <w:p>
            <w:pPr>
              <w:pStyle w:val="63"/>
            </w:pPr>
            <w:r>
              <w:t>12.4</w:t>
            </w:r>
          </w:p>
        </w:tc>
        <w:tc>
          <w:tcPr>
            <w:tcW w:w="732" w:type="dxa"/>
            <w:tcBorders>
              <w:top w:val="single" w:color="auto" w:sz="6" w:space="0"/>
              <w:left w:val="nil"/>
              <w:bottom w:val="single" w:color="auto" w:sz="6" w:space="0"/>
              <w:right w:val="single" w:color="auto" w:sz="6" w:space="0"/>
            </w:tcBorders>
            <w:vAlign w:val="center"/>
          </w:tcPr>
          <w:p>
            <w:pPr>
              <w:pStyle w:val="63"/>
            </w:pPr>
            <w:r>
              <w:t>11</w:t>
            </w:r>
          </w:p>
        </w:tc>
        <w:tc>
          <w:tcPr>
            <w:tcW w:w="670" w:type="dxa"/>
            <w:tcBorders>
              <w:top w:val="single" w:color="auto" w:sz="6" w:space="0"/>
              <w:left w:val="nil"/>
              <w:bottom w:val="single" w:color="auto" w:sz="6" w:space="0"/>
              <w:right w:val="single" w:color="auto" w:sz="6" w:space="0"/>
            </w:tcBorders>
            <w:vAlign w:val="center"/>
          </w:tcPr>
          <w:p>
            <w:pPr>
              <w:pStyle w:val="63"/>
            </w:pPr>
            <w:r>
              <w:t>6.4</w:t>
            </w:r>
          </w:p>
        </w:tc>
        <w:tc>
          <w:tcPr>
            <w:tcW w:w="837" w:type="dxa"/>
            <w:tcBorders>
              <w:top w:val="single" w:color="auto" w:sz="6" w:space="0"/>
              <w:left w:val="nil"/>
              <w:bottom w:val="single" w:color="auto" w:sz="6" w:space="0"/>
              <w:right w:val="single" w:color="auto" w:sz="6" w:space="0"/>
            </w:tcBorders>
            <w:vAlign w:val="center"/>
          </w:tcPr>
          <w:p>
            <w:pPr>
              <w:pStyle w:val="63"/>
            </w:pPr>
            <w:r>
              <w:t>5.8</w:t>
            </w:r>
          </w:p>
        </w:tc>
        <w:tc>
          <w:tcPr>
            <w:tcW w:w="670" w:type="dxa"/>
            <w:tcBorders>
              <w:top w:val="single" w:color="auto" w:sz="6" w:space="0"/>
              <w:left w:val="nil"/>
              <w:bottom w:val="single" w:color="auto" w:sz="6" w:space="0"/>
              <w:right w:val="single" w:color="auto" w:sz="6" w:space="0"/>
            </w:tcBorders>
            <w:vAlign w:val="center"/>
          </w:tcPr>
          <w:p>
            <w:pPr>
              <w:pStyle w:val="63"/>
            </w:pPr>
            <w:r>
              <w:t>7.1</w:t>
            </w:r>
          </w:p>
        </w:tc>
        <w:tc>
          <w:tcPr>
            <w:tcW w:w="670" w:type="dxa"/>
            <w:tcBorders>
              <w:top w:val="single" w:color="auto" w:sz="6" w:space="0"/>
              <w:left w:val="nil"/>
              <w:bottom w:val="single" w:color="auto" w:sz="6" w:space="0"/>
              <w:right w:val="single" w:color="auto" w:sz="6" w:space="0"/>
            </w:tcBorders>
            <w:vAlign w:val="center"/>
          </w:tcPr>
          <w:p>
            <w:pPr>
              <w:pStyle w:val="63"/>
            </w:pPr>
            <w:r>
              <w:t>7.1</w:t>
            </w:r>
          </w:p>
        </w:tc>
        <w:tc>
          <w:tcPr>
            <w:tcW w:w="670" w:type="dxa"/>
            <w:tcBorders>
              <w:top w:val="single" w:color="auto" w:sz="6" w:space="0"/>
              <w:left w:val="nil"/>
              <w:bottom w:val="single" w:color="auto" w:sz="6" w:space="0"/>
              <w:right w:val="single" w:color="auto" w:sz="6" w:space="0"/>
            </w:tcBorders>
            <w:vAlign w:val="center"/>
          </w:tcPr>
          <w:p>
            <w:pPr>
              <w:pStyle w:val="63"/>
            </w:pPr>
            <w:r>
              <w:t>3.2</w:t>
            </w:r>
          </w:p>
        </w:tc>
        <w:tc>
          <w:tcPr>
            <w:tcW w:w="670" w:type="dxa"/>
            <w:tcBorders>
              <w:top w:val="single" w:color="auto" w:sz="6" w:space="0"/>
              <w:left w:val="nil"/>
              <w:bottom w:val="single" w:color="auto" w:sz="6" w:space="0"/>
              <w:right w:val="single" w:color="auto" w:sz="6" w:space="0"/>
            </w:tcBorders>
            <w:vAlign w:val="center"/>
          </w:tcPr>
          <w:p>
            <w:pPr>
              <w:pStyle w:val="63"/>
            </w:pPr>
            <w:r>
              <w:t>3.1</w:t>
            </w:r>
          </w:p>
        </w:tc>
        <w:tc>
          <w:tcPr>
            <w:tcW w:w="670" w:type="dxa"/>
            <w:tcBorders>
              <w:top w:val="single" w:color="auto" w:sz="6" w:space="0"/>
              <w:left w:val="nil"/>
              <w:bottom w:val="single" w:color="auto" w:sz="6" w:space="0"/>
              <w:right w:val="single" w:color="auto" w:sz="6" w:space="0"/>
            </w:tcBorders>
            <w:vAlign w:val="center"/>
          </w:tcPr>
          <w:p>
            <w:pPr>
              <w:pStyle w:val="63"/>
            </w:pPr>
            <w:r>
              <w:t>4.5</w:t>
            </w:r>
          </w:p>
        </w:tc>
        <w:tc>
          <w:tcPr>
            <w:tcW w:w="837" w:type="dxa"/>
            <w:tcBorders>
              <w:top w:val="single" w:color="auto" w:sz="6" w:space="0"/>
              <w:left w:val="nil"/>
              <w:bottom w:val="single" w:color="auto" w:sz="6" w:space="0"/>
              <w:right w:val="single" w:color="auto" w:sz="6" w:space="0"/>
            </w:tcBorders>
            <w:vAlign w:val="center"/>
          </w:tcPr>
          <w:p>
            <w:pPr>
              <w:pStyle w:val="63"/>
            </w:pPr>
            <w:r>
              <w:t>4</w:t>
            </w:r>
          </w:p>
        </w:tc>
        <w:tc>
          <w:tcPr>
            <w:tcW w:w="670" w:type="dxa"/>
            <w:tcBorders>
              <w:top w:val="single" w:color="auto" w:sz="6" w:space="0"/>
              <w:left w:val="nil"/>
              <w:bottom w:val="single" w:color="auto" w:sz="6" w:space="0"/>
              <w:right w:val="single" w:color="auto" w:sz="6" w:space="0"/>
            </w:tcBorders>
            <w:vAlign w:val="center"/>
          </w:tcPr>
          <w:p>
            <w:pPr>
              <w:pStyle w:val="63"/>
            </w:pPr>
            <w:r>
              <w:t>3.2</w:t>
            </w:r>
          </w:p>
        </w:tc>
        <w:tc>
          <w:tcPr>
            <w:tcW w:w="837" w:type="dxa"/>
            <w:tcBorders>
              <w:top w:val="single" w:color="auto" w:sz="6" w:space="0"/>
              <w:left w:val="nil"/>
              <w:bottom w:val="single" w:color="auto" w:sz="6" w:space="0"/>
              <w:right w:val="single" w:color="auto" w:sz="6" w:space="0"/>
            </w:tcBorders>
            <w:vAlign w:val="center"/>
          </w:tcPr>
          <w:p>
            <w:pPr>
              <w:pStyle w:val="63"/>
            </w:pPr>
            <w:r>
              <w:t>3</w:t>
            </w:r>
          </w:p>
        </w:tc>
        <w:tc>
          <w:tcPr>
            <w:tcW w:w="670" w:type="dxa"/>
            <w:tcBorders>
              <w:top w:val="single" w:color="auto" w:sz="6" w:space="0"/>
              <w:left w:val="nil"/>
              <w:bottom w:val="single" w:color="auto" w:sz="6" w:space="0"/>
              <w:right w:val="single" w:color="auto" w:sz="6" w:space="0"/>
            </w:tcBorders>
            <w:vAlign w:val="center"/>
          </w:tcPr>
          <w:p>
            <w:pPr>
              <w:pStyle w:val="63"/>
            </w:pPr>
            <w:r>
              <w:t>2.7</w:t>
            </w:r>
          </w:p>
        </w:tc>
        <w:tc>
          <w:tcPr>
            <w:tcW w:w="837" w:type="dxa"/>
            <w:tcBorders>
              <w:top w:val="single" w:color="auto" w:sz="6" w:space="0"/>
              <w:left w:val="nil"/>
              <w:bottom w:val="single" w:color="auto" w:sz="6" w:space="0"/>
              <w:right w:val="single" w:color="auto" w:sz="6" w:space="0"/>
            </w:tcBorders>
            <w:vAlign w:val="center"/>
          </w:tcPr>
          <w:p>
            <w:pPr>
              <w:pStyle w:val="63"/>
            </w:pPr>
            <w:r>
              <w:t>2.3</w:t>
            </w:r>
          </w:p>
        </w:tc>
        <w:tc>
          <w:tcPr>
            <w:tcW w:w="670" w:type="dxa"/>
            <w:tcBorders>
              <w:top w:val="single" w:color="auto" w:sz="6" w:space="0"/>
              <w:left w:val="nil"/>
              <w:bottom w:val="single" w:color="auto" w:sz="6" w:space="0"/>
              <w:right w:val="single" w:color="auto" w:sz="6" w:space="0"/>
            </w:tcBorders>
            <w:vAlign w:val="center"/>
          </w:tcPr>
          <w:p>
            <w:pPr>
              <w:pStyle w:val="63"/>
            </w:pPr>
            <w:r>
              <w:t>3.6</w:t>
            </w:r>
          </w:p>
        </w:tc>
        <w:tc>
          <w:tcPr>
            <w:tcW w:w="837" w:type="dxa"/>
            <w:tcBorders>
              <w:top w:val="single" w:color="auto" w:sz="6" w:space="0"/>
              <w:left w:val="nil"/>
              <w:bottom w:val="single" w:color="auto" w:sz="6" w:space="0"/>
              <w:right w:val="single" w:color="auto" w:sz="6" w:space="0"/>
            </w:tcBorders>
            <w:vAlign w:val="center"/>
          </w:tcPr>
          <w:p>
            <w:pPr>
              <w:pStyle w:val="63"/>
            </w:pPr>
            <w:r>
              <w:t>5.7</w:t>
            </w:r>
          </w:p>
        </w:tc>
        <w:tc>
          <w:tcPr>
            <w:tcW w:w="856" w:type="dxa"/>
            <w:tcBorders>
              <w:top w:val="single" w:color="auto" w:sz="6" w:space="0"/>
              <w:left w:val="nil"/>
              <w:bottom w:val="single" w:color="auto" w:sz="6" w:space="0"/>
              <w:right w:val="single" w:color="auto" w:sz="12" w:space="0"/>
            </w:tcBorders>
            <w:vAlign w:val="center"/>
          </w:tcPr>
          <w:p>
            <w:pPr>
              <w:pStyle w:val="63"/>
            </w:pPr>
            <w:r>
              <w:t>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trPr>
        <w:tc>
          <w:tcPr>
            <w:tcW w:w="1193" w:type="dxa"/>
            <w:tcBorders>
              <w:top w:val="single" w:color="auto" w:sz="6" w:space="0"/>
              <w:left w:val="single" w:color="auto" w:sz="12" w:space="0"/>
              <w:bottom w:val="single" w:color="auto" w:sz="6" w:space="0"/>
              <w:right w:val="single" w:color="auto" w:sz="6" w:space="0"/>
            </w:tcBorders>
            <w:vAlign w:val="center"/>
          </w:tcPr>
          <w:p>
            <w:pPr>
              <w:pStyle w:val="63"/>
            </w:pPr>
            <w:r>
              <w:t>6</w:t>
            </w:r>
          </w:p>
        </w:tc>
        <w:tc>
          <w:tcPr>
            <w:tcW w:w="726" w:type="dxa"/>
            <w:tcBorders>
              <w:top w:val="single" w:color="auto" w:sz="6" w:space="0"/>
              <w:left w:val="nil"/>
              <w:bottom w:val="single" w:color="auto" w:sz="6" w:space="0"/>
              <w:right w:val="single" w:color="auto" w:sz="6" w:space="0"/>
            </w:tcBorders>
            <w:vAlign w:val="center"/>
          </w:tcPr>
          <w:p>
            <w:pPr>
              <w:pStyle w:val="63"/>
            </w:pPr>
            <w:r>
              <w:t>8.5</w:t>
            </w:r>
          </w:p>
        </w:tc>
        <w:tc>
          <w:tcPr>
            <w:tcW w:w="732" w:type="dxa"/>
            <w:tcBorders>
              <w:top w:val="single" w:color="auto" w:sz="6" w:space="0"/>
              <w:left w:val="nil"/>
              <w:bottom w:val="single" w:color="auto" w:sz="6" w:space="0"/>
              <w:right w:val="single" w:color="auto" w:sz="6" w:space="0"/>
            </w:tcBorders>
            <w:vAlign w:val="center"/>
          </w:tcPr>
          <w:p>
            <w:pPr>
              <w:pStyle w:val="63"/>
            </w:pPr>
            <w:r>
              <w:t>8.5</w:t>
            </w:r>
          </w:p>
        </w:tc>
        <w:tc>
          <w:tcPr>
            <w:tcW w:w="670" w:type="dxa"/>
            <w:tcBorders>
              <w:top w:val="single" w:color="auto" w:sz="6" w:space="0"/>
              <w:left w:val="nil"/>
              <w:bottom w:val="single" w:color="auto" w:sz="6" w:space="0"/>
              <w:right w:val="single" w:color="auto" w:sz="6" w:space="0"/>
            </w:tcBorders>
            <w:vAlign w:val="center"/>
          </w:tcPr>
          <w:p>
            <w:pPr>
              <w:pStyle w:val="63"/>
            </w:pPr>
            <w:r>
              <w:t>6.8</w:t>
            </w:r>
          </w:p>
        </w:tc>
        <w:tc>
          <w:tcPr>
            <w:tcW w:w="837" w:type="dxa"/>
            <w:tcBorders>
              <w:top w:val="single" w:color="auto" w:sz="6" w:space="0"/>
              <w:left w:val="nil"/>
              <w:bottom w:val="single" w:color="auto" w:sz="6" w:space="0"/>
              <w:right w:val="single" w:color="auto" w:sz="6" w:space="0"/>
            </w:tcBorders>
            <w:vAlign w:val="center"/>
          </w:tcPr>
          <w:p>
            <w:pPr>
              <w:pStyle w:val="63"/>
            </w:pPr>
            <w:r>
              <w:t>5.8</w:t>
            </w:r>
          </w:p>
        </w:tc>
        <w:tc>
          <w:tcPr>
            <w:tcW w:w="670" w:type="dxa"/>
            <w:tcBorders>
              <w:top w:val="single" w:color="auto" w:sz="6" w:space="0"/>
              <w:left w:val="nil"/>
              <w:bottom w:val="single" w:color="auto" w:sz="6" w:space="0"/>
              <w:right w:val="single" w:color="auto" w:sz="6" w:space="0"/>
            </w:tcBorders>
            <w:vAlign w:val="center"/>
          </w:tcPr>
          <w:p>
            <w:pPr>
              <w:pStyle w:val="63"/>
            </w:pPr>
            <w:r>
              <w:t>7.1</w:t>
            </w:r>
          </w:p>
        </w:tc>
        <w:tc>
          <w:tcPr>
            <w:tcW w:w="670" w:type="dxa"/>
            <w:tcBorders>
              <w:top w:val="single" w:color="auto" w:sz="6" w:space="0"/>
              <w:left w:val="nil"/>
              <w:bottom w:val="single" w:color="auto" w:sz="6" w:space="0"/>
              <w:right w:val="single" w:color="auto" w:sz="6" w:space="0"/>
            </w:tcBorders>
            <w:vAlign w:val="center"/>
          </w:tcPr>
          <w:p>
            <w:pPr>
              <w:pStyle w:val="63"/>
            </w:pPr>
            <w:r>
              <w:t>7</w:t>
            </w:r>
          </w:p>
        </w:tc>
        <w:tc>
          <w:tcPr>
            <w:tcW w:w="670" w:type="dxa"/>
            <w:tcBorders>
              <w:top w:val="single" w:color="auto" w:sz="6" w:space="0"/>
              <w:left w:val="nil"/>
              <w:bottom w:val="single" w:color="auto" w:sz="6" w:space="0"/>
              <w:right w:val="single" w:color="auto" w:sz="6" w:space="0"/>
            </w:tcBorders>
            <w:vAlign w:val="center"/>
          </w:tcPr>
          <w:p>
            <w:pPr>
              <w:pStyle w:val="63"/>
            </w:pPr>
            <w:r>
              <w:t>3.4</w:t>
            </w:r>
          </w:p>
        </w:tc>
        <w:tc>
          <w:tcPr>
            <w:tcW w:w="670" w:type="dxa"/>
            <w:tcBorders>
              <w:top w:val="single" w:color="auto" w:sz="6" w:space="0"/>
              <w:left w:val="nil"/>
              <w:bottom w:val="single" w:color="auto" w:sz="6" w:space="0"/>
              <w:right w:val="single" w:color="auto" w:sz="6" w:space="0"/>
            </w:tcBorders>
            <w:vAlign w:val="center"/>
          </w:tcPr>
          <w:p>
            <w:pPr>
              <w:pStyle w:val="63"/>
            </w:pPr>
            <w:r>
              <w:t>5.7</w:t>
            </w:r>
          </w:p>
        </w:tc>
        <w:tc>
          <w:tcPr>
            <w:tcW w:w="670" w:type="dxa"/>
            <w:tcBorders>
              <w:top w:val="single" w:color="auto" w:sz="6" w:space="0"/>
              <w:left w:val="nil"/>
              <w:bottom w:val="single" w:color="auto" w:sz="6" w:space="0"/>
              <w:right w:val="single" w:color="auto" w:sz="6" w:space="0"/>
            </w:tcBorders>
            <w:vAlign w:val="center"/>
          </w:tcPr>
          <w:p>
            <w:pPr>
              <w:pStyle w:val="63"/>
            </w:pPr>
            <w:r>
              <w:t>7.6</w:t>
            </w:r>
          </w:p>
        </w:tc>
        <w:tc>
          <w:tcPr>
            <w:tcW w:w="837" w:type="dxa"/>
            <w:tcBorders>
              <w:top w:val="single" w:color="auto" w:sz="6" w:space="0"/>
              <w:left w:val="nil"/>
              <w:bottom w:val="single" w:color="auto" w:sz="6" w:space="0"/>
              <w:right w:val="single" w:color="auto" w:sz="6" w:space="0"/>
            </w:tcBorders>
            <w:vAlign w:val="center"/>
          </w:tcPr>
          <w:p>
            <w:pPr>
              <w:pStyle w:val="63"/>
            </w:pPr>
            <w:r>
              <w:t>5.7</w:t>
            </w:r>
          </w:p>
        </w:tc>
        <w:tc>
          <w:tcPr>
            <w:tcW w:w="670" w:type="dxa"/>
            <w:tcBorders>
              <w:top w:val="single" w:color="auto" w:sz="6" w:space="0"/>
              <w:left w:val="nil"/>
              <w:bottom w:val="single" w:color="auto" w:sz="6" w:space="0"/>
              <w:right w:val="single" w:color="auto" w:sz="6" w:space="0"/>
            </w:tcBorders>
            <w:vAlign w:val="center"/>
          </w:tcPr>
          <w:p>
            <w:pPr>
              <w:pStyle w:val="63"/>
            </w:pPr>
            <w:r>
              <w:t>5.2</w:t>
            </w:r>
          </w:p>
        </w:tc>
        <w:tc>
          <w:tcPr>
            <w:tcW w:w="837" w:type="dxa"/>
            <w:tcBorders>
              <w:top w:val="single" w:color="auto" w:sz="6" w:space="0"/>
              <w:left w:val="nil"/>
              <w:bottom w:val="single" w:color="auto" w:sz="6" w:space="0"/>
              <w:right w:val="single" w:color="auto" w:sz="6" w:space="0"/>
            </w:tcBorders>
            <w:vAlign w:val="center"/>
          </w:tcPr>
          <w:p>
            <w:pPr>
              <w:pStyle w:val="63"/>
            </w:pPr>
            <w:r>
              <w:t>3.2</w:t>
            </w:r>
          </w:p>
        </w:tc>
        <w:tc>
          <w:tcPr>
            <w:tcW w:w="670" w:type="dxa"/>
            <w:tcBorders>
              <w:top w:val="single" w:color="auto" w:sz="6" w:space="0"/>
              <w:left w:val="nil"/>
              <w:bottom w:val="single" w:color="auto" w:sz="6" w:space="0"/>
              <w:right w:val="single" w:color="auto" w:sz="6" w:space="0"/>
            </w:tcBorders>
            <w:vAlign w:val="center"/>
          </w:tcPr>
          <w:p>
            <w:pPr>
              <w:pStyle w:val="63"/>
            </w:pPr>
            <w:r>
              <w:t>2.8</w:t>
            </w:r>
          </w:p>
        </w:tc>
        <w:tc>
          <w:tcPr>
            <w:tcW w:w="837" w:type="dxa"/>
            <w:tcBorders>
              <w:top w:val="single" w:color="auto" w:sz="6" w:space="0"/>
              <w:left w:val="nil"/>
              <w:bottom w:val="single" w:color="auto" w:sz="6" w:space="0"/>
              <w:right w:val="single" w:color="auto" w:sz="6" w:space="0"/>
            </w:tcBorders>
            <w:vAlign w:val="center"/>
          </w:tcPr>
          <w:p>
            <w:pPr>
              <w:pStyle w:val="63"/>
            </w:pPr>
            <w:r>
              <w:t>1.9</w:t>
            </w:r>
          </w:p>
        </w:tc>
        <w:tc>
          <w:tcPr>
            <w:tcW w:w="670" w:type="dxa"/>
            <w:tcBorders>
              <w:top w:val="single" w:color="auto" w:sz="6" w:space="0"/>
              <w:left w:val="nil"/>
              <w:bottom w:val="single" w:color="auto" w:sz="6" w:space="0"/>
              <w:right w:val="single" w:color="auto" w:sz="6" w:space="0"/>
            </w:tcBorders>
            <w:vAlign w:val="center"/>
          </w:tcPr>
          <w:p>
            <w:pPr>
              <w:pStyle w:val="63"/>
            </w:pPr>
            <w:r>
              <w:t>2.9</w:t>
            </w:r>
          </w:p>
        </w:tc>
        <w:tc>
          <w:tcPr>
            <w:tcW w:w="837" w:type="dxa"/>
            <w:tcBorders>
              <w:top w:val="single" w:color="auto" w:sz="6" w:space="0"/>
              <w:left w:val="nil"/>
              <w:bottom w:val="single" w:color="auto" w:sz="6" w:space="0"/>
              <w:right w:val="single" w:color="auto" w:sz="6" w:space="0"/>
            </w:tcBorders>
            <w:vAlign w:val="center"/>
          </w:tcPr>
          <w:p>
            <w:pPr>
              <w:pStyle w:val="63"/>
            </w:pPr>
            <w:r>
              <w:t>4.3</w:t>
            </w:r>
          </w:p>
        </w:tc>
        <w:tc>
          <w:tcPr>
            <w:tcW w:w="856" w:type="dxa"/>
            <w:tcBorders>
              <w:top w:val="single" w:color="auto" w:sz="6" w:space="0"/>
              <w:left w:val="nil"/>
              <w:bottom w:val="single" w:color="auto" w:sz="6" w:space="0"/>
              <w:right w:val="single" w:color="auto" w:sz="12" w:space="0"/>
            </w:tcBorders>
            <w:vAlign w:val="center"/>
          </w:tcPr>
          <w:p>
            <w:pPr>
              <w:pStyle w:val="63"/>
            </w:pPr>
            <w:r>
              <w:t>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trPr>
        <w:tc>
          <w:tcPr>
            <w:tcW w:w="1193" w:type="dxa"/>
            <w:tcBorders>
              <w:top w:val="single" w:color="auto" w:sz="6" w:space="0"/>
              <w:left w:val="single" w:color="auto" w:sz="12" w:space="0"/>
              <w:bottom w:val="single" w:color="auto" w:sz="6" w:space="0"/>
              <w:right w:val="single" w:color="auto" w:sz="6" w:space="0"/>
            </w:tcBorders>
            <w:vAlign w:val="center"/>
          </w:tcPr>
          <w:p>
            <w:pPr>
              <w:pStyle w:val="63"/>
            </w:pPr>
            <w:r>
              <w:t>7</w:t>
            </w:r>
          </w:p>
        </w:tc>
        <w:tc>
          <w:tcPr>
            <w:tcW w:w="726" w:type="dxa"/>
            <w:tcBorders>
              <w:top w:val="single" w:color="auto" w:sz="6" w:space="0"/>
              <w:left w:val="nil"/>
              <w:bottom w:val="single" w:color="auto" w:sz="6" w:space="0"/>
              <w:right w:val="single" w:color="auto" w:sz="6" w:space="0"/>
            </w:tcBorders>
            <w:vAlign w:val="center"/>
          </w:tcPr>
          <w:p>
            <w:pPr>
              <w:pStyle w:val="63"/>
            </w:pPr>
            <w:r>
              <w:t>4.9</w:t>
            </w:r>
          </w:p>
        </w:tc>
        <w:tc>
          <w:tcPr>
            <w:tcW w:w="732" w:type="dxa"/>
            <w:tcBorders>
              <w:top w:val="single" w:color="auto" w:sz="6" w:space="0"/>
              <w:left w:val="nil"/>
              <w:bottom w:val="single" w:color="auto" w:sz="6" w:space="0"/>
              <w:right w:val="single" w:color="auto" w:sz="6" w:space="0"/>
            </w:tcBorders>
            <w:vAlign w:val="center"/>
          </w:tcPr>
          <w:p>
            <w:pPr>
              <w:pStyle w:val="63"/>
            </w:pPr>
            <w:r>
              <w:t>5.2</w:t>
            </w:r>
          </w:p>
        </w:tc>
        <w:tc>
          <w:tcPr>
            <w:tcW w:w="670" w:type="dxa"/>
            <w:tcBorders>
              <w:top w:val="single" w:color="auto" w:sz="6" w:space="0"/>
              <w:left w:val="nil"/>
              <w:bottom w:val="single" w:color="auto" w:sz="6" w:space="0"/>
              <w:right w:val="single" w:color="auto" w:sz="6" w:space="0"/>
            </w:tcBorders>
            <w:vAlign w:val="center"/>
          </w:tcPr>
          <w:p>
            <w:pPr>
              <w:pStyle w:val="63"/>
            </w:pPr>
            <w:r>
              <w:t>5.3</w:t>
            </w:r>
          </w:p>
        </w:tc>
        <w:tc>
          <w:tcPr>
            <w:tcW w:w="837" w:type="dxa"/>
            <w:tcBorders>
              <w:top w:val="single" w:color="auto" w:sz="6" w:space="0"/>
              <w:left w:val="nil"/>
              <w:bottom w:val="single" w:color="auto" w:sz="6" w:space="0"/>
              <w:right w:val="single" w:color="auto" w:sz="6" w:space="0"/>
            </w:tcBorders>
            <w:vAlign w:val="center"/>
          </w:tcPr>
          <w:p>
            <w:pPr>
              <w:pStyle w:val="63"/>
            </w:pPr>
            <w:r>
              <w:t>5.3</w:t>
            </w:r>
          </w:p>
        </w:tc>
        <w:tc>
          <w:tcPr>
            <w:tcW w:w="670" w:type="dxa"/>
            <w:tcBorders>
              <w:top w:val="single" w:color="auto" w:sz="6" w:space="0"/>
              <w:left w:val="nil"/>
              <w:bottom w:val="single" w:color="auto" w:sz="6" w:space="0"/>
              <w:right w:val="single" w:color="auto" w:sz="6" w:space="0"/>
            </w:tcBorders>
            <w:vAlign w:val="center"/>
          </w:tcPr>
          <w:p>
            <w:pPr>
              <w:pStyle w:val="63"/>
            </w:pPr>
            <w:r>
              <w:t>8.5</w:t>
            </w:r>
          </w:p>
        </w:tc>
        <w:tc>
          <w:tcPr>
            <w:tcW w:w="670" w:type="dxa"/>
            <w:tcBorders>
              <w:top w:val="single" w:color="auto" w:sz="6" w:space="0"/>
              <w:left w:val="nil"/>
              <w:bottom w:val="single" w:color="auto" w:sz="6" w:space="0"/>
              <w:right w:val="single" w:color="auto" w:sz="6" w:space="0"/>
            </w:tcBorders>
            <w:vAlign w:val="center"/>
          </w:tcPr>
          <w:p>
            <w:pPr>
              <w:pStyle w:val="63"/>
            </w:pPr>
            <w:r>
              <w:t>6.5</w:t>
            </w:r>
          </w:p>
        </w:tc>
        <w:tc>
          <w:tcPr>
            <w:tcW w:w="670" w:type="dxa"/>
            <w:tcBorders>
              <w:top w:val="single" w:color="auto" w:sz="6" w:space="0"/>
              <w:left w:val="nil"/>
              <w:bottom w:val="single" w:color="auto" w:sz="6" w:space="0"/>
              <w:right w:val="single" w:color="auto" w:sz="6" w:space="0"/>
            </w:tcBorders>
            <w:vAlign w:val="center"/>
          </w:tcPr>
          <w:p>
            <w:pPr>
              <w:pStyle w:val="63"/>
            </w:pPr>
            <w:r>
              <w:t>4.7</w:t>
            </w:r>
          </w:p>
        </w:tc>
        <w:tc>
          <w:tcPr>
            <w:tcW w:w="670" w:type="dxa"/>
            <w:tcBorders>
              <w:top w:val="single" w:color="auto" w:sz="6" w:space="0"/>
              <w:left w:val="nil"/>
              <w:bottom w:val="single" w:color="auto" w:sz="6" w:space="0"/>
              <w:right w:val="single" w:color="auto" w:sz="6" w:space="0"/>
            </w:tcBorders>
            <w:vAlign w:val="center"/>
          </w:tcPr>
          <w:p>
            <w:pPr>
              <w:pStyle w:val="63"/>
            </w:pPr>
            <w:r>
              <w:t>7.4</w:t>
            </w:r>
          </w:p>
        </w:tc>
        <w:tc>
          <w:tcPr>
            <w:tcW w:w="670" w:type="dxa"/>
            <w:tcBorders>
              <w:top w:val="single" w:color="auto" w:sz="6" w:space="0"/>
              <w:left w:val="nil"/>
              <w:bottom w:val="single" w:color="auto" w:sz="6" w:space="0"/>
              <w:right w:val="single" w:color="auto" w:sz="6" w:space="0"/>
            </w:tcBorders>
            <w:vAlign w:val="center"/>
          </w:tcPr>
          <w:p>
            <w:pPr>
              <w:pStyle w:val="63"/>
            </w:pPr>
            <w:r>
              <w:t>10.5</w:t>
            </w:r>
          </w:p>
        </w:tc>
        <w:tc>
          <w:tcPr>
            <w:tcW w:w="837" w:type="dxa"/>
            <w:tcBorders>
              <w:top w:val="single" w:color="auto" w:sz="6" w:space="0"/>
              <w:left w:val="nil"/>
              <w:bottom w:val="single" w:color="auto" w:sz="6" w:space="0"/>
              <w:right w:val="single" w:color="auto" w:sz="6" w:space="0"/>
            </w:tcBorders>
            <w:vAlign w:val="center"/>
          </w:tcPr>
          <w:p>
            <w:pPr>
              <w:pStyle w:val="63"/>
            </w:pPr>
            <w:r>
              <w:t>11.5</w:t>
            </w:r>
          </w:p>
        </w:tc>
        <w:tc>
          <w:tcPr>
            <w:tcW w:w="670" w:type="dxa"/>
            <w:tcBorders>
              <w:top w:val="single" w:color="auto" w:sz="6" w:space="0"/>
              <w:left w:val="nil"/>
              <w:bottom w:val="single" w:color="auto" w:sz="6" w:space="0"/>
              <w:right w:val="single" w:color="auto" w:sz="6" w:space="0"/>
            </w:tcBorders>
            <w:vAlign w:val="center"/>
          </w:tcPr>
          <w:p>
            <w:pPr>
              <w:pStyle w:val="63"/>
            </w:pPr>
            <w:r>
              <w:t>8.4</w:t>
            </w:r>
          </w:p>
        </w:tc>
        <w:tc>
          <w:tcPr>
            <w:tcW w:w="837" w:type="dxa"/>
            <w:tcBorders>
              <w:top w:val="single" w:color="auto" w:sz="6" w:space="0"/>
              <w:left w:val="nil"/>
              <w:bottom w:val="single" w:color="auto" w:sz="6" w:space="0"/>
              <w:right w:val="single" w:color="auto" w:sz="6" w:space="0"/>
            </w:tcBorders>
            <w:vAlign w:val="center"/>
          </w:tcPr>
          <w:p>
            <w:pPr>
              <w:pStyle w:val="63"/>
            </w:pPr>
            <w:r>
              <w:t>5.9</w:t>
            </w:r>
          </w:p>
        </w:tc>
        <w:tc>
          <w:tcPr>
            <w:tcW w:w="670" w:type="dxa"/>
            <w:tcBorders>
              <w:top w:val="single" w:color="auto" w:sz="6" w:space="0"/>
              <w:left w:val="nil"/>
              <w:bottom w:val="single" w:color="auto" w:sz="6" w:space="0"/>
              <w:right w:val="single" w:color="auto" w:sz="6" w:space="0"/>
            </w:tcBorders>
            <w:vAlign w:val="center"/>
          </w:tcPr>
          <w:p>
            <w:pPr>
              <w:pStyle w:val="63"/>
            </w:pPr>
            <w:r>
              <w:t>2.5</w:t>
            </w:r>
          </w:p>
        </w:tc>
        <w:tc>
          <w:tcPr>
            <w:tcW w:w="837" w:type="dxa"/>
            <w:tcBorders>
              <w:top w:val="single" w:color="auto" w:sz="6" w:space="0"/>
              <w:left w:val="nil"/>
              <w:bottom w:val="single" w:color="auto" w:sz="6" w:space="0"/>
              <w:right w:val="single" w:color="auto" w:sz="6" w:space="0"/>
            </w:tcBorders>
            <w:vAlign w:val="center"/>
          </w:tcPr>
          <w:p>
            <w:pPr>
              <w:pStyle w:val="63"/>
            </w:pPr>
            <w:r>
              <w:t>2.1</w:t>
            </w:r>
          </w:p>
        </w:tc>
        <w:tc>
          <w:tcPr>
            <w:tcW w:w="670" w:type="dxa"/>
            <w:tcBorders>
              <w:top w:val="single" w:color="auto" w:sz="6" w:space="0"/>
              <w:left w:val="nil"/>
              <w:bottom w:val="single" w:color="auto" w:sz="6" w:space="0"/>
              <w:right w:val="single" w:color="auto" w:sz="6" w:space="0"/>
            </w:tcBorders>
            <w:vAlign w:val="center"/>
          </w:tcPr>
          <w:p>
            <w:pPr>
              <w:pStyle w:val="63"/>
            </w:pPr>
            <w:r>
              <w:t>2.1</w:t>
            </w:r>
          </w:p>
        </w:tc>
        <w:tc>
          <w:tcPr>
            <w:tcW w:w="837" w:type="dxa"/>
            <w:tcBorders>
              <w:top w:val="single" w:color="auto" w:sz="6" w:space="0"/>
              <w:left w:val="nil"/>
              <w:bottom w:val="single" w:color="auto" w:sz="6" w:space="0"/>
              <w:right w:val="single" w:color="auto" w:sz="6" w:space="0"/>
            </w:tcBorders>
            <w:vAlign w:val="center"/>
          </w:tcPr>
          <w:p>
            <w:pPr>
              <w:pStyle w:val="63"/>
            </w:pPr>
            <w:r>
              <w:t>3.2</w:t>
            </w:r>
          </w:p>
        </w:tc>
        <w:tc>
          <w:tcPr>
            <w:tcW w:w="856" w:type="dxa"/>
            <w:tcBorders>
              <w:top w:val="single" w:color="auto" w:sz="6" w:space="0"/>
              <w:left w:val="nil"/>
              <w:bottom w:val="single" w:color="auto" w:sz="6" w:space="0"/>
              <w:right w:val="single" w:color="auto" w:sz="12" w:space="0"/>
            </w:tcBorders>
            <w:vAlign w:val="center"/>
          </w:tcPr>
          <w:p>
            <w:pPr>
              <w:pStyle w:val="63"/>
            </w:pPr>
            <w:r>
              <w:t>12.2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trPr>
        <w:tc>
          <w:tcPr>
            <w:tcW w:w="1193" w:type="dxa"/>
            <w:tcBorders>
              <w:top w:val="single" w:color="auto" w:sz="6" w:space="0"/>
              <w:left w:val="single" w:color="auto" w:sz="12" w:space="0"/>
              <w:bottom w:val="single" w:color="auto" w:sz="6" w:space="0"/>
              <w:right w:val="single" w:color="auto" w:sz="6" w:space="0"/>
            </w:tcBorders>
            <w:vAlign w:val="center"/>
          </w:tcPr>
          <w:p>
            <w:pPr>
              <w:pStyle w:val="63"/>
            </w:pPr>
            <w:r>
              <w:t>8</w:t>
            </w:r>
          </w:p>
        </w:tc>
        <w:tc>
          <w:tcPr>
            <w:tcW w:w="726" w:type="dxa"/>
            <w:tcBorders>
              <w:top w:val="single" w:color="auto" w:sz="6" w:space="0"/>
              <w:left w:val="nil"/>
              <w:bottom w:val="single" w:color="auto" w:sz="6" w:space="0"/>
              <w:right w:val="single" w:color="auto" w:sz="6" w:space="0"/>
            </w:tcBorders>
            <w:vAlign w:val="center"/>
          </w:tcPr>
          <w:p>
            <w:pPr>
              <w:pStyle w:val="63"/>
            </w:pPr>
            <w:r>
              <w:t>11.6</w:t>
            </w:r>
          </w:p>
        </w:tc>
        <w:tc>
          <w:tcPr>
            <w:tcW w:w="732" w:type="dxa"/>
            <w:tcBorders>
              <w:top w:val="single" w:color="auto" w:sz="6" w:space="0"/>
              <w:left w:val="nil"/>
              <w:bottom w:val="single" w:color="auto" w:sz="6" w:space="0"/>
              <w:right w:val="single" w:color="auto" w:sz="6" w:space="0"/>
            </w:tcBorders>
            <w:vAlign w:val="center"/>
          </w:tcPr>
          <w:p>
            <w:pPr>
              <w:pStyle w:val="63"/>
            </w:pPr>
            <w:r>
              <w:t>10.1</w:t>
            </w:r>
          </w:p>
        </w:tc>
        <w:tc>
          <w:tcPr>
            <w:tcW w:w="670" w:type="dxa"/>
            <w:tcBorders>
              <w:top w:val="single" w:color="auto" w:sz="6" w:space="0"/>
              <w:left w:val="nil"/>
              <w:bottom w:val="single" w:color="auto" w:sz="6" w:space="0"/>
              <w:right w:val="single" w:color="auto" w:sz="6" w:space="0"/>
            </w:tcBorders>
            <w:vAlign w:val="center"/>
          </w:tcPr>
          <w:p>
            <w:pPr>
              <w:pStyle w:val="63"/>
            </w:pPr>
            <w:r>
              <w:t>6.9</w:t>
            </w:r>
          </w:p>
        </w:tc>
        <w:tc>
          <w:tcPr>
            <w:tcW w:w="837" w:type="dxa"/>
            <w:tcBorders>
              <w:top w:val="single" w:color="auto" w:sz="6" w:space="0"/>
              <w:left w:val="nil"/>
              <w:bottom w:val="single" w:color="auto" w:sz="6" w:space="0"/>
              <w:right w:val="single" w:color="auto" w:sz="6" w:space="0"/>
            </w:tcBorders>
            <w:vAlign w:val="center"/>
          </w:tcPr>
          <w:p>
            <w:pPr>
              <w:pStyle w:val="63"/>
            </w:pPr>
            <w:r>
              <w:t>7.2</w:t>
            </w:r>
          </w:p>
        </w:tc>
        <w:tc>
          <w:tcPr>
            <w:tcW w:w="670" w:type="dxa"/>
            <w:tcBorders>
              <w:top w:val="single" w:color="auto" w:sz="6" w:space="0"/>
              <w:left w:val="nil"/>
              <w:bottom w:val="single" w:color="auto" w:sz="6" w:space="0"/>
              <w:right w:val="single" w:color="auto" w:sz="6" w:space="0"/>
            </w:tcBorders>
            <w:vAlign w:val="center"/>
          </w:tcPr>
          <w:p>
            <w:pPr>
              <w:pStyle w:val="63"/>
            </w:pPr>
            <w:r>
              <w:t>9.4</w:t>
            </w:r>
          </w:p>
        </w:tc>
        <w:tc>
          <w:tcPr>
            <w:tcW w:w="670" w:type="dxa"/>
            <w:tcBorders>
              <w:top w:val="single" w:color="auto" w:sz="6" w:space="0"/>
              <w:left w:val="nil"/>
              <w:bottom w:val="single" w:color="auto" w:sz="6" w:space="0"/>
              <w:right w:val="single" w:color="auto" w:sz="6" w:space="0"/>
            </w:tcBorders>
            <w:vAlign w:val="center"/>
          </w:tcPr>
          <w:p>
            <w:pPr>
              <w:pStyle w:val="63"/>
            </w:pPr>
            <w:r>
              <w:t>7.4</w:t>
            </w:r>
          </w:p>
        </w:tc>
        <w:tc>
          <w:tcPr>
            <w:tcW w:w="670" w:type="dxa"/>
            <w:tcBorders>
              <w:top w:val="single" w:color="auto" w:sz="6" w:space="0"/>
              <w:left w:val="nil"/>
              <w:bottom w:val="single" w:color="auto" w:sz="6" w:space="0"/>
              <w:right w:val="single" w:color="auto" w:sz="6" w:space="0"/>
            </w:tcBorders>
            <w:vAlign w:val="center"/>
          </w:tcPr>
          <w:p>
            <w:pPr>
              <w:pStyle w:val="63"/>
            </w:pPr>
            <w:r>
              <w:t>4</w:t>
            </w:r>
          </w:p>
        </w:tc>
        <w:tc>
          <w:tcPr>
            <w:tcW w:w="670" w:type="dxa"/>
            <w:tcBorders>
              <w:top w:val="single" w:color="auto" w:sz="6" w:space="0"/>
              <w:left w:val="nil"/>
              <w:bottom w:val="single" w:color="auto" w:sz="6" w:space="0"/>
              <w:right w:val="single" w:color="auto" w:sz="6" w:space="0"/>
            </w:tcBorders>
            <w:vAlign w:val="center"/>
          </w:tcPr>
          <w:p>
            <w:pPr>
              <w:pStyle w:val="63"/>
            </w:pPr>
            <w:r>
              <w:t>4.1</w:t>
            </w:r>
          </w:p>
        </w:tc>
        <w:tc>
          <w:tcPr>
            <w:tcW w:w="670" w:type="dxa"/>
            <w:tcBorders>
              <w:top w:val="single" w:color="auto" w:sz="6" w:space="0"/>
              <w:left w:val="nil"/>
              <w:bottom w:val="single" w:color="auto" w:sz="6" w:space="0"/>
              <w:right w:val="single" w:color="auto" w:sz="6" w:space="0"/>
            </w:tcBorders>
            <w:vAlign w:val="center"/>
          </w:tcPr>
          <w:p>
            <w:pPr>
              <w:pStyle w:val="63"/>
            </w:pPr>
            <w:r>
              <w:t>5.1</w:t>
            </w:r>
          </w:p>
        </w:tc>
        <w:tc>
          <w:tcPr>
            <w:tcW w:w="837" w:type="dxa"/>
            <w:tcBorders>
              <w:top w:val="single" w:color="auto" w:sz="6" w:space="0"/>
              <w:left w:val="nil"/>
              <w:bottom w:val="single" w:color="auto" w:sz="6" w:space="0"/>
              <w:right w:val="single" w:color="auto" w:sz="6" w:space="0"/>
            </w:tcBorders>
            <w:vAlign w:val="center"/>
          </w:tcPr>
          <w:p>
            <w:pPr>
              <w:pStyle w:val="63"/>
            </w:pPr>
            <w:r>
              <w:t>4.2</w:t>
            </w:r>
          </w:p>
        </w:tc>
        <w:tc>
          <w:tcPr>
            <w:tcW w:w="670" w:type="dxa"/>
            <w:tcBorders>
              <w:top w:val="single" w:color="auto" w:sz="6" w:space="0"/>
              <w:left w:val="nil"/>
              <w:bottom w:val="single" w:color="auto" w:sz="6" w:space="0"/>
              <w:right w:val="single" w:color="auto" w:sz="6" w:space="0"/>
            </w:tcBorders>
            <w:vAlign w:val="center"/>
          </w:tcPr>
          <w:p>
            <w:pPr>
              <w:pStyle w:val="63"/>
            </w:pPr>
            <w:r>
              <w:t>3.5</w:t>
            </w:r>
          </w:p>
        </w:tc>
        <w:tc>
          <w:tcPr>
            <w:tcW w:w="837" w:type="dxa"/>
            <w:tcBorders>
              <w:top w:val="single" w:color="auto" w:sz="6" w:space="0"/>
              <w:left w:val="nil"/>
              <w:bottom w:val="single" w:color="auto" w:sz="6" w:space="0"/>
              <w:right w:val="single" w:color="auto" w:sz="6" w:space="0"/>
            </w:tcBorders>
            <w:vAlign w:val="center"/>
          </w:tcPr>
          <w:p>
            <w:pPr>
              <w:pStyle w:val="63"/>
            </w:pPr>
            <w:r>
              <w:t>3.6</w:t>
            </w:r>
          </w:p>
        </w:tc>
        <w:tc>
          <w:tcPr>
            <w:tcW w:w="670" w:type="dxa"/>
            <w:tcBorders>
              <w:top w:val="single" w:color="auto" w:sz="6" w:space="0"/>
              <w:left w:val="nil"/>
              <w:bottom w:val="single" w:color="auto" w:sz="6" w:space="0"/>
              <w:right w:val="single" w:color="auto" w:sz="6" w:space="0"/>
            </w:tcBorders>
            <w:vAlign w:val="center"/>
          </w:tcPr>
          <w:p>
            <w:pPr>
              <w:pStyle w:val="63"/>
            </w:pPr>
            <w:r>
              <w:t>2.9</w:t>
            </w:r>
          </w:p>
        </w:tc>
        <w:tc>
          <w:tcPr>
            <w:tcW w:w="837" w:type="dxa"/>
            <w:tcBorders>
              <w:top w:val="single" w:color="auto" w:sz="6" w:space="0"/>
              <w:left w:val="nil"/>
              <w:bottom w:val="single" w:color="auto" w:sz="6" w:space="0"/>
              <w:right w:val="single" w:color="auto" w:sz="6" w:space="0"/>
            </w:tcBorders>
            <w:vAlign w:val="center"/>
          </w:tcPr>
          <w:p>
            <w:pPr>
              <w:pStyle w:val="63"/>
            </w:pPr>
            <w:r>
              <w:t>2</w:t>
            </w:r>
          </w:p>
        </w:tc>
        <w:tc>
          <w:tcPr>
            <w:tcW w:w="670" w:type="dxa"/>
            <w:tcBorders>
              <w:top w:val="single" w:color="auto" w:sz="6" w:space="0"/>
              <w:left w:val="nil"/>
              <w:bottom w:val="single" w:color="auto" w:sz="6" w:space="0"/>
              <w:right w:val="single" w:color="auto" w:sz="6" w:space="0"/>
            </w:tcBorders>
            <w:vAlign w:val="center"/>
          </w:tcPr>
          <w:p>
            <w:pPr>
              <w:pStyle w:val="63"/>
            </w:pPr>
            <w:r>
              <w:t>2.7</w:t>
            </w:r>
          </w:p>
        </w:tc>
        <w:tc>
          <w:tcPr>
            <w:tcW w:w="837" w:type="dxa"/>
            <w:tcBorders>
              <w:top w:val="single" w:color="auto" w:sz="6" w:space="0"/>
              <w:left w:val="nil"/>
              <w:bottom w:val="single" w:color="auto" w:sz="6" w:space="0"/>
              <w:right w:val="single" w:color="auto" w:sz="6" w:space="0"/>
            </w:tcBorders>
            <w:vAlign w:val="center"/>
          </w:tcPr>
          <w:p>
            <w:pPr>
              <w:pStyle w:val="63"/>
            </w:pPr>
            <w:r>
              <w:t>4.9</w:t>
            </w:r>
          </w:p>
        </w:tc>
        <w:tc>
          <w:tcPr>
            <w:tcW w:w="856" w:type="dxa"/>
            <w:tcBorders>
              <w:top w:val="single" w:color="auto" w:sz="6" w:space="0"/>
              <w:left w:val="nil"/>
              <w:bottom w:val="single" w:color="auto" w:sz="6" w:space="0"/>
              <w:right w:val="single" w:color="auto" w:sz="12" w:space="0"/>
            </w:tcBorders>
            <w:vAlign w:val="center"/>
          </w:tcPr>
          <w:p>
            <w:pPr>
              <w:pStyle w:val="63"/>
            </w:pPr>
            <w:r>
              <w:t>15.1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trPr>
        <w:tc>
          <w:tcPr>
            <w:tcW w:w="1193" w:type="dxa"/>
            <w:tcBorders>
              <w:top w:val="single" w:color="auto" w:sz="6" w:space="0"/>
              <w:left w:val="single" w:color="auto" w:sz="12" w:space="0"/>
              <w:bottom w:val="single" w:color="auto" w:sz="6" w:space="0"/>
              <w:right w:val="single" w:color="auto" w:sz="6" w:space="0"/>
            </w:tcBorders>
            <w:vAlign w:val="center"/>
          </w:tcPr>
          <w:p>
            <w:pPr>
              <w:pStyle w:val="63"/>
            </w:pPr>
            <w:r>
              <w:t>9</w:t>
            </w:r>
          </w:p>
        </w:tc>
        <w:tc>
          <w:tcPr>
            <w:tcW w:w="726" w:type="dxa"/>
            <w:tcBorders>
              <w:top w:val="single" w:color="auto" w:sz="6" w:space="0"/>
              <w:left w:val="nil"/>
              <w:bottom w:val="single" w:color="auto" w:sz="6" w:space="0"/>
              <w:right w:val="single" w:color="auto" w:sz="6" w:space="0"/>
            </w:tcBorders>
            <w:vAlign w:val="center"/>
          </w:tcPr>
          <w:p>
            <w:pPr>
              <w:pStyle w:val="63"/>
            </w:pPr>
            <w:r>
              <w:t>17.5</w:t>
            </w:r>
          </w:p>
        </w:tc>
        <w:tc>
          <w:tcPr>
            <w:tcW w:w="732" w:type="dxa"/>
            <w:tcBorders>
              <w:top w:val="single" w:color="auto" w:sz="6" w:space="0"/>
              <w:left w:val="nil"/>
              <w:bottom w:val="single" w:color="auto" w:sz="6" w:space="0"/>
              <w:right w:val="single" w:color="auto" w:sz="6" w:space="0"/>
            </w:tcBorders>
            <w:vAlign w:val="center"/>
          </w:tcPr>
          <w:p>
            <w:pPr>
              <w:pStyle w:val="63"/>
            </w:pPr>
            <w:r>
              <w:t>17.9</w:t>
            </w:r>
          </w:p>
        </w:tc>
        <w:tc>
          <w:tcPr>
            <w:tcW w:w="670" w:type="dxa"/>
            <w:tcBorders>
              <w:top w:val="single" w:color="auto" w:sz="6" w:space="0"/>
              <w:left w:val="nil"/>
              <w:bottom w:val="single" w:color="auto" w:sz="6" w:space="0"/>
              <w:right w:val="single" w:color="auto" w:sz="6" w:space="0"/>
            </w:tcBorders>
            <w:vAlign w:val="center"/>
          </w:tcPr>
          <w:p>
            <w:pPr>
              <w:pStyle w:val="63"/>
            </w:pPr>
            <w:r>
              <w:t>11.2</w:t>
            </w:r>
          </w:p>
        </w:tc>
        <w:tc>
          <w:tcPr>
            <w:tcW w:w="837" w:type="dxa"/>
            <w:tcBorders>
              <w:top w:val="single" w:color="auto" w:sz="6" w:space="0"/>
              <w:left w:val="nil"/>
              <w:bottom w:val="single" w:color="auto" w:sz="6" w:space="0"/>
              <w:right w:val="single" w:color="auto" w:sz="6" w:space="0"/>
            </w:tcBorders>
            <w:vAlign w:val="center"/>
          </w:tcPr>
          <w:p>
            <w:pPr>
              <w:pStyle w:val="63"/>
            </w:pPr>
            <w:r>
              <w:t>6.1</w:t>
            </w:r>
          </w:p>
        </w:tc>
        <w:tc>
          <w:tcPr>
            <w:tcW w:w="670" w:type="dxa"/>
            <w:tcBorders>
              <w:top w:val="single" w:color="auto" w:sz="6" w:space="0"/>
              <w:left w:val="nil"/>
              <w:bottom w:val="single" w:color="auto" w:sz="6" w:space="0"/>
              <w:right w:val="single" w:color="auto" w:sz="6" w:space="0"/>
            </w:tcBorders>
            <w:vAlign w:val="center"/>
          </w:tcPr>
          <w:p>
            <w:pPr>
              <w:pStyle w:val="63"/>
            </w:pPr>
            <w:r>
              <w:t>7.5</w:t>
            </w:r>
          </w:p>
        </w:tc>
        <w:tc>
          <w:tcPr>
            <w:tcW w:w="670" w:type="dxa"/>
            <w:tcBorders>
              <w:top w:val="single" w:color="auto" w:sz="6" w:space="0"/>
              <w:left w:val="nil"/>
              <w:bottom w:val="single" w:color="auto" w:sz="6" w:space="0"/>
              <w:right w:val="single" w:color="auto" w:sz="6" w:space="0"/>
            </w:tcBorders>
            <w:vAlign w:val="center"/>
          </w:tcPr>
          <w:p>
            <w:pPr>
              <w:pStyle w:val="63"/>
            </w:pPr>
            <w:r>
              <w:t>5.9</w:t>
            </w:r>
          </w:p>
        </w:tc>
        <w:tc>
          <w:tcPr>
            <w:tcW w:w="670" w:type="dxa"/>
            <w:tcBorders>
              <w:top w:val="single" w:color="auto" w:sz="6" w:space="0"/>
              <w:left w:val="nil"/>
              <w:bottom w:val="single" w:color="auto" w:sz="6" w:space="0"/>
              <w:right w:val="single" w:color="auto" w:sz="6" w:space="0"/>
            </w:tcBorders>
            <w:vAlign w:val="center"/>
          </w:tcPr>
          <w:p>
            <w:pPr>
              <w:pStyle w:val="63"/>
            </w:pPr>
            <w:r>
              <w:t>2.9</w:t>
            </w:r>
          </w:p>
        </w:tc>
        <w:tc>
          <w:tcPr>
            <w:tcW w:w="670" w:type="dxa"/>
            <w:tcBorders>
              <w:top w:val="single" w:color="auto" w:sz="6" w:space="0"/>
              <w:left w:val="nil"/>
              <w:bottom w:val="single" w:color="auto" w:sz="6" w:space="0"/>
              <w:right w:val="single" w:color="auto" w:sz="6" w:space="0"/>
            </w:tcBorders>
            <w:vAlign w:val="center"/>
          </w:tcPr>
          <w:p>
            <w:pPr>
              <w:pStyle w:val="63"/>
            </w:pPr>
            <w:r>
              <w:t>2</w:t>
            </w:r>
          </w:p>
        </w:tc>
        <w:tc>
          <w:tcPr>
            <w:tcW w:w="670" w:type="dxa"/>
            <w:tcBorders>
              <w:top w:val="single" w:color="auto" w:sz="6" w:space="0"/>
              <w:left w:val="nil"/>
              <w:bottom w:val="single" w:color="auto" w:sz="6" w:space="0"/>
              <w:right w:val="single" w:color="auto" w:sz="6" w:space="0"/>
            </w:tcBorders>
            <w:vAlign w:val="center"/>
          </w:tcPr>
          <w:p>
            <w:pPr>
              <w:pStyle w:val="63"/>
            </w:pPr>
            <w:r>
              <w:t>1.9</w:t>
            </w:r>
          </w:p>
        </w:tc>
        <w:tc>
          <w:tcPr>
            <w:tcW w:w="837" w:type="dxa"/>
            <w:tcBorders>
              <w:top w:val="single" w:color="auto" w:sz="6" w:space="0"/>
              <w:left w:val="nil"/>
              <w:bottom w:val="single" w:color="auto" w:sz="6" w:space="0"/>
              <w:right w:val="single" w:color="auto" w:sz="6" w:space="0"/>
            </w:tcBorders>
            <w:vAlign w:val="center"/>
          </w:tcPr>
          <w:p>
            <w:pPr>
              <w:pStyle w:val="63"/>
            </w:pPr>
            <w:r>
              <w:t>1.6</w:t>
            </w:r>
          </w:p>
        </w:tc>
        <w:tc>
          <w:tcPr>
            <w:tcW w:w="670" w:type="dxa"/>
            <w:tcBorders>
              <w:top w:val="single" w:color="auto" w:sz="6" w:space="0"/>
              <w:left w:val="nil"/>
              <w:bottom w:val="single" w:color="auto" w:sz="6" w:space="0"/>
              <w:right w:val="single" w:color="auto" w:sz="6" w:space="0"/>
            </w:tcBorders>
            <w:vAlign w:val="center"/>
          </w:tcPr>
          <w:p>
            <w:pPr>
              <w:pStyle w:val="63"/>
            </w:pPr>
            <w:r>
              <w:t>1.6</w:t>
            </w:r>
          </w:p>
        </w:tc>
        <w:tc>
          <w:tcPr>
            <w:tcW w:w="837" w:type="dxa"/>
            <w:tcBorders>
              <w:top w:val="single" w:color="auto" w:sz="6" w:space="0"/>
              <w:left w:val="nil"/>
              <w:bottom w:val="single" w:color="auto" w:sz="6" w:space="0"/>
              <w:right w:val="single" w:color="auto" w:sz="6" w:space="0"/>
            </w:tcBorders>
            <w:vAlign w:val="center"/>
          </w:tcPr>
          <w:p>
            <w:pPr>
              <w:pStyle w:val="63"/>
            </w:pPr>
            <w:r>
              <w:t>2</w:t>
            </w:r>
          </w:p>
        </w:tc>
        <w:tc>
          <w:tcPr>
            <w:tcW w:w="670" w:type="dxa"/>
            <w:tcBorders>
              <w:top w:val="single" w:color="auto" w:sz="6" w:space="0"/>
              <w:left w:val="nil"/>
              <w:bottom w:val="single" w:color="auto" w:sz="6" w:space="0"/>
              <w:right w:val="single" w:color="auto" w:sz="6" w:space="0"/>
            </w:tcBorders>
            <w:vAlign w:val="center"/>
          </w:tcPr>
          <w:p>
            <w:pPr>
              <w:pStyle w:val="63"/>
            </w:pPr>
            <w:r>
              <w:t>1.9</w:t>
            </w:r>
          </w:p>
        </w:tc>
        <w:tc>
          <w:tcPr>
            <w:tcW w:w="837" w:type="dxa"/>
            <w:tcBorders>
              <w:top w:val="single" w:color="auto" w:sz="6" w:space="0"/>
              <w:left w:val="nil"/>
              <w:bottom w:val="single" w:color="auto" w:sz="6" w:space="0"/>
              <w:right w:val="single" w:color="auto" w:sz="6" w:space="0"/>
            </w:tcBorders>
            <w:vAlign w:val="center"/>
          </w:tcPr>
          <w:p>
            <w:pPr>
              <w:pStyle w:val="63"/>
            </w:pPr>
            <w:r>
              <w:t>1.9</w:t>
            </w:r>
          </w:p>
        </w:tc>
        <w:tc>
          <w:tcPr>
            <w:tcW w:w="670" w:type="dxa"/>
            <w:tcBorders>
              <w:top w:val="single" w:color="auto" w:sz="6" w:space="0"/>
              <w:left w:val="nil"/>
              <w:bottom w:val="single" w:color="auto" w:sz="6" w:space="0"/>
              <w:right w:val="single" w:color="auto" w:sz="6" w:space="0"/>
            </w:tcBorders>
            <w:vAlign w:val="center"/>
          </w:tcPr>
          <w:p>
            <w:pPr>
              <w:pStyle w:val="63"/>
            </w:pPr>
            <w:r>
              <w:t>3.5</w:t>
            </w:r>
          </w:p>
        </w:tc>
        <w:tc>
          <w:tcPr>
            <w:tcW w:w="837" w:type="dxa"/>
            <w:tcBorders>
              <w:top w:val="single" w:color="auto" w:sz="6" w:space="0"/>
              <w:left w:val="nil"/>
              <w:bottom w:val="single" w:color="auto" w:sz="6" w:space="0"/>
              <w:right w:val="single" w:color="auto" w:sz="6" w:space="0"/>
            </w:tcBorders>
            <w:vAlign w:val="center"/>
          </w:tcPr>
          <w:p>
            <w:pPr>
              <w:pStyle w:val="63"/>
            </w:pPr>
            <w:r>
              <w:t>6.8</w:t>
            </w:r>
          </w:p>
        </w:tc>
        <w:tc>
          <w:tcPr>
            <w:tcW w:w="856" w:type="dxa"/>
            <w:tcBorders>
              <w:top w:val="single" w:color="auto" w:sz="6" w:space="0"/>
              <w:left w:val="nil"/>
              <w:bottom w:val="single" w:color="auto" w:sz="6" w:space="0"/>
              <w:right w:val="single" w:color="auto" w:sz="12" w:space="0"/>
            </w:tcBorders>
            <w:vAlign w:val="center"/>
          </w:tcPr>
          <w:p>
            <w:pPr>
              <w:pStyle w:val="63"/>
            </w:pPr>
            <w:r>
              <w:t>15.9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trPr>
        <w:tc>
          <w:tcPr>
            <w:tcW w:w="1193" w:type="dxa"/>
            <w:tcBorders>
              <w:top w:val="single" w:color="auto" w:sz="6" w:space="0"/>
              <w:left w:val="single" w:color="auto" w:sz="12" w:space="0"/>
              <w:bottom w:val="single" w:color="auto" w:sz="6" w:space="0"/>
              <w:right w:val="single" w:color="auto" w:sz="6" w:space="0"/>
            </w:tcBorders>
            <w:vAlign w:val="center"/>
          </w:tcPr>
          <w:p>
            <w:pPr>
              <w:pStyle w:val="63"/>
            </w:pPr>
            <w:r>
              <w:t>10</w:t>
            </w:r>
          </w:p>
        </w:tc>
        <w:tc>
          <w:tcPr>
            <w:tcW w:w="726" w:type="dxa"/>
            <w:tcBorders>
              <w:top w:val="single" w:color="auto" w:sz="6" w:space="0"/>
              <w:left w:val="nil"/>
              <w:bottom w:val="single" w:color="auto" w:sz="6" w:space="0"/>
              <w:right w:val="single" w:color="auto" w:sz="6" w:space="0"/>
            </w:tcBorders>
            <w:vAlign w:val="center"/>
          </w:tcPr>
          <w:p>
            <w:pPr>
              <w:pStyle w:val="63"/>
            </w:pPr>
            <w:r>
              <w:t>19</w:t>
            </w:r>
          </w:p>
        </w:tc>
        <w:tc>
          <w:tcPr>
            <w:tcW w:w="732" w:type="dxa"/>
            <w:tcBorders>
              <w:top w:val="single" w:color="auto" w:sz="6" w:space="0"/>
              <w:left w:val="nil"/>
              <w:bottom w:val="single" w:color="auto" w:sz="6" w:space="0"/>
              <w:right w:val="single" w:color="auto" w:sz="6" w:space="0"/>
            </w:tcBorders>
            <w:vAlign w:val="center"/>
          </w:tcPr>
          <w:p>
            <w:pPr>
              <w:pStyle w:val="63"/>
            </w:pPr>
            <w:r>
              <w:t>19.1</w:t>
            </w:r>
          </w:p>
        </w:tc>
        <w:tc>
          <w:tcPr>
            <w:tcW w:w="670" w:type="dxa"/>
            <w:tcBorders>
              <w:top w:val="single" w:color="auto" w:sz="6" w:space="0"/>
              <w:left w:val="nil"/>
              <w:bottom w:val="single" w:color="auto" w:sz="6" w:space="0"/>
              <w:right w:val="single" w:color="auto" w:sz="6" w:space="0"/>
            </w:tcBorders>
            <w:vAlign w:val="center"/>
          </w:tcPr>
          <w:p>
            <w:pPr>
              <w:pStyle w:val="63"/>
            </w:pPr>
            <w:r>
              <w:t>10.2</w:t>
            </w:r>
          </w:p>
        </w:tc>
        <w:tc>
          <w:tcPr>
            <w:tcW w:w="837" w:type="dxa"/>
            <w:tcBorders>
              <w:top w:val="single" w:color="auto" w:sz="6" w:space="0"/>
              <w:left w:val="nil"/>
              <w:bottom w:val="single" w:color="auto" w:sz="6" w:space="0"/>
              <w:right w:val="single" w:color="auto" w:sz="6" w:space="0"/>
            </w:tcBorders>
            <w:vAlign w:val="center"/>
          </w:tcPr>
          <w:p>
            <w:pPr>
              <w:pStyle w:val="63"/>
            </w:pPr>
            <w:r>
              <w:t>5.1</w:t>
            </w:r>
          </w:p>
        </w:tc>
        <w:tc>
          <w:tcPr>
            <w:tcW w:w="670" w:type="dxa"/>
            <w:tcBorders>
              <w:top w:val="single" w:color="auto" w:sz="6" w:space="0"/>
              <w:left w:val="nil"/>
              <w:bottom w:val="single" w:color="auto" w:sz="6" w:space="0"/>
              <w:right w:val="single" w:color="auto" w:sz="6" w:space="0"/>
            </w:tcBorders>
            <w:vAlign w:val="center"/>
          </w:tcPr>
          <w:p>
            <w:pPr>
              <w:pStyle w:val="63"/>
            </w:pPr>
            <w:r>
              <w:t>5.5</w:t>
            </w:r>
          </w:p>
        </w:tc>
        <w:tc>
          <w:tcPr>
            <w:tcW w:w="670" w:type="dxa"/>
            <w:tcBorders>
              <w:top w:val="single" w:color="auto" w:sz="6" w:space="0"/>
              <w:left w:val="nil"/>
              <w:bottom w:val="single" w:color="auto" w:sz="6" w:space="0"/>
              <w:right w:val="single" w:color="auto" w:sz="6" w:space="0"/>
            </w:tcBorders>
            <w:vAlign w:val="center"/>
          </w:tcPr>
          <w:p>
            <w:pPr>
              <w:pStyle w:val="63"/>
            </w:pPr>
            <w:r>
              <w:t>4.2</w:t>
            </w:r>
          </w:p>
        </w:tc>
        <w:tc>
          <w:tcPr>
            <w:tcW w:w="670" w:type="dxa"/>
            <w:tcBorders>
              <w:top w:val="single" w:color="auto" w:sz="6" w:space="0"/>
              <w:left w:val="nil"/>
              <w:bottom w:val="single" w:color="auto" w:sz="6" w:space="0"/>
              <w:right w:val="single" w:color="auto" w:sz="6" w:space="0"/>
            </w:tcBorders>
            <w:vAlign w:val="center"/>
          </w:tcPr>
          <w:p>
            <w:pPr>
              <w:pStyle w:val="63"/>
            </w:pPr>
            <w:r>
              <w:t>2.4</w:t>
            </w:r>
          </w:p>
        </w:tc>
        <w:tc>
          <w:tcPr>
            <w:tcW w:w="670" w:type="dxa"/>
            <w:tcBorders>
              <w:top w:val="single" w:color="auto" w:sz="6" w:space="0"/>
              <w:left w:val="nil"/>
              <w:bottom w:val="single" w:color="auto" w:sz="6" w:space="0"/>
              <w:right w:val="single" w:color="auto" w:sz="6" w:space="0"/>
            </w:tcBorders>
            <w:vAlign w:val="center"/>
          </w:tcPr>
          <w:p>
            <w:pPr>
              <w:pStyle w:val="63"/>
            </w:pPr>
            <w:r>
              <w:t>1.6</w:t>
            </w:r>
          </w:p>
        </w:tc>
        <w:tc>
          <w:tcPr>
            <w:tcW w:w="670" w:type="dxa"/>
            <w:tcBorders>
              <w:top w:val="single" w:color="auto" w:sz="6" w:space="0"/>
              <w:left w:val="nil"/>
              <w:bottom w:val="single" w:color="auto" w:sz="6" w:space="0"/>
              <w:right w:val="single" w:color="auto" w:sz="6" w:space="0"/>
            </w:tcBorders>
            <w:vAlign w:val="center"/>
          </w:tcPr>
          <w:p>
            <w:pPr>
              <w:pStyle w:val="63"/>
            </w:pPr>
            <w:r>
              <w:t>1.3</w:t>
            </w:r>
          </w:p>
        </w:tc>
        <w:tc>
          <w:tcPr>
            <w:tcW w:w="837" w:type="dxa"/>
            <w:tcBorders>
              <w:top w:val="single" w:color="auto" w:sz="6" w:space="0"/>
              <w:left w:val="nil"/>
              <w:bottom w:val="single" w:color="auto" w:sz="6" w:space="0"/>
              <w:right w:val="single" w:color="auto" w:sz="6" w:space="0"/>
            </w:tcBorders>
            <w:vAlign w:val="center"/>
          </w:tcPr>
          <w:p>
            <w:pPr>
              <w:pStyle w:val="63"/>
            </w:pPr>
            <w:r>
              <w:t>1</w:t>
            </w:r>
          </w:p>
        </w:tc>
        <w:tc>
          <w:tcPr>
            <w:tcW w:w="670" w:type="dxa"/>
            <w:tcBorders>
              <w:top w:val="single" w:color="auto" w:sz="6" w:space="0"/>
              <w:left w:val="nil"/>
              <w:bottom w:val="single" w:color="auto" w:sz="6" w:space="0"/>
              <w:right w:val="single" w:color="auto" w:sz="6" w:space="0"/>
            </w:tcBorders>
            <w:vAlign w:val="center"/>
          </w:tcPr>
          <w:p>
            <w:pPr>
              <w:pStyle w:val="63"/>
            </w:pPr>
            <w:r>
              <w:t>1</w:t>
            </w:r>
          </w:p>
        </w:tc>
        <w:tc>
          <w:tcPr>
            <w:tcW w:w="837" w:type="dxa"/>
            <w:tcBorders>
              <w:top w:val="single" w:color="auto" w:sz="6" w:space="0"/>
              <w:left w:val="nil"/>
              <w:bottom w:val="single" w:color="auto" w:sz="6" w:space="0"/>
              <w:right w:val="single" w:color="auto" w:sz="6" w:space="0"/>
            </w:tcBorders>
            <w:vAlign w:val="center"/>
          </w:tcPr>
          <w:p>
            <w:pPr>
              <w:pStyle w:val="63"/>
            </w:pPr>
            <w:r>
              <w:t>1.4</w:t>
            </w:r>
          </w:p>
        </w:tc>
        <w:tc>
          <w:tcPr>
            <w:tcW w:w="670" w:type="dxa"/>
            <w:tcBorders>
              <w:top w:val="single" w:color="auto" w:sz="6" w:space="0"/>
              <w:left w:val="nil"/>
              <w:bottom w:val="single" w:color="auto" w:sz="6" w:space="0"/>
              <w:right w:val="single" w:color="auto" w:sz="6" w:space="0"/>
            </w:tcBorders>
            <w:vAlign w:val="center"/>
          </w:tcPr>
          <w:p>
            <w:pPr>
              <w:pStyle w:val="63"/>
            </w:pPr>
            <w:r>
              <w:t>1.5</w:t>
            </w:r>
          </w:p>
        </w:tc>
        <w:tc>
          <w:tcPr>
            <w:tcW w:w="837" w:type="dxa"/>
            <w:tcBorders>
              <w:top w:val="single" w:color="auto" w:sz="6" w:space="0"/>
              <w:left w:val="nil"/>
              <w:bottom w:val="single" w:color="auto" w:sz="6" w:space="0"/>
              <w:right w:val="single" w:color="auto" w:sz="6" w:space="0"/>
            </w:tcBorders>
            <w:vAlign w:val="center"/>
          </w:tcPr>
          <w:p>
            <w:pPr>
              <w:pStyle w:val="63"/>
            </w:pPr>
            <w:r>
              <w:t>1.8</w:t>
            </w:r>
          </w:p>
        </w:tc>
        <w:tc>
          <w:tcPr>
            <w:tcW w:w="670" w:type="dxa"/>
            <w:tcBorders>
              <w:top w:val="single" w:color="auto" w:sz="6" w:space="0"/>
              <w:left w:val="nil"/>
              <w:bottom w:val="single" w:color="auto" w:sz="6" w:space="0"/>
              <w:right w:val="single" w:color="auto" w:sz="6" w:space="0"/>
            </w:tcBorders>
            <w:vAlign w:val="center"/>
          </w:tcPr>
          <w:p>
            <w:pPr>
              <w:pStyle w:val="63"/>
            </w:pPr>
            <w:r>
              <w:t>3.9</w:t>
            </w:r>
          </w:p>
        </w:tc>
        <w:tc>
          <w:tcPr>
            <w:tcW w:w="837" w:type="dxa"/>
            <w:tcBorders>
              <w:top w:val="single" w:color="auto" w:sz="6" w:space="0"/>
              <w:left w:val="nil"/>
              <w:bottom w:val="single" w:color="auto" w:sz="6" w:space="0"/>
              <w:right w:val="single" w:color="auto" w:sz="6" w:space="0"/>
            </w:tcBorders>
            <w:vAlign w:val="center"/>
          </w:tcPr>
          <w:p>
            <w:pPr>
              <w:pStyle w:val="63"/>
            </w:pPr>
            <w:r>
              <w:t>8.6</w:t>
            </w:r>
          </w:p>
        </w:tc>
        <w:tc>
          <w:tcPr>
            <w:tcW w:w="856" w:type="dxa"/>
            <w:tcBorders>
              <w:top w:val="single" w:color="auto" w:sz="6" w:space="0"/>
              <w:left w:val="nil"/>
              <w:bottom w:val="single" w:color="auto" w:sz="6" w:space="0"/>
              <w:right w:val="single" w:color="auto" w:sz="12" w:space="0"/>
            </w:tcBorders>
            <w:vAlign w:val="center"/>
          </w:tcPr>
          <w:p>
            <w:pPr>
              <w:pStyle w:val="63"/>
            </w:pPr>
            <w:r>
              <w:t>18.3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trPr>
        <w:tc>
          <w:tcPr>
            <w:tcW w:w="1193" w:type="dxa"/>
            <w:tcBorders>
              <w:top w:val="single" w:color="auto" w:sz="6" w:space="0"/>
              <w:left w:val="single" w:color="auto" w:sz="12" w:space="0"/>
              <w:bottom w:val="single" w:color="auto" w:sz="6" w:space="0"/>
              <w:right w:val="single" w:color="auto" w:sz="6" w:space="0"/>
            </w:tcBorders>
            <w:vAlign w:val="center"/>
          </w:tcPr>
          <w:p>
            <w:pPr>
              <w:pStyle w:val="63"/>
            </w:pPr>
            <w:r>
              <w:t>11</w:t>
            </w:r>
          </w:p>
        </w:tc>
        <w:tc>
          <w:tcPr>
            <w:tcW w:w="726" w:type="dxa"/>
            <w:tcBorders>
              <w:top w:val="single" w:color="auto" w:sz="6" w:space="0"/>
              <w:left w:val="nil"/>
              <w:bottom w:val="single" w:color="auto" w:sz="6" w:space="0"/>
              <w:right w:val="single" w:color="auto" w:sz="6" w:space="0"/>
            </w:tcBorders>
            <w:vAlign w:val="center"/>
          </w:tcPr>
          <w:p>
            <w:pPr>
              <w:pStyle w:val="63"/>
            </w:pPr>
            <w:r>
              <w:t>19.1</w:t>
            </w:r>
          </w:p>
        </w:tc>
        <w:tc>
          <w:tcPr>
            <w:tcW w:w="732" w:type="dxa"/>
            <w:tcBorders>
              <w:top w:val="single" w:color="auto" w:sz="6" w:space="0"/>
              <w:left w:val="nil"/>
              <w:bottom w:val="single" w:color="auto" w:sz="6" w:space="0"/>
              <w:right w:val="single" w:color="auto" w:sz="6" w:space="0"/>
            </w:tcBorders>
            <w:vAlign w:val="center"/>
          </w:tcPr>
          <w:p>
            <w:pPr>
              <w:pStyle w:val="63"/>
            </w:pPr>
            <w:r>
              <w:t>15.6</w:t>
            </w:r>
          </w:p>
        </w:tc>
        <w:tc>
          <w:tcPr>
            <w:tcW w:w="670" w:type="dxa"/>
            <w:tcBorders>
              <w:top w:val="single" w:color="auto" w:sz="6" w:space="0"/>
              <w:left w:val="nil"/>
              <w:bottom w:val="single" w:color="auto" w:sz="6" w:space="0"/>
              <w:right w:val="single" w:color="auto" w:sz="6" w:space="0"/>
            </w:tcBorders>
            <w:vAlign w:val="center"/>
          </w:tcPr>
          <w:p>
            <w:pPr>
              <w:pStyle w:val="63"/>
            </w:pPr>
            <w:r>
              <w:t>8.9</w:t>
            </w:r>
          </w:p>
        </w:tc>
        <w:tc>
          <w:tcPr>
            <w:tcW w:w="837" w:type="dxa"/>
            <w:tcBorders>
              <w:top w:val="single" w:color="auto" w:sz="6" w:space="0"/>
              <w:left w:val="nil"/>
              <w:bottom w:val="single" w:color="auto" w:sz="6" w:space="0"/>
              <w:right w:val="single" w:color="auto" w:sz="6" w:space="0"/>
            </w:tcBorders>
            <w:vAlign w:val="center"/>
          </w:tcPr>
          <w:p>
            <w:pPr>
              <w:pStyle w:val="63"/>
            </w:pPr>
            <w:r>
              <w:t>5.5</w:t>
            </w:r>
          </w:p>
        </w:tc>
        <w:tc>
          <w:tcPr>
            <w:tcW w:w="670" w:type="dxa"/>
            <w:tcBorders>
              <w:top w:val="single" w:color="auto" w:sz="6" w:space="0"/>
              <w:left w:val="nil"/>
              <w:bottom w:val="single" w:color="auto" w:sz="6" w:space="0"/>
              <w:right w:val="single" w:color="auto" w:sz="6" w:space="0"/>
            </w:tcBorders>
            <w:vAlign w:val="center"/>
          </w:tcPr>
          <w:p>
            <w:pPr>
              <w:pStyle w:val="63"/>
            </w:pPr>
            <w:r>
              <w:t>5.9</w:t>
            </w:r>
          </w:p>
        </w:tc>
        <w:tc>
          <w:tcPr>
            <w:tcW w:w="670" w:type="dxa"/>
            <w:tcBorders>
              <w:top w:val="single" w:color="auto" w:sz="6" w:space="0"/>
              <w:left w:val="nil"/>
              <w:bottom w:val="single" w:color="auto" w:sz="6" w:space="0"/>
              <w:right w:val="single" w:color="auto" w:sz="6" w:space="0"/>
            </w:tcBorders>
            <w:vAlign w:val="center"/>
          </w:tcPr>
          <w:p>
            <w:pPr>
              <w:pStyle w:val="63"/>
            </w:pPr>
            <w:r>
              <w:t>5.9</w:t>
            </w:r>
          </w:p>
        </w:tc>
        <w:tc>
          <w:tcPr>
            <w:tcW w:w="670" w:type="dxa"/>
            <w:tcBorders>
              <w:top w:val="single" w:color="auto" w:sz="6" w:space="0"/>
              <w:left w:val="nil"/>
              <w:bottom w:val="single" w:color="auto" w:sz="6" w:space="0"/>
              <w:right w:val="single" w:color="auto" w:sz="6" w:space="0"/>
            </w:tcBorders>
            <w:vAlign w:val="center"/>
          </w:tcPr>
          <w:p>
            <w:pPr>
              <w:pStyle w:val="63"/>
            </w:pPr>
            <w:r>
              <w:t>2.9</w:t>
            </w:r>
          </w:p>
        </w:tc>
        <w:tc>
          <w:tcPr>
            <w:tcW w:w="670" w:type="dxa"/>
            <w:tcBorders>
              <w:top w:val="single" w:color="auto" w:sz="6" w:space="0"/>
              <w:left w:val="nil"/>
              <w:bottom w:val="single" w:color="auto" w:sz="6" w:space="0"/>
              <w:right w:val="single" w:color="auto" w:sz="6" w:space="0"/>
            </w:tcBorders>
            <w:vAlign w:val="center"/>
          </w:tcPr>
          <w:p>
            <w:pPr>
              <w:pStyle w:val="63"/>
            </w:pPr>
            <w:r>
              <w:t>2.3</w:t>
            </w:r>
          </w:p>
        </w:tc>
        <w:tc>
          <w:tcPr>
            <w:tcW w:w="670" w:type="dxa"/>
            <w:tcBorders>
              <w:top w:val="single" w:color="auto" w:sz="6" w:space="0"/>
              <w:left w:val="nil"/>
              <w:bottom w:val="single" w:color="auto" w:sz="6" w:space="0"/>
              <w:right w:val="single" w:color="auto" w:sz="6" w:space="0"/>
            </w:tcBorders>
            <w:vAlign w:val="center"/>
          </w:tcPr>
          <w:p>
            <w:pPr>
              <w:pStyle w:val="63"/>
            </w:pPr>
            <w:r>
              <w:t>1.5</w:t>
            </w:r>
          </w:p>
        </w:tc>
        <w:tc>
          <w:tcPr>
            <w:tcW w:w="837" w:type="dxa"/>
            <w:tcBorders>
              <w:top w:val="single" w:color="auto" w:sz="6" w:space="0"/>
              <w:left w:val="nil"/>
              <w:bottom w:val="single" w:color="auto" w:sz="6" w:space="0"/>
              <w:right w:val="single" w:color="auto" w:sz="6" w:space="0"/>
            </w:tcBorders>
            <w:vAlign w:val="center"/>
          </w:tcPr>
          <w:p>
            <w:pPr>
              <w:pStyle w:val="63"/>
            </w:pPr>
            <w:r>
              <w:t>1.3</w:t>
            </w:r>
          </w:p>
        </w:tc>
        <w:tc>
          <w:tcPr>
            <w:tcW w:w="670" w:type="dxa"/>
            <w:tcBorders>
              <w:top w:val="single" w:color="auto" w:sz="6" w:space="0"/>
              <w:left w:val="nil"/>
              <w:bottom w:val="single" w:color="auto" w:sz="6" w:space="0"/>
              <w:right w:val="single" w:color="auto" w:sz="6" w:space="0"/>
            </w:tcBorders>
            <w:vAlign w:val="center"/>
          </w:tcPr>
          <w:p>
            <w:pPr>
              <w:pStyle w:val="63"/>
            </w:pPr>
            <w:r>
              <w:t>1.3</w:t>
            </w:r>
          </w:p>
        </w:tc>
        <w:tc>
          <w:tcPr>
            <w:tcW w:w="837" w:type="dxa"/>
            <w:tcBorders>
              <w:top w:val="single" w:color="auto" w:sz="6" w:space="0"/>
              <w:left w:val="nil"/>
              <w:bottom w:val="single" w:color="auto" w:sz="6" w:space="0"/>
              <w:right w:val="single" w:color="auto" w:sz="6" w:space="0"/>
            </w:tcBorders>
            <w:vAlign w:val="center"/>
          </w:tcPr>
          <w:p>
            <w:pPr>
              <w:pStyle w:val="63"/>
            </w:pPr>
            <w:r>
              <w:t>1.6</w:t>
            </w:r>
          </w:p>
        </w:tc>
        <w:tc>
          <w:tcPr>
            <w:tcW w:w="670" w:type="dxa"/>
            <w:tcBorders>
              <w:top w:val="single" w:color="auto" w:sz="6" w:space="0"/>
              <w:left w:val="nil"/>
              <w:bottom w:val="single" w:color="auto" w:sz="6" w:space="0"/>
              <w:right w:val="single" w:color="auto" w:sz="6" w:space="0"/>
            </w:tcBorders>
            <w:vAlign w:val="center"/>
          </w:tcPr>
          <w:p>
            <w:pPr>
              <w:pStyle w:val="63"/>
            </w:pPr>
            <w:r>
              <w:t>1.9</w:t>
            </w:r>
          </w:p>
        </w:tc>
        <w:tc>
          <w:tcPr>
            <w:tcW w:w="837" w:type="dxa"/>
            <w:tcBorders>
              <w:top w:val="single" w:color="auto" w:sz="6" w:space="0"/>
              <w:left w:val="nil"/>
              <w:bottom w:val="single" w:color="auto" w:sz="6" w:space="0"/>
              <w:right w:val="single" w:color="auto" w:sz="6" w:space="0"/>
            </w:tcBorders>
            <w:vAlign w:val="center"/>
          </w:tcPr>
          <w:p>
            <w:pPr>
              <w:pStyle w:val="63"/>
            </w:pPr>
            <w:r>
              <w:t>2.3</w:t>
            </w:r>
          </w:p>
        </w:tc>
        <w:tc>
          <w:tcPr>
            <w:tcW w:w="670" w:type="dxa"/>
            <w:tcBorders>
              <w:top w:val="single" w:color="auto" w:sz="6" w:space="0"/>
              <w:left w:val="nil"/>
              <w:bottom w:val="single" w:color="auto" w:sz="6" w:space="0"/>
              <w:right w:val="single" w:color="auto" w:sz="6" w:space="0"/>
            </w:tcBorders>
            <w:vAlign w:val="center"/>
          </w:tcPr>
          <w:p>
            <w:pPr>
              <w:pStyle w:val="63"/>
            </w:pPr>
            <w:r>
              <w:t>4.3</w:t>
            </w:r>
          </w:p>
        </w:tc>
        <w:tc>
          <w:tcPr>
            <w:tcW w:w="837" w:type="dxa"/>
            <w:tcBorders>
              <w:top w:val="single" w:color="auto" w:sz="6" w:space="0"/>
              <w:left w:val="nil"/>
              <w:bottom w:val="single" w:color="auto" w:sz="6" w:space="0"/>
              <w:right w:val="single" w:color="auto" w:sz="6" w:space="0"/>
            </w:tcBorders>
            <w:vAlign w:val="center"/>
          </w:tcPr>
          <w:p>
            <w:pPr>
              <w:pStyle w:val="63"/>
            </w:pPr>
            <w:r>
              <w:t>7.9</w:t>
            </w:r>
          </w:p>
        </w:tc>
        <w:tc>
          <w:tcPr>
            <w:tcW w:w="856" w:type="dxa"/>
            <w:tcBorders>
              <w:top w:val="single" w:color="auto" w:sz="6" w:space="0"/>
              <w:left w:val="nil"/>
              <w:bottom w:val="single" w:color="auto" w:sz="6" w:space="0"/>
              <w:right w:val="single" w:color="auto" w:sz="12" w:space="0"/>
            </w:tcBorders>
            <w:vAlign w:val="center"/>
          </w:tcPr>
          <w:p>
            <w:pPr>
              <w:pStyle w:val="63"/>
            </w:pPr>
            <w:r>
              <w:t>19.8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trPr>
        <w:tc>
          <w:tcPr>
            <w:tcW w:w="1193" w:type="dxa"/>
            <w:tcBorders>
              <w:top w:val="single" w:color="auto" w:sz="6" w:space="0"/>
              <w:left w:val="single" w:color="auto" w:sz="12" w:space="0"/>
              <w:bottom w:val="single" w:color="auto" w:sz="6" w:space="0"/>
              <w:right w:val="single" w:color="auto" w:sz="6" w:space="0"/>
            </w:tcBorders>
            <w:vAlign w:val="center"/>
          </w:tcPr>
          <w:p>
            <w:pPr>
              <w:pStyle w:val="63"/>
            </w:pPr>
            <w:r>
              <w:t>12</w:t>
            </w:r>
          </w:p>
        </w:tc>
        <w:tc>
          <w:tcPr>
            <w:tcW w:w="726" w:type="dxa"/>
            <w:tcBorders>
              <w:top w:val="single" w:color="auto" w:sz="6" w:space="0"/>
              <w:left w:val="nil"/>
              <w:bottom w:val="single" w:color="auto" w:sz="6" w:space="0"/>
              <w:right w:val="single" w:color="auto" w:sz="6" w:space="0"/>
            </w:tcBorders>
            <w:vAlign w:val="center"/>
          </w:tcPr>
          <w:p>
            <w:pPr>
              <w:pStyle w:val="63"/>
            </w:pPr>
            <w:r>
              <w:t>20.7</w:t>
            </w:r>
          </w:p>
        </w:tc>
        <w:tc>
          <w:tcPr>
            <w:tcW w:w="732" w:type="dxa"/>
            <w:tcBorders>
              <w:top w:val="single" w:color="auto" w:sz="6" w:space="0"/>
              <w:left w:val="nil"/>
              <w:bottom w:val="single" w:color="auto" w:sz="6" w:space="0"/>
              <w:right w:val="single" w:color="auto" w:sz="6" w:space="0"/>
            </w:tcBorders>
            <w:vAlign w:val="center"/>
          </w:tcPr>
          <w:p>
            <w:pPr>
              <w:pStyle w:val="63"/>
            </w:pPr>
            <w:r>
              <w:t>15.8</w:t>
            </w:r>
          </w:p>
        </w:tc>
        <w:tc>
          <w:tcPr>
            <w:tcW w:w="670" w:type="dxa"/>
            <w:tcBorders>
              <w:top w:val="single" w:color="auto" w:sz="6" w:space="0"/>
              <w:left w:val="nil"/>
              <w:bottom w:val="single" w:color="auto" w:sz="6" w:space="0"/>
              <w:right w:val="single" w:color="auto" w:sz="6" w:space="0"/>
            </w:tcBorders>
            <w:vAlign w:val="center"/>
          </w:tcPr>
          <w:p>
            <w:pPr>
              <w:pStyle w:val="63"/>
            </w:pPr>
            <w:r>
              <w:t>9.8</w:t>
            </w:r>
          </w:p>
        </w:tc>
        <w:tc>
          <w:tcPr>
            <w:tcW w:w="837" w:type="dxa"/>
            <w:tcBorders>
              <w:top w:val="single" w:color="auto" w:sz="6" w:space="0"/>
              <w:left w:val="nil"/>
              <w:bottom w:val="single" w:color="auto" w:sz="6" w:space="0"/>
              <w:right w:val="single" w:color="auto" w:sz="6" w:space="0"/>
            </w:tcBorders>
            <w:vAlign w:val="center"/>
          </w:tcPr>
          <w:p>
            <w:pPr>
              <w:pStyle w:val="63"/>
            </w:pPr>
            <w:r>
              <w:t>4.5</w:t>
            </w:r>
          </w:p>
        </w:tc>
        <w:tc>
          <w:tcPr>
            <w:tcW w:w="670" w:type="dxa"/>
            <w:tcBorders>
              <w:top w:val="single" w:color="auto" w:sz="6" w:space="0"/>
              <w:left w:val="nil"/>
              <w:bottom w:val="single" w:color="auto" w:sz="6" w:space="0"/>
              <w:right w:val="single" w:color="auto" w:sz="6" w:space="0"/>
            </w:tcBorders>
            <w:vAlign w:val="center"/>
          </w:tcPr>
          <w:p>
            <w:pPr>
              <w:pStyle w:val="63"/>
            </w:pPr>
            <w:r>
              <w:t>5.4</w:t>
            </w:r>
          </w:p>
        </w:tc>
        <w:tc>
          <w:tcPr>
            <w:tcW w:w="670" w:type="dxa"/>
            <w:tcBorders>
              <w:top w:val="single" w:color="auto" w:sz="6" w:space="0"/>
              <w:left w:val="nil"/>
              <w:bottom w:val="single" w:color="auto" w:sz="6" w:space="0"/>
              <w:right w:val="single" w:color="auto" w:sz="6" w:space="0"/>
            </w:tcBorders>
            <w:vAlign w:val="center"/>
          </w:tcPr>
          <w:p>
            <w:pPr>
              <w:pStyle w:val="63"/>
            </w:pPr>
            <w:r>
              <w:t>4.7</w:t>
            </w:r>
          </w:p>
        </w:tc>
        <w:tc>
          <w:tcPr>
            <w:tcW w:w="670" w:type="dxa"/>
            <w:tcBorders>
              <w:top w:val="single" w:color="auto" w:sz="6" w:space="0"/>
              <w:left w:val="nil"/>
              <w:bottom w:val="single" w:color="auto" w:sz="6" w:space="0"/>
              <w:right w:val="single" w:color="auto" w:sz="6" w:space="0"/>
            </w:tcBorders>
            <w:vAlign w:val="center"/>
          </w:tcPr>
          <w:p>
            <w:pPr>
              <w:pStyle w:val="63"/>
            </w:pPr>
            <w:r>
              <w:t>2.6</w:t>
            </w:r>
          </w:p>
        </w:tc>
        <w:tc>
          <w:tcPr>
            <w:tcW w:w="670" w:type="dxa"/>
            <w:tcBorders>
              <w:top w:val="single" w:color="auto" w:sz="6" w:space="0"/>
              <w:left w:val="nil"/>
              <w:bottom w:val="single" w:color="auto" w:sz="6" w:space="0"/>
              <w:right w:val="single" w:color="auto" w:sz="6" w:space="0"/>
            </w:tcBorders>
            <w:vAlign w:val="center"/>
          </w:tcPr>
          <w:p>
            <w:pPr>
              <w:pStyle w:val="63"/>
            </w:pPr>
            <w:r>
              <w:t>1.9</w:t>
            </w:r>
          </w:p>
        </w:tc>
        <w:tc>
          <w:tcPr>
            <w:tcW w:w="670" w:type="dxa"/>
            <w:tcBorders>
              <w:top w:val="single" w:color="auto" w:sz="6" w:space="0"/>
              <w:left w:val="nil"/>
              <w:bottom w:val="single" w:color="auto" w:sz="6" w:space="0"/>
              <w:right w:val="single" w:color="auto" w:sz="6" w:space="0"/>
            </w:tcBorders>
            <w:vAlign w:val="center"/>
          </w:tcPr>
          <w:p>
            <w:pPr>
              <w:pStyle w:val="63"/>
            </w:pPr>
            <w:r>
              <w:t>1.4</w:t>
            </w:r>
          </w:p>
        </w:tc>
        <w:tc>
          <w:tcPr>
            <w:tcW w:w="837" w:type="dxa"/>
            <w:tcBorders>
              <w:top w:val="single" w:color="auto" w:sz="6" w:space="0"/>
              <w:left w:val="nil"/>
              <w:bottom w:val="single" w:color="auto" w:sz="6" w:space="0"/>
              <w:right w:val="single" w:color="auto" w:sz="6" w:space="0"/>
            </w:tcBorders>
            <w:vAlign w:val="center"/>
          </w:tcPr>
          <w:p>
            <w:pPr>
              <w:pStyle w:val="63"/>
            </w:pPr>
            <w:r>
              <w:t>1.2</w:t>
            </w:r>
          </w:p>
        </w:tc>
        <w:tc>
          <w:tcPr>
            <w:tcW w:w="670" w:type="dxa"/>
            <w:tcBorders>
              <w:top w:val="single" w:color="auto" w:sz="6" w:space="0"/>
              <w:left w:val="nil"/>
              <w:bottom w:val="single" w:color="auto" w:sz="6" w:space="0"/>
              <w:right w:val="single" w:color="auto" w:sz="6" w:space="0"/>
            </w:tcBorders>
            <w:vAlign w:val="center"/>
          </w:tcPr>
          <w:p>
            <w:pPr>
              <w:pStyle w:val="63"/>
            </w:pPr>
            <w:r>
              <w:t>1.3</w:t>
            </w:r>
          </w:p>
        </w:tc>
        <w:tc>
          <w:tcPr>
            <w:tcW w:w="837" w:type="dxa"/>
            <w:tcBorders>
              <w:top w:val="single" w:color="auto" w:sz="6" w:space="0"/>
              <w:left w:val="nil"/>
              <w:bottom w:val="single" w:color="auto" w:sz="6" w:space="0"/>
              <w:right w:val="single" w:color="auto" w:sz="6" w:space="0"/>
            </w:tcBorders>
            <w:vAlign w:val="center"/>
          </w:tcPr>
          <w:p>
            <w:pPr>
              <w:pStyle w:val="63"/>
            </w:pPr>
            <w:r>
              <w:t>1.6</w:t>
            </w:r>
          </w:p>
        </w:tc>
        <w:tc>
          <w:tcPr>
            <w:tcW w:w="670" w:type="dxa"/>
            <w:tcBorders>
              <w:top w:val="single" w:color="auto" w:sz="6" w:space="0"/>
              <w:left w:val="nil"/>
              <w:bottom w:val="single" w:color="auto" w:sz="6" w:space="0"/>
              <w:right w:val="single" w:color="auto" w:sz="6" w:space="0"/>
            </w:tcBorders>
            <w:vAlign w:val="center"/>
          </w:tcPr>
          <w:p>
            <w:pPr>
              <w:pStyle w:val="63"/>
            </w:pPr>
            <w:r>
              <w:t>1.4</w:t>
            </w:r>
          </w:p>
        </w:tc>
        <w:tc>
          <w:tcPr>
            <w:tcW w:w="837" w:type="dxa"/>
            <w:tcBorders>
              <w:top w:val="single" w:color="auto" w:sz="6" w:space="0"/>
              <w:left w:val="nil"/>
              <w:bottom w:val="single" w:color="auto" w:sz="6" w:space="0"/>
              <w:right w:val="single" w:color="auto" w:sz="6" w:space="0"/>
            </w:tcBorders>
            <w:vAlign w:val="center"/>
          </w:tcPr>
          <w:p>
            <w:pPr>
              <w:pStyle w:val="63"/>
            </w:pPr>
            <w:r>
              <w:t>2</w:t>
            </w:r>
          </w:p>
        </w:tc>
        <w:tc>
          <w:tcPr>
            <w:tcW w:w="670" w:type="dxa"/>
            <w:tcBorders>
              <w:top w:val="single" w:color="auto" w:sz="6" w:space="0"/>
              <w:left w:val="nil"/>
              <w:bottom w:val="single" w:color="auto" w:sz="6" w:space="0"/>
              <w:right w:val="single" w:color="auto" w:sz="6" w:space="0"/>
            </w:tcBorders>
            <w:vAlign w:val="center"/>
          </w:tcPr>
          <w:p>
            <w:pPr>
              <w:pStyle w:val="63"/>
            </w:pPr>
            <w:r>
              <w:t>4.4</w:t>
            </w:r>
          </w:p>
        </w:tc>
        <w:tc>
          <w:tcPr>
            <w:tcW w:w="837" w:type="dxa"/>
            <w:tcBorders>
              <w:top w:val="single" w:color="auto" w:sz="6" w:space="0"/>
              <w:left w:val="nil"/>
              <w:bottom w:val="single" w:color="auto" w:sz="6" w:space="0"/>
              <w:right w:val="single" w:color="auto" w:sz="6" w:space="0"/>
            </w:tcBorders>
            <w:vAlign w:val="center"/>
          </w:tcPr>
          <w:p>
            <w:pPr>
              <w:pStyle w:val="63"/>
            </w:pPr>
            <w:r>
              <w:t>7.9</w:t>
            </w:r>
          </w:p>
        </w:tc>
        <w:tc>
          <w:tcPr>
            <w:tcW w:w="856" w:type="dxa"/>
            <w:tcBorders>
              <w:top w:val="single" w:color="auto" w:sz="6" w:space="0"/>
              <w:left w:val="nil"/>
              <w:bottom w:val="single" w:color="auto" w:sz="6" w:space="0"/>
              <w:right w:val="single" w:color="auto" w:sz="12" w:space="0"/>
            </w:tcBorders>
            <w:vAlign w:val="center"/>
          </w:tcPr>
          <w:p>
            <w:pPr>
              <w:pStyle w:val="63"/>
            </w:pPr>
            <w:r>
              <w:t>20</w:t>
            </w:r>
          </w:p>
        </w:tc>
      </w:tr>
    </w:tbl>
    <w:p>
      <w:pPr>
        <w:ind w:firstLine="480"/>
        <w:rPr>
          <w:rFonts w:ascii="Times New Roman" w:hAnsi="Times New Roman" w:cs="Times New Roman"/>
        </w:rPr>
        <w:sectPr>
          <w:pgSz w:w="16839" w:h="11907" w:orient="landscape"/>
          <w:pgMar w:top="1797" w:right="1440" w:bottom="1797" w:left="1440" w:header="720" w:footer="720" w:gutter="0"/>
          <w:cols w:space="720" w:num="1"/>
          <w:docGrid w:linePitch="326" w:charSpace="0"/>
        </w:sectPr>
      </w:pPr>
    </w:p>
    <w:p>
      <w:pPr>
        <w:autoSpaceDE w:val="0"/>
        <w:autoSpaceDN w:val="0"/>
        <w:spacing w:before="9" w:line="360" w:lineRule="auto"/>
        <w:ind w:right="57" w:firstLine="556" w:firstLineChars="232"/>
        <w:rPr>
          <w:rFonts w:ascii="Times New Roman" w:hAnsi="Times New Roman" w:cs="Times New Roman"/>
          <w:lang w:bidi="zh-CN"/>
        </w:rPr>
      </w:pPr>
      <w:r>
        <w:rPr>
          <w:rFonts w:hint="eastAsia" w:ascii="宋体" w:hAnsi="宋体" w:eastAsia="宋体" w:cs="宋体"/>
        </w:rPr>
        <w:t>④</w:t>
      </w:r>
      <w:r>
        <w:rPr>
          <w:rFonts w:ascii="Times New Roman" w:hAnsi="Times New Roman" w:cs="Times New Roman"/>
        </w:rPr>
        <w:t>风速年际变化特征与周期分析</w:t>
      </w:r>
    </w:p>
    <w:p>
      <w:pPr>
        <w:spacing w:line="360" w:lineRule="auto"/>
        <w:ind w:firstLine="480"/>
        <w:rPr>
          <w:rFonts w:ascii="Times New Roman" w:hAnsi="Times New Roman" w:cs="Times New Roman"/>
        </w:rPr>
      </w:pPr>
      <w:r>
        <w:rPr>
          <w:rFonts w:ascii="Times New Roman" w:hAnsi="Times New Roman" w:cs="Times New Roman"/>
        </w:rPr>
        <w:t>根据近20年资料分析，衡东气象站2022年年平均风速最大（2.1米/秒），2009年年平均风速最小（1.1米/秒）。</w:t>
      </w:r>
    </w:p>
    <w:p>
      <w:pPr>
        <w:jc w:val="center"/>
        <w:rPr>
          <w:rFonts w:ascii="Times New Roman" w:hAnsi="Times New Roman" w:cs="Times New Roman"/>
        </w:rPr>
      </w:pPr>
      <w:r>
        <w:rPr>
          <w:rFonts w:ascii="Times New Roman" w:hAnsi="Times New Roman" w:cs="Times New Roman"/>
        </w:rPr>
        <w:drawing>
          <wp:inline distT="0" distB="0" distL="0" distR="0">
            <wp:extent cx="5276850" cy="3533775"/>
            <wp:effectExtent l="0" t="0" r="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76850" cy="3533775"/>
                    </a:xfrm>
                    <a:prstGeom prst="rect">
                      <a:avLst/>
                    </a:prstGeom>
                    <a:noFill/>
                    <a:ln>
                      <a:noFill/>
                    </a:ln>
                  </pic:spPr>
                </pic:pic>
              </a:graphicData>
            </a:graphic>
          </wp:inline>
        </w:drawing>
      </w:r>
    </w:p>
    <w:p>
      <w:pPr>
        <w:pStyle w:val="6"/>
        <w:rPr>
          <w:rFonts w:ascii="Times New Roman" w:hAnsi="Times New Roman" w:cs="Times New Roman"/>
          <w:lang w:val="zh-CN"/>
        </w:rPr>
      </w:pPr>
      <w:r>
        <w:rPr>
          <w:rFonts w:ascii="Times New Roman" w:hAnsi="Times New Roman" w:cs="Times New Roman"/>
          <w:lang w:val="zh-CN"/>
        </w:rPr>
        <w:t>图</w:t>
      </w:r>
      <w:r>
        <w:rPr>
          <w:rFonts w:ascii="Times New Roman" w:hAnsi="Times New Roman" w:cs="Times New Roman"/>
        </w:rPr>
        <w:t>6</w:t>
      </w:r>
      <w:r>
        <w:rPr>
          <w:rFonts w:ascii="Times New Roman" w:hAnsi="Times New Roman" w:cs="Times New Roman"/>
          <w:lang w:val="zh-CN"/>
        </w:rPr>
        <w:t>.2.1-2  衡东气象站（2003-2022）年平均风速（单位：m/s，虚线为趋势线）</w:t>
      </w:r>
    </w:p>
    <w:p>
      <w:pPr>
        <w:autoSpaceDE w:val="0"/>
        <w:autoSpaceDN w:val="0"/>
        <w:spacing w:line="360" w:lineRule="auto"/>
        <w:ind w:firstLine="480"/>
        <w:rPr>
          <w:rFonts w:ascii="Times New Roman" w:hAnsi="Times New Roman" w:cs="Times New Roman"/>
          <w:lang w:bidi="zh-CN"/>
        </w:rPr>
      </w:pPr>
      <w:r>
        <w:rPr>
          <w:rFonts w:hint="eastAsia" w:ascii="宋体" w:hAnsi="宋体" w:eastAsia="宋体" w:cs="宋体"/>
        </w:rPr>
        <w:t>⑤</w:t>
      </w:r>
      <w:r>
        <w:rPr>
          <w:rFonts w:ascii="Times New Roman" w:hAnsi="Times New Roman" w:cs="Times New Roman"/>
        </w:rPr>
        <w:t>气象站温度分析</w:t>
      </w:r>
    </w:p>
    <w:p>
      <w:pPr>
        <w:spacing w:line="360" w:lineRule="auto"/>
        <w:ind w:firstLine="480"/>
        <w:rPr>
          <w:rFonts w:ascii="Times New Roman" w:hAnsi="Times New Roman" w:cs="Times New Roman"/>
        </w:rPr>
      </w:pPr>
      <w:r>
        <w:rPr>
          <w:rFonts w:ascii="Times New Roman" w:hAnsi="Times New Roman" w:cs="Times New Roman"/>
        </w:rPr>
        <w:t>1）月平均气温与极端气温</w:t>
      </w:r>
    </w:p>
    <w:p>
      <w:pPr>
        <w:spacing w:line="360" w:lineRule="auto"/>
        <w:ind w:firstLine="480"/>
        <w:rPr>
          <w:rFonts w:ascii="Times New Roman" w:hAnsi="Times New Roman" w:cs="Times New Roman"/>
        </w:rPr>
      </w:pPr>
      <w:r>
        <w:rPr>
          <w:rFonts w:ascii="Times New Roman" w:hAnsi="Times New Roman" w:cs="Times New Roman"/>
        </w:rPr>
        <w:t>衡东气象站近20年07月气温最高（30.4</w:t>
      </w:r>
      <w:r>
        <w:rPr>
          <w:rFonts w:hint="eastAsia" w:ascii="宋体" w:hAnsi="宋体" w:eastAsia="宋体" w:cs="宋体"/>
        </w:rPr>
        <w:t>℃</w:t>
      </w:r>
      <w:r>
        <w:rPr>
          <w:rFonts w:ascii="Times New Roman" w:hAnsi="Times New Roman" w:cs="Times New Roman"/>
        </w:rPr>
        <w:t>），01月气温最低（5.9</w:t>
      </w:r>
      <w:r>
        <w:rPr>
          <w:rFonts w:hint="eastAsia" w:ascii="宋体" w:hAnsi="宋体" w:eastAsia="宋体" w:cs="宋体"/>
        </w:rPr>
        <w:t>℃</w:t>
      </w:r>
      <w:r>
        <w:rPr>
          <w:rFonts w:ascii="Times New Roman" w:hAnsi="Times New Roman" w:cs="Times New Roman"/>
        </w:rPr>
        <w:t>），近20年极端最高气温出现在2003-08-03（41.2</w:t>
      </w:r>
      <w:r>
        <w:rPr>
          <w:rFonts w:hint="eastAsia" w:ascii="宋体" w:hAnsi="宋体" w:eastAsia="宋体" w:cs="宋体"/>
        </w:rPr>
        <w:t>℃</w:t>
      </w:r>
      <w:r>
        <w:rPr>
          <w:rFonts w:ascii="Times New Roman" w:hAnsi="Times New Roman" w:cs="Times New Roman"/>
        </w:rPr>
        <w:t>），近20年极端最低气温出现在2008-02-03（-5.4</w:t>
      </w:r>
      <w:r>
        <w:rPr>
          <w:rFonts w:hint="eastAsia" w:ascii="宋体" w:hAnsi="宋体" w:eastAsia="宋体" w:cs="宋体"/>
        </w:rPr>
        <w:t>℃</w:t>
      </w:r>
      <w:r>
        <w:rPr>
          <w:rFonts w:ascii="Times New Roman" w:hAnsi="Times New Roman" w:cs="Times New Roman"/>
        </w:rPr>
        <w:t>）。</w:t>
      </w:r>
    </w:p>
    <w:p>
      <w:pPr>
        <w:jc w:val="center"/>
        <w:rPr>
          <w:rFonts w:ascii="Times New Roman" w:hAnsi="Times New Roman" w:cs="Times New Roman"/>
        </w:rPr>
      </w:pPr>
      <w:r>
        <w:rPr>
          <w:rFonts w:ascii="Times New Roman" w:hAnsi="Times New Roman" w:cs="Times New Roman"/>
        </w:rPr>
        <w:drawing>
          <wp:inline distT="0" distB="0" distL="0" distR="0">
            <wp:extent cx="5276850" cy="3648075"/>
            <wp:effectExtent l="0" t="0" r="0" b="952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276850" cy="3648075"/>
                    </a:xfrm>
                    <a:prstGeom prst="rect">
                      <a:avLst/>
                    </a:prstGeom>
                    <a:noFill/>
                    <a:ln>
                      <a:noFill/>
                    </a:ln>
                  </pic:spPr>
                </pic:pic>
              </a:graphicData>
            </a:graphic>
          </wp:inline>
        </w:drawing>
      </w:r>
    </w:p>
    <w:p>
      <w:pPr>
        <w:pStyle w:val="6"/>
        <w:rPr>
          <w:rFonts w:ascii="Times New Roman" w:hAnsi="Times New Roman" w:cs="Times New Roman"/>
          <w:lang w:val="zh-CN"/>
        </w:rPr>
      </w:pPr>
      <w:r>
        <w:rPr>
          <w:rFonts w:ascii="Times New Roman" w:hAnsi="Times New Roman" w:cs="Times New Roman"/>
          <w:lang w:val="zh-CN"/>
        </w:rPr>
        <w:t>图</w:t>
      </w:r>
      <w:r>
        <w:rPr>
          <w:rFonts w:ascii="Times New Roman" w:hAnsi="Times New Roman" w:cs="Times New Roman"/>
        </w:rPr>
        <w:t>6</w:t>
      </w:r>
      <w:r>
        <w:rPr>
          <w:rFonts w:ascii="Times New Roman" w:hAnsi="Times New Roman" w:cs="Times New Roman"/>
          <w:lang w:val="zh-CN"/>
        </w:rPr>
        <w:t>.2.1-3  衡东气象站（2003-2022）年月平均气温（单位：</w:t>
      </w:r>
      <w:r>
        <w:rPr>
          <w:rFonts w:hint="eastAsia" w:ascii="宋体" w:hAnsi="宋体" w:eastAsia="宋体" w:cs="宋体"/>
          <w:lang w:val="zh-CN"/>
        </w:rPr>
        <w:t>℃</w:t>
      </w:r>
      <w:r>
        <w:rPr>
          <w:rFonts w:ascii="Times New Roman" w:hAnsi="Times New Roman" w:cs="Times New Roman"/>
          <w:lang w:val="zh-CN"/>
        </w:rPr>
        <w:t>）</w:t>
      </w:r>
    </w:p>
    <w:p>
      <w:pPr>
        <w:spacing w:line="360" w:lineRule="auto"/>
        <w:ind w:firstLine="480"/>
        <w:rPr>
          <w:rFonts w:ascii="Times New Roman" w:hAnsi="Times New Roman" w:cs="Times New Roman"/>
        </w:rPr>
      </w:pPr>
      <w:r>
        <w:rPr>
          <w:rFonts w:ascii="Times New Roman" w:hAnsi="Times New Roman" w:cs="Times New Roman"/>
        </w:rPr>
        <w:t>2）温度年际变化趋势与周期分析</w:t>
      </w:r>
    </w:p>
    <w:p>
      <w:pPr>
        <w:spacing w:line="360" w:lineRule="auto"/>
        <w:ind w:firstLine="480"/>
        <w:rPr>
          <w:rFonts w:ascii="Times New Roman" w:hAnsi="Times New Roman" w:cs="Times New Roman"/>
        </w:rPr>
      </w:pPr>
      <w:r>
        <w:rPr>
          <w:rFonts w:ascii="Times New Roman" w:hAnsi="Times New Roman" w:cs="Times New Roman"/>
        </w:rPr>
        <w:t>衡东气象站近20年2021年年平均气温最高（19.6</w:t>
      </w:r>
      <w:r>
        <w:rPr>
          <w:rFonts w:hint="eastAsia" w:ascii="宋体" w:hAnsi="宋体" w:eastAsia="宋体" w:cs="宋体"/>
        </w:rPr>
        <w:t>℃</w:t>
      </w:r>
      <w:r>
        <w:rPr>
          <w:rFonts w:ascii="Times New Roman" w:hAnsi="Times New Roman" w:cs="Times New Roman"/>
        </w:rPr>
        <w:t>），2012年年平均气温最低（17.7</w:t>
      </w:r>
      <w:r>
        <w:rPr>
          <w:rFonts w:hint="eastAsia" w:ascii="宋体" w:hAnsi="宋体" w:eastAsia="宋体" w:cs="宋体"/>
        </w:rPr>
        <w:t>℃</w:t>
      </w:r>
      <w:r>
        <w:rPr>
          <w:rFonts w:ascii="Times New Roman" w:hAnsi="Times New Roman" w:cs="Times New Roman"/>
        </w:rPr>
        <w:t>），无明显周期。</w:t>
      </w:r>
    </w:p>
    <w:p>
      <w:pPr>
        <w:rPr>
          <w:rFonts w:ascii="Times New Roman" w:hAnsi="Times New Roman" w:cs="Times New Roman"/>
        </w:rPr>
      </w:pPr>
      <w:r>
        <w:rPr>
          <w:rFonts w:ascii="Times New Roman" w:hAnsi="Times New Roman" w:cs="Times New Roman"/>
        </w:rPr>
        <w:drawing>
          <wp:inline distT="0" distB="0" distL="0" distR="0">
            <wp:extent cx="5458460" cy="3547110"/>
            <wp:effectExtent l="0" t="0" r="889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461850" cy="3549712"/>
                    </a:xfrm>
                    <a:prstGeom prst="rect">
                      <a:avLst/>
                    </a:prstGeom>
                    <a:noFill/>
                    <a:ln>
                      <a:noFill/>
                    </a:ln>
                  </pic:spPr>
                </pic:pic>
              </a:graphicData>
            </a:graphic>
          </wp:inline>
        </w:drawing>
      </w:r>
    </w:p>
    <w:p>
      <w:pPr>
        <w:pStyle w:val="6"/>
        <w:rPr>
          <w:rFonts w:ascii="Times New Roman" w:hAnsi="Times New Roman" w:cs="Times New Roman"/>
          <w:lang w:val="zh-CN"/>
        </w:rPr>
      </w:pPr>
      <w:r>
        <w:rPr>
          <w:rFonts w:ascii="Times New Roman" w:hAnsi="Times New Roman" w:cs="Times New Roman"/>
          <w:lang w:val="zh-CN"/>
        </w:rPr>
        <w:t>图</w:t>
      </w:r>
      <w:r>
        <w:rPr>
          <w:rFonts w:ascii="Times New Roman" w:hAnsi="Times New Roman" w:cs="Times New Roman"/>
        </w:rPr>
        <w:t>6</w:t>
      </w:r>
      <w:r>
        <w:rPr>
          <w:rFonts w:ascii="Times New Roman" w:hAnsi="Times New Roman" w:cs="Times New Roman"/>
          <w:lang w:val="zh-CN"/>
        </w:rPr>
        <w:t>.2.1-4  衡东气象站（2003-2022）年平均气温（单位：</w:t>
      </w:r>
      <w:r>
        <w:rPr>
          <w:rFonts w:hint="eastAsia" w:ascii="宋体" w:hAnsi="宋体" w:eastAsia="宋体" w:cs="宋体"/>
          <w:lang w:val="zh-CN"/>
        </w:rPr>
        <w:t>℃</w:t>
      </w:r>
      <w:r>
        <w:rPr>
          <w:rFonts w:ascii="Times New Roman" w:hAnsi="Times New Roman" w:cs="Times New Roman"/>
          <w:lang w:val="zh-CN"/>
        </w:rPr>
        <w:t>，虚线为趋势线）</w:t>
      </w:r>
    </w:p>
    <w:p>
      <w:pPr>
        <w:spacing w:line="360" w:lineRule="auto"/>
        <w:ind w:firstLine="480"/>
        <w:rPr>
          <w:rFonts w:ascii="Times New Roman" w:hAnsi="Times New Roman" w:cs="Times New Roman"/>
        </w:rPr>
      </w:pPr>
      <w:r>
        <w:rPr>
          <w:rFonts w:hint="eastAsia" w:ascii="宋体" w:hAnsi="宋体" w:eastAsia="宋体" w:cs="宋体"/>
        </w:rPr>
        <w:t>⑥</w:t>
      </w:r>
      <w:r>
        <w:rPr>
          <w:rFonts w:ascii="Times New Roman" w:hAnsi="Times New Roman" w:cs="Times New Roman"/>
        </w:rPr>
        <w:t>气象站降水分析</w:t>
      </w:r>
    </w:p>
    <w:p>
      <w:pPr>
        <w:spacing w:line="360" w:lineRule="auto"/>
        <w:ind w:firstLine="480"/>
        <w:rPr>
          <w:rFonts w:ascii="Times New Roman" w:hAnsi="Times New Roman" w:cs="Times New Roman"/>
        </w:rPr>
      </w:pPr>
      <w:r>
        <w:rPr>
          <w:rFonts w:ascii="Times New Roman" w:hAnsi="Times New Roman" w:cs="Times New Roman"/>
        </w:rPr>
        <w:t>1）月平均降水与极端降水</w:t>
      </w:r>
    </w:p>
    <w:p>
      <w:pPr>
        <w:spacing w:line="360" w:lineRule="auto"/>
        <w:ind w:firstLine="480"/>
        <w:rPr>
          <w:rFonts w:ascii="Times New Roman" w:hAnsi="Times New Roman" w:cs="Times New Roman"/>
        </w:rPr>
      </w:pPr>
      <w:r>
        <w:rPr>
          <w:rFonts w:ascii="Times New Roman" w:hAnsi="Times New Roman" w:cs="Times New Roman"/>
        </w:rPr>
        <w:t>衡东气象站近20年05月降水量最大（210毫米），10月降水量最小（41.7毫米），近20年极端最大日降水出现在2007-08-21（151.9毫米）。</w:t>
      </w:r>
    </w:p>
    <w:p>
      <w:pPr>
        <w:jc w:val="center"/>
        <w:rPr>
          <w:rFonts w:ascii="Times New Roman" w:hAnsi="Times New Roman" w:cs="Times New Roman"/>
        </w:rPr>
      </w:pPr>
      <w:r>
        <w:rPr>
          <w:rFonts w:ascii="Times New Roman" w:hAnsi="Times New Roman" w:cs="Times New Roman"/>
        </w:rPr>
        <w:drawing>
          <wp:inline distT="0" distB="0" distL="0" distR="0">
            <wp:extent cx="5276850" cy="363855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276850" cy="3638550"/>
                    </a:xfrm>
                    <a:prstGeom prst="rect">
                      <a:avLst/>
                    </a:prstGeom>
                    <a:noFill/>
                    <a:ln>
                      <a:noFill/>
                    </a:ln>
                  </pic:spPr>
                </pic:pic>
              </a:graphicData>
            </a:graphic>
          </wp:inline>
        </w:drawing>
      </w:r>
    </w:p>
    <w:p>
      <w:pPr>
        <w:pStyle w:val="6"/>
        <w:rPr>
          <w:rFonts w:ascii="Times New Roman" w:hAnsi="Times New Roman" w:cs="Times New Roman"/>
          <w:lang w:val="zh-CN"/>
        </w:rPr>
      </w:pPr>
      <w:r>
        <w:rPr>
          <w:rFonts w:ascii="Times New Roman" w:hAnsi="Times New Roman" w:cs="Times New Roman"/>
          <w:lang w:val="zh-CN"/>
        </w:rPr>
        <w:t>图</w:t>
      </w:r>
      <w:r>
        <w:rPr>
          <w:rFonts w:ascii="Times New Roman" w:hAnsi="Times New Roman" w:cs="Times New Roman"/>
        </w:rPr>
        <w:t>6</w:t>
      </w:r>
      <w:r>
        <w:rPr>
          <w:rFonts w:ascii="Times New Roman" w:hAnsi="Times New Roman" w:cs="Times New Roman"/>
          <w:lang w:val="zh-CN"/>
        </w:rPr>
        <w:t>.2.1-5  衡东气象站（2003-2022）年月总降水量（单位：毫米）</w:t>
      </w:r>
    </w:p>
    <w:p>
      <w:pPr>
        <w:spacing w:line="360" w:lineRule="auto"/>
        <w:ind w:firstLine="480"/>
        <w:rPr>
          <w:rFonts w:ascii="Times New Roman" w:hAnsi="Times New Roman" w:cs="Times New Roman"/>
        </w:rPr>
      </w:pPr>
      <w:r>
        <w:rPr>
          <w:rFonts w:ascii="Times New Roman" w:hAnsi="Times New Roman" w:cs="Times New Roman"/>
        </w:rPr>
        <w:t>2）降水年际变化趋势与周期分析</w:t>
      </w:r>
    </w:p>
    <w:p>
      <w:pPr>
        <w:spacing w:line="360" w:lineRule="auto"/>
        <w:ind w:firstLine="480"/>
        <w:rPr>
          <w:rFonts w:ascii="Times New Roman" w:hAnsi="Times New Roman" w:cs="Times New Roman"/>
        </w:rPr>
      </w:pPr>
      <w:r>
        <w:rPr>
          <w:rFonts w:ascii="Times New Roman" w:hAnsi="Times New Roman" w:cs="Times New Roman"/>
        </w:rPr>
        <w:t>衡东气象站近20年2006年年总降水量最大（1650.8毫米），2011年年总降水量最小（794.6毫米）。</w:t>
      </w:r>
    </w:p>
    <w:p>
      <w:pPr>
        <w:pStyle w:val="65"/>
        <w:tabs>
          <w:tab w:val="left" w:pos="1021"/>
        </w:tabs>
        <w:ind w:firstLine="240"/>
        <w:rPr>
          <w:rFonts w:ascii="Times New Roman" w:cs="Times New Roman" w:eastAsiaTheme="minorEastAsia"/>
          <w:color w:val="auto"/>
        </w:rPr>
      </w:pPr>
      <w:r>
        <w:rPr>
          <w:rFonts w:ascii="Times New Roman" w:cs="Times New Roman" w:eastAsiaTheme="minorEastAsia"/>
          <w:color w:val="auto"/>
        </w:rPr>
        <w:drawing>
          <wp:inline distT="0" distB="0" distL="0" distR="0">
            <wp:extent cx="5276850" cy="3514725"/>
            <wp:effectExtent l="0" t="0" r="0"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276850" cy="3514725"/>
                    </a:xfrm>
                    <a:prstGeom prst="rect">
                      <a:avLst/>
                    </a:prstGeom>
                    <a:noFill/>
                    <a:ln>
                      <a:noFill/>
                    </a:ln>
                  </pic:spPr>
                </pic:pic>
              </a:graphicData>
            </a:graphic>
          </wp:inline>
        </w:drawing>
      </w:r>
    </w:p>
    <w:p>
      <w:pPr>
        <w:pStyle w:val="6"/>
        <w:rPr>
          <w:rFonts w:ascii="Times New Roman" w:hAnsi="Times New Roman" w:cs="Times New Roman"/>
          <w:lang w:val="zh-CN"/>
        </w:rPr>
      </w:pPr>
      <w:r>
        <w:rPr>
          <w:rFonts w:ascii="Times New Roman" w:hAnsi="Times New Roman" w:cs="Times New Roman"/>
          <w:lang w:val="zh-CN"/>
        </w:rPr>
        <w:t>图</w:t>
      </w:r>
      <w:r>
        <w:rPr>
          <w:rFonts w:ascii="Times New Roman" w:hAnsi="Times New Roman" w:cs="Times New Roman"/>
        </w:rPr>
        <w:t>6</w:t>
      </w:r>
      <w:r>
        <w:rPr>
          <w:rFonts w:ascii="Times New Roman" w:hAnsi="Times New Roman" w:cs="Times New Roman"/>
          <w:lang w:val="zh-CN"/>
        </w:rPr>
        <w:t>.2.1-6  衡东总降水量（单位：小时）</w:t>
      </w:r>
    </w:p>
    <w:p>
      <w:pPr>
        <w:spacing w:line="360" w:lineRule="auto"/>
        <w:ind w:firstLine="480"/>
        <w:rPr>
          <w:rFonts w:ascii="Times New Roman" w:hAnsi="Times New Roman" w:cs="Times New Roman"/>
        </w:rPr>
      </w:pPr>
      <w:r>
        <w:rPr>
          <w:rFonts w:hint="eastAsia" w:ascii="宋体" w:hAnsi="宋体" w:eastAsia="宋体" w:cs="宋体"/>
        </w:rPr>
        <w:t>⑦</w:t>
      </w:r>
      <w:r>
        <w:rPr>
          <w:rFonts w:ascii="Times New Roman" w:hAnsi="Times New Roman" w:cs="Times New Roman"/>
        </w:rPr>
        <w:t>气象站日照分析</w:t>
      </w:r>
    </w:p>
    <w:p>
      <w:pPr>
        <w:spacing w:line="360" w:lineRule="auto"/>
        <w:ind w:firstLine="480"/>
        <w:rPr>
          <w:rFonts w:ascii="Times New Roman" w:hAnsi="Times New Roman" w:cs="Times New Roman"/>
        </w:rPr>
      </w:pPr>
      <w:r>
        <w:rPr>
          <w:rFonts w:ascii="Times New Roman" w:hAnsi="Times New Roman" w:cs="Times New Roman"/>
        </w:rPr>
        <w:t>1）月日照时数</w:t>
      </w:r>
    </w:p>
    <w:p>
      <w:pPr>
        <w:spacing w:line="360" w:lineRule="auto"/>
        <w:ind w:firstLine="480"/>
        <w:rPr>
          <w:rFonts w:ascii="Times New Roman" w:hAnsi="Times New Roman" w:cs="Times New Roman"/>
        </w:rPr>
      </w:pPr>
      <w:r>
        <w:rPr>
          <w:rFonts w:ascii="Times New Roman" w:hAnsi="Times New Roman" w:cs="Times New Roman"/>
        </w:rPr>
        <w:t>衡东气象站近20年07月日照最长（249.5小时），02月日照最短（62.2小时）。</w:t>
      </w:r>
    </w:p>
    <w:p>
      <w:pPr>
        <w:pStyle w:val="65"/>
        <w:tabs>
          <w:tab w:val="left" w:pos="1021"/>
        </w:tabs>
        <w:ind w:firstLine="240"/>
        <w:rPr>
          <w:rFonts w:ascii="Times New Roman" w:cs="Times New Roman" w:eastAsiaTheme="minorEastAsia"/>
          <w:color w:val="auto"/>
        </w:rPr>
      </w:pPr>
      <w:r>
        <w:rPr>
          <w:rFonts w:ascii="Times New Roman" w:cs="Times New Roman" w:eastAsiaTheme="minorEastAsia"/>
          <w:color w:val="auto"/>
        </w:rPr>
        <w:drawing>
          <wp:inline distT="0" distB="0" distL="0" distR="0">
            <wp:extent cx="4848225" cy="3378200"/>
            <wp:effectExtent l="0" t="0" r="952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4855435" cy="3383029"/>
                    </a:xfrm>
                    <a:prstGeom prst="rect">
                      <a:avLst/>
                    </a:prstGeom>
                    <a:noFill/>
                    <a:ln>
                      <a:noFill/>
                    </a:ln>
                  </pic:spPr>
                </pic:pic>
              </a:graphicData>
            </a:graphic>
          </wp:inline>
        </w:drawing>
      </w:r>
    </w:p>
    <w:p>
      <w:pPr>
        <w:pStyle w:val="6"/>
        <w:rPr>
          <w:rFonts w:ascii="Times New Roman" w:hAnsi="Times New Roman" w:cs="Times New Roman"/>
          <w:lang w:val="zh-CN"/>
        </w:rPr>
      </w:pPr>
      <w:r>
        <w:rPr>
          <w:rFonts w:ascii="Times New Roman" w:hAnsi="Times New Roman" w:cs="Times New Roman"/>
          <w:lang w:val="zh-CN"/>
        </w:rPr>
        <w:t>图</w:t>
      </w:r>
      <w:r>
        <w:rPr>
          <w:rFonts w:ascii="Times New Roman" w:hAnsi="Times New Roman" w:cs="Times New Roman"/>
        </w:rPr>
        <w:t>6</w:t>
      </w:r>
      <w:r>
        <w:rPr>
          <w:rFonts w:ascii="Times New Roman" w:hAnsi="Times New Roman" w:cs="Times New Roman"/>
          <w:lang w:val="zh-CN"/>
        </w:rPr>
        <w:t>.2.1-7  衡东月总日照时数（单位：小时）</w:t>
      </w:r>
    </w:p>
    <w:p>
      <w:pPr>
        <w:spacing w:line="360" w:lineRule="auto"/>
        <w:ind w:firstLine="480"/>
        <w:rPr>
          <w:rFonts w:ascii="Times New Roman" w:hAnsi="Times New Roman" w:cs="Times New Roman"/>
        </w:rPr>
      </w:pPr>
      <w:r>
        <w:rPr>
          <w:rFonts w:ascii="Times New Roman" w:hAnsi="Times New Roman" w:cs="Times New Roman"/>
        </w:rPr>
        <w:t>2）日照时数年际变化趋势与周期分析</w:t>
      </w:r>
    </w:p>
    <w:p>
      <w:pPr>
        <w:spacing w:line="360" w:lineRule="auto"/>
        <w:ind w:firstLine="480"/>
        <w:rPr>
          <w:rFonts w:ascii="Times New Roman" w:hAnsi="Times New Roman" w:cs="Times New Roman"/>
        </w:rPr>
      </w:pPr>
      <w:r>
        <w:rPr>
          <w:rFonts w:ascii="Times New Roman" w:hAnsi="Times New Roman" w:cs="Times New Roman"/>
        </w:rPr>
        <w:t>衡东气象站近20年2013年年日照时数最长（1886.2小时），2015年年日照时数最短（1317.1小时）。</w:t>
      </w:r>
    </w:p>
    <w:p>
      <w:pPr>
        <w:pStyle w:val="6"/>
        <w:rPr>
          <w:rFonts w:ascii="Times New Roman" w:hAnsi="Times New Roman" w:cs="Times New Roman"/>
          <w:lang w:val="zh-CN"/>
        </w:rPr>
      </w:pPr>
      <w:bookmarkStart w:id="315" w:name="_Toc374694521"/>
      <w:bookmarkStart w:id="316" w:name="_Toc385771868"/>
      <w:bookmarkStart w:id="317" w:name="_Toc372913825"/>
      <w:r>
        <w:rPr>
          <w:rFonts w:ascii="Times New Roman" w:hAnsi="Times New Roman" w:cs="Times New Roman"/>
          <w:lang w:val="zh-CN"/>
        </w:rPr>
        <w:t>表</w:t>
      </w:r>
      <w:r>
        <w:rPr>
          <w:rFonts w:ascii="Times New Roman" w:hAnsi="Times New Roman" w:cs="Times New Roman"/>
        </w:rPr>
        <w:t>6</w:t>
      </w:r>
      <w:r>
        <w:rPr>
          <w:rFonts w:ascii="Times New Roman" w:hAnsi="Times New Roman" w:cs="Times New Roman"/>
          <w:lang w:val="zh-CN"/>
        </w:rPr>
        <w:t>.2.1-5  气象站2022年平均温度的月变化统计表</w:t>
      </w:r>
      <w:bookmarkEnd w:id="315"/>
      <w:bookmarkEnd w:id="316"/>
      <w:bookmarkEnd w:id="317"/>
    </w:p>
    <w:tbl>
      <w:tblPr>
        <w:tblStyle w:val="35"/>
        <w:tblW w:w="975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108" w:type="dxa"/>
        </w:tblCellMar>
      </w:tblPr>
      <w:tblGrid>
        <w:gridCol w:w="955"/>
        <w:gridCol w:w="676"/>
        <w:gridCol w:w="676"/>
        <w:gridCol w:w="678"/>
        <w:gridCol w:w="676"/>
        <w:gridCol w:w="676"/>
        <w:gridCol w:w="676"/>
        <w:gridCol w:w="677"/>
        <w:gridCol w:w="679"/>
        <w:gridCol w:w="679"/>
        <w:gridCol w:w="679"/>
        <w:gridCol w:w="679"/>
        <w:gridCol w:w="675"/>
        <w:gridCol w:w="6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108" w:type="dxa"/>
          </w:tblCellMar>
        </w:tblPrEx>
        <w:trPr>
          <w:trHeight w:val="454" w:hRule="atLeast"/>
          <w:jc w:val="center"/>
        </w:trPr>
        <w:tc>
          <w:tcPr>
            <w:tcW w:w="955" w:type="dxa"/>
            <w:tcBorders>
              <w:top w:val="single" w:color="auto" w:sz="12" w:space="0"/>
              <w:left w:val="single" w:color="auto" w:sz="12" w:space="0"/>
              <w:bottom w:val="single" w:color="auto" w:sz="4" w:space="0"/>
              <w:right w:val="single" w:color="auto" w:sz="4" w:space="0"/>
            </w:tcBorders>
            <w:vAlign w:val="center"/>
          </w:tcPr>
          <w:p>
            <w:pPr>
              <w:pStyle w:val="63"/>
            </w:pPr>
            <w:r>
              <w:t>月份</w:t>
            </w:r>
          </w:p>
        </w:tc>
        <w:tc>
          <w:tcPr>
            <w:tcW w:w="676" w:type="dxa"/>
            <w:tcBorders>
              <w:top w:val="single" w:color="auto" w:sz="12" w:space="0"/>
              <w:left w:val="single" w:color="auto" w:sz="4" w:space="0"/>
              <w:bottom w:val="single" w:color="auto" w:sz="4" w:space="0"/>
              <w:right w:val="single" w:color="auto" w:sz="4" w:space="0"/>
            </w:tcBorders>
            <w:vAlign w:val="center"/>
          </w:tcPr>
          <w:p>
            <w:pPr>
              <w:pStyle w:val="63"/>
            </w:pPr>
            <w:r>
              <w:t>1月</w:t>
            </w:r>
          </w:p>
        </w:tc>
        <w:tc>
          <w:tcPr>
            <w:tcW w:w="676" w:type="dxa"/>
            <w:tcBorders>
              <w:top w:val="single" w:color="auto" w:sz="12" w:space="0"/>
              <w:left w:val="single" w:color="auto" w:sz="4" w:space="0"/>
              <w:bottom w:val="single" w:color="auto" w:sz="4" w:space="0"/>
              <w:right w:val="single" w:color="auto" w:sz="4" w:space="0"/>
            </w:tcBorders>
            <w:vAlign w:val="center"/>
          </w:tcPr>
          <w:p>
            <w:pPr>
              <w:pStyle w:val="63"/>
            </w:pPr>
            <w:r>
              <w:t>2月</w:t>
            </w:r>
          </w:p>
        </w:tc>
        <w:tc>
          <w:tcPr>
            <w:tcW w:w="678" w:type="dxa"/>
            <w:tcBorders>
              <w:top w:val="single" w:color="auto" w:sz="12" w:space="0"/>
              <w:left w:val="single" w:color="auto" w:sz="4" w:space="0"/>
              <w:bottom w:val="single" w:color="auto" w:sz="4" w:space="0"/>
              <w:right w:val="single" w:color="auto" w:sz="4" w:space="0"/>
            </w:tcBorders>
            <w:vAlign w:val="center"/>
          </w:tcPr>
          <w:p>
            <w:pPr>
              <w:pStyle w:val="63"/>
            </w:pPr>
            <w:r>
              <w:t>3月</w:t>
            </w:r>
          </w:p>
        </w:tc>
        <w:tc>
          <w:tcPr>
            <w:tcW w:w="676" w:type="dxa"/>
            <w:tcBorders>
              <w:top w:val="single" w:color="auto" w:sz="12" w:space="0"/>
              <w:left w:val="single" w:color="auto" w:sz="4" w:space="0"/>
              <w:bottom w:val="single" w:color="auto" w:sz="4" w:space="0"/>
              <w:right w:val="single" w:color="auto" w:sz="4" w:space="0"/>
            </w:tcBorders>
            <w:vAlign w:val="center"/>
          </w:tcPr>
          <w:p>
            <w:pPr>
              <w:pStyle w:val="63"/>
            </w:pPr>
            <w:r>
              <w:t>4月</w:t>
            </w:r>
          </w:p>
        </w:tc>
        <w:tc>
          <w:tcPr>
            <w:tcW w:w="676" w:type="dxa"/>
            <w:tcBorders>
              <w:top w:val="single" w:color="auto" w:sz="12" w:space="0"/>
              <w:left w:val="single" w:color="auto" w:sz="4" w:space="0"/>
              <w:bottom w:val="single" w:color="auto" w:sz="4" w:space="0"/>
              <w:right w:val="single" w:color="auto" w:sz="4" w:space="0"/>
            </w:tcBorders>
            <w:vAlign w:val="center"/>
          </w:tcPr>
          <w:p>
            <w:pPr>
              <w:pStyle w:val="63"/>
            </w:pPr>
            <w:r>
              <w:t>5月</w:t>
            </w:r>
          </w:p>
        </w:tc>
        <w:tc>
          <w:tcPr>
            <w:tcW w:w="676" w:type="dxa"/>
            <w:tcBorders>
              <w:top w:val="single" w:color="auto" w:sz="12" w:space="0"/>
              <w:left w:val="single" w:color="auto" w:sz="4" w:space="0"/>
              <w:bottom w:val="single" w:color="auto" w:sz="4" w:space="0"/>
              <w:right w:val="single" w:color="auto" w:sz="4" w:space="0"/>
            </w:tcBorders>
            <w:vAlign w:val="center"/>
          </w:tcPr>
          <w:p>
            <w:pPr>
              <w:pStyle w:val="63"/>
            </w:pPr>
            <w:r>
              <w:t>6月</w:t>
            </w:r>
          </w:p>
        </w:tc>
        <w:tc>
          <w:tcPr>
            <w:tcW w:w="677" w:type="dxa"/>
            <w:tcBorders>
              <w:top w:val="single" w:color="auto" w:sz="12" w:space="0"/>
              <w:left w:val="single" w:color="auto" w:sz="4" w:space="0"/>
              <w:bottom w:val="single" w:color="auto" w:sz="4" w:space="0"/>
              <w:right w:val="single" w:color="auto" w:sz="4" w:space="0"/>
            </w:tcBorders>
            <w:vAlign w:val="center"/>
          </w:tcPr>
          <w:p>
            <w:pPr>
              <w:pStyle w:val="63"/>
            </w:pPr>
            <w:r>
              <w:t>7月</w:t>
            </w:r>
          </w:p>
        </w:tc>
        <w:tc>
          <w:tcPr>
            <w:tcW w:w="679" w:type="dxa"/>
            <w:tcBorders>
              <w:top w:val="single" w:color="auto" w:sz="12" w:space="0"/>
              <w:left w:val="single" w:color="auto" w:sz="4" w:space="0"/>
              <w:bottom w:val="single" w:color="auto" w:sz="4" w:space="0"/>
              <w:right w:val="single" w:color="auto" w:sz="4" w:space="0"/>
            </w:tcBorders>
            <w:vAlign w:val="center"/>
          </w:tcPr>
          <w:p>
            <w:pPr>
              <w:pStyle w:val="63"/>
            </w:pPr>
            <w:r>
              <w:t>8月</w:t>
            </w:r>
          </w:p>
        </w:tc>
        <w:tc>
          <w:tcPr>
            <w:tcW w:w="679" w:type="dxa"/>
            <w:tcBorders>
              <w:top w:val="single" w:color="auto" w:sz="12" w:space="0"/>
              <w:left w:val="single" w:color="auto" w:sz="4" w:space="0"/>
              <w:bottom w:val="single" w:color="auto" w:sz="4" w:space="0"/>
              <w:right w:val="single" w:color="auto" w:sz="4" w:space="0"/>
            </w:tcBorders>
            <w:vAlign w:val="center"/>
          </w:tcPr>
          <w:p>
            <w:pPr>
              <w:pStyle w:val="63"/>
            </w:pPr>
            <w:r>
              <w:t>9月</w:t>
            </w:r>
          </w:p>
        </w:tc>
        <w:tc>
          <w:tcPr>
            <w:tcW w:w="679" w:type="dxa"/>
            <w:tcBorders>
              <w:top w:val="single" w:color="auto" w:sz="12" w:space="0"/>
              <w:left w:val="single" w:color="auto" w:sz="4" w:space="0"/>
              <w:bottom w:val="single" w:color="auto" w:sz="4" w:space="0"/>
              <w:right w:val="single" w:color="auto" w:sz="4" w:space="0"/>
            </w:tcBorders>
            <w:vAlign w:val="center"/>
          </w:tcPr>
          <w:p>
            <w:pPr>
              <w:pStyle w:val="63"/>
            </w:pPr>
            <w:r>
              <w:t>10月</w:t>
            </w:r>
          </w:p>
        </w:tc>
        <w:tc>
          <w:tcPr>
            <w:tcW w:w="679" w:type="dxa"/>
            <w:tcBorders>
              <w:top w:val="single" w:color="auto" w:sz="12" w:space="0"/>
              <w:left w:val="single" w:color="auto" w:sz="4" w:space="0"/>
              <w:bottom w:val="single" w:color="auto" w:sz="4" w:space="0"/>
              <w:right w:val="single" w:color="auto" w:sz="4" w:space="0"/>
            </w:tcBorders>
            <w:vAlign w:val="center"/>
          </w:tcPr>
          <w:p>
            <w:pPr>
              <w:pStyle w:val="63"/>
            </w:pPr>
            <w:r>
              <w:t>11月</w:t>
            </w:r>
          </w:p>
        </w:tc>
        <w:tc>
          <w:tcPr>
            <w:tcW w:w="675" w:type="dxa"/>
            <w:tcBorders>
              <w:top w:val="single" w:color="auto" w:sz="12" w:space="0"/>
              <w:left w:val="single" w:color="auto" w:sz="4" w:space="0"/>
              <w:bottom w:val="single" w:color="auto" w:sz="4" w:space="0"/>
              <w:right w:val="single" w:color="auto" w:sz="4" w:space="0"/>
            </w:tcBorders>
            <w:vAlign w:val="center"/>
          </w:tcPr>
          <w:p>
            <w:pPr>
              <w:pStyle w:val="63"/>
            </w:pPr>
            <w:r>
              <w:t>12月</w:t>
            </w:r>
          </w:p>
        </w:tc>
        <w:tc>
          <w:tcPr>
            <w:tcW w:w="675" w:type="dxa"/>
            <w:tcBorders>
              <w:top w:val="single" w:color="auto" w:sz="12" w:space="0"/>
              <w:left w:val="single" w:color="auto" w:sz="4" w:space="0"/>
              <w:bottom w:val="single" w:color="auto" w:sz="4" w:space="0"/>
              <w:right w:val="single" w:color="auto" w:sz="12" w:space="0"/>
            </w:tcBorders>
            <w:vAlign w:val="center"/>
          </w:tcPr>
          <w:p>
            <w:pPr>
              <w:pStyle w:val="63"/>
            </w:pPr>
            <w:r>
              <w:t>全年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108" w:type="dxa"/>
          </w:tblCellMar>
        </w:tblPrEx>
        <w:trPr>
          <w:trHeight w:val="454" w:hRule="atLeast"/>
          <w:jc w:val="center"/>
        </w:trPr>
        <w:tc>
          <w:tcPr>
            <w:tcW w:w="955" w:type="dxa"/>
            <w:tcBorders>
              <w:top w:val="single" w:color="auto" w:sz="4" w:space="0"/>
              <w:left w:val="single" w:color="auto" w:sz="12" w:space="0"/>
              <w:bottom w:val="single" w:color="auto" w:sz="12" w:space="0"/>
              <w:right w:val="single" w:color="auto" w:sz="4" w:space="0"/>
            </w:tcBorders>
            <w:vAlign w:val="center"/>
          </w:tcPr>
          <w:p>
            <w:pPr>
              <w:pStyle w:val="63"/>
            </w:pPr>
            <w:r>
              <w:t>温度（</w:t>
            </w:r>
            <w:r>
              <w:rPr>
                <w:rFonts w:hint="eastAsia" w:ascii="宋体" w:hAnsi="宋体" w:eastAsia="宋体" w:cs="宋体"/>
              </w:rPr>
              <w:t>℃</w:t>
            </w:r>
            <w:r>
              <w:t>）</w:t>
            </w:r>
          </w:p>
        </w:tc>
        <w:tc>
          <w:tcPr>
            <w:tcW w:w="676" w:type="dxa"/>
            <w:tcBorders>
              <w:top w:val="single" w:color="auto" w:sz="4" w:space="0"/>
              <w:left w:val="single" w:color="auto" w:sz="4" w:space="0"/>
              <w:bottom w:val="single" w:color="auto" w:sz="12" w:space="0"/>
              <w:right w:val="single" w:color="auto" w:sz="4" w:space="0"/>
            </w:tcBorders>
            <w:vAlign w:val="center"/>
          </w:tcPr>
          <w:p>
            <w:pPr>
              <w:pStyle w:val="63"/>
            </w:pPr>
            <w:r>
              <w:t>6.42</w:t>
            </w:r>
          </w:p>
        </w:tc>
        <w:tc>
          <w:tcPr>
            <w:tcW w:w="676" w:type="dxa"/>
            <w:tcBorders>
              <w:top w:val="single" w:color="auto" w:sz="4" w:space="0"/>
              <w:left w:val="single" w:color="auto" w:sz="4" w:space="0"/>
              <w:bottom w:val="single" w:color="auto" w:sz="12" w:space="0"/>
              <w:right w:val="single" w:color="auto" w:sz="4" w:space="0"/>
            </w:tcBorders>
            <w:vAlign w:val="center"/>
          </w:tcPr>
          <w:p>
            <w:pPr>
              <w:pStyle w:val="63"/>
            </w:pPr>
            <w:r>
              <w:t>5.01</w:t>
            </w:r>
          </w:p>
        </w:tc>
        <w:tc>
          <w:tcPr>
            <w:tcW w:w="678" w:type="dxa"/>
            <w:tcBorders>
              <w:top w:val="single" w:color="auto" w:sz="4" w:space="0"/>
              <w:left w:val="single" w:color="auto" w:sz="4" w:space="0"/>
              <w:bottom w:val="single" w:color="auto" w:sz="12" w:space="0"/>
              <w:right w:val="single" w:color="auto" w:sz="4" w:space="0"/>
            </w:tcBorders>
            <w:vAlign w:val="center"/>
          </w:tcPr>
          <w:p>
            <w:pPr>
              <w:pStyle w:val="63"/>
            </w:pPr>
            <w:r>
              <w:t>16.15</w:t>
            </w:r>
          </w:p>
        </w:tc>
        <w:tc>
          <w:tcPr>
            <w:tcW w:w="676" w:type="dxa"/>
            <w:tcBorders>
              <w:top w:val="single" w:color="auto" w:sz="4" w:space="0"/>
              <w:left w:val="single" w:color="auto" w:sz="4" w:space="0"/>
              <w:bottom w:val="single" w:color="auto" w:sz="12" w:space="0"/>
              <w:right w:val="single" w:color="auto" w:sz="4" w:space="0"/>
            </w:tcBorders>
            <w:vAlign w:val="center"/>
          </w:tcPr>
          <w:p>
            <w:pPr>
              <w:pStyle w:val="63"/>
            </w:pPr>
            <w:r>
              <w:t>18.89</w:t>
            </w:r>
          </w:p>
        </w:tc>
        <w:tc>
          <w:tcPr>
            <w:tcW w:w="676" w:type="dxa"/>
            <w:tcBorders>
              <w:top w:val="single" w:color="auto" w:sz="4" w:space="0"/>
              <w:left w:val="single" w:color="auto" w:sz="4" w:space="0"/>
              <w:bottom w:val="single" w:color="auto" w:sz="12" w:space="0"/>
              <w:right w:val="single" w:color="auto" w:sz="4" w:space="0"/>
            </w:tcBorders>
            <w:vAlign w:val="center"/>
          </w:tcPr>
          <w:p>
            <w:pPr>
              <w:pStyle w:val="63"/>
            </w:pPr>
            <w:r>
              <w:t>20.44</w:t>
            </w:r>
          </w:p>
        </w:tc>
        <w:tc>
          <w:tcPr>
            <w:tcW w:w="676" w:type="dxa"/>
            <w:tcBorders>
              <w:top w:val="single" w:color="auto" w:sz="4" w:space="0"/>
              <w:left w:val="single" w:color="auto" w:sz="4" w:space="0"/>
              <w:bottom w:val="single" w:color="auto" w:sz="12" w:space="0"/>
              <w:right w:val="single" w:color="auto" w:sz="4" w:space="0"/>
            </w:tcBorders>
            <w:vAlign w:val="center"/>
          </w:tcPr>
          <w:p>
            <w:pPr>
              <w:pStyle w:val="63"/>
            </w:pPr>
            <w:r>
              <w:t>27.52</w:t>
            </w:r>
          </w:p>
        </w:tc>
        <w:tc>
          <w:tcPr>
            <w:tcW w:w="677" w:type="dxa"/>
            <w:tcBorders>
              <w:top w:val="single" w:color="auto" w:sz="4" w:space="0"/>
              <w:left w:val="single" w:color="auto" w:sz="4" w:space="0"/>
              <w:bottom w:val="single" w:color="auto" w:sz="12" w:space="0"/>
              <w:right w:val="single" w:color="auto" w:sz="4" w:space="0"/>
            </w:tcBorders>
            <w:vAlign w:val="center"/>
          </w:tcPr>
          <w:p>
            <w:pPr>
              <w:pStyle w:val="63"/>
            </w:pPr>
            <w:r>
              <w:t>30.46</w:t>
            </w:r>
          </w:p>
        </w:tc>
        <w:tc>
          <w:tcPr>
            <w:tcW w:w="679" w:type="dxa"/>
            <w:tcBorders>
              <w:top w:val="single" w:color="auto" w:sz="4" w:space="0"/>
              <w:left w:val="single" w:color="auto" w:sz="4" w:space="0"/>
              <w:bottom w:val="single" w:color="auto" w:sz="12" w:space="0"/>
              <w:right w:val="single" w:color="auto" w:sz="4" w:space="0"/>
            </w:tcBorders>
            <w:vAlign w:val="center"/>
          </w:tcPr>
          <w:p>
            <w:pPr>
              <w:pStyle w:val="63"/>
            </w:pPr>
            <w:r>
              <w:t>31.55</w:t>
            </w:r>
          </w:p>
        </w:tc>
        <w:tc>
          <w:tcPr>
            <w:tcW w:w="679" w:type="dxa"/>
            <w:tcBorders>
              <w:top w:val="single" w:color="auto" w:sz="4" w:space="0"/>
              <w:left w:val="single" w:color="auto" w:sz="4" w:space="0"/>
              <w:bottom w:val="single" w:color="auto" w:sz="12" w:space="0"/>
              <w:right w:val="single" w:color="auto" w:sz="4" w:space="0"/>
            </w:tcBorders>
            <w:vAlign w:val="center"/>
          </w:tcPr>
          <w:p>
            <w:pPr>
              <w:pStyle w:val="63"/>
            </w:pPr>
            <w:r>
              <w:t>26.68</w:t>
            </w:r>
          </w:p>
        </w:tc>
        <w:tc>
          <w:tcPr>
            <w:tcW w:w="679" w:type="dxa"/>
            <w:tcBorders>
              <w:top w:val="single" w:color="auto" w:sz="4" w:space="0"/>
              <w:left w:val="single" w:color="auto" w:sz="4" w:space="0"/>
              <w:bottom w:val="single" w:color="auto" w:sz="12" w:space="0"/>
              <w:right w:val="single" w:color="auto" w:sz="4" w:space="0"/>
            </w:tcBorders>
            <w:vAlign w:val="center"/>
          </w:tcPr>
          <w:p>
            <w:pPr>
              <w:pStyle w:val="63"/>
            </w:pPr>
            <w:r>
              <w:t>19.87</w:t>
            </w:r>
          </w:p>
        </w:tc>
        <w:tc>
          <w:tcPr>
            <w:tcW w:w="679" w:type="dxa"/>
            <w:tcBorders>
              <w:top w:val="single" w:color="auto" w:sz="4" w:space="0"/>
              <w:left w:val="single" w:color="auto" w:sz="4" w:space="0"/>
              <w:bottom w:val="single" w:color="auto" w:sz="12" w:space="0"/>
              <w:right w:val="single" w:color="auto" w:sz="4" w:space="0"/>
            </w:tcBorders>
            <w:vAlign w:val="center"/>
          </w:tcPr>
          <w:p>
            <w:pPr>
              <w:pStyle w:val="63"/>
            </w:pPr>
            <w:r>
              <w:t>17.23</w:t>
            </w:r>
          </w:p>
        </w:tc>
        <w:tc>
          <w:tcPr>
            <w:tcW w:w="675" w:type="dxa"/>
            <w:tcBorders>
              <w:top w:val="single" w:color="auto" w:sz="4" w:space="0"/>
              <w:left w:val="single" w:color="auto" w:sz="4" w:space="0"/>
              <w:bottom w:val="single" w:color="auto" w:sz="12" w:space="0"/>
              <w:right w:val="single" w:color="auto" w:sz="4" w:space="0"/>
            </w:tcBorders>
            <w:vAlign w:val="center"/>
          </w:tcPr>
          <w:p>
            <w:pPr>
              <w:pStyle w:val="63"/>
            </w:pPr>
            <w:r>
              <w:t>6.44</w:t>
            </w:r>
          </w:p>
        </w:tc>
        <w:tc>
          <w:tcPr>
            <w:tcW w:w="675" w:type="dxa"/>
            <w:tcBorders>
              <w:top w:val="single" w:color="auto" w:sz="4" w:space="0"/>
              <w:left w:val="single" w:color="auto" w:sz="4" w:space="0"/>
              <w:bottom w:val="single" w:color="auto" w:sz="12" w:space="0"/>
              <w:right w:val="single" w:color="auto" w:sz="12" w:space="0"/>
            </w:tcBorders>
            <w:vAlign w:val="center"/>
          </w:tcPr>
          <w:p>
            <w:pPr>
              <w:pStyle w:val="63"/>
            </w:pPr>
            <w:r>
              <w:t>18.96</w:t>
            </w:r>
          </w:p>
        </w:tc>
      </w:tr>
    </w:tbl>
    <w:p>
      <w:pPr>
        <w:rPr>
          <w:rFonts w:ascii="Times New Roman" w:hAnsi="Times New Roman" w:cs="Times New Roman"/>
        </w:rPr>
      </w:pPr>
      <w:r>
        <w:rPr>
          <w:rFonts w:ascii="Times New Roman" w:hAnsi="Times New Roman" w:cs="Times New Roman"/>
        </w:rPr>
        <w:drawing>
          <wp:inline distT="0" distB="0" distL="0" distR="0">
            <wp:extent cx="5343525" cy="2952750"/>
            <wp:effectExtent l="0" t="0" r="952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343525" cy="2952750"/>
                    </a:xfrm>
                    <a:prstGeom prst="rect">
                      <a:avLst/>
                    </a:prstGeom>
                    <a:noFill/>
                    <a:ln>
                      <a:noFill/>
                    </a:ln>
                  </pic:spPr>
                </pic:pic>
              </a:graphicData>
            </a:graphic>
          </wp:inline>
        </w:drawing>
      </w:r>
    </w:p>
    <w:p>
      <w:pPr>
        <w:pStyle w:val="6"/>
        <w:rPr>
          <w:rFonts w:ascii="Times New Roman" w:hAnsi="Times New Roman" w:cs="Times New Roman"/>
          <w:lang w:val="zh-CN"/>
        </w:rPr>
      </w:pPr>
      <w:bookmarkStart w:id="318" w:name="_Toc383161983"/>
      <w:bookmarkStart w:id="319" w:name="_Toc375818377"/>
      <w:bookmarkStart w:id="320" w:name="_Toc372920934"/>
      <w:bookmarkStart w:id="321" w:name="_Toc385795699"/>
      <w:r>
        <w:rPr>
          <w:rFonts w:ascii="Times New Roman" w:hAnsi="Times New Roman" w:cs="Times New Roman"/>
          <w:lang w:val="zh-CN"/>
        </w:rPr>
        <w:t>图</w:t>
      </w:r>
      <w:r>
        <w:rPr>
          <w:rFonts w:ascii="Times New Roman" w:hAnsi="Times New Roman" w:cs="Times New Roman"/>
        </w:rPr>
        <w:t>6</w:t>
      </w:r>
      <w:r>
        <w:rPr>
          <w:rFonts w:ascii="Times New Roman" w:hAnsi="Times New Roman" w:cs="Times New Roman"/>
          <w:lang w:val="zh-CN"/>
        </w:rPr>
        <w:t>.2.1-</w:t>
      </w:r>
      <w:r>
        <w:rPr>
          <w:rFonts w:hint="eastAsia" w:ascii="Times New Roman" w:hAnsi="Times New Roman" w:cs="Times New Roman"/>
          <w:lang w:val="zh-CN"/>
        </w:rPr>
        <w:t>8</w:t>
      </w:r>
      <w:r>
        <w:rPr>
          <w:rFonts w:ascii="Times New Roman" w:hAnsi="Times New Roman" w:cs="Times New Roman"/>
          <w:lang w:val="zh-CN"/>
        </w:rPr>
        <w:t xml:space="preserve">  衡东气象站2022年平均温度的月变化曲线图</w:t>
      </w:r>
      <w:bookmarkEnd w:id="318"/>
      <w:bookmarkEnd w:id="319"/>
      <w:bookmarkEnd w:id="320"/>
      <w:bookmarkEnd w:id="321"/>
    </w:p>
    <w:p>
      <w:pPr>
        <w:tabs>
          <w:tab w:val="left" w:pos="1320"/>
        </w:tabs>
        <w:spacing w:line="360" w:lineRule="auto"/>
        <w:ind w:firstLine="480"/>
        <w:rPr>
          <w:rFonts w:ascii="Times New Roman" w:hAnsi="Times New Roman" w:cs="Times New Roman"/>
          <w:kern w:val="24"/>
          <w:lang w:val="zh-CN"/>
        </w:rPr>
      </w:pPr>
      <w:r>
        <w:rPr>
          <w:rFonts w:hint="eastAsia" w:ascii="宋体" w:hAnsi="宋体" w:eastAsia="宋体" w:cs="宋体"/>
          <w:kern w:val="24"/>
          <w:lang w:val="zh-CN"/>
        </w:rPr>
        <w:t>⑧</w:t>
      </w:r>
      <w:r>
        <w:rPr>
          <w:rFonts w:ascii="Times New Roman" w:hAnsi="Times New Roman" w:cs="Times New Roman"/>
          <w:kern w:val="24"/>
          <w:lang w:val="zh-CN"/>
        </w:rPr>
        <w:t>风速</w:t>
      </w:r>
    </w:p>
    <w:p>
      <w:pPr>
        <w:tabs>
          <w:tab w:val="left" w:pos="1320"/>
        </w:tabs>
        <w:spacing w:line="360" w:lineRule="auto"/>
        <w:ind w:firstLine="480"/>
        <w:rPr>
          <w:rFonts w:ascii="Times New Roman" w:hAnsi="Times New Roman" w:cs="Times New Roman"/>
          <w:kern w:val="24"/>
          <w:lang w:val="zh-CN"/>
        </w:rPr>
      </w:pPr>
      <w:r>
        <w:rPr>
          <w:rFonts w:ascii="Times New Roman" w:hAnsi="Times New Roman" w:cs="Times New Roman"/>
          <w:kern w:val="24"/>
          <w:lang w:val="zh-CN"/>
        </w:rPr>
        <w:t>衡东气象站2022年各月及年平均风速、各季每小时平均风速的变化情况</w:t>
      </w:r>
      <w:r>
        <w:rPr>
          <w:rFonts w:ascii="Times New Roman" w:hAnsi="Times New Roman" w:cs="Times New Roman"/>
        </w:rPr>
        <w:t>见下表</w:t>
      </w:r>
      <w:r>
        <w:rPr>
          <w:rFonts w:ascii="Times New Roman" w:hAnsi="Times New Roman" w:cs="Times New Roman"/>
          <w:kern w:val="24"/>
          <w:lang w:val="zh-CN"/>
        </w:rPr>
        <w:t>和</w:t>
      </w:r>
      <w:r>
        <w:rPr>
          <w:rFonts w:hint="eastAsia" w:ascii="Times New Roman" w:hAnsi="Times New Roman" w:cs="Times New Roman"/>
          <w:kern w:val="24"/>
          <w:lang w:val="zh-CN"/>
        </w:rPr>
        <w:t>下图</w:t>
      </w:r>
      <w:r>
        <w:rPr>
          <w:rFonts w:ascii="Times New Roman" w:hAnsi="Times New Roman" w:cs="Times New Roman"/>
          <w:kern w:val="24"/>
          <w:lang w:val="zh-CN"/>
        </w:rPr>
        <w:t>，2022年平均风速月变化、季小时平均风速日变化曲线见</w:t>
      </w:r>
      <w:r>
        <w:rPr>
          <w:rFonts w:ascii="Times New Roman" w:hAnsi="Times New Roman" w:cs="Times New Roman"/>
        </w:rPr>
        <w:t>下表</w:t>
      </w:r>
      <w:r>
        <w:rPr>
          <w:rFonts w:hint="eastAsia" w:ascii="Times New Roman" w:hAnsi="Times New Roman" w:cs="Times New Roman"/>
        </w:rPr>
        <w:t>和图。</w:t>
      </w:r>
    </w:p>
    <w:p>
      <w:pPr>
        <w:pStyle w:val="6"/>
        <w:rPr>
          <w:rFonts w:ascii="Times New Roman" w:hAnsi="Times New Roman" w:cs="Times New Roman"/>
          <w:lang w:val="zh-CN"/>
        </w:rPr>
      </w:pPr>
      <w:bookmarkStart w:id="322" w:name="_Toc374694522"/>
      <w:bookmarkStart w:id="323" w:name="_Toc385771869"/>
      <w:bookmarkStart w:id="324" w:name="_Toc372913826"/>
      <w:r>
        <w:rPr>
          <w:rFonts w:ascii="Times New Roman" w:hAnsi="Times New Roman" w:cs="Times New Roman"/>
          <w:lang w:val="zh-CN"/>
        </w:rPr>
        <w:t>表</w:t>
      </w:r>
      <w:r>
        <w:rPr>
          <w:rFonts w:ascii="Times New Roman" w:hAnsi="Times New Roman" w:cs="Times New Roman"/>
        </w:rPr>
        <w:t>6</w:t>
      </w:r>
      <w:r>
        <w:rPr>
          <w:rFonts w:ascii="Times New Roman" w:hAnsi="Times New Roman" w:cs="Times New Roman"/>
          <w:lang w:val="zh-CN"/>
        </w:rPr>
        <w:t>.2.1-6  衡东气象站2022年平均风速的月变化统计表</w:t>
      </w:r>
      <w:bookmarkEnd w:id="322"/>
      <w:bookmarkEnd w:id="323"/>
      <w:bookmarkEnd w:id="324"/>
    </w:p>
    <w:tbl>
      <w:tblPr>
        <w:tblStyle w:val="35"/>
        <w:tblW w:w="950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1090"/>
        <w:gridCol w:w="635"/>
        <w:gridCol w:w="635"/>
        <w:gridCol w:w="635"/>
        <w:gridCol w:w="635"/>
        <w:gridCol w:w="635"/>
        <w:gridCol w:w="635"/>
        <w:gridCol w:w="635"/>
        <w:gridCol w:w="584"/>
        <w:gridCol w:w="635"/>
        <w:gridCol w:w="689"/>
        <w:gridCol w:w="689"/>
        <w:gridCol w:w="688"/>
        <w:gridCol w:w="6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7" w:hRule="atLeast"/>
          <w:jc w:val="center"/>
        </w:trPr>
        <w:tc>
          <w:tcPr>
            <w:tcW w:w="1090" w:type="dxa"/>
            <w:tcBorders>
              <w:top w:val="single" w:color="auto" w:sz="12" w:space="0"/>
              <w:left w:val="single" w:color="auto" w:sz="12" w:space="0"/>
              <w:bottom w:val="single" w:color="auto" w:sz="4" w:space="0"/>
              <w:right w:val="single" w:color="auto" w:sz="4" w:space="0"/>
            </w:tcBorders>
            <w:shd w:val="clear" w:color="auto" w:fill="FFFFFF"/>
            <w:vAlign w:val="center"/>
          </w:tcPr>
          <w:p>
            <w:pPr>
              <w:pStyle w:val="63"/>
            </w:pPr>
            <w:r>
              <w:t>月份</w:t>
            </w:r>
          </w:p>
        </w:tc>
        <w:tc>
          <w:tcPr>
            <w:tcW w:w="635" w:type="dxa"/>
            <w:tcBorders>
              <w:top w:val="single" w:color="auto" w:sz="12" w:space="0"/>
              <w:left w:val="single" w:color="auto" w:sz="4" w:space="0"/>
              <w:bottom w:val="single" w:color="auto" w:sz="4" w:space="0"/>
              <w:right w:val="single" w:color="auto" w:sz="4" w:space="0"/>
            </w:tcBorders>
            <w:shd w:val="clear" w:color="auto" w:fill="FFFFFF"/>
            <w:vAlign w:val="center"/>
          </w:tcPr>
          <w:p>
            <w:pPr>
              <w:pStyle w:val="63"/>
            </w:pPr>
            <w:r>
              <w:t>1月</w:t>
            </w:r>
          </w:p>
        </w:tc>
        <w:tc>
          <w:tcPr>
            <w:tcW w:w="635" w:type="dxa"/>
            <w:tcBorders>
              <w:top w:val="single" w:color="auto" w:sz="12" w:space="0"/>
              <w:left w:val="single" w:color="auto" w:sz="4" w:space="0"/>
              <w:bottom w:val="single" w:color="auto" w:sz="4" w:space="0"/>
              <w:right w:val="single" w:color="auto" w:sz="4" w:space="0"/>
            </w:tcBorders>
            <w:shd w:val="clear" w:color="auto" w:fill="FFFFFF"/>
            <w:vAlign w:val="center"/>
          </w:tcPr>
          <w:p>
            <w:pPr>
              <w:pStyle w:val="63"/>
            </w:pPr>
            <w:r>
              <w:t>2月</w:t>
            </w:r>
          </w:p>
        </w:tc>
        <w:tc>
          <w:tcPr>
            <w:tcW w:w="635" w:type="dxa"/>
            <w:tcBorders>
              <w:top w:val="single" w:color="auto" w:sz="12" w:space="0"/>
              <w:left w:val="single" w:color="auto" w:sz="4" w:space="0"/>
              <w:bottom w:val="single" w:color="auto" w:sz="4" w:space="0"/>
              <w:right w:val="single" w:color="auto" w:sz="4" w:space="0"/>
            </w:tcBorders>
            <w:shd w:val="clear" w:color="auto" w:fill="FFFFFF"/>
            <w:vAlign w:val="center"/>
          </w:tcPr>
          <w:p>
            <w:pPr>
              <w:pStyle w:val="63"/>
            </w:pPr>
            <w:r>
              <w:t>3月</w:t>
            </w:r>
          </w:p>
        </w:tc>
        <w:tc>
          <w:tcPr>
            <w:tcW w:w="635" w:type="dxa"/>
            <w:tcBorders>
              <w:top w:val="single" w:color="auto" w:sz="12" w:space="0"/>
              <w:left w:val="single" w:color="auto" w:sz="4" w:space="0"/>
              <w:bottom w:val="single" w:color="auto" w:sz="4" w:space="0"/>
              <w:right w:val="single" w:color="auto" w:sz="4" w:space="0"/>
            </w:tcBorders>
            <w:shd w:val="clear" w:color="auto" w:fill="FFFFFF"/>
            <w:vAlign w:val="center"/>
          </w:tcPr>
          <w:p>
            <w:pPr>
              <w:pStyle w:val="63"/>
            </w:pPr>
            <w:r>
              <w:t>4月</w:t>
            </w:r>
          </w:p>
        </w:tc>
        <w:tc>
          <w:tcPr>
            <w:tcW w:w="635" w:type="dxa"/>
            <w:tcBorders>
              <w:top w:val="single" w:color="auto" w:sz="12" w:space="0"/>
              <w:left w:val="single" w:color="auto" w:sz="4" w:space="0"/>
              <w:bottom w:val="single" w:color="auto" w:sz="4" w:space="0"/>
              <w:right w:val="single" w:color="auto" w:sz="4" w:space="0"/>
            </w:tcBorders>
            <w:shd w:val="clear" w:color="auto" w:fill="FFFFFF"/>
            <w:vAlign w:val="center"/>
          </w:tcPr>
          <w:p>
            <w:pPr>
              <w:pStyle w:val="63"/>
            </w:pPr>
            <w:r>
              <w:t>5月</w:t>
            </w:r>
          </w:p>
        </w:tc>
        <w:tc>
          <w:tcPr>
            <w:tcW w:w="635" w:type="dxa"/>
            <w:tcBorders>
              <w:top w:val="single" w:color="auto" w:sz="12" w:space="0"/>
              <w:left w:val="single" w:color="auto" w:sz="4" w:space="0"/>
              <w:bottom w:val="single" w:color="auto" w:sz="4" w:space="0"/>
              <w:right w:val="single" w:color="auto" w:sz="4" w:space="0"/>
            </w:tcBorders>
            <w:shd w:val="clear" w:color="auto" w:fill="FFFFFF"/>
            <w:vAlign w:val="center"/>
          </w:tcPr>
          <w:p>
            <w:pPr>
              <w:pStyle w:val="63"/>
            </w:pPr>
            <w:r>
              <w:t>6月</w:t>
            </w:r>
          </w:p>
        </w:tc>
        <w:tc>
          <w:tcPr>
            <w:tcW w:w="635" w:type="dxa"/>
            <w:tcBorders>
              <w:top w:val="single" w:color="auto" w:sz="12" w:space="0"/>
              <w:left w:val="single" w:color="auto" w:sz="4" w:space="0"/>
              <w:bottom w:val="single" w:color="auto" w:sz="4" w:space="0"/>
              <w:right w:val="single" w:color="auto" w:sz="4" w:space="0"/>
            </w:tcBorders>
            <w:shd w:val="clear" w:color="auto" w:fill="FFFFFF"/>
            <w:vAlign w:val="center"/>
          </w:tcPr>
          <w:p>
            <w:pPr>
              <w:pStyle w:val="63"/>
            </w:pPr>
            <w:r>
              <w:t>7月</w:t>
            </w:r>
          </w:p>
        </w:tc>
        <w:tc>
          <w:tcPr>
            <w:tcW w:w="584" w:type="dxa"/>
            <w:tcBorders>
              <w:top w:val="single" w:color="auto" w:sz="12" w:space="0"/>
              <w:left w:val="single" w:color="auto" w:sz="4" w:space="0"/>
              <w:bottom w:val="single" w:color="auto" w:sz="4" w:space="0"/>
              <w:right w:val="single" w:color="auto" w:sz="4" w:space="0"/>
            </w:tcBorders>
            <w:shd w:val="clear" w:color="auto" w:fill="FFFFFF"/>
            <w:vAlign w:val="center"/>
          </w:tcPr>
          <w:p>
            <w:pPr>
              <w:pStyle w:val="63"/>
            </w:pPr>
            <w:r>
              <w:t>8月</w:t>
            </w:r>
          </w:p>
        </w:tc>
        <w:tc>
          <w:tcPr>
            <w:tcW w:w="635" w:type="dxa"/>
            <w:tcBorders>
              <w:top w:val="single" w:color="auto" w:sz="12" w:space="0"/>
              <w:left w:val="single" w:color="auto" w:sz="4" w:space="0"/>
              <w:bottom w:val="single" w:color="auto" w:sz="4" w:space="0"/>
              <w:right w:val="single" w:color="auto" w:sz="4" w:space="0"/>
            </w:tcBorders>
            <w:shd w:val="clear" w:color="auto" w:fill="FFFFFF"/>
            <w:vAlign w:val="center"/>
          </w:tcPr>
          <w:p>
            <w:pPr>
              <w:pStyle w:val="63"/>
            </w:pPr>
            <w:r>
              <w:t>9月</w:t>
            </w:r>
          </w:p>
        </w:tc>
        <w:tc>
          <w:tcPr>
            <w:tcW w:w="689" w:type="dxa"/>
            <w:tcBorders>
              <w:top w:val="single" w:color="auto" w:sz="12" w:space="0"/>
              <w:left w:val="single" w:color="auto" w:sz="4" w:space="0"/>
              <w:bottom w:val="single" w:color="auto" w:sz="4" w:space="0"/>
              <w:right w:val="single" w:color="auto" w:sz="4" w:space="0"/>
            </w:tcBorders>
            <w:shd w:val="clear" w:color="auto" w:fill="FFFFFF"/>
            <w:vAlign w:val="center"/>
          </w:tcPr>
          <w:p>
            <w:pPr>
              <w:pStyle w:val="63"/>
            </w:pPr>
            <w:r>
              <w:t>10月</w:t>
            </w:r>
          </w:p>
        </w:tc>
        <w:tc>
          <w:tcPr>
            <w:tcW w:w="689" w:type="dxa"/>
            <w:tcBorders>
              <w:top w:val="single" w:color="auto" w:sz="12" w:space="0"/>
              <w:left w:val="single" w:color="auto" w:sz="4" w:space="0"/>
              <w:bottom w:val="single" w:color="auto" w:sz="4" w:space="0"/>
              <w:right w:val="single" w:color="auto" w:sz="4" w:space="0"/>
            </w:tcBorders>
            <w:shd w:val="clear" w:color="auto" w:fill="FFFFFF"/>
            <w:vAlign w:val="center"/>
          </w:tcPr>
          <w:p>
            <w:pPr>
              <w:pStyle w:val="63"/>
            </w:pPr>
            <w:r>
              <w:t>11月</w:t>
            </w:r>
          </w:p>
        </w:tc>
        <w:tc>
          <w:tcPr>
            <w:tcW w:w="688" w:type="dxa"/>
            <w:tcBorders>
              <w:top w:val="single" w:color="auto" w:sz="12" w:space="0"/>
              <w:left w:val="single" w:color="auto" w:sz="4" w:space="0"/>
              <w:bottom w:val="single" w:color="auto" w:sz="4" w:space="0"/>
              <w:right w:val="single" w:color="auto" w:sz="4" w:space="0"/>
            </w:tcBorders>
            <w:shd w:val="clear" w:color="auto" w:fill="FFFFFF"/>
            <w:vAlign w:val="center"/>
          </w:tcPr>
          <w:p>
            <w:pPr>
              <w:pStyle w:val="63"/>
            </w:pPr>
            <w:r>
              <w:t>12月</w:t>
            </w:r>
          </w:p>
        </w:tc>
        <w:tc>
          <w:tcPr>
            <w:tcW w:w="688" w:type="dxa"/>
            <w:tcBorders>
              <w:top w:val="single" w:color="auto" w:sz="12" w:space="0"/>
              <w:left w:val="single" w:color="auto" w:sz="4" w:space="0"/>
              <w:bottom w:val="single" w:color="auto" w:sz="4" w:space="0"/>
              <w:right w:val="single" w:color="auto" w:sz="12" w:space="0"/>
            </w:tcBorders>
            <w:shd w:val="clear" w:color="auto" w:fill="FFFFFF"/>
            <w:vAlign w:val="center"/>
          </w:tcPr>
          <w:p>
            <w:pPr>
              <w:pStyle w:val="63"/>
            </w:pPr>
            <w:r>
              <w:t>全年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0" w:type="dxa"/>
            <w:tcBorders>
              <w:top w:val="single" w:color="auto" w:sz="4" w:space="0"/>
              <w:left w:val="single" w:color="auto" w:sz="12" w:space="0"/>
              <w:bottom w:val="single" w:color="auto" w:sz="12" w:space="0"/>
              <w:right w:val="single" w:color="auto" w:sz="4" w:space="0"/>
            </w:tcBorders>
            <w:shd w:val="clear" w:color="auto" w:fill="FFFFFF"/>
            <w:vAlign w:val="center"/>
          </w:tcPr>
          <w:p>
            <w:pPr>
              <w:pStyle w:val="63"/>
            </w:pPr>
            <w:r>
              <w:t>风速（m/s）</w:t>
            </w:r>
          </w:p>
        </w:tc>
        <w:tc>
          <w:tcPr>
            <w:tcW w:w="635" w:type="dxa"/>
            <w:tcBorders>
              <w:top w:val="single" w:color="auto" w:sz="4" w:space="0"/>
              <w:left w:val="single" w:color="auto" w:sz="4" w:space="0"/>
              <w:bottom w:val="single" w:color="auto" w:sz="12" w:space="0"/>
              <w:right w:val="single" w:color="auto" w:sz="4" w:space="0"/>
            </w:tcBorders>
            <w:shd w:val="clear" w:color="auto" w:fill="FFFFFF"/>
            <w:vAlign w:val="center"/>
          </w:tcPr>
          <w:p>
            <w:pPr>
              <w:pStyle w:val="63"/>
            </w:pPr>
            <w:r>
              <w:t>1.95</w:t>
            </w:r>
          </w:p>
        </w:tc>
        <w:tc>
          <w:tcPr>
            <w:tcW w:w="635" w:type="dxa"/>
            <w:tcBorders>
              <w:top w:val="single" w:color="auto" w:sz="4" w:space="0"/>
              <w:left w:val="single" w:color="auto" w:sz="4" w:space="0"/>
              <w:bottom w:val="single" w:color="auto" w:sz="12" w:space="0"/>
              <w:right w:val="single" w:color="auto" w:sz="4" w:space="0"/>
            </w:tcBorders>
            <w:shd w:val="clear" w:color="auto" w:fill="FFFFFF"/>
            <w:vAlign w:val="center"/>
          </w:tcPr>
          <w:p>
            <w:pPr>
              <w:pStyle w:val="63"/>
            </w:pPr>
            <w:r>
              <w:t>1.84</w:t>
            </w:r>
          </w:p>
        </w:tc>
        <w:tc>
          <w:tcPr>
            <w:tcW w:w="635" w:type="dxa"/>
            <w:tcBorders>
              <w:top w:val="single" w:color="auto" w:sz="4" w:space="0"/>
              <w:left w:val="single" w:color="auto" w:sz="4" w:space="0"/>
              <w:bottom w:val="single" w:color="auto" w:sz="12" w:space="0"/>
              <w:right w:val="single" w:color="auto" w:sz="4" w:space="0"/>
            </w:tcBorders>
            <w:shd w:val="clear" w:color="auto" w:fill="FFFFFF"/>
            <w:vAlign w:val="center"/>
          </w:tcPr>
          <w:p>
            <w:pPr>
              <w:pStyle w:val="63"/>
            </w:pPr>
            <w:r>
              <w:t>2.34</w:t>
            </w:r>
          </w:p>
        </w:tc>
        <w:tc>
          <w:tcPr>
            <w:tcW w:w="635" w:type="dxa"/>
            <w:tcBorders>
              <w:top w:val="single" w:color="auto" w:sz="4" w:space="0"/>
              <w:left w:val="single" w:color="auto" w:sz="4" w:space="0"/>
              <w:bottom w:val="single" w:color="auto" w:sz="12" w:space="0"/>
              <w:right w:val="single" w:color="auto" w:sz="4" w:space="0"/>
            </w:tcBorders>
            <w:shd w:val="clear" w:color="auto" w:fill="FFFFFF"/>
            <w:vAlign w:val="center"/>
          </w:tcPr>
          <w:p>
            <w:pPr>
              <w:pStyle w:val="63"/>
            </w:pPr>
            <w:r>
              <w:t>2.00</w:t>
            </w:r>
          </w:p>
        </w:tc>
        <w:tc>
          <w:tcPr>
            <w:tcW w:w="635" w:type="dxa"/>
            <w:tcBorders>
              <w:top w:val="single" w:color="auto" w:sz="4" w:space="0"/>
              <w:left w:val="single" w:color="auto" w:sz="4" w:space="0"/>
              <w:bottom w:val="single" w:color="auto" w:sz="12" w:space="0"/>
              <w:right w:val="single" w:color="auto" w:sz="4" w:space="0"/>
            </w:tcBorders>
            <w:shd w:val="clear" w:color="auto" w:fill="FFFFFF"/>
            <w:vAlign w:val="center"/>
          </w:tcPr>
          <w:p>
            <w:pPr>
              <w:pStyle w:val="63"/>
            </w:pPr>
            <w:r>
              <w:t>1.64</w:t>
            </w:r>
          </w:p>
        </w:tc>
        <w:tc>
          <w:tcPr>
            <w:tcW w:w="635" w:type="dxa"/>
            <w:tcBorders>
              <w:top w:val="single" w:color="auto" w:sz="4" w:space="0"/>
              <w:left w:val="single" w:color="auto" w:sz="4" w:space="0"/>
              <w:bottom w:val="single" w:color="auto" w:sz="12" w:space="0"/>
              <w:right w:val="single" w:color="auto" w:sz="4" w:space="0"/>
            </w:tcBorders>
            <w:shd w:val="clear" w:color="auto" w:fill="FFFFFF"/>
            <w:vAlign w:val="center"/>
          </w:tcPr>
          <w:p>
            <w:pPr>
              <w:pStyle w:val="63"/>
            </w:pPr>
            <w:r>
              <w:t>2.45</w:t>
            </w:r>
          </w:p>
        </w:tc>
        <w:tc>
          <w:tcPr>
            <w:tcW w:w="635" w:type="dxa"/>
            <w:tcBorders>
              <w:top w:val="single" w:color="auto" w:sz="4" w:space="0"/>
              <w:left w:val="single" w:color="auto" w:sz="4" w:space="0"/>
              <w:bottom w:val="single" w:color="auto" w:sz="12" w:space="0"/>
              <w:right w:val="single" w:color="auto" w:sz="4" w:space="0"/>
            </w:tcBorders>
            <w:shd w:val="clear" w:color="auto" w:fill="FFFFFF"/>
            <w:vAlign w:val="center"/>
          </w:tcPr>
          <w:p>
            <w:pPr>
              <w:pStyle w:val="63"/>
            </w:pPr>
            <w:r>
              <w:t>2.17</w:t>
            </w:r>
          </w:p>
        </w:tc>
        <w:tc>
          <w:tcPr>
            <w:tcW w:w="584" w:type="dxa"/>
            <w:tcBorders>
              <w:top w:val="single" w:color="auto" w:sz="4" w:space="0"/>
              <w:left w:val="single" w:color="auto" w:sz="4" w:space="0"/>
              <w:bottom w:val="single" w:color="auto" w:sz="12" w:space="0"/>
              <w:right w:val="single" w:color="auto" w:sz="4" w:space="0"/>
            </w:tcBorders>
            <w:shd w:val="clear" w:color="auto" w:fill="FFFFFF"/>
            <w:vAlign w:val="center"/>
          </w:tcPr>
          <w:p>
            <w:pPr>
              <w:pStyle w:val="63"/>
            </w:pPr>
            <w:r>
              <w:t>2.24</w:t>
            </w:r>
          </w:p>
        </w:tc>
        <w:tc>
          <w:tcPr>
            <w:tcW w:w="635" w:type="dxa"/>
            <w:tcBorders>
              <w:top w:val="single" w:color="auto" w:sz="4" w:space="0"/>
              <w:left w:val="single" w:color="auto" w:sz="4" w:space="0"/>
              <w:bottom w:val="single" w:color="auto" w:sz="12" w:space="0"/>
              <w:right w:val="single" w:color="auto" w:sz="4" w:space="0"/>
            </w:tcBorders>
            <w:shd w:val="clear" w:color="auto" w:fill="FFFFFF"/>
            <w:vAlign w:val="center"/>
          </w:tcPr>
          <w:p>
            <w:pPr>
              <w:pStyle w:val="63"/>
            </w:pPr>
            <w:r>
              <w:t>2.16</w:t>
            </w:r>
          </w:p>
        </w:tc>
        <w:tc>
          <w:tcPr>
            <w:tcW w:w="689" w:type="dxa"/>
            <w:tcBorders>
              <w:top w:val="single" w:color="auto" w:sz="4" w:space="0"/>
              <w:left w:val="single" w:color="auto" w:sz="4" w:space="0"/>
              <w:bottom w:val="single" w:color="auto" w:sz="12" w:space="0"/>
              <w:right w:val="single" w:color="auto" w:sz="4" w:space="0"/>
            </w:tcBorders>
            <w:shd w:val="clear" w:color="auto" w:fill="FFFFFF"/>
            <w:vAlign w:val="center"/>
          </w:tcPr>
          <w:p>
            <w:pPr>
              <w:pStyle w:val="63"/>
            </w:pPr>
            <w:r>
              <w:t>2.55</w:t>
            </w:r>
          </w:p>
        </w:tc>
        <w:tc>
          <w:tcPr>
            <w:tcW w:w="689" w:type="dxa"/>
            <w:tcBorders>
              <w:top w:val="single" w:color="auto" w:sz="4" w:space="0"/>
              <w:left w:val="single" w:color="auto" w:sz="4" w:space="0"/>
              <w:bottom w:val="single" w:color="auto" w:sz="12" w:space="0"/>
              <w:right w:val="single" w:color="auto" w:sz="4" w:space="0"/>
            </w:tcBorders>
            <w:shd w:val="clear" w:color="auto" w:fill="FFFFFF"/>
            <w:vAlign w:val="center"/>
          </w:tcPr>
          <w:p>
            <w:pPr>
              <w:pStyle w:val="63"/>
            </w:pPr>
            <w:r>
              <w:t>2.21</w:t>
            </w:r>
          </w:p>
        </w:tc>
        <w:tc>
          <w:tcPr>
            <w:tcW w:w="688" w:type="dxa"/>
            <w:tcBorders>
              <w:top w:val="single" w:color="auto" w:sz="4" w:space="0"/>
              <w:left w:val="single" w:color="auto" w:sz="4" w:space="0"/>
              <w:bottom w:val="single" w:color="auto" w:sz="12" w:space="0"/>
              <w:right w:val="single" w:color="auto" w:sz="4" w:space="0"/>
            </w:tcBorders>
            <w:shd w:val="clear" w:color="auto" w:fill="FFFFFF"/>
            <w:vAlign w:val="center"/>
          </w:tcPr>
          <w:p>
            <w:pPr>
              <w:pStyle w:val="63"/>
            </w:pPr>
            <w:r>
              <w:t>1.96</w:t>
            </w:r>
          </w:p>
        </w:tc>
        <w:tc>
          <w:tcPr>
            <w:tcW w:w="688" w:type="dxa"/>
            <w:tcBorders>
              <w:top w:val="single" w:color="auto" w:sz="4" w:space="0"/>
              <w:left w:val="single" w:color="auto" w:sz="4" w:space="0"/>
              <w:bottom w:val="single" w:color="auto" w:sz="12" w:space="0"/>
              <w:right w:val="single" w:color="auto" w:sz="12" w:space="0"/>
            </w:tcBorders>
            <w:shd w:val="clear" w:color="auto" w:fill="FFFFFF"/>
            <w:vAlign w:val="center"/>
          </w:tcPr>
          <w:p>
            <w:pPr>
              <w:pStyle w:val="63"/>
            </w:pPr>
            <w:r>
              <w:t>2.13</w:t>
            </w:r>
          </w:p>
        </w:tc>
      </w:tr>
    </w:tbl>
    <w:p>
      <w:pPr>
        <w:jc w:val="center"/>
        <w:rPr>
          <w:rFonts w:ascii="Times New Roman" w:hAnsi="Times New Roman" w:cs="Times New Roman"/>
        </w:rPr>
      </w:pPr>
      <w:r>
        <w:rPr>
          <w:rFonts w:ascii="Times New Roman" w:hAnsi="Times New Roman" w:cs="Times New Roman"/>
        </w:rPr>
        <w:drawing>
          <wp:inline distT="0" distB="0" distL="0" distR="0">
            <wp:extent cx="5486400" cy="30480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486400" cy="3048000"/>
                    </a:xfrm>
                    <a:prstGeom prst="rect">
                      <a:avLst/>
                    </a:prstGeom>
                    <a:noFill/>
                    <a:ln>
                      <a:noFill/>
                    </a:ln>
                  </pic:spPr>
                </pic:pic>
              </a:graphicData>
            </a:graphic>
          </wp:inline>
        </w:drawing>
      </w:r>
    </w:p>
    <w:p>
      <w:pPr>
        <w:pStyle w:val="6"/>
        <w:rPr>
          <w:rFonts w:ascii="Times New Roman" w:hAnsi="Times New Roman" w:cs="Times New Roman"/>
          <w:lang w:val="zh-CN"/>
        </w:rPr>
      </w:pPr>
      <w:bookmarkStart w:id="325" w:name="_Toc383161984"/>
      <w:bookmarkStart w:id="326" w:name="_Toc372920935"/>
      <w:bookmarkStart w:id="327" w:name="_Toc375818378"/>
      <w:bookmarkStart w:id="328" w:name="_Toc385795700"/>
      <w:r>
        <w:rPr>
          <w:rFonts w:ascii="Times New Roman" w:hAnsi="Times New Roman" w:cs="Times New Roman"/>
          <w:lang w:val="zh-CN"/>
        </w:rPr>
        <w:t>图</w:t>
      </w:r>
      <w:r>
        <w:rPr>
          <w:rFonts w:ascii="Times New Roman" w:hAnsi="Times New Roman" w:cs="Times New Roman"/>
        </w:rPr>
        <w:t>6</w:t>
      </w:r>
      <w:r>
        <w:rPr>
          <w:rFonts w:ascii="Times New Roman" w:hAnsi="Times New Roman" w:cs="Times New Roman"/>
          <w:lang w:val="zh-CN"/>
        </w:rPr>
        <w:t>.2.1-</w:t>
      </w:r>
      <w:r>
        <w:rPr>
          <w:rFonts w:hint="eastAsia" w:ascii="Times New Roman" w:hAnsi="Times New Roman" w:cs="Times New Roman"/>
          <w:lang w:val="zh-CN"/>
        </w:rPr>
        <w:t>9</w:t>
      </w:r>
      <w:r>
        <w:rPr>
          <w:rFonts w:ascii="Times New Roman" w:hAnsi="Times New Roman" w:cs="Times New Roman"/>
          <w:lang w:val="zh-CN"/>
        </w:rPr>
        <w:t xml:space="preserve">  衡东气象站2022年平均风速的月变化图</w:t>
      </w:r>
      <w:bookmarkEnd w:id="325"/>
      <w:bookmarkEnd w:id="326"/>
      <w:bookmarkEnd w:id="327"/>
      <w:bookmarkEnd w:id="328"/>
    </w:p>
    <w:p>
      <w:pPr>
        <w:jc w:val="center"/>
        <w:rPr>
          <w:rFonts w:ascii="Times New Roman" w:hAnsi="Times New Roman" w:cs="Times New Roman"/>
          <w:b/>
          <w:bCs/>
          <w:lang w:val="zh-CN"/>
        </w:rPr>
      </w:pPr>
    </w:p>
    <w:p>
      <w:pPr>
        <w:pStyle w:val="6"/>
        <w:rPr>
          <w:rFonts w:ascii="Times New Roman" w:hAnsi="Times New Roman" w:cs="Times New Roman"/>
          <w:lang w:val="zh-CN"/>
        </w:rPr>
      </w:pPr>
      <w:r>
        <w:rPr>
          <w:rFonts w:ascii="Times New Roman" w:hAnsi="Times New Roman" w:cs="Times New Roman"/>
          <w:lang w:val="zh-CN"/>
        </w:rPr>
        <w:t>表</w:t>
      </w:r>
      <w:r>
        <w:rPr>
          <w:rFonts w:ascii="Times New Roman" w:hAnsi="Times New Roman" w:cs="Times New Roman"/>
        </w:rPr>
        <w:t>6</w:t>
      </w:r>
      <w:r>
        <w:rPr>
          <w:rFonts w:ascii="Times New Roman" w:hAnsi="Times New Roman" w:cs="Times New Roman"/>
          <w:lang w:val="zh-CN"/>
        </w:rPr>
        <w:t>.2.1-7  衡东气象站2022年季小时平均风速的日变化统计表</w:t>
      </w:r>
    </w:p>
    <w:tbl>
      <w:tblPr>
        <w:tblStyle w:val="35"/>
        <w:tblW w:w="908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934"/>
        <w:gridCol w:w="680"/>
        <w:gridCol w:w="679"/>
        <w:gridCol w:w="679"/>
        <w:gridCol w:w="679"/>
        <w:gridCol w:w="679"/>
        <w:gridCol w:w="679"/>
        <w:gridCol w:w="679"/>
        <w:gridCol w:w="679"/>
        <w:gridCol w:w="679"/>
        <w:gridCol w:w="679"/>
        <w:gridCol w:w="679"/>
        <w:gridCol w:w="67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934" w:type="dxa"/>
            <w:tcBorders>
              <w:top w:val="single" w:color="auto" w:sz="12" w:space="0"/>
              <w:left w:val="single" w:color="auto" w:sz="12" w:space="0"/>
              <w:bottom w:val="single" w:color="auto" w:sz="6" w:space="0"/>
              <w:right w:val="single" w:color="auto" w:sz="6" w:space="0"/>
            </w:tcBorders>
            <w:vAlign w:val="center"/>
          </w:tcPr>
          <w:p>
            <w:pPr>
              <w:pStyle w:val="63"/>
            </w:pPr>
            <w:r>
              <w:t>小时（h）</w:t>
            </w:r>
          </w:p>
          <w:p>
            <w:pPr>
              <w:pStyle w:val="63"/>
            </w:pPr>
            <w:r>
              <w:t>风速（m/s）</w:t>
            </w:r>
          </w:p>
        </w:tc>
        <w:tc>
          <w:tcPr>
            <w:tcW w:w="680" w:type="dxa"/>
            <w:tcBorders>
              <w:top w:val="single" w:color="auto" w:sz="12" w:space="0"/>
              <w:left w:val="single" w:color="auto" w:sz="6" w:space="0"/>
              <w:bottom w:val="single" w:color="auto" w:sz="6" w:space="0"/>
              <w:right w:val="single" w:color="auto" w:sz="6" w:space="0"/>
            </w:tcBorders>
            <w:vAlign w:val="center"/>
          </w:tcPr>
          <w:p>
            <w:pPr>
              <w:pStyle w:val="63"/>
            </w:pPr>
            <w:r>
              <w:t>0:00</w:t>
            </w:r>
          </w:p>
        </w:tc>
        <w:tc>
          <w:tcPr>
            <w:tcW w:w="679" w:type="dxa"/>
            <w:tcBorders>
              <w:top w:val="single" w:color="auto" w:sz="12" w:space="0"/>
              <w:left w:val="single" w:color="auto" w:sz="6" w:space="0"/>
              <w:bottom w:val="single" w:color="auto" w:sz="6" w:space="0"/>
              <w:right w:val="single" w:color="auto" w:sz="6" w:space="0"/>
            </w:tcBorders>
            <w:vAlign w:val="center"/>
          </w:tcPr>
          <w:p>
            <w:pPr>
              <w:pStyle w:val="63"/>
            </w:pPr>
            <w:r>
              <w:t>1:00</w:t>
            </w:r>
          </w:p>
        </w:tc>
        <w:tc>
          <w:tcPr>
            <w:tcW w:w="679" w:type="dxa"/>
            <w:tcBorders>
              <w:top w:val="single" w:color="auto" w:sz="12" w:space="0"/>
              <w:left w:val="single" w:color="auto" w:sz="6" w:space="0"/>
              <w:bottom w:val="single" w:color="auto" w:sz="6" w:space="0"/>
              <w:right w:val="single" w:color="auto" w:sz="6" w:space="0"/>
            </w:tcBorders>
            <w:vAlign w:val="center"/>
          </w:tcPr>
          <w:p>
            <w:pPr>
              <w:pStyle w:val="63"/>
            </w:pPr>
            <w:r>
              <w:t>2:00</w:t>
            </w:r>
          </w:p>
        </w:tc>
        <w:tc>
          <w:tcPr>
            <w:tcW w:w="679" w:type="dxa"/>
            <w:tcBorders>
              <w:top w:val="single" w:color="auto" w:sz="12" w:space="0"/>
              <w:left w:val="single" w:color="auto" w:sz="6" w:space="0"/>
              <w:bottom w:val="single" w:color="auto" w:sz="6" w:space="0"/>
              <w:right w:val="single" w:color="auto" w:sz="6" w:space="0"/>
            </w:tcBorders>
            <w:vAlign w:val="center"/>
          </w:tcPr>
          <w:p>
            <w:pPr>
              <w:pStyle w:val="63"/>
            </w:pPr>
            <w:r>
              <w:t>3:00</w:t>
            </w:r>
          </w:p>
        </w:tc>
        <w:tc>
          <w:tcPr>
            <w:tcW w:w="679" w:type="dxa"/>
            <w:tcBorders>
              <w:top w:val="single" w:color="auto" w:sz="12" w:space="0"/>
              <w:left w:val="single" w:color="auto" w:sz="6" w:space="0"/>
              <w:bottom w:val="single" w:color="auto" w:sz="6" w:space="0"/>
              <w:right w:val="single" w:color="auto" w:sz="6" w:space="0"/>
            </w:tcBorders>
            <w:vAlign w:val="center"/>
          </w:tcPr>
          <w:p>
            <w:pPr>
              <w:pStyle w:val="63"/>
            </w:pPr>
            <w:r>
              <w:t>4:00</w:t>
            </w:r>
          </w:p>
        </w:tc>
        <w:tc>
          <w:tcPr>
            <w:tcW w:w="679" w:type="dxa"/>
            <w:tcBorders>
              <w:top w:val="single" w:color="auto" w:sz="12" w:space="0"/>
              <w:left w:val="single" w:color="auto" w:sz="6" w:space="0"/>
              <w:bottom w:val="single" w:color="auto" w:sz="6" w:space="0"/>
              <w:right w:val="single" w:color="auto" w:sz="6" w:space="0"/>
            </w:tcBorders>
            <w:vAlign w:val="center"/>
          </w:tcPr>
          <w:p>
            <w:pPr>
              <w:pStyle w:val="63"/>
            </w:pPr>
            <w:r>
              <w:t>5:00</w:t>
            </w:r>
          </w:p>
        </w:tc>
        <w:tc>
          <w:tcPr>
            <w:tcW w:w="679" w:type="dxa"/>
            <w:tcBorders>
              <w:top w:val="single" w:color="auto" w:sz="12" w:space="0"/>
              <w:left w:val="single" w:color="auto" w:sz="6" w:space="0"/>
              <w:bottom w:val="single" w:color="auto" w:sz="6" w:space="0"/>
              <w:right w:val="single" w:color="auto" w:sz="6" w:space="0"/>
            </w:tcBorders>
            <w:vAlign w:val="center"/>
          </w:tcPr>
          <w:p>
            <w:pPr>
              <w:pStyle w:val="63"/>
            </w:pPr>
            <w:r>
              <w:t>6:00</w:t>
            </w:r>
          </w:p>
        </w:tc>
        <w:tc>
          <w:tcPr>
            <w:tcW w:w="679" w:type="dxa"/>
            <w:tcBorders>
              <w:top w:val="single" w:color="auto" w:sz="12" w:space="0"/>
              <w:left w:val="single" w:color="auto" w:sz="6" w:space="0"/>
              <w:bottom w:val="single" w:color="auto" w:sz="6" w:space="0"/>
              <w:right w:val="single" w:color="auto" w:sz="6" w:space="0"/>
            </w:tcBorders>
            <w:vAlign w:val="center"/>
          </w:tcPr>
          <w:p>
            <w:pPr>
              <w:pStyle w:val="63"/>
            </w:pPr>
            <w:r>
              <w:t>7:00</w:t>
            </w:r>
          </w:p>
        </w:tc>
        <w:tc>
          <w:tcPr>
            <w:tcW w:w="679" w:type="dxa"/>
            <w:tcBorders>
              <w:top w:val="single" w:color="auto" w:sz="12" w:space="0"/>
              <w:left w:val="single" w:color="auto" w:sz="6" w:space="0"/>
              <w:bottom w:val="single" w:color="auto" w:sz="6" w:space="0"/>
              <w:right w:val="single" w:color="auto" w:sz="6" w:space="0"/>
            </w:tcBorders>
            <w:vAlign w:val="center"/>
          </w:tcPr>
          <w:p>
            <w:pPr>
              <w:pStyle w:val="63"/>
            </w:pPr>
            <w:r>
              <w:t>8:00</w:t>
            </w:r>
          </w:p>
        </w:tc>
        <w:tc>
          <w:tcPr>
            <w:tcW w:w="679" w:type="dxa"/>
            <w:tcBorders>
              <w:top w:val="single" w:color="auto" w:sz="12" w:space="0"/>
              <w:left w:val="single" w:color="auto" w:sz="6" w:space="0"/>
              <w:bottom w:val="single" w:color="auto" w:sz="6" w:space="0"/>
              <w:right w:val="single" w:color="auto" w:sz="6" w:space="0"/>
            </w:tcBorders>
            <w:vAlign w:val="center"/>
          </w:tcPr>
          <w:p>
            <w:pPr>
              <w:pStyle w:val="63"/>
            </w:pPr>
            <w:r>
              <w:t>9:00</w:t>
            </w:r>
          </w:p>
        </w:tc>
        <w:tc>
          <w:tcPr>
            <w:tcW w:w="679" w:type="dxa"/>
            <w:tcBorders>
              <w:top w:val="single" w:color="auto" w:sz="12" w:space="0"/>
              <w:left w:val="single" w:color="auto" w:sz="6" w:space="0"/>
              <w:bottom w:val="single" w:color="auto" w:sz="6" w:space="0"/>
              <w:right w:val="single" w:color="auto" w:sz="6" w:space="0"/>
            </w:tcBorders>
            <w:vAlign w:val="center"/>
          </w:tcPr>
          <w:p>
            <w:pPr>
              <w:pStyle w:val="63"/>
            </w:pPr>
            <w:r>
              <w:t>10:00</w:t>
            </w:r>
          </w:p>
        </w:tc>
        <w:tc>
          <w:tcPr>
            <w:tcW w:w="676" w:type="dxa"/>
            <w:tcBorders>
              <w:top w:val="single" w:color="auto" w:sz="12" w:space="0"/>
              <w:left w:val="single" w:color="auto" w:sz="6" w:space="0"/>
              <w:bottom w:val="single" w:color="auto" w:sz="6" w:space="0"/>
              <w:right w:val="single" w:color="auto" w:sz="12" w:space="0"/>
            </w:tcBorders>
            <w:vAlign w:val="center"/>
          </w:tcPr>
          <w:p>
            <w:pPr>
              <w:pStyle w:val="63"/>
            </w:pPr>
            <w:r>
              <w:t>11:00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934" w:type="dxa"/>
            <w:tcBorders>
              <w:top w:val="single" w:color="auto" w:sz="6" w:space="0"/>
              <w:left w:val="single" w:color="auto" w:sz="12" w:space="0"/>
              <w:bottom w:val="single" w:color="auto" w:sz="6" w:space="0"/>
              <w:right w:val="single" w:color="auto" w:sz="6" w:space="0"/>
            </w:tcBorders>
            <w:vAlign w:val="center"/>
          </w:tcPr>
          <w:p>
            <w:pPr>
              <w:pStyle w:val="63"/>
            </w:pPr>
            <w:r>
              <w:t>春季</w:t>
            </w:r>
          </w:p>
        </w:tc>
        <w:tc>
          <w:tcPr>
            <w:tcW w:w="680" w:type="dxa"/>
            <w:tcBorders>
              <w:top w:val="single" w:color="auto" w:sz="6" w:space="0"/>
              <w:left w:val="single" w:color="auto" w:sz="6" w:space="0"/>
              <w:bottom w:val="single" w:color="auto" w:sz="6" w:space="0"/>
              <w:right w:val="single" w:color="auto" w:sz="6" w:space="0"/>
            </w:tcBorders>
            <w:vAlign w:val="center"/>
          </w:tcPr>
          <w:p>
            <w:pPr>
              <w:pStyle w:val="63"/>
            </w:pPr>
            <w:r>
              <w:t>1.78</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1.81</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1.81</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1.89</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1.80</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1.86</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1.78</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1.65</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1.61</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1.75</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1.96</w:t>
            </w:r>
          </w:p>
        </w:tc>
        <w:tc>
          <w:tcPr>
            <w:tcW w:w="676" w:type="dxa"/>
            <w:tcBorders>
              <w:top w:val="single" w:color="auto" w:sz="6" w:space="0"/>
              <w:left w:val="single" w:color="auto" w:sz="6" w:space="0"/>
              <w:bottom w:val="single" w:color="auto" w:sz="6" w:space="0"/>
              <w:right w:val="single" w:color="auto" w:sz="12" w:space="0"/>
            </w:tcBorders>
            <w:vAlign w:val="center"/>
          </w:tcPr>
          <w:p>
            <w:pPr>
              <w:pStyle w:val="63"/>
            </w:pPr>
            <w:r>
              <w:t>2.17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934" w:type="dxa"/>
            <w:tcBorders>
              <w:top w:val="single" w:color="auto" w:sz="6" w:space="0"/>
              <w:left w:val="single" w:color="auto" w:sz="12" w:space="0"/>
              <w:bottom w:val="single" w:color="auto" w:sz="6" w:space="0"/>
              <w:right w:val="single" w:color="auto" w:sz="6" w:space="0"/>
            </w:tcBorders>
            <w:vAlign w:val="center"/>
          </w:tcPr>
          <w:p>
            <w:pPr>
              <w:pStyle w:val="63"/>
            </w:pPr>
            <w:r>
              <w:t>夏季</w:t>
            </w:r>
          </w:p>
        </w:tc>
        <w:tc>
          <w:tcPr>
            <w:tcW w:w="680" w:type="dxa"/>
            <w:tcBorders>
              <w:top w:val="single" w:color="auto" w:sz="6" w:space="0"/>
              <w:left w:val="single" w:color="auto" w:sz="6" w:space="0"/>
              <w:bottom w:val="single" w:color="auto" w:sz="6" w:space="0"/>
              <w:right w:val="single" w:color="auto" w:sz="6" w:space="0"/>
            </w:tcBorders>
            <w:vAlign w:val="center"/>
          </w:tcPr>
          <w:p>
            <w:pPr>
              <w:pStyle w:val="63"/>
            </w:pPr>
            <w:r>
              <w:t>1.96</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2.09</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2.12</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1.94</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1.89</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1.94</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1.83</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1.83</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2.20</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2.49</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2.80</w:t>
            </w:r>
          </w:p>
        </w:tc>
        <w:tc>
          <w:tcPr>
            <w:tcW w:w="676" w:type="dxa"/>
            <w:tcBorders>
              <w:top w:val="single" w:color="auto" w:sz="6" w:space="0"/>
              <w:left w:val="single" w:color="auto" w:sz="6" w:space="0"/>
              <w:bottom w:val="single" w:color="auto" w:sz="6" w:space="0"/>
              <w:right w:val="single" w:color="auto" w:sz="12" w:space="0"/>
            </w:tcBorders>
            <w:vAlign w:val="center"/>
          </w:tcPr>
          <w:p>
            <w:pPr>
              <w:pStyle w:val="63"/>
            </w:pPr>
            <w:r>
              <w:t>2.83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934" w:type="dxa"/>
            <w:tcBorders>
              <w:top w:val="single" w:color="auto" w:sz="6" w:space="0"/>
              <w:left w:val="single" w:color="auto" w:sz="12" w:space="0"/>
              <w:bottom w:val="single" w:color="auto" w:sz="6" w:space="0"/>
              <w:right w:val="single" w:color="auto" w:sz="6" w:space="0"/>
            </w:tcBorders>
            <w:vAlign w:val="center"/>
          </w:tcPr>
          <w:p>
            <w:pPr>
              <w:pStyle w:val="63"/>
            </w:pPr>
            <w:r>
              <w:t>秋季</w:t>
            </w:r>
          </w:p>
        </w:tc>
        <w:tc>
          <w:tcPr>
            <w:tcW w:w="680" w:type="dxa"/>
            <w:tcBorders>
              <w:top w:val="single" w:color="auto" w:sz="6" w:space="0"/>
              <w:left w:val="single" w:color="auto" w:sz="6" w:space="0"/>
              <w:bottom w:val="single" w:color="auto" w:sz="6" w:space="0"/>
              <w:right w:val="single" w:color="auto" w:sz="6" w:space="0"/>
            </w:tcBorders>
            <w:vAlign w:val="center"/>
          </w:tcPr>
          <w:p>
            <w:pPr>
              <w:pStyle w:val="63"/>
            </w:pPr>
            <w:r>
              <w:t>2.04</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1.96</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1.80</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1.79</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1.83</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1.64</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1.51</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1.54</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1.61</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2.17</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2.49</w:t>
            </w:r>
          </w:p>
        </w:tc>
        <w:tc>
          <w:tcPr>
            <w:tcW w:w="676" w:type="dxa"/>
            <w:tcBorders>
              <w:top w:val="single" w:color="auto" w:sz="6" w:space="0"/>
              <w:left w:val="single" w:color="auto" w:sz="6" w:space="0"/>
              <w:bottom w:val="single" w:color="auto" w:sz="6" w:space="0"/>
              <w:right w:val="single" w:color="auto" w:sz="12" w:space="0"/>
            </w:tcBorders>
            <w:vAlign w:val="center"/>
          </w:tcPr>
          <w:p>
            <w:pPr>
              <w:pStyle w:val="63"/>
            </w:pPr>
            <w:r>
              <w:t>2.66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934" w:type="dxa"/>
            <w:tcBorders>
              <w:top w:val="single" w:color="auto" w:sz="6" w:space="0"/>
              <w:left w:val="single" w:color="auto" w:sz="12" w:space="0"/>
              <w:bottom w:val="single" w:color="auto" w:sz="6" w:space="0"/>
              <w:right w:val="single" w:color="auto" w:sz="6" w:space="0"/>
            </w:tcBorders>
            <w:vAlign w:val="center"/>
          </w:tcPr>
          <w:p>
            <w:pPr>
              <w:pStyle w:val="63"/>
            </w:pPr>
            <w:r>
              <w:t>冬季</w:t>
            </w:r>
          </w:p>
        </w:tc>
        <w:tc>
          <w:tcPr>
            <w:tcW w:w="680" w:type="dxa"/>
            <w:tcBorders>
              <w:top w:val="single" w:color="auto" w:sz="6" w:space="0"/>
              <w:left w:val="single" w:color="auto" w:sz="6" w:space="0"/>
              <w:bottom w:val="single" w:color="auto" w:sz="6" w:space="0"/>
              <w:right w:val="single" w:color="auto" w:sz="6" w:space="0"/>
            </w:tcBorders>
            <w:vAlign w:val="center"/>
          </w:tcPr>
          <w:p>
            <w:pPr>
              <w:pStyle w:val="63"/>
            </w:pPr>
            <w:r>
              <w:t>1.83</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1.89</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1.64</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1.77</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1.80</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1.69</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1.64</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1.72</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1.71</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1.72</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1.82</w:t>
            </w:r>
          </w:p>
        </w:tc>
        <w:tc>
          <w:tcPr>
            <w:tcW w:w="676" w:type="dxa"/>
            <w:tcBorders>
              <w:top w:val="single" w:color="auto" w:sz="6" w:space="0"/>
              <w:left w:val="single" w:color="auto" w:sz="6" w:space="0"/>
              <w:bottom w:val="single" w:color="auto" w:sz="6" w:space="0"/>
              <w:right w:val="single" w:color="auto" w:sz="12" w:space="0"/>
            </w:tcBorders>
            <w:vAlign w:val="center"/>
          </w:tcPr>
          <w:p>
            <w:pPr>
              <w:pStyle w:val="63"/>
            </w:pPr>
            <w:r>
              <w:t>2.03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934" w:type="dxa"/>
            <w:tcBorders>
              <w:top w:val="single" w:color="auto" w:sz="6" w:space="0"/>
              <w:left w:val="single" w:color="auto" w:sz="12" w:space="0"/>
              <w:bottom w:val="single" w:color="auto" w:sz="6" w:space="0"/>
              <w:right w:val="single" w:color="auto" w:sz="6" w:space="0"/>
            </w:tcBorders>
            <w:vAlign w:val="center"/>
          </w:tcPr>
          <w:p>
            <w:pPr>
              <w:pStyle w:val="63"/>
            </w:pPr>
            <w:r>
              <w:t>小时（h）</w:t>
            </w:r>
          </w:p>
          <w:p>
            <w:pPr>
              <w:pStyle w:val="63"/>
            </w:pPr>
            <w:r>
              <w:t>风速（m/s）</w:t>
            </w:r>
          </w:p>
        </w:tc>
        <w:tc>
          <w:tcPr>
            <w:tcW w:w="680" w:type="dxa"/>
            <w:tcBorders>
              <w:top w:val="single" w:color="auto" w:sz="6" w:space="0"/>
              <w:left w:val="single" w:color="auto" w:sz="6" w:space="0"/>
              <w:bottom w:val="single" w:color="auto" w:sz="6" w:space="0"/>
              <w:right w:val="single" w:color="auto" w:sz="6" w:space="0"/>
            </w:tcBorders>
            <w:vAlign w:val="center"/>
          </w:tcPr>
          <w:p>
            <w:pPr>
              <w:pStyle w:val="63"/>
            </w:pPr>
            <w:r>
              <w:t>12:00</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13:00</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14:00</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15:00</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16:00</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17:00</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18:00</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19:00</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20:00</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21:00</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22:00</w:t>
            </w:r>
          </w:p>
        </w:tc>
        <w:tc>
          <w:tcPr>
            <w:tcW w:w="676" w:type="dxa"/>
            <w:tcBorders>
              <w:top w:val="single" w:color="auto" w:sz="6" w:space="0"/>
              <w:left w:val="single" w:color="auto" w:sz="6" w:space="0"/>
              <w:bottom w:val="single" w:color="auto" w:sz="6" w:space="0"/>
              <w:right w:val="single" w:color="auto" w:sz="12" w:space="0"/>
            </w:tcBorders>
            <w:vAlign w:val="center"/>
          </w:tcPr>
          <w:p>
            <w:pPr>
              <w:pStyle w:val="63"/>
            </w:pPr>
            <w:r>
              <w:t>23:00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934" w:type="dxa"/>
            <w:tcBorders>
              <w:top w:val="single" w:color="auto" w:sz="6" w:space="0"/>
              <w:left w:val="single" w:color="auto" w:sz="12" w:space="0"/>
              <w:bottom w:val="single" w:color="auto" w:sz="6" w:space="0"/>
              <w:right w:val="single" w:color="auto" w:sz="6" w:space="0"/>
            </w:tcBorders>
            <w:vAlign w:val="center"/>
          </w:tcPr>
          <w:p>
            <w:pPr>
              <w:pStyle w:val="63"/>
            </w:pPr>
            <w:r>
              <w:t>春季</w:t>
            </w:r>
          </w:p>
        </w:tc>
        <w:tc>
          <w:tcPr>
            <w:tcW w:w="680" w:type="dxa"/>
            <w:tcBorders>
              <w:top w:val="single" w:color="auto" w:sz="6" w:space="0"/>
              <w:left w:val="single" w:color="auto" w:sz="6" w:space="0"/>
              <w:bottom w:val="single" w:color="auto" w:sz="6" w:space="0"/>
              <w:right w:val="single" w:color="auto" w:sz="6" w:space="0"/>
            </w:tcBorders>
            <w:vAlign w:val="center"/>
          </w:tcPr>
          <w:p>
            <w:pPr>
              <w:pStyle w:val="63"/>
            </w:pPr>
            <w:r>
              <w:t>2.41</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2.55</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2.50</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2.34</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2.43</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2.38</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2.15</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1.83</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1.78</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1.84</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1.91</w:t>
            </w:r>
          </w:p>
        </w:tc>
        <w:tc>
          <w:tcPr>
            <w:tcW w:w="676" w:type="dxa"/>
            <w:tcBorders>
              <w:top w:val="single" w:color="auto" w:sz="6" w:space="0"/>
              <w:left w:val="single" w:color="auto" w:sz="6" w:space="0"/>
              <w:bottom w:val="single" w:color="auto" w:sz="6" w:space="0"/>
              <w:right w:val="single" w:color="auto" w:sz="12" w:space="0"/>
            </w:tcBorders>
            <w:vAlign w:val="center"/>
          </w:tcPr>
          <w:p>
            <w:pPr>
              <w:pStyle w:val="63"/>
            </w:pPr>
            <w:r>
              <w:t>1.83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934" w:type="dxa"/>
            <w:tcBorders>
              <w:top w:val="single" w:color="auto" w:sz="6" w:space="0"/>
              <w:left w:val="single" w:color="auto" w:sz="12" w:space="0"/>
              <w:bottom w:val="single" w:color="auto" w:sz="6" w:space="0"/>
              <w:right w:val="single" w:color="auto" w:sz="6" w:space="0"/>
            </w:tcBorders>
            <w:vAlign w:val="center"/>
          </w:tcPr>
          <w:p>
            <w:pPr>
              <w:pStyle w:val="63"/>
            </w:pPr>
            <w:r>
              <w:t>夏季</w:t>
            </w:r>
          </w:p>
        </w:tc>
        <w:tc>
          <w:tcPr>
            <w:tcW w:w="680" w:type="dxa"/>
            <w:tcBorders>
              <w:top w:val="single" w:color="auto" w:sz="6" w:space="0"/>
              <w:left w:val="single" w:color="auto" w:sz="6" w:space="0"/>
              <w:bottom w:val="single" w:color="auto" w:sz="6" w:space="0"/>
              <w:right w:val="single" w:color="auto" w:sz="6" w:space="0"/>
            </w:tcBorders>
            <w:vAlign w:val="center"/>
          </w:tcPr>
          <w:p>
            <w:pPr>
              <w:pStyle w:val="63"/>
            </w:pPr>
            <w:r>
              <w:t>2.94</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2.90</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3.12</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3.10</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2.73</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2.57</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2.32</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1.68</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1.61</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1.97</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2.09</w:t>
            </w:r>
          </w:p>
        </w:tc>
        <w:tc>
          <w:tcPr>
            <w:tcW w:w="676" w:type="dxa"/>
            <w:tcBorders>
              <w:top w:val="single" w:color="auto" w:sz="6" w:space="0"/>
              <w:left w:val="single" w:color="auto" w:sz="6" w:space="0"/>
              <w:bottom w:val="single" w:color="auto" w:sz="6" w:space="0"/>
              <w:right w:val="single" w:color="auto" w:sz="12" w:space="0"/>
            </w:tcBorders>
            <w:vAlign w:val="center"/>
          </w:tcPr>
          <w:p>
            <w:pPr>
              <w:pStyle w:val="63"/>
            </w:pPr>
            <w:r>
              <w:t>1.94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934" w:type="dxa"/>
            <w:tcBorders>
              <w:top w:val="single" w:color="auto" w:sz="6" w:space="0"/>
              <w:left w:val="single" w:color="auto" w:sz="12" w:space="0"/>
              <w:bottom w:val="single" w:color="auto" w:sz="6" w:space="0"/>
              <w:right w:val="single" w:color="auto" w:sz="6" w:space="0"/>
            </w:tcBorders>
            <w:vAlign w:val="center"/>
          </w:tcPr>
          <w:p>
            <w:pPr>
              <w:pStyle w:val="63"/>
            </w:pPr>
            <w:r>
              <w:t>秋季</w:t>
            </w:r>
          </w:p>
        </w:tc>
        <w:tc>
          <w:tcPr>
            <w:tcW w:w="680" w:type="dxa"/>
            <w:tcBorders>
              <w:top w:val="single" w:color="auto" w:sz="6" w:space="0"/>
              <w:left w:val="single" w:color="auto" w:sz="6" w:space="0"/>
              <w:bottom w:val="single" w:color="auto" w:sz="6" w:space="0"/>
              <w:right w:val="single" w:color="auto" w:sz="6" w:space="0"/>
            </w:tcBorders>
            <w:vAlign w:val="center"/>
          </w:tcPr>
          <w:p>
            <w:pPr>
              <w:pStyle w:val="63"/>
            </w:pPr>
            <w:r>
              <w:t>2.86</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3.15</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3.25</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3.09</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3.33</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3.05</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2.76</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2.34</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2.13</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2.10</w:t>
            </w:r>
          </w:p>
        </w:tc>
        <w:tc>
          <w:tcPr>
            <w:tcW w:w="679" w:type="dxa"/>
            <w:tcBorders>
              <w:top w:val="single" w:color="auto" w:sz="6" w:space="0"/>
              <w:left w:val="single" w:color="auto" w:sz="6" w:space="0"/>
              <w:bottom w:val="single" w:color="auto" w:sz="6" w:space="0"/>
              <w:right w:val="single" w:color="auto" w:sz="6" w:space="0"/>
            </w:tcBorders>
            <w:vAlign w:val="center"/>
          </w:tcPr>
          <w:p>
            <w:pPr>
              <w:pStyle w:val="63"/>
            </w:pPr>
            <w:r>
              <w:t>2.17</w:t>
            </w:r>
          </w:p>
        </w:tc>
        <w:tc>
          <w:tcPr>
            <w:tcW w:w="676" w:type="dxa"/>
            <w:tcBorders>
              <w:top w:val="single" w:color="auto" w:sz="6" w:space="0"/>
              <w:left w:val="single" w:color="auto" w:sz="6" w:space="0"/>
              <w:bottom w:val="single" w:color="auto" w:sz="6" w:space="0"/>
              <w:right w:val="single" w:color="auto" w:sz="12" w:space="0"/>
            </w:tcBorders>
            <w:vAlign w:val="center"/>
          </w:tcPr>
          <w:p>
            <w:pPr>
              <w:pStyle w:val="63"/>
            </w:pPr>
            <w:r>
              <w:t>2.23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934" w:type="dxa"/>
            <w:tcBorders>
              <w:top w:val="single" w:color="auto" w:sz="6" w:space="0"/>
              <w:left w:val="single" w:color="auto" w:sz="12" w:space="0"/>
              <w:bottom w:val="single" w:color="auto" w:sz="12" w:space="0"/>
              <w:right w:val="single" w:color="auto" w:sz="6" w:space="0"/>
            </w:tcBorders>
            <w:vAlign w:val="center"/>
          </w:tcPr>
          <w:p>
            <w:pPr>
              <w:pStyle w:val="63"/>
            </w:pPr>
            <w:r>
              <w:t>冬季</w:t>
            </w:r>
          </w:p>
        </w:tc>
        <w:tc>
          <w:tcPr>
            <w:tcW w:w="680" w:type="dxa"/>
            <w:tcBorders>
              <w:top w:val="single" w:color="auto" w:sz="6" w:space="0"/>
              <w:left w:val="single" w:color="auto" w:sz="6" w:space="0"/>
              <w:bottom w:val="single" w:color="auto" w:sz="12" w:space="0"/>
              <w:right w:val="single" w:color="auto" w:sz="6" w:space="0"/>
            </w:tcBorders>
            <w:vAlign w:val="center"/>
          </w:tcPr>
          <w:p>
            <w:pPr>
              <w:pStyle w:val="63"/>
            </w:pPr>
            <w:r>
              <w:t>2.18</w:t>
            </w:r>
          </w:p>
        </w:tc>
        <w:tc>
          <w:tcPr>
            <w:tcW w:w="679" w:type="dxa"/>
            <w:tcBorders>
              <w:top w:val="single" w:color="auto" w:sz="6" w:space="0"/>
              <w:left w:val="single" w:color="auto" w:sz="6" w:space="0"/>
              <w:bottom w:val="single" w:color="auto" w:sz="12" w:space="0"/>
              <w:right w:val="single" w:color="auto" w:sz="6" w:space="0"/>
            </w:tcBorders>
            <w:vAlign w:val="center"/>
          </w:tcPr>
          <w:p>
            <w:pPr>
              <w:pStyle w:val="63"/>
            </w:pPr>
            <w:r>
              <w:t>2.31</w:t>
            </w:r>
          </w:p>
        </w:tc>
        <w:tc>
          <w:tcPr>
            <w:tcW w:w="679" w:type="dxa"/>
            <w:tcBorders>
              <w:top w:val="single" w:color="auto" w:sz="6" w:space="0"/>
              <w:left w:val="single" w:color="auto" w:sz="6" w:space="0"/>
              <w:bottom w:val="single" w:color="auto" w:sz="12" w:space="0"/>
              <w:right w:val="single" w:color="auto" w:sz="6" w:space="0"/>
            </w:tcBorders>
            <w:vAlign w:val="center"/>
          </w:tcPr>
          <w:p>
            <w:pPr>
              <w:pStyle w:val="63"/>
            </w:pPr>
            <w:r>
              <w:t>2.35</w:t>
            </w:r>
          </w:p>
        </w:tc>
        <w:tc>
          <w:tcPr>
            <w:tcW w:w="679" w:type="dxa"/>
            <w:tcBorders>
              <w:top w:val="single" w:color="auto" w:sz="6" w:space="0"/>
              <w:left w:val="single" w:color="auto" w:sz="6" w:space="0"/>
              <w:bottom w:val="single" w:color="auto" w:sz="12" w:space="0"/>
              <w:right w:val="single" w:color="auto" w:sz="6" w:space="0"/>
            </w:tcBorders>
            <w:vAlign w:val="center"/>
          </w:tcPr>
          <w:p>
            <w:pPr>
              <w:pStyle w:val="63"/>
            </w:pPr>
            <w:r>
              <w:t>2.30</w:t>
            </w:r>
          </w:p>
        </w:tc>
        <w:tc>
          <w:tcPr>
            <w:tcW w:w="679" w:type="dxa"/>
            <w:tcBorders>
              <w:top w:val="single" w:color="auto" w:sz="6" w:space="0"/>
              <w:left w:val="single" w:color="auto" w:sz="6" w:space="0"/>
              <w:bottom w:val="single" w:color="auto" w:sz="12" w:space="0"/>
              <w:right w:val="single" w:color="auto" w:sz="6" w:space="0"/>
            </w:tcBorders>
            <w:vAlign w:val="center"/>
          </w:tcPr>
          <w:p>
            <w:pPr>
              <w:pStyle w:val="63"/>
            </w:pPr>
            <w:r>
              <w:t>2.36</w:t>
            </w:r>
          </w:p>
        </w:tc>
        <w:tc>
          <w:tcPr>
            <w:tcW w:w="679" w:type="dxa"/>
            <w:tcBorders>
              <w:top w:val="single" w:color="auto" w:sz="6" w:space="0"/>
              <w:left w:val="single" w:color="auto" w:sz="6" w:space="0"/>
              <w:bottom w:val="single" w:color="auto" w:sz="12" w:space="0"/>
              <w:right w:val="single" w:color="auto" w:sz="6" w:space="0"/>
            </w:tcBorders>
            <w:vAlign w:val="center"/>
          </w:tcPr>
          <w:p>
            <w:pPr>
              <w:pStyle w:val="63"/>
            </w:pPr>
            <w:r>
              <w:t>2.15</w:t>
            </w:r>
          </w:p>
        </w:tc>
        <w:tc>
          <w:tcPr>
            <w:tcW w:w="679" w:type="dxa"/>
            <w:tcBorders>
              <w:top w:val="single" w:color="auto" w:sz="6" w:space="0"/>
              <w:left w:val="single" w:color="auto" w:sz="6" w:space="0"/>
              <w:bottom w:val="single" w:color="auto" w:sz="12" w:space="0"/>
              <w:right w:val="single" w:color="auto" w:sz="6" w:space="0"/>
            </w:tcBorders>
            <w:vAlign w:val="center"/>
          </w:tcPr>
          <w:p>
            <w:pPr>
              <w:pStyle w:val="63"/>
            </w:pPr>
            <w:r>
              <w:t>2.10</w:t>
            </w:r>
          </w:p>
        </w:tc>
        <w:tc>
          <w:tcPr>
            <w:tcW w:w="679" w:type="dxa"/>
            <w:tcBorders>
              <w:top w:val="single" w:color="auto" w:sz="6" w:space="0"/>
              <w:left w:val="single" w:color="auto" w:sz="6" w:space="0"/>
              <w:bottom w:val="single" w:color="auto" w:sz="12" w:space="0"/>
              <w:right w:val="single" w:color="auto" w:sz="6" w:space="0"/>
            </w:tcBorders>
            <w:vAlign w:val="center"/>
          </w:tcPr>
          <w:p>
            <w:pPr>
              <w:pStyle w:val="63"/>
            </w:pPr>
            <w:r>
              <w:t>1.94</w:t>
            </w:r>
          </w:p>
        </w:tc>
        <w:tc>
          <w:tcPr>
            <w:tcW w:w="679" w:type="dxa"/>
            <w:tcBorders>
              <w:top w:val="single" w:color="auto" w:sz="6" w:space="0"/>
              <w:left w:val="single" w:color="auto" w:sz="6" w:space="0"/>
              <w:bottom w:val="single" w:color="auto" w:sz="12" w:space="0"/>
              <w:right w:val="single" w:color="auto" w:sz="6" w:space="0"/>
            </w:tcBorders>
            <w:vAlign w:val="center"/>
          </w:tcPr>
          <w:p>
            <w:pPr>
              <w:pStyle w:val="63"/>
            </w:pPr>
            <w:r>
              <w:t>1.71</w:t>
            </w:r>
          </w:p>
        </w:tc>
        <w:tc>
          <w:tcPr>
            <w:tcW w:w="679" w:type="dxa"/>
            <w:tcBorders>
              <w:top w:val="single" w:color="auto" w:sz="6" w:space="0"/>
              <w:left w:val="single" w:color="auto" w:sz="6" w:space="0"/>
              <w:bottom w:val="single" w:color="auto" w:sz="12" w:space="0"/>
              <w:right w:val="single" w:color="auto" w:sz="6" w:space="0"/>
            </w:tcBorders>
            <w:vAlign w:val="center"/>
          </w:tcPr>
          <w:p>
            <w:pPr>
              <w:pStyle w:val="63"/>
            </w:pPr>
            <w:r>
              <w:t>1.81</w:t>
            </w:r>
          </w:p>
        </w:tc>
        <w:tc>
          <w:tcPr>
            <w:tcW w:w="679" w:type="dxa"/>
            <w:tcBorders>
              <w:top w:val="single" w:color="auto" w:sz="6" w:space="0"/>
              <w:left w:val="single" w:color="auto" w:sz="6" w:space="0"/>
              <w:bottom w:val="single" w:color="auto" w:sz="12" w:space="0"/>
              <w:right w:val="single" w:color="auto" w:sz="6" w:space="0"/>
            </w:tcBorders>
            <w:vAlign w:val="center"/>
          </w:tcPr>
          <w:p>
            <w:pPr>
              <w:pStyle w:val="63"/>
            </w:pPr>
            <w:r>
              <w:t>1.85</w:t>
            </w:r>
          </w:p>
        </w:tc>
        <w:tc>
          <w:tcPr>
            <w:tcW w:w="676" w:type="dxa"/>
            <w:tcBorders>
              <w:top w:val="single" w:color="auto" w:sz="6" w:space="0"/>
              <w:left w:val="single" w:color="auto" w:sz="6" w:space="0"/>
              <w:bottom w:val="single" w:color="auto" w:sz="12" w:space="0"/>
              <w:right w:val="single" w:color="auto" w:sz="12" w:space="0"/>
            </w:tcBorders>
            <w:vAlign w:val="center"/>
          </w:tcPr>
          <w:p>
            <w:pPr>
              <w:pStyle w:val="63"/>
            </w:pPr>
            <w:r>
              <w:t>1.75</w:t>
            </w:r>
          </w:p>
        </w:tc>
      </w:tr>
    </w:tbl>
    <w:p>
      <w:pPr>
        <w:jc w:val="center"/>
        <w:rPr>
          <w:rFonts w:ascii="Times New Roman" w:hAnsi="Times New Roman" w:cs="Times New Roman"/>
        </w:rPr>
      </w:pPr>
    </w:p>
    <w:p>
      <w:pPr>
        <w:jc w:val="center"/>
        <w:rPr>
          <w:rFonts w:ascii="Times New Roman" w:hAnsi="Times New Roman" w:cs="Times New Roman"/>
        </w:rPr>
      </w:pPr>
    </w:p>
    <w:p>
      <w:pPr>
        <w:jc w:val="center"/>
        <w:rPr>
          <w:rFonts w:ascii="Times New Roman" w:hAnsi="Times New Roman" w:cs="Times New Roman"/>
        </w:rPr>
      </w:pPr>
      <w:r>
        <w:rPr>
          <w:rFonts w:ascii="Times New Roman" w:hAnsi="Times New Roman" w:cs="Times New Roman"/>
        </w:rPr>
        <w:drawing>
          <wp:inline distT="0" distB="0" distL="0" distR="0">
            <wp:extent cx="5486400" cy="27051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486400" cy="2705100"/>
                    </a:xfrm>
                    <a:prstGeom prst="rect">
                      <a:avLst/>
                    </a:prstGeom>
                    <a:noFill/>
                    <a:ln>
                      <a:noFill/>
                    </a:ln>
                  </pic:spPr>
                </pic:pic>
              </a:graphicData>
            </a:graphic>
          </wp:inline>
        </w:drawing>
      </w:r>
    </w:p>
    <w:p>
      <w:pPr>
        <w:pStyle w:val="6"/>
        <w:rPr>
          <w:rFonts w:ascii="Times New Roman" w:hAnsi="Times New Roman" w:cs="Times New Roman"/>
          <w:lang w:val="zh-CN"/>
        </w:rPr>
      </w:pPr>
      <w:r>
        <w:rPr>
          <w:rFonts w:ascii="Times New Roman" w:hAnsi="Times New Roman" w:cs="Times New Roman"/>
          <w:lang w:val="zh-CN"/>
        </w:rPr>
        <w:t>图</w:t>
      </w:r>
      <w:r>
        <w:rPr>
          <w:rFonts w:ascii="Times New Roman" w:hAnsi="Times New Roman" w:cs="Times New Roman"/>
        </w:rPr>
        <w:t>6</w:t>
      </w:r>
      <w:r>
        <w:rPr>
          <w:rFonts w:ascii="Times New Roman" w:hAnsi="Times New Roman" w:cs="Times New Roman"/>
          <w:lang w:val="zh-CN"/>
        </w:rPr>
        <w:t>.2.1-1</w:t>
      </w:r>
      <w:r>
        <w:rPr>
          <w:rFonts w:hint="eastAsia" w:ascii="Times New Roman" w:hAnsi="Times New Roman" w:cs="Times New Roman"/>
          <w:lang w:val="zh-CN"/>
        </w:rPr>
        <w:t>0</w:t>
      </w:r>
      <w:r>
        <w:rPr>
          <w:rFonts w:ascii="Times New Roman" w:hAnsi="Times New Roman" w:cs="Times New Roman"/>
          <w:lang w:val="zh-CN"/>
        </w:rPr>
        <w:t xml:space="preserve">  衡东气象站2022年季平均风速日变化图</w:t>
      </w:r>
    </w:p>
    <w:p>
      <w:pPr>
        <w:tabs>
          <w:tab w:val="left" w:pos="1320"/>
        </w:tabs>
        <w:spacing w:line="360" w:lineRule="auto"/>
        <w:ind w:firstLine="480"/>
        <w:rPr>
          <w:rFonts w:ascii="Times New Roman" w:hAnsi="Times New Roman" w:cs="Times New Roman"/>
          <w:kern w:val="24"/>
          <w:lang w:val="zh-CN"/>
        </w:rPr>
      </w:pPr>
      <w:r>
        <w:rPr>
          <w:rFonts w:hint="eastAsia" w:ascii="宋体" w:hAnsi="宋体" w:eastAsia="宋体" w:cs="宋体"/>
          <w:kern w:val="24"/>
          <w:lang w:val="zh-CN"/>
        </w:rPr>
        <w:t>⑨</w:t>
      </w:r>
      <w:r>
        <w:rPr>
          <w:rFonts w:ascii="Times New Roman" w:hAnsi="Times New Roman" w:cs="Times New Roman"/>
          <w:kern w:val="24"/>
          <w:lang w:val="zh-CN"/>
        </w:rPr>
        <w:t>风向、风频</w:t>
      </w:r>
    </w:p>
    <w:p>
      <w:pPr>
        <w:tabs>
          <w:tab w:val="left" w:pos="1320"/>
        </w:tabs>
        <w:spacing w:line="360" w:lineRule="auto"/>
        <w:ind w:firstLine="480"/>
        <w:rPr>
          <w:rFonts w:ascii="Times New Roman" w:hAnsi="Times New Roman" w:cs="Times New Roman"/>
          <w:kern w:val="24"/>
          <w:lang w:val="zh-CN"/>
        </w:rPr>
      </w:pPr>
      <w:r>
        <w:rPr>
          <w:rFonts w:ascii="Times New Roman" w:hAnsi="Times New Roman" w:cs="Times New Roman"/>
          <w:kern w:val="24"/>
          <w:lang w:val="zh-CN"/>
        </w:rPr>
        <w:t>衡东气象站2022年各月平均各风向风频变化情况</w:t>
      </w:r>
      <w:r>
        <w:rPr>
          <w:rFonts w:ascii="Times New Roman" w:hAnsi="Times New Roman" w:cs="Times New Roman"/>
        </w:rPr>
        <w:t>见下表</w:t>
      </w:r>
      <w:r>
        <w:rPr>
          <w:rFonts w:ascii="Times New Roman" w:hAnsi="Times New Roman" w:cs="Times New Roman"/>
          <w:kern w:val="24"/>
          <w:lang w:val="zh-CN"/>
        </w:rPr>
        <w:t>，风玫瑰图见</w:t>
      </w:r>
      <w:r>
        <w:rPr>
          <w:rFonts w:hint="eastAsia" w:ascii="Times New Roman" w:hAnsi="Times New Roman" w:cs="Times New Roman"/>
          <w:kern w:val="24"/>
          <w:lang w:val="zh-CN"/>
        </w:rPr>
        <w:t>下</w:t>
      </w:r>
      <w:r>
        <w:rPr>
          <w:rFonts w:ascii="Times New Roman" w:hAnsi="Times New Roman" w:cs="Times New Roman"/>
          <w:kern w:val="24"/>
          <w:lang w:val="zh-CN"/>
        </w:rPr>
        <w:t>图。</w:t>
      </w:r>
    </w:p>
    <w:p>
      <w:pPr>
        <w:jc w:val="center"/>
        <w:rPr>
          <w:rFonts w:ascii="Times New Roman" w:hAnsi="Times New Roman" w:cs="Times New Roman"/>
        </w:rPr>
      </w:pPr>
      <w:r>
        <w:rPr>
          <w:rFonts w:ascii="Times New Roman" w:hAnsi="Times New Roman" w:cs="Times New Roman"/>
        </w:rPr>
        <w:drawing>
          <wp:inline distT="0" distB="0" distL="0" distR="0">
            <wp:extent cx="5067300" cy="57912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067300" cy="5791200"/>
                    </a:xfrm>
                    <a:prstGeom prst="rect">
                      <a:avLst/>
                    </a:prstGeom>
                    <a:noFill/>
                    <a:ln>
                      <a:noFill/>
                    </a:ln>
                  </pic:spPr>
                </pic:pic>
              </a:graphicData>
            </a:graphic>
          </wp:inline>
        </w:drawing>
      </w:r>
    </w:p>
    <w:p>
      <w:pPr>
        <w:pStyle w:val="6"/>
        <w:rPr>
          <w:rFonts w:ascii="Times New Roman" w:hAnsi="Times New Roman" w:cs="Times New Roman"/>
          <w:lang w:val="zh-CN"/>
        </w:rPr>
        <w:sectPr>
          <w:pgSz w:w="11907" w:h="16839"/>
          <w:pgMar w:top="1440" w:right="1797" w:bottom="1440" w:left="1797" w:header="851" w:footer="992" w:gutter="0"/>
          <w:cols w:space="720" w:num="1"/>
          <w:docGrid w:linePitch="326" w:charSpace="0"/>
        </w:sectPr>
      </w:pPr>
      <w:r>
        <w:rPr>
          <w:rFonts w:ascii="Times New Roman" w:hAnsi="Times New Roman" w:cs="Times New Roman"/>
          <w:lang w:val="zh-CN"/>
        </w:rPr>
        <w:t>图</w:t>
      </w:r>
      <w:r>
        <w:rPr>
          <w:rFonts w:ascii="Times New Roman" w:hAnsi="Times New Roman" w:cs="Times New Roman"/>
        </w:rPr>
        <w:t>6</w:t>
      </w:r>
      <w:r>
        <w:rPr>
          <w:rFonts w:ascii="Times New Roman" w:hAnsi="Times New Roman" w:cs="Times New Roman"/>
          <w:lang w:val="zh-CN"/>
        </w:rPr>
        <w:t>.2.1-1</w:t>
      </w:r>
      <w:r>
        <w:rPr>
          <w:rFonts w:hint="eastAsia" w:ascii="Times New Roman" w:hAnsi="Times New Roman" w:cs="Times New Roman"/>
          <w:lang w:val="zh-CN"/>
        </w:rPr>
        <w:t>1</w:t>
      </w:r>
      <w:r>
        <w:rPr>
          <w:rFonts w:ascii="Times New Roman" w:hAnsi="Times New Roman" w:cs="Times New Roman"/>
          <w:lang w:val="zh-CN"/>
        </w:rPr>
        <w:t xml:space="preserve">  衡东气象站2022年各月和全年风向频率玫瑰图</w:t>
      </w:r>
      <w:bookmarkStart w:id="329" w:name="_Toc372913828"/>
      <w:bookmarkStart w:id="330" w:name="_Toc385771871"/>
      <w:bookmarkStart w:id="331" w:name="_Toc374694524"/>
    </w:p>
    <w:p>
      <w:pPr>
        <w:pStyle w:val="6"/>
        <w:rPr>
          <w:rFonts w:ascii="Times New Roman" w:hAnsi="Times New Roman" w:cs="Times New Roman"/>
          <w:lang w:val="zh-CN"/>
        </w:rPr>
      </w:pPr>
      <w:r>
        <w:rPr>
          <w:rFonts w:ascii="Times New Roman" w:hAnsi="Times New Roman" w:cs="Times New Roman"/>
          <w:lang w:val="zh-CN"/>
        </w:rPr>
        <w:t>表</w:t>
      </w:r>
      <w:r>
        <w:rPr>
          <w:rFonts w:ascii="Times New Roman" w:hAnsi="Times New Roman" w:cs="Times New Roman"/>
        </w:rPr>
        <w:t>6</w:t>
      </w:r>
      <w:r>
        <w:rPr>
          <w:rFonts w:ascii="Times New Roman" w:hAnsi="Times New Roman" w:cs="Times New Roman"/>
          <w:lang w:val="zh-CN"/>
        </w:rPr>
        <w:t>.2.1-8  衡东气象站2022年平均风频的月变化统计表</w:t>
      </w:r>
      <w:bookmarkEnd w:id="329"/>
      <w:r>
        <w:rPr>
          <w:rFonts w:ascii="Times New Roman" w:hAnsi="Times New Roman" w:cs="Times New Roman"/>
          <w:lang w:val="zh-CN"/>
        </w:rPr>
        <w:t xml:space="preserve">  单位：（%）</w:t>
      </w:r>
      <w:bookmarkEnd w:id="330"/>
      <w:bookmarkEnd w:id="331"/>
    </w:p>
    <w:tbl>
      <w:tblPr>
        <w:tblStyle w:val="35"/>
        <w:tblW w:w="1331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Layout w:type="fixed"/>
        <w:tblCellMar>
          <w:top w:w="0" w:type="dxa"/>
          <w:left w:w="6" w:type="dxa"/>
          <w:bottom w:w="0" w:type="dxa"/>
          <w:right w:w="6" w:type="dxa"/>
        </w:tblCellMar>
      </w:tblPr>
      <w:tblGrid>
        <w:gridCol w:w="1093"/>
        <w:gridCol w:w="713"/>
        <w:gridCol w:w="716"/>
        <w:gridCol w:w="716"/>
        <w:gridCol w:w="717"/>
        <w:gridCol w:w="719"/>
        <w:gridCol w:w="717"/>
        <w:gridCol w:w="717"/>
        <w:gridCol w:w="719"/>
        <w:gridCol w:w="717"/>
        <w:gridCol w:w="717"/>
        <w:gridCol w:w="719"/>
        <w:gridCol w:w="717"/>
        <w:gridCol w:w="717"/>
        <w:gridCol w:w="865"/>
        <w:gridCol w:w="619"/>
        <w:gridCol w:w="805"/>
        <w:gridCol w:w="6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454" w:hRule="atLeast"/>
        </w:trPr>
        <w:tc>
          <w:tcPr>
            <w:tcW w:w="1093" w:type="dxa"/>
            <w:shd w:val="clear" w:color="auto" w:fill="FFFFFF"/>
            <w:vAlign w:val="center"/>
          </w:tcPr>
          <w:p>
            <w:pPr>
              <w:pStyle w:val="63"/>
            </w:pPr>
            <w:r>
              <w:t>风频（%）</w:t>
            </w:r>
          </w:p>
          <w:p>
            <w:pPr>
              <w:pStyle w:val="63"/>
            </w:pPr>
            <w:r>
              <w:t>月份</w:t>
            </w:r>
          </w:p>
        </w:tc>
        <w:tc>
          <w:tcPr>
            <w:tcW w:w="713" w:type="dxa"/>
            <w:shd w:val="clear" w:color="auto" w:fill="FFFFFF"/>
            <w:vAlign w:val="center"/>
          </w:tcPr>
          <w:p>
            <w:pPr>
              <w:pStyle w:val="63"/>
            </w:pPr>
            <w:r>
              <w:t>N</w:t>
            </w:r>
          </w:p>
        </w:tc>
        <w:tc>
          <w:tcPr>
            <w:tcW w:w="716" w:type="dxa"/>
            <w:shd w:val="clear" w:color="auto" w:fill="FFFFFF"/>
            <w:vAlign w:val="center"/>
          </w:tcPr>
          <w:p>
            <w:pPr>
              <w:pStyle w:val="63"/>
            </w:pPr>
            <w:r>
              <w:t>NNE</w:t>
            </w:r>
          </w:p>
        </w:tc>
        <w:tc>
          <w:tcPr>
            <w:tcW w:w="716" w:type="dxa"/>
            <w:shd w:val="clear" w:color="auto" w:fill="FFFFFF"/>
            <w:vAlign w:val="center"/>
          </w:tcPr>
          <w:p>
            <w:pPr>
              <w:pStyle w:val="63"/>
            </w:pPr>
            <w:r>
              <w:t>NE</w:t>
            </w:r>
          </w:p>
        </w:tc>
        <w:tc>
          <w:tcPr>
            <w:tcW w:w="717" w:type="dxa"/>
            <w:shd w:val="clear" w:color="auto" w:fill="FFFFFF"/>
            <w:vAlign w:val="center"/>
          </w:tcPr>
          <w:p>
            <w:pPr>
              <w:pStyle w:val="63"/>
            </w:pPr>
            <w:r>
              <w:t>ENE</w:t>
            </w:r>
          </w:p>
        </w:tc>
        <w:tc>
          <w:tcPr>
            <w:tcW w:w="719" w:type="dxa"/>
            <w:shd w:val="clear" w:color="auto" w:fill="FFFFFF"/>
            <w:vAlign w:val="center"/>
          </w:tcPr>
          <w:p>
            <w:pPr>
              <w:pStyle w:val="63"/>
            </w:pPr>
            <w:r>
              <w:t>E</w:t>
            </w:r>
          </w:p>
        </w:tc>
        <w:tc>
          <w:tcPr>
            <w:tcW w:w="717" w:type="dxa"/>
            <w:shd w:val="clear" w:color="auto" w:fill="FFFFFF"/>
            <w:vAlign w:val="center"/>
          </w:tcPr>
          <w:p>
            <w:pPr>
              <w:pStyle w:val="63"/>
            </w:pPr>
            <w:r>
              <w:t>ESE</w:t>
            </w:r>
          </w:p>
        </w:tc>
        <w:tc>
          <w:tcPr>
            <w:tcW w:w="717" w:type="dxa"/>
            <w:shd w:val="clear" w:color="auto" w:fill="FFFFFF"/>
            <w:vAlign w:val="center"/>
          </w:tcPr>
          <w:p>
            <w:pPr>
              <w:pStyle w:val="63"/>
            </w:pPr>
            <w:r>
              <w:t>SE</w:t>
            </w:r>
          </w:p>
        </w:tc>
        <w:tc>
          <w:tcPr>
            <w:tcW w:w="719" w:type="dxa"/>
            <w:shd w:val="clear" w:color="auto" w:fill="FFFFFF"/>
            <w:vAlign w:val="center"/>
          </w:tcPr>
          <w:p>
            <w:pPr>
              <w:pStyle w:val="63"/>
            </w:pPr>
            <w:r>
              <w:t>SSE</w:t>
            </w:r>
          </w:p>
        </w:tc>
        <w:tc>
          <w:tcPr>
            <w:tcW w:w="717" w:type="dxa"/>
            <w:shd w:val="clear" w:color="auto" w:fill="FFFFFF"/>
            <w:vAlign w:val="center"/>
          </w:tcPr>
          <w:p>
            <w:pPr>
              <w:pStyle w:val="63"/>
            </w:pPr>
            <w:r>
              <w:t>S</w:t>
            </w:r>
          </w:p>
        </w:tc>
        <w:tc>
          <w:tcPr>
            <w:tcW w:w="717" w:type="dxa"/>
            <w:shd w:val="clear" w:color="auto" w:fill="FFFFFF"/>
            <w:vAlign w:val="center"/>
          </w:tcPr>
          <w:p>
            <w:pPr>
              <w:pStyle w:val="63"/>
            </w:pPr>
            <w:r>
              <w:t>SSW</w:t>
            </w:r>
          </w:p>
        </w:tc>
        <w:tc>
          <w:tcPr>
            <w:tcW w:w="719" w:type="dxa"/>
            <w:shd w:val="clear" w:color="auto" w:fill="FFFFFF"/>
            <w:vAlign w:val="center"/>
          </w:tcPr>
          <w:p>
            <w:pPr>
              <w:pStyle w:val="63"/>
            </w:pPr>
            <w:r>
              <w:t>SW</w:t>
            </w:r>
          </w:p>
        </w:tc>
        <w:tc>
          <w:tcPr>
            <w:tcW w:w="717" w:type="dxa"/>
            <w:shd w:val="clear" w:color="auto" w:fill="FFFFFF"/>
            <w:vAlign w:val="center"/>
          </w:tcPr>
          <w:p>
            <w:pPr>
              <w:pStyle w:val="63"/>
            </w:pPr>
            <w:r>
              <w:t>WSW</w:t>
            </w:r>
          </w:p>
        </w:tc>
        <w:tc>
          <w:tcPr>
            <w:tcW w:w="717" w:type="dxa"/>
            <w:shd w:val="clear" w:color="auto" w:fill="FFFFFF"/>
            <w:vAlign w:val="center"/>
          </w:tcPr>
          <w:p>
            <w:pPr>
              <w:pStyle w:val="63"/>
            </w:pPr>
            <w:r>
              <w:t>W</w:t>
            </w:r>
          </w:p>
        </w:tc>
        <w:tc>
          <w:tcPr>
            <w:tcW w:w="865" w:type="dxa"/>
            <w:shd w:val="clear" w:color="auto" w:fill="FFFFFF"/>
            <w:vAlign w:val="center"/>
          </w:tcPr>
          <w:p>
            <w:pPr>
              <w:pStyle w:val="63"/>
            </w:pPr>
            <w:r>
              <w:t>WNW</w:t>
            </w:r>
          </w:p>
        </w:tc>
        <w:tc>
          <w:tcPr>
            <w:tcW w:w="619" w:type="dxa"/>
            <w:shd w:val="clear" w:color="auto" w:fill="FFFFFF"/>
            <w:vAlign w:val="center"/>
          </w:tcPr>
          <w:p>
            <w:pPr>
              <w:pStyle w:val="63"/>
            </w:pPr>
            <w:r>
              <w:t>NW</w:t>
            </w:r>
          </w:p>
        </w:tc>
        <w:tc>
          <w:tcPr>
            <w:tcW w:w="805" w:type="dxa"/>
            <w:shd w:val="clear" w:color="auto" w:fill="FFFFFF"/>
            <w:vAlign w:val="center"/>
          </w:tcPr>
          <w:p>
            <w:pPr>
              <w:pStyle w:val="63"/>
            </w:pPr>
            <w:r>
              <w:t>NNW</w:t>
            </w:r>
          </w:p>
        </w:tc>
        <w:tc>
          <w:tcPr>
            <w:tcW w:w="607" w:type="dxa"/>
            <w:shd w:val="clear" w:color="auto" w:fill="FFFFFF"/>
            <w:vAlign w:val="center"/>
          </w:tcPr>
          <w:p>
            <w:pPr>
              <w:pStyle w:val="63"/>
            </w:pPr>
            <w:r>
              <w:t>C</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6" w:type="dxa"/>
            <w:bottom w:w="0" w:type="dxa"/>
            <w:right w:w="6" w:type="dxa"/>
          </w:tblCellMar>
        </w:tblPrEx>
        <w:trPr>
          <w:trHeight w:val="454" w:hRule="atLeast"/>
        </w:trPr>
        <w:tc>
          <w:tcPr>
            <w:tcW w:w="1093" w:type="dxa"/>
            <w:shd w:val="clear" w:color="auto" w:fill="FFFFFF"/>
            <w:vAlign w:val="center"/>
          </w:tcPr>
          <w:p>
            <w:pPr>
              <w:pStyle w:val="63"/>
            </w:pPr>
            <w:r>
              <w:t>一月</w:t>
            </w:r>
          </w:p>
        </w:tc>
        <w:tc>
          <w:tcPr>
            <w:tcW w:w="713" w:type="dxa"/>
            <w:shd w:val="clear" w:color="auto" w:fill="FFFFFF"/>
            <w:vAlign w:val="center"/>
          </w:tcPr>
          <w:p>
            <w:pPr>
              <w:pStyle w:val="63"/>
            </w:pPr>
            <w:r>
              <w:t>26.48</w:t>
            </w:r>
          </w:p>
        </w:tc>
        <w:tc>
          <w:tcPr>
            <w:tcW w:w="716" w:type="dxa"/>
            <w:shd w:val="clear" w:color="auto" w:fill="FFFFFF"/>
            <w:vAlign w:val="center"/>
          </w:tcPr>
          <w:p>
            <w:pPr>
              <w:pStyle w:val="63"/>
            </w:pPr>
            <w:r>
              <w:t>9.14</w:t>
            </w:r>
          </w:p>
        </w:tc>
        <w:tc>
          <w:tcPr>
            <w:tcW w:w="716" w:type="dxa"/>
            <w:shd w:val="clear" w:color="auto" w:fill="FFFFFF"/>
            <w:vAlign w:val="center"/>
          </w:tcPr>
          <w:p>
            <w:pPr>
              <w:pStyle w:val="63"/>
            </w:pPr>
            <w:r>
              <w:t>9.27</w:t>
            </w:r>
          </w:p>
        </w:tc>
        <w:tc>
          <w:tcPr>
            <w:tcW w:w="717" w:type="dxa"/>
            <w:shd w:val="clear" w:color="auto" w:fill="FFFFFF"/>
            <w:vAlign w:val="center"/>
          </w:tcPr>
          <w:p>
            <w:pPr>
              <w:pStyle w:val="63"/>
            </w:pPr>
            <w:r>
              <w:t>5.24</w:t>
            </w:r>
          </w:p>
        </w:tc>
        <w:tc>
          <w:tcPr>
            <w:tcW w:w="719" w:type="dxa"/>
            <w:shd w:val="clear" w:color="auto" w:fill="FFFFFF"/>
            <w:vAlign w:val="center"/>
          </w:tcPr>
          <w:p>
            <w:pPr>
              <w:pStyle w:val="63"/>
            </w:pPr>
            <w:r>
              <w:t>4.44</w:t>
            </w:r>
          </w:p>
        </w:tc>
        <w:tc>
          <w:tcPr>
            <w:tcW w:w="717" w:type="dxa"/>
            <w:shd w:val="clear" w:color="auto" w:fill="FFFFFF"/>
            <w:vAlign w:val="center"/>
          </w:tcPr>
          <w:p>
            <w:pPr>
              <w:pStyle w:val="63"/>
            </w:pPr>
            <w:r>
              <w:t>1.75</w:t>
            </w:r>
          </w:p>
        </w:tc>
        <w:tc>
          <w:tcPr>
            <w:tcW w:w="717" w:type="dxa"/>
            <w:shd w:val="clear" w:color="auto" w:fill="FFFFFF"/>
            <w:vAlign w:val="center"/>
          </w:tcPr>
          <w:p>
            <w:pPr>
              <w:pStyle w:val="63"/>
            </w:pPr>
            <w:r>
              <w:t>0.67</w:t>
            </w:r>
          </w:p>
        </w:tc>
        <w:tc>
          <w:tcPr>
            <w:tcW w:w="719" w:type="dxa"/>
            <w:shd w:val="clear" w:color="auto" w:fill="FFFFFF"/>
            <w:vAlign w:val="center"/>
          </w:tcPr>
          <w:p>
            <w:pPr>
              <w:pStyle w:val="63"/>
            </w:pPr>
            <w:r>
              <w:t>0.4</w:t>
            </w:r>
          </w:p>
        </w:tc>
        <w:tc>
          <w:tcPr>
            <w:tcW w:w="717" w:type="dxa"/>
            <w:shd w:val="clear" w:color="auto" w:fill="FFFFFF"/>
            <w:vAlign w:val="center"/>
          </w:tcPr>
          <w:p>
            <w:pPr>
              <w:pStyle w:val="63"/>
            </w:pPr>
            <w:r>
              <w:t>0.54</w:t>
            </w:r>
          </w:p>
        </w:tc>
        <w:tc>
          <w:tcPr>
            <w:tcW w:w="717" w:type="dxa"/>
            <w:shd w:val="clear" w:color="auto" w:fill="FFFFFF"/>
            <w:vAlign w:val="center"/>
          </w:tcPr>
          <w:p>
            <w:pPr>
              <w:pStyle w:val="63"/>
            </w:pPr>
            <w:r>
              <w:t>0.81</w:t>
            </w:r>
          </w:p>
        </w:tc>
        <w:tc>
          <w:tcPr>
            <w:tcW w:w="719" w:type="dxa"/>
            <w:shd w:val="clear" w:color="auto" w:fill="FFFFFF"/>
            <w:vAlign w:val="center"/>
          </w:tcPr>
          <w:p>
            <w:pPr>
              <w:pStyle w:val="63"/>
            </w:pPr>
            <w:r>
              <w:t>0.27</w:t>
            </w:r>
          </w:p>
        </w:tc>
        <w:tc>
          <w:tcPr>
            <w:tcW w:w="717" w:type="dxa"/>
            <w:shd w:val="clear" w:color="auto" w:fill="FFFFFF"/>
            <w:vAlign w:val="center"/>
          </w:tcPr>
          <w:p>
            <w:pPr>
              <w:pStyle w:val="63"/>
            </w:pPr>
            <w:r>
              <w:t>0.81</w:t>
            </w:r>
          </w:p>
        </w:tc>
        <w:tc>
          <w:tcPr>
            <w:tcW w:w="717" w:type="dxa"/>
            <w:shd w:val="clear" w:color="auto" w:fill="FFFFFF"/>
            <w:vAlign w:val="center"/>
          </w:tcPr>
          <w:p>
            <w:pPr>
              <w:pStyle w:val="63"/>
            </w:pPr>
            <w:r>
              <w:t>2.82</w:t>
            </w:r>
          </w:p>
        </w:tc>
        <w:tc>
          <w:tcPr>
            <w:tcW w:w="865" w:type="dxa"/>
            <w:shd w:val="clear" w:color="auto" w:fill="FFFFFF"/>
            <w:vAlign w:val="center"/>
          </w:tcPr>
          <w:p>
            <w:pPr>
              <w:pStyle w:val="63"/>
            </w:pPr>
            <w:r>
              <w:t>3.23</w:t>
            </w:r>
          </w:p>
        </w:tc>
        <w:tc>
          <w:tcPr>
            <w:tcW w:w="619" w:type="dxa"/>
            <w:shd w:val="clear" w:color="auto" w:fill="FFFFFF"/>
            <w:vAlign w:val="center"/>
          </w:tcPr>
          <w:p>
            <w:pPr>
              <w:pStyle w:val="63"/>
            </w:pPr>
            <w:r>
              <w:t>6.99</w:t>
            </w:r>
          </w:p>
        </w:tc>
        <w:tc>
          <w:tcPr>
            <w:tcW w:w="805" w:type="dxa"/>
            <w:shd w:val="clear" w:color="auto" w:fill="FFFFFF"/>
            <w:vAlign w:val="center"/>
          </w:tcPr>
          <w:p>
            <w:pPr>
              <w:pStyle w:val="63"/>
            </w:pPr>
            <w:r>
              <w:t>21.1</w:t>
            </w:r>
          </w:p>
        </w:tc>
        <w:tc>
          <w:tcPr>
            <w:tcW w:w="607" w:type="dxa"/>
            <w:shd w:val="clear" w:color="auto" w:fill="FFFFFF"/>
            <w:vAlign w:val="center"/>
          </w:tcPr>
          <w:p>
            <w:pPr>
              <w:pStyle w:val="63"/>
            </w:pPr>
            <w:r>
              <w:t>6.05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6" w:type="dxa"/>
            <w:bottom w:w="0" w:type="dxa"/>
            <w:right w:w="6" w:type="dxa"/>
          </w:tblCellMar>
        </w:tblPrEx>
        <w:trPr>
          <w:trHeight w:val="454" w:hRule="atLeast"/>
        </w:trPr>
        <w:tc>
          <w:tcPr>
            <w:tcW w:w="1093" w:type="dxa"/>
            <w:shd w:val="clear" w:color="auto" w:fill="FFFFFF"/>
            <w:vAlign w:val="center"/>
          </w:tcPr>
          <w:p>
            <w:pPr>
              <w:pStyle w:val="63"/>
            </w:pPr>
            <w:r>
              <w:t>二月</w:t>
            </w:r>
          </w:p>
        </w:tc>
        <w:tc>
          <w:tcPr>
            <w:tcW w:w="713" w:type="dxa"/>
            <w:shd w:val="clear" w:color="auto" w:fill="FFFFFF"/>
            <w:vAlign w:val="center"/>
          </w:tcPr>
          <w:p>
            <w:pPr>
              <w:pStyle w:val="63"/>
            </w:pPr>
            <w:r>
              <w:t>25</w:t>
            </w:r>
          </w:p>
        </w:tc>
        <w:tc>
          <w:tcPr>
            <w:tcW w:w="716" w:type="dxa"/>
            <w:shd w:val="clear" w:color="auto" w:fill="FFFFFF"/>
            <w:vAlign w:val="center"/>
          </w:tcPr>
          <w:p>
            <w:pPr>
              <w:pStyle w:val="63"/>
            </w:pPr>
            <w:r>
              <w:t>10.57</w:t>
            </w:r>
          </w:p>
        </w:tc>
        <w:tc>
          <w:tcPr>
            <w:tcW w:w="716" w:type="dxa"/>
            <w:shd w:val="clear" w:color="auto" w:fill="FFFFFF"/>
            <w:vAlign w:val="center"/>
          </w:tcPr>
          <w:p>
            <w:pPr>
              <w:pStyle w:val="63"/>
            </w:pPr>
            <w:r>
              <w:t>9.52</w:t>
            </w:r>
          </w:p>
        </w:tc>
        <w:tc>
          <w:tcPr>
            <w:tcW w:w="717" w:type="dxa"/>
            <w:shd w:val="clear" w:color="auto" w:fill="FFFFFF"/>
            <w:vAlign w:val="center"/>
          </w:tcPr>
          <w:p>
            <w:pPr>
              <w:pStyle w:val="63"/>
            </w:pPr>
            <w:r>
              <w:t>4.76</w:t>
            </w:r>
          </w:p>
        </w:tc>
        <w:tc>
          <w:tcPr>
            <w:tcW w:w="719" w:type="dxa"/>
            <w:shd w:val="clear" w:color="auto" w:fill="FFFFFF"/>
            <w:vAlign w:val="center"/>
          </w:tcPr>
          <w:p>
            <w:pPr>
              <w:pStyle w:val="63"/>
            </w:pPr>
            <w:r>
              <w:t>5.36</w:t>
            </w:r>
          </w:p>
        </w:tc>
        <w:tc>
          <w:tcPr>
            <w:tcW w:w="717" w:type="dxa"/>
            <w:shd w:val="clear" w:color="auto" w:fill="FFFFFF"/>
            <w:vAlign w:val="center"/>
          </w:tcPr>
          <w:p>
            <w:pPr>
              <w:pStyle w:val="63"/>
            </w:pPr>
            <w:r>
              <w:t>1.79</w:t>
            </w:r>
          </w:p>
        </w:tc>
        <w:tc>
          <w:tcPr>
            <w:tcW w:w="717" w:type="dxa"/>
            <w:shd w:val="clear" w:color="auto" w:fill="FFFFFF"/>
            <w:vAlign w:val="center"/>
          </w:tcPr>
          <w:p>
            <w:pPr>
              <w:pStyle w:val="63"/>
            </w:pPr>
            <w:r>
              <w:t>1.64</w:t>
            </w:r>
          </w:p>
        </w:tc>
        <w:tc>
          <w:tcPr>
            <w:tcW w:w="719" w:type="dxa"/>
            <w:shd w:val="clear" w:color="auto" w:fill="FFFFFF"/>
            <w:vAlign w:val="center"/>
          </w:tcPr>
          <w:p>
            <w:pPr>
              <w:pStyle w:val="63"/>
            </w:pPr>
            <w:r>
              <w:t>0.45</w:t>
            </w:r>
          </w:p>
        </w:tc>
        <w:tc>
          <w:tcPr>
            <w:tcW w:w="717" w:type="dxa"/>
            <w:shd w:val="clear" w:color="auto" w:fill="FFFFFF"/>
            <w:vAlign w:val="center"/>
          </w:tcPr>
          <w:p>
            <w:pPr>
              <w:pStyle w:val="63"/>
            </w:pPr>
            <w:r>
              <w:t>1.04</w:t>
            </w:r>
          </w:p>
        </w:tc>
        <w:tc>
          <w:tcPr>
            <w:tcW w:w="717" w:type="dxa"/>
            <w:shd w:val="clear" w:color="auto" w:fill="FFFFFF"/>
            <w:vAlign w:val="center"/>
          </w:tcPr>
          <w:p>
            <w:pPr>
              <w:pStyle w:val="63"/>
            </w:pPr>
            <w:r>
              <w:t>0.74</w:t>
            </w:r>
          </w:p>
        </w:tc>
        <w:tc>
          <w:tcPr>
            <w:tcW w:w="719" w:type="dxa"/>
            <w:shd w:val="clear" w:color="auto" w:fill="FFFFFF"/>
            <w:vAlign w:val="center"/>
          </w:tcPr>
          <w:p>
            <w:pPr>
              <w:pStyle w:val="63"/>
            </w:pPr>
            <w:r>
              <w:t>0.74</w:t>
            </w:r>
          </w:p>
        </w:tc>
        <w:tc>
          <w:tcPr>
            <w:tcW w:w="717" w:type="dxa"/>
            <w:shd w:val="clear" w:color="auto" w:fill="FFFFFF"/>
            <w:vAlign w:val="center"/>
          </w:tcPr>
          <w:p>
            <w:pPr>
              <w:pStyle w:val="63"/>
            </w:pPr>
            <w:r>
              <w:t>0.6</w:t>
            </w:r>
          </w:p>
        </w:tc>
        <w:tc>
          <w:tcPr>
            <w:tcW w:w="717" w:type="dxa"/>
            <w:shd w:val="clear" w:color="auto" w:fill="FFFFFF"/>
            <w:vAlign w:val="center"/>
          </w:tcPr>
          <w:p>
            <w:pPr>
              <w:pStyle w:val="63"/>
            </w:pPr>
            <w:r>
              <w:t>3.72</w:t>
            </w:r>
          </w:p>
        </w:tc>
        <w:tc>
          <w:tcPr>
            <w:tcW w:w="865" w:type="dxa"/>
            <w:shd w:val="clear" w:color="auto" w:fill="FFFFFF"/>
            <w:vAlign w:val="center"/>
          </w:tcPr>
          <w:p>
            <w:pPr>
              <w:pStyle w:val="63"/>
            </w:pPr>
            <w:r>
              <w:t>3.72</w:t>
            </w:r>
          </w:p>
        </w:tc>
        <w:tc>
          <w:tcPr>
            <w:tcW w:w="619" w:type="dxa"/>
            <w:shd w:val="clear" w:color="auto" w:fill="FFFFFF"/>
            <w:vAlign w:val="center"/>
          </w:tcPr>
          <w:p>
            <w:pPr>
              <w:pStyle w:val="63"/>
            </w:pPr>
            <w:r>
              <w:t>7.59</w:t>
            </w:r>
          </w:p>
        </w:tc>
        <w:tc>
          <w:tcPr>
            <w:tcW w:w="805" w:type="dxa"/>
            <w:shd w:val="clear" w:color="auto" w:fill="FFFFFF"/>
            <w:vAlign w:val="center"/>
          </w:tcPr>
          <w:p>
            <w:pPr>
              <w:pStyle w:val="63"/>
            </w:pPr>
            <w:r>
              <w:t>13.69</w:t>
            </w:r>
          </w:p>
        </w:tc>
        <w:tc>
          <w:tcPr>
            <w:tcW w:w="607" w:type="dxa"/>
            <w:shd w:val="clear" w:color="auto" w:fill="FFFFFF"/>
            <w:vAlign w:val="center"/>
          </w:tcPr>
          <w:p>
            <w:pPr>
              <w:pStyle w:val="63"/>
            </w:pPr>
            <w:r>
              <w:t>9.08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6" w:type="dxa"/>
            <w:bottom w:w="0" w:type="dxa"/>
            <w:right w:w="6" w:type="dxa"/>
          </w:tblCellMar>
        </w:tblPrEx>
        <w:trPr>
          <w:trHeight w:val="454" w:hRule="atLeast"/>
        </w:trPr>
        <w:tc>
          <w:tcPr>
            <w:tcW w:w="1093" w:type="dxa"/>
            <w:shd w:val="clear" w:color="auto" w:fill="FFFFFF"/>
            <w:vAlign w:val="center"/>
          </w:tcPr>
          <w:p>
            <w:pPr>
              <w:pStyle w:val="63"/>
            </w:pPr>
            <w:r>
              <w:t>三月</w:t>
            </w:r>
          </w:p>
        </w:tc>
        <w:tc>
          <w:tcPr>
            <w:tcW w:w="713" w:type="dxa"/>
            <w:shd w:val="clear" w:color="auto" w:fill="FFFFFF"/>
            <w:vAlign w:val="center"/>
          </w:tcPr>
          <w:p>
            <w:pPr>
              <w:pStyle w:val="63"/>
            </w:pPr>
            <w:r>
              <w:t>14.92</w:t>
            </w:r>
          </w:p>
        </w:tc>
        <w:tc>
          <w:tcPr>
            <w:tcW w:w="716" w:type="dxa"/>
            <w:shd w:val="clear" w:color="auto" w:fill="FFFFFF"/>
            <w:vAlign w:val="center"/>
          </w:tcPr>
          <w:p>
            <w:pPr>
              <w:pStyle w:val="63"/>
            </w:pPr>
            <w:r>
              <w:t>8.33</w:t>
            </w:r>
          </w:p>
        </w:tc>
        <w:tc>
          <w:tcPr>
            <w:tcW w:w="716" w:type="dxa"/>
            <w:shd w:val="clear" w:color="auto" w:fill="FFFFFF"/>
            <w:vAlign w:val="center"/>
          </w:tcPr>
          <w:p>
            <w:pPr>
              <w:pStyle w:val="63"/>
            </w:pPr>
            <w:r>
              <w:t>6.59</w:t>
            </w:r>
          </w:p>
        </w:tc>
        <w:tc>
          <w:tcPr>
            <w:tcW w:w="717" w:type="dxa"/>
            <w:shd w:val="clear" w:color="auto" w:fill="FFFFFF"/>
            <w:vAlign w:val="center"/>
          </w:tcPr>
          <w:p>
            <w:pPr>
              <w:pStyle w:val="63"/>
            </w:pPr>
            <w:r>
              <w:t>4.84</w:t>
            </w:r>
          </w:p>
        </w:tc>
        <w:tc>
          <w:tcPr>
            <w:tcW w:w="719" w:type="dxa"/>
            <w:shd w:val="clear" w:color="auto" w:fill="FFFFFF"/>
            <w:vAlign w:val="center"/>
          </w:tcPr>
          <w:p>
            <w:pPr>
              <w:pStyle w:val="63"/>
            </w:pPr>
            <w:r>
              <w:t>8.47</w:t>
            </w:r>
          </w:p>
        </w:tc>
        <w:tc>
          <w:tcPr>
            <w:tcW w:w="717" w:type="dxa"/>
            <w:shd w:val="clear" w:color="auto" w:fill="FFFFFF"/>
            <w:vAlign w:val="center"/>
          </w:tcPr>
          <w:p>
            <w:pPr>
              <w:pStyle w:val="63"/>
            </w:pPr>
            <w:r>
              <w:t>6.72</w:t>
            </w:r>
          </w:p>
        </w:tc>
        <w:tc>
          <w:tcPr>
            <w:tcW w:w="717" w:type="dxa"/>
            <w:shd w:val="clear" w:color="auto" w:fill="FFFFFF"/>
            <w:vAlign w:val="center"/>
          </w:tcPr>
          <w:p>
            <w:pPr>
              <w:pStyle w:val="63"/>
            </w:pPr>
            <w:r>
              <w:t>3.63</w:t>
            </w:r>
          </w:p>
        </w:tc>
        <w:tc>
          <w:tcPr>
            <w:tcW w:w="719" w:type="dxa"/>
            <w:shd w:val="clear" w:color="auto" w:fill="FFFFFF"/>
            <w:vAlign w:val="center"/>
          </w:tcPr>
          <w:p>
            <w:pPr>
              <w:pStyle w:val="63"/>
            </w:pPr>
            <w:r>
              <w:t>2.96</w:t>
            </w:r>
          </w:p>
        </w:tc>
        <w:tc>
          <w:tcPr>
            <w:tcW w:w="717" w:type="dxa"/>
            <w:shd w:val="clear" w:color="auto" w:fill="FFFFFF"/>
            <w:vAlign w:val="center"/>
          </w:tcPr>
          <w:p>
            <w:pPr>
              <w:pStyle w:val="63"/>
            </w:pPr>
            <w:r>
              <w:t>6.72</w:t>
            </w:r>
          </w:p>
        </w:tc>
        <w:tc>
          <w:tcPr>
            <w:tcW w:w="717" w:type="dxa"/>
            <w:shd w:val="clear" w:color="auto" w:fill="FFFFFF"/>
            <w:vAlign w:val="center"/>
          </w:tcPr>
          <w:p>
            <w:pPr>
              <w:pStyle w:val="63"/>
            </w:pPr>
            <w:r>
              <w:t>2.82</w:t>
            </w:r>
          </w:p>
        </w:tc>
        <w:tc>
          <w:tcPr>
            <w:tcW w:w="719" w:type="dxa"/>
            <w:shd w:val="clear" w:color="auto" w:fill="FFFFFF"/>
            <w:vAlign w:val="center"/>
          </w:tcPr>
          <w:p>
            <w:pPr>
              <w:pStyle w:val="63"/>
            </w:pPr>
            <w:r>
              <w:t>2.42</w:t>
            </w:r>
          </w:p>
        </w:tc>
        <w:tc>
          <w:tcPr>
            <w:tcW w:w="717" w:type="dxa"/>
            <w:shd w:val="clear" w:color="auto" w:fill="FFFFFF"/>
            <w:vAlign w:val="center"/>
          </w:tcPr>
          <w:p>
            <w:pPr>
              <w:pStyle w:val="63"/>
            </w:pPr>
            <w:r>
              <w:t>1.21</w:t>
            </w:r>
          </w:p>
        </w:tc>
        <w:tc>
          <w:tcPr>
            <w:tcW w:w="717" w:type="dxa"/>
            <w:shd w:val="clear" w:color="auto" w:fill="FFFFFF"/>
            <w:vAlign w:val="center"/>
          </w:tcPr>
          <w:p>
            <w:pPr>
              <w:pStyle w:val="63"/>
            </w:pPr>
            <w:r>
              <w:t>3.36</w:t>
            </w:r>
          </w:p>
        </w:tc>
        <w:tc>
          <w:tcPr>
            <w:tcW w:w="865" w:type="dxa"/>
            <w:shd w:val="clear" w:color="auto" w:fill="FFFFFF"/>
            <w:vAlign w:val="center"/>
          </w:tcPr>
          <w:p>
            <w:pPr>
              <w:pStyle w:val="63"/>
            </w:pPr>
            <w:r>
              <w:t>3.9</w:t>
            </w:r>
          </w:p>
        </w:tc>
        <w:tc>
          <w:tcPr>
            <w:tcW w:w="619" w:type="dxa"/>
            <w:shd w:val="clear" w:color="auto" w:fill="FFFFFF"/>
            <w:vAlign w:val="center"/>
          </w:tcPr>
          <w:p>
            <w:pPr>
              <w:pStyle w:val="63"/>
            </w:pPr>
            <w:r>
              <w:t>5.78</w:t>
            </w:r>
          </w:p>
        </w:tc>
        <w:tc>
          <w:tcPr>
            <w:tcW w:w="805" w:type="dxa"/>
            <w:shd w:val="clear" w:color="auto" w:fill="FFFFFF"/>
            <w:vAlign w:val="center"/>
          </w:tcPr>
          <w:p>
            <w:pPr>
              <w:pStyle w:val="63"/>
            </w:pPr>
            <w:r>
              <w:t>14.38</w:t>
            </w:r>
          </w:p>
        </w:tc>
        <w:tc>
          <w:tcPr>
            <w:tcW w:w="607" w:type="dxa"/>
            <w:shd w:val="clear" w:color="auto" w:fill="FFFFFF"/>
            <w:vAlign w:val="center"/>
          </w:tcPr>
          <w:p>
            <w:pPr>
              <w:pStyle w:val="63"/>
            </w:pPr>
            <w:r>
              <w:t>2.96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6" w:type="dxa"/>
            <w:bottom w:w="0" w:type="dxa"/>
            <w:right w:w="6" w:type="dxa"/>
          </w:tblCellMar>
        </w:tblPrEx>
        <w:trPr>
          <w:trHeight w:val="454" w:hRule="atLeast"/>
        </w:trPr>
        <w:tc>
          <w:tcPr>
            <w:tcW w:w="1093" w:type="dxa"/>
            <w:shd w:val="clear" w:color="auto" w:fill="FFFFFF"/>
            <w:vAlign w:val="center"/>
          </w:tcPr>
          <w:p>
            <w:pPr>
              <w:pStyle w:val="63"/>
            </w:pPr>
            <w:r>
              <w:t>四月</w:t>
            </w:r>
          </w:p>
        </w:tc>
        <w:tc>
          <w:tcPr>
            <w:tcW w:w="713" w:type="dxa"/>
            <w:shd w:val="clear" w:color="auto" w:fill="FFFFFF"/>
            <w:vAlign w:val="center"/>
          </w:tcPr>
          <w:p>
            <w:pPr>
              <w:pStyle w:val="63"/>
            </w:pPr>
            <w:r>
              <w:t>13.19</w:t>
            </w:r>
          </w:p>
        </w:tc>
        <w:tc>
          <w:tcPr>
            <w:tcW w:w="716" w:type="dxa"/>
            <w:shd w:val="clear" w:color="auto" w:fill="FFFFFF"/>
            <w:vAlign w:val="center"/>
          </w:tcPr>
          <w:p>
            <w:pPr>
              <w:pStyle w:val="63"/>
            </w:pPr>
            <w:r>
              <w:t>5.83</w:t>
            </w:r>
          </w:p>
        </w:tc>
        <w:tc>
          <w:tcPr>
            <w:tcW w:w="716" w:type="dxa"/>
            <w:shd w:val="clear" w:color="auto" w:fill="FFFFFF"/>
            <w:vAlign w:val="center"/>
          </w:tcPr>
          <w:p>
            <w:pPr>
              <w:pStyle w:val="63"/>
            </w:pPr>
            <w:r>
              <w:t>7.78</w:t>
            </w:r>
          </w:p>
        </w:tc>
        <w:tc>
          <w:tcPr>
            <w:tcW w:w="717" w:type="dxa"/>
            <w:shd w:val="clear" w:color="auto" w:fill="FFFFFF"/>
            <w:vAlign w:val="center"/>
          </w:tcPr>
          <w:p>
            <w:pPr>
              <w:pStyle w:val="63"/>
            </w:pPr>
            <w:r>
              <w:t>6.94</w:t>
            </w:r>
          </w:p>
        </w:tc>
        <w:tc>
          <w:tcPr>
            <w:tcW w:w="719" w:type="dxa"/>
            <w:shd w:val="clear" w:color="auto" w:fill="FFFFFF"/>
            <w:vAlign w:val="center"/>
          </w:tcPr>
          <w:p>
            <w:pPr>
              <w:pStyle w:val="63"/>
            </w:pPr>
            <w:r>
              <w:t>9.03</w:t>
            </w:r>
          </w:p>
        </w:tc>
        <w:tc>
          <w:tcPr>
            <w:tcW w:w="717" w:type="dxa"/>
            <w:shd w:val="clear" w:color="auto" w:fill="FFFFFF"/>
            <w:vAlign w:val="center"/>
          </w:tcPr>
          <w:p>
            <w:pPr>
              <w:pStyle w:val="63"/>
            </w:pPr>
            <w:r>
              <w:t>5.56</w:t>
            </w:r>
          </w:p>
        </w:tc>
        <w:tc>
          <w:tcPr>
            <w:tcW w:w="717" w:type="dxa"/>
            <w:shd w:val="clear" w:color="auto" w:fill="FFFFFF"/>
            <w:vAlign w:val="center"/>
          </w:tcPr>
          <w:p>
            <w:pPr>
              <w:pStyle w:val="63"/>
            </w:pPr>
            <w:r>
              <w:t>4.31</w:t>
            </w:r>
          </w:p>
        </w:tc>
        <w:tc>
          <w:tcPr>
            <w:tcW w:w="719" w:type="dxa"/>
            <w:shd w:val="clear" w:color="auto" w:fill="FFFFFF"/>
            <w:vAlign w:val="center"/>
          </w:tcPr>
          <w:p>
            <w:pPr>
              <w:pStyle w:val="63"/>
            </w:pPr>
            <w:r>
              <w:t>3.06</w:t>
            </w:r>
          </w:p>
        </w:tc>
        <w:tc>
          <w:tcPr>
            <w:tcW w:w="717" w:type="dxa"/>
            <w:shd w:val="clear" w:color="auto" w:fill="FFFFFF"/>
            <w:vAlign w:val="center"/>
          </w:tcPr>
          <w:p>
            <w:pPr>
              <w:pStyle w:val="63"/>
            </w:pPr>
            <w:r>
              <w:t>9.17</w:t>
            </w:r>
          </w:p>
        </w:tc>
        <w:tc>
          <w:tcPr>
            <w:tcW w:w="717" w:type="dxa"/>
            <w:shd w:val="clear" w:color="auto" w:fill="FFFFFF"/>
            <w:vAlign w:val="center"/>
          </w:tcPr>
          <w:p>
            <w:pPr>
              <w:pStyle w:val="63"/>
            </w:pPr>
            <w:r>
              <w:t>3.89</w:t>
            </w:r>
          </w:p>
        </w:tc>
        <w:tc>
          <w:tcPr>
            <w:tcW w:w="719" w:type="dxa"/>
            <w:shd w:val="clear" w:color="auto" w:fill="FFFFFF"/>
            <w:vAlign w:val="center"/>
          </w:tcPr>
          <w:p>
            <w:pPr>
              <w:pStyle w:val="63"/>
            </w:pPr>
            <w:r>
              <w:t>2.78</w:t>
            </w:r>
          </w:p>
        </w:tc>
        <w:tc>
          <w:tcPr>
            <w:tcW w:w="717" w:type="dxa"/>
            <w:shd w:val="clear" w:color="auto" w:fill="FFFFFF"/>
            <w:vAlign w:val="center"/>
          </w:tcPr>
          <w:p>
            <w:pPr>
              <w:pStyle w:val="63"/>
            </w:pPr>
            <w:r>
              <w:t>2.5</w:t>
            </w:r>
          </w:p>
        </w:tc>
        <w:tc>
          <w:tcPr>
            <w:tcW w:w="717" w:type="dxa"/>
            <w:shd w:val="clear" w:color="auto" w:fill="FFFFFF"/>
            <w:vAlign w:val="center"/>
          </w:tcPr>
          <w:p>
            <w:pPr>
              <w:pStyle w:val="63"/>
            </w:pPr>
            <w:r>
              <w:t>3.61</w:t>
            </w:r>
          </w:p>
        </w:tc>
        <w:tc>
          <w:tcPr>
            <w:tcW w:w="865" w:type="dxa"/>
            <w:shd w:val="clear" w:color="auto" w:fill="FFFFFF"/>
            <w:vAlign w:val="center"/>
          </w:tcPr>
          <w:p>
            <w:pPr>
              <w:pStyle w:val="63"/>
            </w:pPr>
            <w:r>
              <w:t>4.17</w:t>
            </w:r>
          </w:p>
        </w:tc>
        <w:tc>
          <w:tcPr>
            <w:tcW w:w="619" w:type="dxa"/>
            <w:shd w:val="clear" w:color="auto" w:fill="FFFFFF"/>
            <w:vAlign w:val="center"/>
          </w:tcPr>
          <w:p>
            <w:pPr>
              <w:pStyle w:val="63"/>
            </w:pPr>
            <w:r>
              <w:t>4.44</w:t>
            </w:r>
          </w:p>
        </w:tc>
        <w:tc>
          <w:tcPr>
            <w:tcW w:w="805" w:type="dxa"/>
            <w:shd w:val="clear" w:color="auto" w:fill="FFFFFF"/>
            <w:vAlign w:val="center"/>
          </w:tcPr>
          <w:p>
            <w:pPr>
              <w:pStyle w:val="63"/>
            </w:pPr>
            <w:r>
              <w:t>7.08</w:t>
            </w:r>
          </w:p>
        </w:tc>
        <w:tc>
          <w:tcPr>
            <w:tcW w:w="607" w:type="dxa"/>
            <w:shd w:val="clear" w:color="auto" w:fill="FFFFFF"/>
            <w:vAlign w:val="center"/>
          </w:tcPr>
          <w:p>
            <w:pPr>
              <w:pStyle w:val="63"/>
            </w:pPr>
            <w:r>
              <w:t>6.67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6" w:type="dxa"/>
            <w:bottom w:w="0" w:type="dxa"/>
            <w:right w:w="6" w:type="dxa"/>
          </w:tblCellMar>
        </w:tblPrEx>
        <w:trPr>
          <w:trHeight w:val="454" w:hRule="atLeast"/>
        </w:trPr>
        <w:tc>
          <w:tcPr>
            <w:tcW w:w="1093" w:type="dxa"/>
            <w:shd w:val="clear" w:color="auto" w:fill="FFFFFF"/>
            <w:vAlign w:val="center"/>
          </w:tcPr>
          <w:p>
            <w:pPr>
              <w:pStyle w:val="63"/>
            </w:pPr>
            <w:r>
              <w:t>五月</w:t>
            </w:r>
          </w:p>
        </w:tc>
        <w:tc>
          <w:tcPr>
            <w:tcW w:w="713" w:type="dxa"/>
            <w:shd w:val="clear" w:color="auto" w:fill="FFFFFF"/>
            <w:vAlign w:val="center"/>
          </w:tcPr>
          <w:p>
            <w:pPr>
              <w:pStyle w:val="63"/>
            </w:pPr>
            <w:r>
              <w:t>17.2</w:t>
            </w:r>
          </w:p>
        </w:tc>
        <w:tc>
          <w:tcPr>
            <w:tcW w:w="716" w:type="dxa"/>
            <w:shd w:val="clear" w:color="auto" w:fill="FFFFFF"/>
            <w:vAlign w:val="center"/>
          </w:tcPr>
          <w:p>
            <w:pPr>
              <w:pStyle w:val="63"/>
            </w:pPr>
            <w:r>
              <w:t>9.41</w:t>
            </w:r>
          </w:p>
        </w:tc>
        <w:tc>
          <w:tcPr>
            <w:tcW w:w="716" w:type="dxa"/>
            <w:shd w:val="clear" w:color="auto" w:fill="FFFFFF"/>
            <w:vAlign w:val="center"/>
          </w:tcPr>
          <w:p>
            <w:pPr>
              <w:pStyle w:val="63"/>
            </w:pPr>
            <w:r>
              <w:t>8.06</w:t>
            </w:r>
          </w:p>
        </w:tc>
        <w:tc>
          <w:tcPr>
            <w:tcW w:w="717" w:type="dxa"/>
            <w:shd w:val="clear" w:color="auto" w:fill="FFFFFF"/>
            <w:vAlign w:val="center"/>
          </w:tcPr>
          <w:p>
            <w:pPr>
              <w:pStyle w:val="63"/>
            </w:pPr>
            <w:r>
              <w:t>4.3</w:t>
            </w:r>
          </w:p>
        </w:tc>
        <w:tc>
          <w:tcPr>
            <w:tcW w:w="719" w:type="dxa"/>
            <w:shd w:val="clear" w:color="auto" w:fill="FFFFFF"/>
            <w:vAlign w:val="center"/>
          </w:tcPr>
          <w:p>
            <w:pPr>
              <w:pStyle w:val="63"/>
            </w:pPr>
            <w:r>
              <w:t>6.85</w:t>
            </w:r>
          </w:p>
        </w:tc>
        <w:tc>
          <w:tcPr>
            <w:tcW w:w="717" w:type="dxa"/>
            <w:shd w:val="clear" w:color="auto" w:fill="FFFFFF"/>
            <w:vAlign w:val="center"/>
          </w:tcPr>
          <w:p>
            <w:pPr>
              <w:pStyle w:val="63"/>
            </w:pPr>
            <w:r>
              <w:t>4.17</w:t>
            </w:r>
          </w:p>
        </w:tc>
        <w:tc>
          <w:tcPr>
            <w:tcW w:w="717" w:type="dxa"/>
            <w:shd w:val="clear" w:color="auto" w:fill="FFFFFF"/>
            <w:vAlign w:val="center"/>
          </w:tcPr>
          <w:p>
            <w:pPr>
              <w:pStyle w:val="63"/>
            </w:pPr>
            <w:r>
              <w:t>2.82</w:t>
            </w:r>
          </w:p>
        </w:tc>
        <w:tc>
          <w:tcPr>
            <w:tcW w:w="719" w:type="dxa"/>
            <w:shd w:val="clear" w:color="auto" w:fill="FFFFFF"/>
            <w:vAlign w:val="center"/>
          </w:tcPr>
          <w:p>
            <w:pPr>
              <w:pStyle w:val="63"/>
            </w:pPr>
            <w:r>
              <w:t>2.69</w:t>
            </w:r>
          </w:p>
        </w:tc>
        <w:tc>
          <w:tcPr>
            <w:tcW w:w="717" w:type="dxa"/>
            <w:shd w:val="clear" w:color="auto" w:fill="FFFFFF"/>
            <w:vAlign w:val="center"/>
          </w:tcPr>
          <w:p>
            <w:pPr>
              <w:pStyle w:val="63"/>
            </w:pPr>
            <w:r>
              <w:t>3.63</w:t>
            </w:r>
          </w:p>
        </w:tc>
        <w:tc>
          <w:tcPr>
            <w:tcW w:w="717" w:type="dxa"/>
            <w:shd w:val="clear" w:color="auto" w:fill="FFFFFF"/>
            <w:vAlign w:val="center"/>
          </w:tcPr>
          <w:p>
            <w:pPr>
              <w:pStyle w:val="63"/>
            </w:pPr>
            <w:r>
              <w:t>2.55</w:t>
            </w:r>
          </w:p>
        </w:tc>
        <w:tc>
          <w:tcPr>
            <w:tcW w:w="719" w:type="dxa"/>
            <w:shd w:val="clear" w:color="auto" w:fill="FFFFFF"/>
            <w:vAlign w:val="center"/>
          </w:tcPr>
          <w:p>
            <w:pPr>
              <w:pStyle w:val="63"/>
            </w:pPr>
            <w:r>
              <w:t>2.69</w:t>
            </w:r>
          </w:p>
        </w:tc>
        <w:tc>
          <w:tcPr>
            <w:tcW w:w="717" w:type="dxa"/>
            <w:shd w:val="clear" w:color="auto" w:fill="FFFFFF"/>
            <w:vAlign w:val="center"/>
          </w:tcPr>
          <w:p>
            <w:pPr>
              <w:pStyle w:val="63"/>
            </w:pPr>
            <w:r>
              <w:t>1.48</w:t>
            </w:r>
          </w:p>
        </w:tc>
        <w:tc>
          <w:tcPr>
            <w:tcW w:w="717" w:type="dxa"/>
            <w:shd w:val="clear" w:color="auto" w:fill="FFFFFF"/>
            <w:vAlign w:val="center"/>
          </w:tcPr>
          <w:p>
            <w:pPr>
              <w:pStyle w:val="63"/>
            </w:pPr>
            <w:r>
              <w:t>3.23</w:t>
            </w:r>
          </w:p>
        </w:tc>
        <w:tc>
          <w:tcPr>
            <w:tcW w:w="865" w:type="dxa"/>
            <w:shd w:val="clear" w:color="auto" w:fill="FFFFFF"/>
            <w:vAlign w:val="center"/>
          </w:tcPr>
          <w:p>
            <w:pPr>
              <w:pStyle w:val="63"/>
            </w:pPr>
            <w:r>
              <w:t>3.63</w:t>
            </w:r>
          </w:p>
        </w:tc>
        <w:tc>
          <w:tcPr>
            <w:tcW w:w="619" w:type="dxa"/>
            <w:shd w:val="clear" w:color="auto" w:fill="FFFFFF"/>
            <w:vAlign w:val="center"/>
          </w:tcPr>
          <w:p>
            <w:pPr>
              <w:pStyle w:val="63"/>
            </w:pPr>
            <w:r>
              <w:t>5.78</w:t>
            </w:r>
          </w:p>
        </w:tc>
        <w:tc>
          <w:tcPr>
            <w:tcW w:w="805" w:type="dxa"/>
            <w:shd w:val="clear" w:color="auto" w:fill="FFFFFF"/>
            <w:vAlign w:val="center"/>
          </w:tcPr>
          <w:p>
            <w:pPr>
              <w:pStyle w:val="63"/>
            </w:pPr>
            <w:r>
              <w:t>10.89</w:t>
            </w:r>
          </w:p>
        </w:tc>
        <w:tc>
          <w:tcPr>
            <w:tcW w:w="607" w:type="dxa"/>
            <w:shd w:val="clear" w:color="auto" w:fill="FFFFFF"/>
            <w:vAlign w:val="center"/>
          </w:tcPr>
          <w:p>
            <w:pPr>
              <w:pStyle w:val="63"/>
            </w:pPr>
            <w:r>
              <w:t>10.62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6" w:type="dxa"/>
            <w:bottom w:w="0" w:type="dxa"/>
            <w:right w:w="6" w:type="dxa"/>
          </w:tblCellMar>
        </w:tblPrEx>
        <w:trPr>
          <w:trHeight w:val="454" w:hRule="atLeast"/>
        </w:trPr>
        <w:tc>
          <w:tcPr>
            <w:tcW w:w="1093" w:type="dxa"/>
            <w:shd w:val="clear" w:color="auto" w:fill="FFFFFF"/>
            <w:vAlign w:val="center"/>
          </w:tcPr>
          <w:p>
            <w:pPr>
              <w:pStyle w:val="63"/>
            </w:pPr>
            <w:r>
              <w:t>六月</w:t>
            </w:r>
          </w:p>
        </w:tc>
        <w:tc>
          <w:tcPr>
            <w:tcW w:w="713" w:type="dxa"/>
            <w:shd w:val="clear" w:color="auto" w:fill="FFFFFF"/>
            <w:vAlign w:val="center"/>
          </w:tcPr>
          <w:p>
            <w:pPr>
              <w:pStyle w:val="63"/>
            </w:pPr>
            <w:r>
              <w:t>5.83</w:t>
            </w:r>
          </w:p>
        </w:tc>
        <w:tc>
          <w:tcPr>
            <w:tcW w:w="716" w:type="dxa"/>
            <w:shd w:val="clear" w:color="auto" w:fill="FFFFFF"/>
            <w:vAlign w:val="center"/>
          </w:tcPr>
          <w:p>
            <w:pPr>
              <w:pStyle w:val="63"/>
            </w:pPr>
            <w:r>
              <w:t>4.44</w:t>
            </w:r>
          </w:p>
        </w:tc>
        <w:tc>
          <w:tcPr>
            <w:tcW w:w="716" w:type="dxa"/>
            <w:shd w:val="clear" w:color="auto" w:fill="FFFFFF"/>
            <w:vAlign w:val="center"/>
          </w:tcPr>
          <w:p>
            <w:pPr>
              <w:pStyle w:val="63"/>
            </w:pPr>
            <w:r>
              <w:t>5.28</w:t>
            </w:r>
          </w:p>
        </w:tc>
        <w:tc>
          <w:tcPr>
            <w:tcW w:w="717" w:type="dxa"/>
            <w:shd w:val="clear" w:color="auto" w:fill="FFFFFF"/>
            <w:vAlign w:val="center"/>
          </w:tcPr>
          <w:p>
            <w:pPr>
              <w:pStyle w:val="63"/>
            </w:pPr>
            <w:r>
              <w:t>5.56</w:t>
            </w:r>
          </w:p>
        </w:tc>
        <w:tc>
          <w:tcPr>
            <w:tcW w:w="719" w:type="dxa"/>
            <w:shd w:val="clear" w:color="auto" w:fill="FFFFFF"/>
            <w:vAlign w:val="center"/>
          </w:tcPr>
          <w:p>
            <w:pPr>
              <w:pStyle w:val="63"/>
            </w:pPr>
            <w:r>
              <w:t>8.19</w:t>
            </w:r>
          </w:p>
        </w:tc>
        <w:tc>
          <w:tcPr>
            <w:tcW w:w="717" w:type="dxa"/>
            <w:shd w:val="clear" w:color="auto" w:fill="FFFFFF"/>
            <w:vAlign w:val="center"/>
          </w:tcPr>
          <w:p>
            <w:pPr>
              <w:pStyle w:val="63"/>
            </w:pPr>
            <w:r>
              <w:t>6.53</w:t>
            </w:r>
          </w:p>
        </w:tc>
        <w:tc>
          <w:tcPr>
            <w:tcW w:w="717" w:type="dxa"/>
            <w:shd w:val="clear" w:color="auto" w:fill="FFFFFF"/>
            <w:vAlign w:val="center"/>
          </w:tcPr>
          <w:p>
            <w:pPr>
              <w:pStyle w:val="63"/>
            </w:pPr>
            <w:r>
              <w:t>3.19</w:t>
            </w:r>
          </w:p>
        </w:tc>
        <w:tc>
          <w:tcPr>
            <w:tcW w:w="719" w:type="dxa"/>
            <w:shd w:val="clear" w:color="auto" w:fill="FFFFFF"/>
            <w:vAlign w:val="center"/>
          </w:tcPr>
          <w:p>
            <w:pPr>
              <w:pStyle w:val="63"/>
            </w:pPr>
            <w:r>
              <w:t>6.39</w:t>
            </w:r>
          </w:p>
        </w:tc>
        <w:tc>
          <w:tcPr>
            <w:tcW w:w="717" w:type="dxa"/>
            <w:shd w:val="clear" w:color="auto" w:fill="FFFFFF"/>
            <w:vAlign w:val="center"/>
          </w:tcPr>
          <w:p>
            <w:pPr>
              <w:pStyle w:val="63"/>
            </w:pPr>
            <w:r>
              <w:t>30.69</w:t>
            </w:r>
          </w:p>
        </w:tc>
        <w:tc>
          <w:tcPr>
            <w:tcW w:w="717" w:type="dxa"/>
            <w:shd w:val="clear" w:color="auto" w:fill="FFFFFF"/>
            <w:vAlign w:val="center"/>
          </w:tcPr>
          <w:p>
            <w:pPr>
              <w:pStyle w:val="63"/>
            </w:pPr>
            <w:r>
              <w:t>6.53</w:t>
            </w:r>
          </w:p>
        </w:tc>
        <w:tc>
          <w:tcPr>
            <w:tcW w:w="719" w:type="dxa"/>
            <w:shd w:val="clear" w:color="auto" w:fill="FFFFFF"/>
            <w:vAlign w:val="center"/>
          </w:tcPr>
          <w:p>
            <w:pPr>
              <w:pStyle w:val="63"/>
            </w:pPr>
            <w:r>
              <w:t>1.94</w:t>
            </w:r>
          </w:p>
        </w:tc>
        <w:tc>
          <w:tcPr>
            <w:tcW w:w="717" w:type="dxa"/>
            <w:shd w:val="clear" w:color="auto" w:fill="FFFFFF"/>
            <w:vAlign w:val="center"/>
          </w:tcPr>
          <w:p>
            <w:pPr>
              <w:pStyle w:val="63"/>
            </w:pPr>
            <w:r>
              <w:t>1.39</w:t>
            </w:r>
          </w:p>
        </w:tc>
        <w:tc>
          <w:tcPr>
            <w:tcW w:w="717" w:type="dxa"/>
            <w:shd w:val="clear" w:color="auto" w:fill="FFFFFF"/>
            <w:vAlign w:val="center"/>
          </w:tcPr>
          <w:p>
            <w:pPr>
              <w:pStyle w:val="63"/>
            </w:pPr>
            <w:r>
              <w:t>2.5</w:t>
            </w:r>
          </w:p>
        </w:tc>
        <w:tc>
          <w:tcPr>
            <w:tcW w:w="865" w:type="dxa"/>
            <w:shd w:val="clear" w:color="auto" w:fill="FFFFFF"/>
            <w:vAlign w:val="center"/>
          </w:tcPr>
          <w:p>
            <w:pPr>
              <w:pStyle w:val="63"/>
            </w:pPr>
            <w:r>
              <w:t>1.39</w:t>
            </w:r>
          </w:p>
        </w:tc>
        <w:tc>
          <w:tcPr>
            <w:tcW w:w="619" w:type="dxa"/>
            <w:shd w:val="clear" w:color="auto" w:fill="FFFFFF"/>
            <w:vAlign w:val="center"/>
          </w:tcPr>
          <w:p>
            <w:pPr>
              <w:pStyle w:val="63"/>
            </w:pPr>
            <w:r>
              <w:t>1.53</w:t>
            </w:r>
          </w:p>
        </w:tc>
        <w:tc>
          <w:tcPr>
            <w:tcW w:w="805" w:type="dxa"/>
            <w:shd w:val="clear" w:color="auto" w:fill="FFFFFF"/>
            <w:vAlign w:val="center"/>
          </w:tcPr>
          <w:p>
            <w:pPr>
              <w:pStyle w:val="63"/>
            </w:pPr>
            <w:r>
              <w:t>3.19</w:t>
            </w:r>
          </w:p>
        </w:tc>
        <w:tc>
          <w:tcPr>
            <w:tcW w:w="607" w:type="dxa"/>
            <w:shd w:val="clear" w:color="auto" w:fill="FFFFFF"/>
            <w:vAlign w:val="center"/>
          </w:tcPr>
          <w:p>
            <w:pPr>
              <w:pStyle w:val="63"/>
            </w:pPr>
            <w:r>
              <w:t>5.42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6" w:type="dxa"/>
            <w:bottom w:w="0" w:type="dxa"/>
            <w:right w:w="6" w:type="dxa"/>
          </w:tblCellMar>
        </w:tblPrEx>
        <w:trPr>
          <w:trHeight w:val="454" w:hRule="atLeast"/>
        </w:trPr>
        <w:tc>
          <w:tcPr>
            <w:tcW w:w="1093" w:type="dxa"/>
            <w:shd w:val="clear" w:color="auto" w:fill="FFFFFF"/>
            <w:vAlign w:val="center"/>
          </w:tcPr>
          <w:p>
            <w:pPr>
              <w:pStyle w:val="63"/>
            </w:pPr>
            <w:r>
              <w:t>七月</w:t>
            </w:r>
          </w:p>
        </w:tc>
        <w:tc>
          <w:tcPr>
            <w:tcW w:w="713" w:type="dxa"/>
            <w:shd w:val="clear" w:color="auto" w:fill="FFFFFF"/>
            <w:vAlign w:val="center"/>
          </w:tcPr>
          <w:p>
            <w:pPr>
              <w:pStyle w:val="63"/>
            </w:pPr>
            <w:r>
              <w:t>4.03</w:t>
            </w:r>
          </w:p>
        </w:tc>
        <w:tc>
          <w:tcPr>
            <w:tcW w:w="716" w:type="dxa"/>
            <w:shd w:val="clear" w:color="auto" w:fill="FFFFFF"/>
            <w:vAlign w:val="center"/>
          </w:tcPr>
          <w:p>
            <w:pPr>
              <w:pStyle w:val="63"/>
            </w:pPr>
            <w:r>
              <w:t>2.02</w:t>
            </w:r>
          </w:p>
        </w:tc>
        <w:tc>
          <w:tcPr>
            <w:tcW w:w="716" w:type="dxa"/>
            <w:shd w:val="clear" w:color="auto" w:fill="FFFFFF"/>
            <w:vAlign w:val="center"/>
          </w:tcPr>
          <w:p>
            <w:pPr>
              <w:pStyle w:val="63"/>
            </w:pPr>
            <w:r>
              <w:t>5.24</w:t>
            </w:r>
          </w:p>
        </w:tc>
        <w:tc>
          <w:tcPr>
            <w:tcW w:w="717" w:type="dxa"/>
            <w:shd w:val="clear" w:color="auto" w:fill="FFFFFF"/>
            <w:vAlign w:val="center"/>
          </w:tcPr>
          <w:p>
            <w:pPr>
              <w:pStyle w:val="63"/>
            </w:pPr>
            <w:r>
              <w:t>5.51</w:t>
            </w:r>
          </w:p>
        </w:tc>
        <w:tc>
          <w:tcPr>
            <w:tcW w:w="719" w:type="dxa"/>
            <w:shd w:val="clear" w:color="auto" w:fill="FFFFFF"/>
            <w:vAlign w:val="center"/>
          </w:tcPr>
          <w:p>
            <w:pPr>
              <w:pStyle w:val="63"/>
            </w:pPr>
            <w:r>
              <w:t>8.47</w:t>
            </w:r>
          </w:p>
        </w:tc>
        <w:tc>
          <w:tcPr>
            <w:tcW w:w="717" w:type="dxa"/>
            <w:shd w:val="clear" w:color="auto" w:fill="FFFFFF"/>
            <w:vAlign w:val="center"/>
          </w:tcPr>
          <w:p>
            <w:pPr>
              <w:pStyle w:val="63"/>
            </w:pPr>
            <w:r>
              <w:t>7.8</w:t>
            </w:r>
          </w:p>
        </w:tc>
        <w:tc>
          <w:tcPr>
            <w:tcW w:w="717" w:type="dxa"/>
            <w:shd w:val="clear" w:color="auto" w:fill="FFFFFF"/>
            <w:vAlign w:val="center"/>
          </w:tcPr>
          <w:p>
            <w:pPr>
              <w:pStyle w:val="63"/>
            </w:pPr>
            <w:r>
              <w:t>6.45</w:t>
            </w:r>
          </w:p>
        </w:tc>
        <w:tc>
          <w:tcPr>
            <w:tcW w:w="719" w:type="dxa"/>
            <w:shd w:val="clear" w:color="auto" w:fill="FFFFFF"/>
            <w:vAlign w:val="center"/>
          </w:tcPr>
          <w:p>
            <w:pPr>
              <w:pStyle w:val="63"/>
            </w:pPr>
            <w:r>
              <w:t>9.68</w:t>
            </w:r>
          </w:p>
        </w:tc>
        <w:tc>
          <w:tcPr>
            <w:tcW w:w="717" w:type="dxa"/>
            <w:shd w:val="clear" w:color="auto" w:fill="FFFFFF"/>
            <w:vAlign w:val="center"/>
          </w:tcPr>
          <w:p>
            <w:pPr>
              <w:pStyle w:val="63"/>
            </w:pPr>
            <w:r>
              <w:t>22.72</w:t>
            </w:r>
          </w:p>
        </w:tc>
        <w:tc>
          <w:tcPr>
            <w:tcW w:w="717" w:type="dxa"/>
            <w:shd w:val="clear" w:color="auto" w:fill="FFFFFF"/>
            <w:vAlign w:val="center"/>
          </w:tcPr>
          <w:p>
            <w:pPr>
              <w:pStyle w:val="63"/>
            </w:pPr>
            <w:r>
              <w:t>10.75</w:t>
            </w:r>
          </w:p>
        </w:tc>
        <w:tc>
          <w:tcPr>
            <w:tcW w:w="719" w:type="dxa"/>
            <w:shd w:val="clear" w:color="auto" w:fill="FFFFFF"/>
            <w:vAlign w:val="center"/>
          </w:tcPr>
          <w:p>
            <w:pPr>
              <w:pStyle w:val="63"/>
            </w:pPr>
            <w:r>
              <w:t>6.59</w:t>
            </w:r>
          </w:p>
        </w:tc>
        <w:tc>
          <w:tcPr>
            <w:tcW w:w="717" w:type="dxa"/>
            <w:shd w:val="clear" w:color="auto" w:fill="FFFFFF"/>
            <w:vAlign w:val="center"/>
          </w:tcPr>
          <w:p>
            <w:pPr>
              <w:pStyle w:val="63"/>
            </w:pPr>
            <w:r>
              <w:t>2.69</w:t>
            </w:r>
          </w:p>
        </w:tc>
        <w:tc>
          <w:tcPr>
            <w:tcW w:w="717" w:type="dxa"/>
            <w:shd w:val="clear" w:color="auto" w:fill="FFFFFF"/>
            <w:vAlign w:val="center"/>
          </w:tcPr>
          <w:p>
            <w:pPr>
              <w:pStyle w:val="63"/>
            </w:pPr>
            <w:r>
              <w:t>1.08</w:t>
            </w:r>
          </w:p>
        </w:tc>
        <w:tc>
          <w:tcPr>
            <w:tcW w:w="865" w:type="dxa"/>
            <w:shd w:val="clear" w:color="auto" w:fill="FFFFFF"/>
            <w:vAlign w:val="center"/>
          </w:tcPr>
          <w:p>
            <w:pPr>
              <w:pStyle w:val="63"/>
            </w:pPr>
            <w:r>
              <w:t>1.08</w:t>
            </w:r>
          </w:p>
        </w:tc>
        <w:tc>
          <w:tcPr>
            <w:tcW w:w="619" w:type="dxa"/>
            <w:shd w:val="clear" w:color="auto" w:fill="FFFFFF"/>
            <w:vAlign w:val="center"/>
          </w:tcPr>
          <w:p>
            <w:pPr>
              <w:pStyle w:val="63"/>
            </w:pPr>
            <w:r>
              <w:t>1.61</w:t>
            </w:r>
          </w:p>
        </w:tc>
        <w:tc>
          <w:tcPr>
            <w:tcW w:w="805" w:type="dxa"/>
            <w:shd w:val="clear" w:color="auto" w:fill="FFFFFF"/>
            <w:vAlign w:val="center"/>
          </w:tcPr>
          <w:p>
            <w:pPr>
              <w:pStyle w:val="63"/>
            </w:pPr>
            <w:r>
              <w:t>1.48</w:t>
            </w:r>
          </w:p>
        </w:tc>
        <w:tc>
          <w:tcPr>
            <w:tcW w:w="607" w:type="dxa"/>
            <w:shd w:val="clear" w:color="auto" w:fill="FFFFFF"/>
            <w:vAlign w:val="center"/>
          </w:tcPr>
          <w:p>
            <w:pPr>
              <w:pStyle w:val="63"/>
            </w:pPr>
            <w:r>
              <w:t>2.82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6" w:type="dxa"/>
            <w:bottom w:w="0" w:type="dxa"/>
            <w:right w:w="6" w:type="dxa"/>
          </w:tblCellMar>
        </w:tblPrEx>
        <w:trPr>
          <w:trHeight w:val="454" w:hRule="atLeast"/>
        </w:trPr>
        <w:tc>
          <w:tcPr>
            <w:tcW w:w="1093" w:type="dxa"/>
            <w:shd w:val="clear" w:color="auto" w:fill="FFFFFF"/>
            <w:vAlign w:val="center"/>
          </w:tcPr>
          <w:p>
            <w:pPr>
              <w:pStyle w:val="63"/>
            </w:pPr>
            <w:r>
              <w:t>八月</w:t>
            </w:r>
          </w:p>
        </w:tc>
        <w:tc>
          <w:tcPr>
            <w:tcW w:w="713" w:type="dxa"/>
            <w:shd w:val="clear" w:color="auto" w:fill="FFFFFF"/>
            <w:vAlign w:val="center"/>
          </w:tcPr>
          <w:p>
            <w:pPr>
              <w:pStyle w:val="63"/>
            </w:pPr>
            <w:r>
              <w:t>7.12</w:t>
            </w:r>
          </w:p>
        </w:tc>
        <w:tc>
          <w:tcPr>
            <w:tcW w:w="716" w:type="dxa"/>
            <w:shd w:val="clear" w:color="auto" w:fill="FFFFFF"/>
            <w:vAlign w:val="center"/>
          </w:tcPr>
          <w:p>
            <w:pPr>
              <w:pStyle w:val="63"/>
            </w:pPr>
            <w:r>
              <w:t>2.96</w:t>
            </w:r>
          </w:p>
        </w:tc>
        <w:tc>
          <w:tcPr>
            <w:tcW w:w="716" w:type="dxa"/>
            <w:shd w:val="clear" w:color="auto" w:fill="FFFFFF"/>
            <w:vAlign w:val="center"/>
          </w:tcPr>
          <w:p>
            <w:pPr>
              <w:pStyle w:val="63"/>
            </w:pPr>
            <w:r>
              <w:t>2.55</w:t>
            </w:r>
          </w:p>
        </w:tc>
        <w:tc>
          <w:tcPr>
            <w:tcW w:w="717" w:type="dxa"/>
            <w:shd w:val="clear" w:color="auto" w:fill="FFFFFF"/>
            <w:vAlign w:val="center"/>
          </w:tcPr>
          <w:p>
            <w:pPr>
              <w:pStyle w:val="63"/>
            </w:pPr>
            <w:r>
              <w:t>5.24</w:t>
            </w:r>
          </w:p>
        </w:tc>
        <w:tc>
          <w:tcPr>
            <w:tcW w:w="719" w:type="dxa"/>
            <w:shd w:val="clear" w:color="auto" w:fill="FFFFFF"/>
            <w:vAlign w:val="center"/>
          </w:tcPr>
          <w:p>
            <w:pPr>
              <w:pStyle w:val="63"/>
            </w:pPr>
            <w:r>
              <w:t>10.22</w:t>
            </w:r>
          </w:p>
        </w:tc>
        <w:tc>
          <w:tcPr>
            <w:tcW w:w="717" w:type="dxa"/>
            <w:shd w:val="clear" w:color="auto" w:fill="FFFFFF"/>
            <w:vAlign w:val="center"/>
          </w:tcPr>
          <w:p>
            <w:pPr>
              <w:pStyle w:val="63"/>
            </w:pPr>
            <w:r>
              <w:t>12.5</w:t>
            </w:r>
          </w:p>
        </w:tc>
        <w:tc>
          <w:tcPr>
            <w:tcW w:w="717" w:type="dxa"/>
            <w:shd w:val="clear" w:color="auto" w:fill="FFFFFF"/>
            <w:vAlign w:val="center"/>
          </w:tcPr>
          <w:p>
            <w:pPr>
              <w:pStyle w:val="63"/>
            </w:pPr>
            <w:r>
              <w:t>6.05</w:t>
            </w:r>
          </w:p>
        </w:tc>
        <w:tc>
          <w:tcPr>
            <w:tcW w:w="719" w:type="dxa"/>
            <w:shd w:val="clear" w:color="auto" w:fill="FFFFFF"/>
            <w:vAlign w:val="center"/>
          </w:tcPr>
          <w:p>
            <w:pPr>
              <w:pStyle w:val="63"/>
            </w:pPr>
            <w:r>
              <w:t>8.6</w:t>
            </w:r>
          </w:p>
        </w:tc>
        <w:tc>
          <w:tcPr>
            <w:tcW w:w="717" w:type="dxa"/>
            <w:shd w:val="clear" w:color="auto" w:fill="FFFFFF"/>
            <w:vAlign w:val="center"/>
          </w:tcPr>
          <w:p>
            <w:pPr>
              <w:pStyle w:val="63"/>
            </w:pPr>
            <w:r>
              <w:t>21.64</w:t>
            </w:r>
          </w:p>
        </w:tc>
        <w:tc>
          <w:tcPr>
            <w:tcW w:w="717" w:type="dxa"/>
            <w:shd w:val="clear" w:color="auto" w:fill="FFFFFF"/>
            <w:vAlign w:val="center"/>
          </w:tcPr>
          <w:p>
            <w:pPr>
              <w:pStyle w:val="63"/>
            </w:pPr>
            <w:r>
              <w:t>7.12</w:t>
            </w:r>
          </w:p>
        </w:tc>
        <w:tc>
          <w:tcPr>
            <w:tcW w:w="719" w:type="dxa"/>
            <w:shd w:val="clear" w:color="auto" w:fill="FFFFFF"/>
            <w:vAlign w:val="center"/>
          </w:tcPr>
          <w:p>
            <w:pPr>
              <w:pStyle w:val="63"/>
            </w:pPr>
            <w:r>
              <w:t>4.97</w:t>
            </w:r>
          </w:p>
        </w:tc>
        <w:tc>
          <w:tcPr>
            <w:tcW w:w="717" w:type="dxa"/>
            <w:shd w:val="clear" w:color="auto" w:fill="FFFFFF"/>
            <w:vAlign w:val="center"/>
          </w:tcPr>
          <w:p>
            <w:pPr>
              <w:pStyle w:val="63"/>
            </w:pPr>
            <w:r>
              <w:t>1.75</w:t>
            </w:r>
          </w:p>
        </w:tc>
        <w:tc>
          <w:tcPr>
            <w:tcW w:w="717" w:type="dxa"/>
            <w:shd w:val="clear" w:color="auto" w:fill="FFFFFF"/>
            <w:vAlign w:val="center"/>
          </w:tcPr>
          <w:p>
            <w:pPr>
              <w:pStyle w:val="63"/>
            </w:pPr>
            <w:r>
              <w:t>2.02</w:t>
            </w:r>
          </w:p>
        </w:tc>
        <w:tc>
          <w:tcPr>
            <w:tcW w:w="865" w:type="dxa"/>
            <w:shd w:val="clear" w:color="auto" w:fill="FFFFFF"/>
            <w:vAlign w:val="center"/>
          </w:tcPr>
          <w:p>
            <w:pPr>
              <w:pStyle w:val="63"/>
            </w:pPr>
            <w:r>
              <w:t>0.81</w:t>
            </w:r>
          </w:p>
        </w:tc>
        <w:tc>
          <w:tcPr>
            <w:tcW w:w="619" w:type="dxa"/>
            <w:shd w:val="clear" w:color="auto" w:fill="FFFFFF"/>
            <w:vAlign w:val="center"/>
          </w:tcPr>
          <w:p>
            <w:pPr>
              <w:pStyle w:val="63"/>
            </w:pPr>
            <w:r>
              <w:t>1.21</w:t>
            </w:r>
          </w:p>
        </w:tc>
        <w:tc>
          <w:tcPr>
            <w:tcW w:w="805" w:type="dxa"/>
            <w:shd w:val="clear" w:color="auto" w:fill="FFFFFF"/>
            <w:vAlign w:val="center"/>
          </w:tcPr>
          <w:p>
            <w:pPr>
              <w:pStyle w:val="63"/>
            </w:pPr>
            <w:r>
              <w:t>3.23</w:t>
            </w:r>
          </w:p>
        </w:tc>
        <w:tc>
          <w:tcPr>
            <w:tcW w:w="607" w:type="dxa"/>
            <w:shd w:val="clear" w:color="auto" w:fill="FFFFFF"/>
            <w:vAlign w:val="center"/>
          </w:tcPr>
          <w:p>
            <w:pPr>
              <w:pStyle w:val="63"/>
            </w:pPr>
            <w:r>
              <w:t>2.02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6" w:type="dxa"/>
            <w:bottom w:w="0" w:type="dxa"/>
            <w:right w:w="6" w:type="dxa"/>
          </w:tblCellMar>
        </w:tblPrEx>
        <w:trPr>
          <w:trHeight w:val="454" w:hRule="atLeast"/>
        </w:trPr>
        <w:tc>
          <w:tcPr>
            <w:tcW w:w="1093" w:type="dxa"/>
            <w:shd w:val="clear" w:color="auto" w:fill="FFFFFF"/>
            <w:vAlign w:val="center"/>
          </w:tcPr>
          <w:p>
            <w:pPr>
              <w:pStyle w:val="63"/>
            </w:pPr>
            <w:r>
              <w:t>九月</w:t>
            </w:r>
          </w:p>
        </w:tc>
        <w:tc>
          <w:tcPr>
            <w:tcW w:w="713" w:type="dxa"/>
            <w:shd w:val="clear" w:color="auto" w:fill="FFFFFF"/>
            <w:vAlign w:val="center"/>
          </w:tcPr>
          <w:p>
            <w:pPr>
              <w:pStyle w:val="63"/>
            </w:pPr>
            <w:r>
              <w:t>27.64</w:t>
            </w:r>
          </w:p>
        </w:tc>
        <w:tc>
          <w:tcPr>
            <w:tcW w:w="716" w:type="dxa"/>
            <w:shd w:val="clear" w:color="auto" w:fill="FFFFFF"/>
            <w:vAlign w:val="center"/>
          </w:tcPr>
          <w:p>
            <w:pPr>
              <w:pStyle w:val="63"/>
            </w:pPr>
            <w:r>
              <w:t>11.81</w:t>
            </w:r>
          </w:p>
        </w:tc>
        <w:tc>
          <w:tcPr>
            <w:tcW w:w="716" w:type="dxa"/>
            <w:shd w:val="clear" w:color="auto" w:fill="FFFFFF"/>
            <w:vAlign w:val="center"/>
          </w:tcPr>
          <w:p>
            <w:pPr>
              <w:pStyle w:val="63"/>
            </w:pPr>
            <w:r>
              <w:t>12.5</w:t>
            </w:r>
          </w:p>
        </w:tc>
        <w:tc>
          <w:tcPr>
            <w:tcW w:w="717" w:type="dxa"/>
            <w:shd w:val="clear" w:color="auto" w:fill="FFFFFF"/>
            <w:vAlign w:val="center"/>
          </w:tcPr>
          <w:p>
            <w:pPr>
              <w:pStyle w:val="63"/>
            </w:pPr>
            <w:r>
              <w:t>6.94</w:t>
            </w:r>
          </w:p>
        </w:tc>
        <w:tc>
          <w:tcPr>
            <w:tcW w:w="719" w:type="dxa"/>
            <w:shd w:val="clear" w:color="auto" w:fill="FFFFFF"/>
            <w:vAlign w:val="center"/>
          </w:tcPr>
          <w:p>
            <w:pPr>
              <w:pStyle w:val="63"/>
            </w:pPr>
            <w:r>
              <w:t>5.42</w:t>
            </w:r>
          </w:p>
        </w:tc>
        <w:tc>
          <w:tcPr>
            <w:tcW w:w="717" w:type="dxa"/>
            <w:shd w:val="clear" w:color="auto" w:fill="FFFFFF"/>
            <w:vAlign w:val="center"/>
          </w:tcPr>
          <w:p>
            <w:pPr>
              <w:pStyle w:val="63"/>
            </w:pPr>
            <w:r>
              <w:t>1.94</w:t>
            </w:r>
          </w:p>
        </w:tc>
        <w:tc>
          <w:tcPr>
            <w:tcW w:w="717" w:type="dxa"/>
            <w:shd w:val="clear" w:color="auto" w:fill="FFFFFF"/>
            <w:vAlign w:val="center"/>
          </w:tcPr>
          <w:p>
            <w:pPr>
              <w:pStyle w:val="63"/>
            </w:pPr>
            <w:r>
              <w:t>1.25</w:t>
            </w:r>
          </w:p>
        </w:tc>
        <w:tc>
          <w:tcPr>
            <w:tcW w:w="719" w:type="dxa"/>
            <w:shd w:val="clear" w:color="auto" w:fill="FFFFFF"/>
            <w:vAlign w:val="center"/>
          </w:tcPr>
          <w:p>
            <w:pPr>
              <w:pStyle w:val="63"/>
            </w:pPr>
            <w:r>
              <w:t>0.83</w:t>
            </w:r>
          </w:p>
        </w:tc>
        <w:tc>
          <w:tcPr>
            <w:tcW w:w="717" w:type="dxa"/>
            <w:shd w:val="clear" w:color="auto" w:fill="FFFFFF"/>
            <w:vAlign w:val="center"/>
          </w:tcPr>
          <w:p>
            <w:pPr>
              <w:pStyle w:val="63"/>
            </w:pPr>
            <w:r>
              <w:t>1.67</w:t>
            </w:r>
          </w:p>
        </w:tc>
        <w:tc>
          <w:tcPr>
            <w:tcW w:w="717" w:type="dxa"/>
            <w:shd w:val="clear" w:color="auto" w:fill="FFFFFF"/>
            <w:vAlign w:val="center"/>
          </w:tcPr>
          <w:p>
            <w:pPr>
              <w:pStyle w:val="63"/>
            </w:pPr>
            <w:r>
              <w:t>1.11</w:t>
            </w:r>
          </w:p>
        </w:tc>
        <w:tc>
          <w:tcPr>
            <w:tcW w:w="719" w:type="dxa"/>
            <w:shd w:val="clear" w:color="auto" w:fill="FFFFFF"/>
            <w:vAlign w:val="center"/>
          </w:tcPr>
          <w:p>
            <w:pPr>
              <w:pStyle w:val="63"/>
            </w:pPr>
            <w:r>
              <w:t>0.69</w:t>
            </w:r>
          </w:p>
        </w:tc>
        <w:tc>
          <w:tcPr>
            <w:tcW w:w="717" w:type="dxa"/>
            <w:shd w:val="clear" w:color="auto" w:fill="FFFFFF"/>
            <w:vAlign w:val="center"/>
          </w:tcPr>
          <w:p>
            <w:pPr>
              <w:pStyle w:val="63"/>
            </w:pPr>
            <w:r>
              <w:t>0.28</w:t>
            </w:r>
          </w:p>
        </w:tc>
        <w:tc>
          <w:tcPr>
            <w:tcW w:w="717" w:type="dxa"/>
            <w:shd w:val="clear" w:color="auto" w:fill="FFFFFF"/>
            <w:vAlign w:val="center"/>
          </w:tcPr>
          <w:p>
            <w:pPr>
              <w:pStyle w:val="63"/>
            </w:pPr>
            <w:r>
              <w:t>2.22</w:t>
            </w:r>
          </w:p>
        </w:tc>
        <w:tc>
          <w:tcPr>
            <w:tcW w:w="865" w:type="dxa"/>
            <w:shd w:val="clear" w:color="auto" w:fill="FFFFFF"/>
            <w:vAlign w:val="center"/>
          </w:tcPr>
          <w:p>
            <w:pPr>
              <w:pStyle w:val="63"/>
            </w:pPr>
            <w:r>
              <w:t>1.94</w:t>
            </w:r>
          </w:p>
        </w:tc>
        <w:tc>
          <w:tcPr>
            <w:tcW w:w="619" w:type="dxa"/>
            <w:shd w:val="clear" w:color="auto" w:fill="FFFFFF"/>
            <w:vAlign w:val="center"/>
          </w:tcPr>
          <w:p>
            <w:pPr>
              <w:pStyle w:val="63"/>
            </w:pPr>
            <w:r>
              <w:t>4.17</w:t>
            </w:r>
          </w:p>
        </w:tc>
        <w:tc>
          <w:tcPr>
            <w:tcW w:w="805" w:type="dxa"/>
            <w:shd w:val="clear" w:color="auto" w:fill="FFFFFF"/>
            <w:vAlign w:val="center"/>
          </w:tcPr>
          <w:p>
            <w:pPr>
              <w:pStyle w:val="63"/>
            </w:pPr>
            <w:r>
              <w:t>13.61</w:t>
            </w:r>
          </w:p>
        </w:tc>
        <w:tc>
          <w:tcPr>
            <w:tcW w:w="607" w:type="dxa"/>
            <w:shd w:val="clear" w:color="auto" w:fill="FFFFFF"/>
            <w:vAlign w:val="center"/>
          </w:tcPr>
          <w:p>
            <w:pPr>
              <w:pStyle w:val="63"/>
            </w:pPr>
            <w:r>
              <w:t>5.97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6" w:type="dxa"/>
            <w:bottom w:w="0" w:type="dxa"/>
            <w:right w:w="6" w:type="dxa"/>
          </w:tblCellMar>
        </w:tblPrEx>
        <w:trPr>
          <w:trHeight w:val="454" w:hRule="atLeast"/>
        </w:trPr>
        <w:tc>
          <w:tcPr>
            <w:tcW w:w="1093" w:type="dxa"/>
            <w:shd w:val="clear" w:color="auto" w:fill="FFFFFF"/>
            <w:vAlign w:val="center"/>
          </w:tcPr>
          <w:p>
            <w:pPr>
              <w:pStyle w:val="63"/>
            </w:pPr>
            <w:r>
              <w:t>十月</w:t>
            </w:r>
          </w:p>
        </w:tc>
        <w:tc>
          <w:tcPr>
            <w:tcW w:w="713" w:type="dxa"/>
            <w:shd w:val="clear" w:color="auto" w:fill="FFFFFF"/>
            <w:vAlign w:val="center"/>
          </w:tcPr>
          <w:p>
            <w:pPr>
              <w:pStyle w:val="63"/>
            </w:pPr>
            <w:r>
              <w:t>32.26</w:t>
            </w:r>
          </w:p>
        </w:tc>
        <w:tc>
          <w:tcPr>
            <w:tcW w:w="716" w:type="dxa"/>
            <w:shd w:val="clear" w:color="auto" w:fill="FFFFFF"/>
            <w:vAlign w:val="center"/>
          </w:tcPr>
          <w:p>
            <w:pPr>
              <w:pStyle w:val="63"/>
            </w:pPr>
            <w:r>
              <w:t>10.75</w:t>
            </w:r>
          </w:p>
        </w:tc>
        <w:tc>
          <w:tcPr>
            <w:tcW w:w="716" w:type="dxa"/>
            <w:shd w:val="clear" w:color="auto" w:fill="FFFFFF"/>
            <w:vAlign w:val="center"/>
          </w:tcPr>
          <w:p>
            <w:pPr>
              <w:pStyle w:val="63"/>
            </w:pPr>
            <w:r>
              <w:t>11.83</w:t>
            </w:r>
          </w:p>
        </w:tc>
        <w:tc>
          <w:tcPr>
            <w:tcW w:w="717" w:type="dxa"/>
            <w:shd w:val="clear" w:color="auto" w:fill="FFFFFF"/>
            <w:vAlign w:val="center"/>
          </w:tcPr>
          <w:p>
            <w:pPr>
              <w:pStyle w:val="63"/>
            </w:pPr>
            <w:r>
              <w:t>4.17</w:t>
            </w:r>
          </w:p>
        </w:tc>
        <w:tc>
          <w:tcPr>
            <w:tcW w:w="719" w:type="dxa"/>
            <w:shd w:val="clear" w:color="auto" w:fill="FFFFFF"/>
            <w:vAlign w:val="center"/>
          </w:tcPr>
          <w:p>
            <w:pPr>
              <w:pStyle w:val="63"/>
            </w:pPr>
            <w:r>
              <w:t>3.09</w:t>
            </w:r>
          </w:p>
        </w:tc>
        <w:tc>
          <w:tcPr>
            <w:tcW w:w="717" w:type="dxa"/>
            <w:shd w:val="clear" w:color="auto" w:fill="FFFFFF"/>
            <w:vAlign w:val="center"/>
          </w:tcPr>
          <w:p>
            <w:pPr>
              <w:pStyle w:val="63"/>
            </w:pPr>
            <w:r>
              <w:t>2.28</w:t>
            </w:r>
          </w:p>
        </w:tc>
        <w:tc>
          <w:tcPr>
            <w:tcW w:w="717" w:type="dxa"/>
            <w:shd w:val="clear" w:color="auto" w:fill="FFFFFF"/>
            <w:vAlign w:val="center"/>
          </w:tcPr>
          <w:p>
            <w:pPr>
              <w:pStyle w:val="63"/>
            </w:pPr>
            <w:r>
              <w:t>1.21</w:t>
            </w:r>
          </w:p>
        </w:tc>
        <w:tc>
          <w:tcPr>
            <w:tcW w:w="719" w:type="dxa"/>
            <w:shd w:val="clear" w:color="auto" w:fill="FFFFFF"/>
            <w:vAlign w:val="center"/>
          </w:tcPr>
          <w:p>
            <w:pPr>
              <w:pStyle w:val="63"/>
            </w:pPr>
            <w:r>
              <w:t>2.96</w:t>
            </w:r>
          </w:p>
        </w:tc>
        <w:tc>
          <w:tcPr>
            <w:tcW w:w="717" w:type="dxa"/>
            <w:shd w:val="clear" w:color="auto" w:fill="FFFFFF"/>
            <w:vAlign w:val="center"/>
          </w:tcPr>
          <w:p>
            <w:pPr>
              <w:pStyle w:val="63"/>
            </w:pPr>
            <w:r>
              <w:t>5.11</w:t>
            </w:r>
          </w:p>
        </w:tc>
        <w:tc>
          <w:tcPr>
            <w:tcW w:w="717" w:type="dxa"/>
            <w:shd w:val="clear" w:color="auto" w:fill="FFFFFF"/>
            <w:vAlign w:val="center"/>
          </w:tcPr>
          <w:p>
            <w:pPr>
              <w:pStyle w:val="63"/>
            </w:pPr>
            <w:r>
              <w:t>0.67</w:t>
            </w:r>
          </w:p>
        </w:tc>
        <w:tc>
          <w:tcPr>
            <w:tcW w:w="719" w:type="dxa"/>
            <w:shd w:val="clear" w:color="auto" w:fill="FFFFFF"/>
            <w:vAlign w:val="center"/>
          </w:tcPr>
          <w:p>
            <w:pPr>
              <w:pStyle w:val="63"/>
            </w:pPr>
            <w:r>
              <w:t>1.48</w:t>
            </w:r>
          </w:p>
        </w:tc>
        <w:tc>
          <w:tcPr>
            <w:tcW w:w="717" w:type="dxa"/>
            <w:shd w:val="clear" w:color="auto" w:fill="FFFFFF"/>
            <w:vAlign w:val="center"/>
          </w:tcPr>
          <w:p>
            <w:pPr>
              <w:pStyle w:val="63"/>
            </w:pPr>
            <w:r>
              <w:t>1.08</w:t>
            </w:r>
          </w:p>
        </w:tc>
        <w:tc>
          <w:tcPr>
            <w:tcW w:w="717" w:type="dxa"/>
            <w:shd w:val="clear" w:color="auto" w:fill="FFFFFF"/>
            <w:vAlign w:val="center"/>
          </w:tcPr>
          <w:p>
            <w:pPr>
              <w:pStyle w:val="63"/>
            </w:pPr>
            <w:r>
              <w:t>1.08</w:t>
            </w:r>
          </w:p>
        </w:tc>
        <w:tc>
          <w:tcPr>
            <w:tcW w:w="865" w:type="dxa"/>
            <w:shd w:val="clear" w:color="auto" w:fill="FFFFFF"/>
            <w:vAlign w:val="center"/>
          </w:tcPr>
          <w:p>
            <w:pPr>
              <w:pStyle w:val="63"/>
            </w:pPr>
            <w:r>
              <w:t>0.94</w:t>
            </w:r>
          </w:p>
        </w:tc>
        <w:tc>
          <w:tcPr>
            <w:tcW w:w="619" w:type="dxa"/>
            <w:shd w:val="clear" w:color="auto" w:fill="FFFFFF"/>
            <w:vAlign w:val="center"/>
          </w:tcPr>
          <w:p>
            <w:pPr>
              <w:pStyle w:val="63"/>
            </w:pPr>
            <w:r>
              <w:t>2.02</w:t>
            </w:r>
          </w:p>
        </w:tc>
        <w:tc>
          <w:tcPr>
            <w:tcW w:w="805" w:type="dxa"/>
            <w:shd w:val="clear" w:color="auto" w:fill="FFFFFF"/>
            <w:vAlign w:val="center"/>
          </w:tcPr>
          <w:p>
            <w:pPr>
              <w:pStyle w:val="63"/>
            </w:pPr>
            <w:r>
              <w:t>15.99</w:t>
            </w:r>
          </w:p>
        </w:tc>
        <w:tc>
          <w:tcPr>
            <w:tcW w:w="607" w:type="dxa"/>
            <w:shd w:val="clear" w:color="auto" w:fill="FFFFFF"/>
            <w:vAlign w:val="center"/>
          </w:tcPr>
          <w:p>
            <w:pPr>
              <w:pStyle w:val="63"/>
            </w:pPr>
            <w:r>
              <w:t>3.09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6" w:type="dxa"/>
            <w:bottom w:w="0" w:type="dxa"/>
            <w:right w:w="6" w:type="dxa"/>
          </w:tblCellMar>
        </w:tblPrEx>
        <w:trPr>
          <w:trHeight w:val="454" w:hRule="atLeast"/>
        </w:trPr>
        <w:tc>
          <w:tcPr>
            <w:tcW w:w="1093" w:type="dxa"/>
            <w:shd w:val="clear" w:color="auto" w:fill="FFFFFF"/>
            <w:vAlign w:val="center"/>
          </w:tcPr>
          <w:p>
            <w:pPr>
              <w:pStyle w:val="63"/>
            </w:pPr>
            <w:r>
              <w:t>十一月</w:t>
            </w:r>
          </w:p>
        </w:tc>
        <w:tc>
          <w:tcPr>
            <w:tcW w:w="713" w:type="dxa"/>
            <w:shd w:val="clear" w:color="auto" w:fill="FFFFFF"/>
            <w:vAlign w:val="center"/>
          </w:tcPr>
          <w:p>
            <w:pPr>
              <w:pStyle w:val="63"/>
            </w:pPr>
            <w:r>
              <w:t>23.61</w:t>
            </w:r>
          </w:p>
        </w:tc>
        <w:tc>
          <w:tcPr>
            <w:tcW w:w="716" w:type="dxa"/>
            <w:shd w:val="clear" w:color="auto" w:fill="FFFFFF"/>
            <w:vAlign w:val="center"/>
          </w:tcPr>
          <w:p>
            <w:pPr>
              <w:pStyle w:val="63"/>
            </w:pPr>
            <w:r>
              <w:t>9.17</w:t>
            </w:r>
          </w:p>
        </w:tc>
        <w:tc>
          <w:tcPr>
            <w:tcW w:w="716" w:type="dxa"/>
            <w:shd w:val="clear" w:color="auto" w:fill="FFFFFF"/>
            <w:vAlign w:val="center"/>
          </w:tcPr>
          <w:p>
            <w:pPr>
              <w:pStyle w:val="63"/>
            </w:pPr>
            <w:r>
              <w:t>8.89</w:t>
            </w:r>
          </w:p>
        </w:tc>
        <w:tc>
          <w:tcPr>
            <w:tcW w:w="717" w:type="dxa"/>
            <w:shd w:val="clear" w:color="auto" w:fill="FFFFFF"/>
            <w:vAlign w:val="center"/>
          </w:tcPr>
          <w:p>
            <w:pPr>
              <w:pStyle w:val="63"/>
            </w:pPr>
            <w:r>
              <w:t>5.14</w:t>
            </w:r>
          </w:p>
        </w:tc>
        <w:tc>
          <w:tcPr>
            <w:tcW w:w="719" w:type="dxa"/>
            <w:shd w:val="clear" w:color="auto" w:fill="FFFFFF"/>
            <w:vAlign w:val="center"/>
          </w:tcPr>
          <w:p>
            <w:pPr>
              <w:pStyle w:val="63"/>
            </w:pPr>
            <w:r>
              <w:t>7.22</w:t>
            </w:r>
          </w:p>
        </w:tc>
        <w:tc>
          <w:tcPr>
            <w:tcW w:w="717" w:type="dxa"/>
            <w:shd w:val="clear" w:color="auto" w:fill="FFFFFF"/>
            <w:vAlign w:val="center"/>
          </w:tcPr>
          <w:p>
            <w:pPr>
              <w:pStyle w:val="63"/>
            </w:pPr>
            <w:r>
              <w:t>4.72</w:t>
            </w:r>
          </w:p>
        </w:tc>
        <w:tc>
          <w:tcPr>
            <w:tcW w:w="717" w:type="dxa"/>
            <w:shd w:val="clear" w:color="auto" w:fill="FFFFFF"/>
            <w:vAlign w:val="center"/>
          </w:tcPr>
          <w:p>
            <w:pPr>
              <w:pStyle w:val="63"/>
            </w:pPr>
            <w:r>
              <w:t>4.03</w:t>
            </w:r>
          </w:p>
        </w:tc>
        <w:tc>
          <w:tcPr>
            <w:tcW w:w="719" w:type="dxa"/>
            <w:shd w:val="clear" w:color="auto" w:fill="FFFFFF"/>
            <w:vAlign w:val="center"/>
          </w:tcPr>
          <w:p>
            <w:pPr>
              <w:pStyle w:val="63"/>
            </w:pPr>
            <w:r>
              <w:t>2.36</w:t>
            </w:r>
          </w:p>
        </w:tc>
        <w:tc>
          <w:tcPr>
            <w:tcW w:w="717" w:type="dxa"/>
            <w:shd w:val="clear" w:color="auto" w:fill="FFFFFF"/>
            <w:vAlign w:val="center"/>
          </w:tcPr>
          <w:p>
            <w:pPr>
              <w:pStyle w:val="63"/>
            </w:pPr>
            <w:r>
              <w:t>4.72</w:t>
            </w:r>
          </w:p>
        </w:tc>
        <w:tc>
          <w:tcPr>
            <w:tcW w:w="717" w:type="dxa"/>
            <w:shd w:val="clear" w:color="auto" w:fill="FFFFFF"/>
            <w:vAlign w:val="center"/>
          </w:tcPr>
          <w:p>
            <w:pPr>
              <w:pStyle w:val="63"/>
            </w:pPr>
            <w:r>
              <w:t>2.64</w:t>
            </w:r>
          </w:p>
        </w:tc>
        <w:tc>
          <w:tcPr>
            <w:tcW w:w="719" w:type="dxa"/>
            <w:shd w:val="clear" w:color="auto" w:fill="FFFFFF"/>
            <w:vAlign w:val="center"/>
          </w:tcPr>
          <w:p>
            <w:pPr>
              <w:pStyle w:val="63"/>
            </w:pPr>
            <w:r>
              <w:t>1.81</w:t>
            </w:r>
          </w:p>
        </w:tc>
        <w:tc>
          <w:tcPr>
            <w:tcW w:w="717" w:type="dxa"/>
            <w:shd w:val="clear" w:color="auto" w:fill="FFFFFF"/>
            <w:vAlign w:val="center"/>
          </w:tcPr>
          <w:p>
            <w:pPr>
              <w:pStyle w:val="63"/>
            </w:pPr>
            <w:r>
              <w:t>1.67</w:t>
            </w:r>
          </w:p>
        </w:tc>
        <w:tc>
          <w:tcPr>
            <w:tcW w:w="717" w:type="dxa"/>
            <w:shd w:val="clear" w:color="auto" w:fill="FFFFFF"/>
            <w:vAlign w:val="center"/>
          </w:tcPr>
          <w:p>
            <w:pPr>
              <w:pStyle w:val="63"/>
            </w:pPr>
            <w:r>
              <w:t>2.64</w:t>
            </w:r>
          </w:p>
        </w:tc>
        <w:tc>
          <w:tcPr>
            <w:tcW w:w="865" w:type="dxa"/>
            <w:shd w:val="clear" w:color="auto" w:fill="FFFFFF"/>
            <w:vAlign w:val="center"/>
          </w:tcPr>
          <w:p>
            <w:pPr>
              <w:pStyle w:val="63"/>
            </w:pPr>
            <w:r>
              <w:t>2.08</w:t>
            </w:r>
          </w:p>
        </w:tc>
        <w:tc>
          <w:tcPr>
            <w:tcW w:w="619" w:type="dxa"/>
            <w:shd w:val="clear" w:color="auto" w:fill="FFFFFF"/>
            <w:vAlign w:val="center"/>
          </w:tcPr>
          <w:p>
            <w:pPr>
              <w:pStyle w:val="63"/>
            </w:pPr>
            <w:r>
              <w:t>1.94</w:t>
            </w:r>
          </w:p>
        </w:tc>
        <w:tc>
          <w:tcPr>
            <w:tcW w:w="805" w:type="dxa"/>
            <w:shd w:val="clear" w:color="auto" w:fill="FFFFFF"/>
            <w:vAlign w:val="center"/>
          </w:tcPr>
          <w:p>
            <w:pPr>
              <w:pStyle w:val="63"/>
            </w:pPr>
            <w:r>
              <w:t>12.08</w:t>
            </w:r>
          </w:p>
        </w:tc>
        <w:tc>
          <w:tcPr>
            <w:tcW w:w="607" w:type="dxa"/>
            <w:shd w:val="clear" w:color="auto" w:fill="FFFFFF"/>
            <w:vAlign w:val="center"/>
          </w:tcPr>
          <w:p>
            <w:pPr>
              <w:pStyle w:val="63"/>
            </w:pPr>
            <w:r>
              <w:t>5.28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6" w:type="dxa"/>
            <w:bottom w:w="0" w:type="dxa"/>
            <w:right w:w="6" w:type="dxa"/>
          </w:tblCellMar>
        </w:tblPrEx>
        <w:trPr>
          <w:trHeight w:val="454" w:hRule="atLeast"/>
        </w:trPr>
        <w:tc>
          <w:tcPr>
            <w:tcW w:w="1093" w:type="dxa"/>
            <w:shd w:val="clear" w:color="auto" w:fill="FFFFFF"/>
            <w:vAlign w:val="center"/>
          </w:tcPr>
          <w:p>
            <w:pPr>
              <w:pStyle w:val="63"/>
            </w:pPr>
            <w:r>
              <w:t>十二月</w:t>
            </w:r>
          </w:p>
        </w:tc>
        <w:tc>
          <w:tcPr>
            <w:tcW w:w="713" w:type="dxa"/>
            <w:shd w:val="clear" w:color="auto" w:fill="FFFFFF"/>
            <w:vAlign w:val="center"/>
          </w:tcPr>
          <w:p>
            <w:pPr>
              <w:pStyle w:val="63"/>
            </w:pPr>
            <w:r>
              <w:t>30.11</w:t>
            </w:r>
          </w:p>
        </w:tc>
        <w:tc>
          <w:tcPr>
            <w:tcW w:w="716" w:type="dxa"/>
            <w:shd w:val="clear" w:color="auto" w:fill="FFFFFF"/>
            <w:vAlign w:val="center"/>
          </w:tcPr>
          <w:p>
            <w:pPr>
              <w:pStyle w:val="63"/>
            </w:pPr>
            <w:r>
              <w:t>9.81</w:t>
            </w:r>
          </w:p>
        </w:tc>
        <w:tc>
          <w:tcPr>
            <w:tcW w:w="716" w:type="dxa"/>
            <w:shd w:val="clear" w:color="auto" w:fill="FFFFFF"/>
            <w:vAlign w:val="center"/>
          </w:tcPr>
          <w:p>
            <w:pPr>
              <w:pStyle w:val="63"/>
            </w:pPr>
            <w:r>
              <w:t>7.12</w:t>
            </w:r>
          </w:p>
        </w:tc>
        <w:tc>
          <w:tcPr>
            <w:tcW w:w="717" w:type="dxa"/>
            <w:shd w:val="clear" w:color="auto" w:fill="FFFFFF"/>
            <w:vAlign w:val="center"/>
          </w:tcPr>
          <w:p>
            <w:pPr>
              <w:pStyle w:val="63"/>
            </w:pPr>
            <w:r>
              <w:t>4.17</w:t>
            </w:r>
          </w:p>
        </w:tc>
        <w:tc>
          <w:tcPr>
            <w:tcW w:w="719" w:type="dxa"/>
            <w:shd w:val="clear" w:color="auto" w:fill="FFFFFF"/>
            <w:vAlign w:val="center"/>
          </w:tcPr>
          <w:p>
            <w:pPr>
              <w:pStyle w:val="63"/>
            </w:pPr>
            <w:r>
              <w:t>4.97</w:t>
            </w:r>
          </w:p>
        </w:tc>
        <w:tc>
          <w:tcPr>
            <w:tcW w:w="717" w:type="dxa"/>
            <w:shd w:val="clear" w:color="auto" w:fill="FFFFFF"/>
            <w:vAlign w:val="center"/>
          </w:tcPr>
          <w:p>
            <w:pPr>
              <w:pStyle w:val="63"/>
            </w:pPr>
            <w:r>
              <w:t>2.96</w:t>
            </w:r>
          </w:p>
        </w:tc>
        <w:tc>
          <w:tcPr>
            <w:tcW w:w="717" w:type="dxa"/>
            <w:shd w:val="clear" w:color="auto" w:fill="FFFFFF"/>
            <w:vAlign w:val="center"/>
          </w:tcPr>
          <w:p>
            <w:pPr>
              <w:pStyle w:val="63"/>
            </w:pPr>
            <w:r>
              <w:t>1.61</w:t>
            </w:r>
          </w:p>
        </w:tc>
        <w:tc>
          <w:tcPr>
            <w:tcW w:w="719" w:type="dxa"/>
            <w:shd w:val="clear" w:color="auto" w:fill="FFFFFF"/>
            <w:vAlign w:val="center"/>
          </w:tcPr>
          <w:p>
            <w:pPr>
              <w:pStyle w:val="63"/>
            </w:pPr>
            <w:r>
              <w:t>1.34</w:t>
            </w:r>
          </w:p>
        </w:tc>
        <w:tc>
          <w:tcPr>
            <w:tcW w:w="717" w:type="dxa"/>
            <w:shd w:val="clear" w:color="auto" w:fill="FFFFFF"/>
            <w:vAlign w:val="center"/>
          </w:tcPr>
          <w:p>
            <w:pPr>
              <w:pStyle w:val="63"/>
            </w:pPr>
            <w:r>
              <w:t>1.75</w:t>
            </w:r>
          </w:p>
        </w:tc>
        <w:tc>
          <w:tcPr>
            <w:tcW w:w="717" w:type="dxa"/>
            <w:shd w:val="clear" w:color="auto" w:fill="FFFFFF"/>
            <w:vAlign w:val="center"/>
          </w:tcPr>
          <w:p>
            <w:pPr>
              <w:pStyle w:val="63"/>
            </w:pPr>
            <w:r>
              <w:t>0.94</w:t>
            </w:r>
          </w:p>
        </w:tc>
        <w:tc>
          <w:tcPr>
            <w:tcW w:w="719" w:type="dxa"/>
            <w:shd w:val="clear" w:color="auto" w:fill="FFFFFF"/>
            <w:vAlign w:val="center"/>
          </w:tcPr>
          <w:p>
            <w:pPr>
              <w:pStyle w:val="63"/>
            </w:pPr>
            <w:r>
              <w:t>0.67</w:t>
            </w:r>
          </w:p>
        </w:tc>
        <w:tc>
          <w:tcPr>
            <w:tcW w:w="717" w:type="dxa"/>
            <w:shd w:val="clear" w:color="auto" w:fill="FFFFFF"/>
            <w:vAlign w:val="center"/>
          </w:tcPr>
          <w:p>
            <w:pPr>
              <w:pStyle w:val="63"/>
            </w:pPr>
            <w:r>
              <w:t>1.34</w:t>
            </w:r>
          </w:p>
        </w:tc>
        <w:tc>
          <w:tcPr>
            <w:tcW w:w="717" w:type="dxa"/>
            <w:shd w:val="clear" w:color="auto" w:fill="FFFFFF"/>
            <w:vAlign w:val="center"/>
          </w:tcPr>
          <w:p>
            <w:pPr>
              <w:pStyle w:val="63"/>
            </w:pPr>
            <w:r>
              <w:t>2.55</w:t>
            </w:r>
          </w:p>
        </w:tc>
        <w:tc>
          <w:tcPr>
            <w:tcW w:w="865" w:type="dxa"/>
            <w:shd w:val="clear" w:color="auto" w:fill="FFFFFF"/>
            <w:vAlign w:val="center"/>
          </w:tcPr>
          <w:p>
            <w:pPr>
              <w:pStyle w:val="63"/>
            </w:pPr>
            <w:r>
              <w:t>2.15</w:t>
            </w:r>
          </w:p>
        </w:tc>
        <w:tc>
          <w:tcPr>
            <w:tcW w:w="619" w:type="dxa"/>
            <w:shd w:val="clear" w:color="auto" w:fill="FFFFFF"/>
            <w:vAlign w:val="center"/>
          </w:tcPr>
          <w:p>
            <w:pPr>
              <w:pStyle w:val="63"/>
            </w:pPr>
            <w:r>
              <w:t>4.57</w:t>
            </w:r>
          </w:p>
        </w:tc>
        <w:tc>
          <w:tcPr>
            <w:tcW w:w="805" w:type="dxa"/>
            <w:shd w:val="clear" w:color="auto" w:fill="FFFFFF"/>
            <w:vAlign w:val="center"/>
          </w:tcPr>
          <w:p>
            <w:pPr>
              <w:pStyle w:val="63"/>
            </w:pPr>
            <w:r>
              <w:t>17.07</w:t>
            </w:r>
          </w:p>
        </w:tc>
        <w:tc>
          <w:tcPr>
            <w:tcW w:w="607" w:type="dxa"/>
            <w:shd w:val="clear" w:color="auto" w:fill="FFFFFF"/>
            <w:vAlign w:val="center"/>
          </w:tcPr>
          <w:p>
            <w:pPr>
              <w:pStyle w:val="63"/>
            </w:pPr>
            <w:r>
              <w:t>6.85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6" w:type="dxa"/>
            <w:bottom w:w="0" w:type="dxa"/>
            <w:right w:w="6" w:type="dxa"/>
          </w:tblCellMar>
        </w:tblPrEx>
        <w:trPr>
          <w:trHeight w:val="454" w:hRule="atLeast"/>
        </w:trPr>
        <w:tc>
          <w:tcPr>
            <w:tcW w:w="1093" w:type="dxa"/>
            <w:shd w:val="clear" w:color="auto" w:fill="FFFFFF"/>
            <w:vAlign w:val="center"/>
          </w:tcPr>
          <w:p>
            <w:pPr>
              <w:pStyle w:val="63"/>
            </w:pPr>
            <w:r>
              <w:t>全年</w:t>
            </w:r>
          </w:p>
        </w:tc>
        <w:tc>
          <w:tcPr>
            <w:tcW w:w="713" w:type="dxa"/>
            <w:shd w:val="clear" w:color="auto" w:fill="FFFFFF"/>
            <w:vAlign w:val="center"/>
          </w:tcPr>
          <w:p>
            <w:pPr>
              <w:pStyle w:val="63"/>
            </w:pPr>
            <w:r>
              <w:t>18.92</w:t>
            </w:r>
          </w:p>
        </w:tc>
        <w:tc>
          <w:tcPr>
            <w:tcW w:w="716" w:type="dxa"/>
            <w:shd w:val="clear" w:color="auto" w:fill="FFFFFF"/>
            <w:vAlign w:val="center"/>
          </w:tcPr>
          <w:p>
            <w:pPr>
              <w:pStyle w:val="63"/>
            </w:pPr>
            <w:r>
              <w:t>7.83</w:t>
            </w:r>
          </w:p>
        </w:tc>
        <w:tc>
          <w:tcPr>
            <w:tcW w:w="716" w:type="dxa"/>
            <w:shd w:val="clear" w:color="auto" w:fill="FFFFFF"/>
            <w:vAlign w:val="center"/>
          </w:tcPr>
          <w:p>
            <w:pPr>
              <w:pStyle w:val="63"/>
            </w:pPr>
            <w:r>
              <w:t>7.87</w:t>
            </w:r>
          </w:p>
        </w:tc>
        <w:tc>
          <w:tcPr>
            <w:tcW w:w="717" w:type="dxa"/>
            <w:shd w:val="clear" w:color="auto" w:fill="FFFFFF"/>
            <w:vAlign w:val="center"/>
          </w:tcPr>
          <w:p>
            <w:pPr>
              <w:pStyle w:val="63"/>
            </w:pPr>
            <w:r>
              <w:t>5.23</w:t>
            </w:r>
          </w:p>
        </w:tc>
        <w:tc>
          <w:tcPr>
            <w:tcW w:w="719" w:type="dxa"/>
            <w:shd w:val="clear" w:color="auto" w:fill="FFFFFF"/>
            <w:vAlign w:val="center"/>
          </w:tcPr>
          <w:p>
            <w:pPr>
              <w:pStyle w:val="63"/>
            </w:pPr>
            <w:r>
              <w:t>6.82</w:t>
            </w:r>
          </w:p>
        </w:tc>
        <w:tc>
          <w:tcPr>
            <w:tcW w:w="717" w:type="dxa"/>
            <w:shd w:val="clear" w:color="auto" w:fill="FFFFFF"/>
            <w:vAlign w:val="center"/>
          </w:tcPr>
          <w:p>
            <w:pPr>
              <w:pStyle w:val="63"/>
            </w:pPr>
            <w:r>
              <w:t>4.92</w:t>
            </w:r>
          </w:p>
        </w:tc>
        <w:tc>
          <w:tcPr>
            <w:tcW w:w="717" w:type="dxa"/>
            <w:shd w:val="clear" w:color="auto" w:fill="FFFFFF"/>
            <w:vAlign w:val="center"/>
          </w:tcPr>
          <w:p>
            <w:pPr>
              <w:pStyle w:val="63"/>
            </w:pPr>
            <w:r>
              <w:t>3.08</w:t>
            </w:r>
          </w:p>
        </w:tc>
        <w:tc>
          <w:tcPr>
            <w:tcW w:w="719" w:type="dxa"/>
            <w:shd w:val="clear" w:color="auto" w:fill="FFFFFF"/>
            <w:vAlign w:val="center"/>
          </w:tcPr>
          <w:p>
            <w:pPr>
              <w:pStyle w:val="63"/>
            </w:pPr>
            <w:r>
              <w:t>3.5</w:t>
            </w:r>
          </w:p>
        </w:tc>
        <w:tc>
          <w:tcPr>
            <w:tcW w:w="717" w:type="dxa"/>
            <w:shd w:val="clear" w:color="auto" w:fill="FFFFFF"/>
            <w:vAlign w:val="center"/>
          </w:tcPr>
          <w:p>
            <w:pPr>
              <w:pStyle w:val="63"/>
            </w:pPr>
            <w:r>
              <w:t>9.16</w:t>
            </w:r>
          </w:p>
        </w:tc>
        <w:tc>
          <w:tcPr>
            <w:tcW w:w="717" w:type="dxa"/>
            <w:shd w:val="clear" w:color="auto" w:fill="FFFFFF"/>
            <w:vAlign w:val="center"/>
          </w:tcPr>
          <w:p>
            <w:pPr>
              <w:pStyle w:val="63"/>
            </w:pPr>
            <w:r>
              <w:t>3.4</w:t>
            </w:r>
          </w:p>
        </w:tc>
        <w:tc>
          <w:tcPr>
            <w:tcW w:w="719" w:type="dxa"/>
            <w:shd w:val="clear" w:color="auto" w:fill="FFFFFF"/>
            <w:vAlign w:val="center"/>
          </w:tcPr>
          <w:p>
            <w:pPr>
              <w:pStyle w:val="63"/>
            </w:pPr>
            <w:r>
              <w:t>2.27</w:t>
            </w:r>
          </w:p>
        </w:tc>
        <w:tc>
          <w:tcPr>
            <w:tcW w:w="717" w:type="dxa"/>
            <w:shd w:val="clear" w:color="auto" w:fill="FFFFFF"/>
            <w:vAlign w:val="center"/>
          </w:tcPr>
          <w:p>
            <w:pPr>
              <w:pStyle w:val="63"/>
            </w:pPr>
            <w:r>
              <w:t>1.4</w:t>
            </w:r>
          </w:p>
        </w:tc>
        <w:tc>
          <w:tcPr>
            <w:tcW w:w="717" w:type="dxa"/>
            <w:shd w:val="clear" w:color="auto" w:fill="FFFFFF"/>
            <w:vAlign w:val="center"/>
          </w:tcPr>
          <w:p>
            <w:pPr>
              <w:pStyle w:val="63"/>
            </w:pPr>
            <w:r>
              <w:t>2.56</w:t>
            </w:r>
          </w:p>
        </w:tc>
        <w:tc>
          <w:tcPr>
            <w:tcW w:w="865" w:type="dxa"/>
            <w:shd w:val="clear" w:color="auto" w:fill="FFFFFF"/>
            <w:vAlign w:val="center"/>
          </w:tcPr>
          <w:p>
            <w:pPr>
              <w:pStyle w:val="63"/>
            </w:pPr>
            <w:r>
              <w:t>2.41</w:t>
            </w:r>
          </w:p>
        </w:tc>
        <w:tc>
          <w:tcPr>
            <w:tcW w:w="619" w:type="dxa"/>
            <w:shd w:val="clear" w:color="auto" w:fill="FFFFFF"/>
            <w:vAlign w:val="center"/>
          </w:tcPr>
          <w:p>
            <w:pPr>
              <w:pStyle w:val="63"/>
            </w:pPr>
            <w:r>
              <w:t>3.95</w:t>
            </w:r>
          </w:p>
        </w:tc>
        <w:tc>
          <w:tcPr>
            <w:tcW w:w="805" w:type="dxa"/>
            <w:shd w:val="clear" w:color="auto" w:fill="FFFFFF"/>
            <w:vAlign w:val="center"/>
          </w:tcPr>
          <w:p>
            <w:pPr>
              <w:pStyle w:val="63"/>
            </w:pPr>
            <w:r>
              <w:t>11.15</w:t>
            </w:r>
          </w:p>
        </w:tc>
        <w:tc>
          <w:tcPr>
            <w:tcW w:w="607" w:type="dxa"/>
            <w:shd w:val="clear" w:color="auto" w:fill="FFFFFF"/>
            <w:vAlign w:val="center"/>
          </w:tcPr>
          <w:p>
            <w:pPr>
              <w:pStyle w:val="63"/>
            </w:pPr>
            <w:r>
              <w:t>5.54</w:t>
            </w:r>
          </w:p>
        </w:tc>
      </w:tr>
    </w:tbl>
    <w:p>
      <w:pPr>
        <w:spacing w:before="100" w:beforeAutospacing="1" w:after="100" w:afterAutospacing="1" w:line="300" w:lineRule="auto"/>
        <w:rPr>
          <w:rFonts w:ascii="Times New Roman" w:hAnsi="Times New Roman" w:cs="Times New Roman"/>
          <w:kern w:val="20"/>
        </w:rPr>
        <w:sectPr>
          <w:pgSz w:w="16839" w:h="11907" w:orient="landscape"/>
          <w:pgMar w:top="1797" w:right="1440" w:bottom="1797" w:left="1440" w:header="851" w:footer="992" w:gutter="0"/>
          <w:cols w:space="720" w:num="1"/>
          <w:docGrid w:linePitch="326" w:charSpace="0"/>
        </w:sectPr>
      </w:pPr>
    </w:p>
    <w:p>
      <w:pPr>
        <w:spacing w:line="360" w:lineRule="auto"/>
        <w:ind w:firstLine="482" w:firstLineChars="200"/>
        <w:rPr>
          <w:rFonts w:ascii="Times New Roman" w:hAnsi="Times New Roman" w:cs="Times New Roman"/>
          <w:b/>
        </w:rPr>
      </w:pPr>
      <w:bookmarkStart w:id="332" w:name="_Toc372913829"/>
      <w:bookmarkEnd w:id="332"/>
      <w:bookmarkStart w:id="333" w:name="_Toc374694525"/>
      <w:bookmarkEnd w:id="333"/>
      <w:bookmarkStart w:id="334" w:name="_Toc385771872"/>
      <w:bookmarkEnd w:id="334"/>
      <w:bookmarkStart w:id="335" w:name="_Toc19921"/>
      <w:r>
        <w:rPr>
          <w:rFonts w:ascii="Times New Roman" w:hAnsi="Times New Roman" w:cs="Times New Roman"/>
          <w:b/>
        </w:rPr>
        <w:t>2、高空气象资料</w:t>
      </w:r>
      <w:bookmarkEnd w:id="335"/>
    </w:p>
    <w:p>
      <w:pPr>
        <w:spacing w:line="360" w:lineRule="auto"/>
        <w:ind w:firstLine="480" w:firstLineChars="200"/>
        <w:rPr>
          <w:rFonts w:ascii="Times New Roman" w:hAnsi="Times New Roman" w:cs="Times New Roman"/>
          <w:lang w:val="zh-CN"/>
        </w:rPr>
      </w:pPr>
      <w:r>
        <w:rPr>
          <w:rFonts w:ascii="Times New Roman" w:hAnsi="Times New Roman" w:cs="Times New Roman"/>
          <w:lang w:val="zh-CN"/>
        </w:rPr>
        <w:t>本评价</w:t>
      </w:r>
      <w:r>
        <w:rPr>
          <w:rFonts w:ascii="Times New Roman" w:hAnsi="Times New Roman" w:cs="Times New Roman"/>
        </w:rPr>
        <w:t>高空</w:t>
      </w:r>
      <w:r>
        <w:rPr>
          <w:rFonts w:ascii="Times New Roman" w:hAnsi="Times New Roman" w:cs="Times New Roman"/>
          <w:lang w:val="zh-CN"/>
        </w:rPr>
        <w:t>气象资料采用生态环境部评估中心国家环境保护环境影响评价数值模拟重点实验室数据，模拟网格中心点位置北纬112.753°，东经27.0921°。根据环评技术导则，本环评可直接引用该站的气象资料。</w:t>
      </w:r>
    </w:p>
    <w:p>
      <w:pPr>
        <w:pStyle w:val="5"/>
        <w:ind w:firstLine="482"/>
        <w:rPr>
          <w:rFonts w:ascii="Times New Roman" w:hAnsi="Times New Roman" w:cs="Times New Roman" w:eastAsiaTheme="minorEastAsia"/>
        </w:rPr>
      </w:pPr>
      <w:r>
        <w:rPr>
          <w:rFonts w:ascii="Times New Roman" w:hAnsi="Times New Roman" w:cs="Times New Roman" w:eastAsiaTheme="minorEastAsia"/>
        </w:rPr>
        <w:t>6.2.1.2 预测模式及参数选择</w:t>
      </w:r>
    </w:p>
    <w:p>
      <w:pPr>
        <w:spacing w:line="360" w:lineRule="auto"/>
        <w:ind w:firstLine="480" w:firstLineChars="200"/>
        <w:rPr>
          <w:rFonts w:ascii="Times New Roman" w:hAnsi="Times New Roman" w:cs="Times New Roman"/>
        </w:rPr>
      </w:pPr>
      <w:r>
        <w:rPr>
          <w:rFonts w:ascii="Times New Roman" w:hAnsi="Times New Roman" w:cs="Times New Roman"/>
        </w:rPr>
        <w:t>（1）预测模式</w:t>
      </w:r>
    </w:p>
    <w:p>
      <w:pPr>
        <w:spacing w:line="360" w:lineRule="auto"/>
        <w:ind w:firstLine="456" w:firstLineChars="200"/>
        <w:rPr>
          <w:rFonts w:ascii="Times New Roman" w:hAnsi="Times New Roman" w:cs="Times New Roman"/>
          <w:spacing w:val="-6"/>
        </w:rPr>
      </w:pPr>
      <w:r>
        <w:rPr>
          <w:rFonts w:ascii="Times New Roman" w:hAnsi="Times New Roman" w:cs="Times New Roman"/>
          <w:spacing w:val="-6"/>
        </w:rPr>
        <w:t>按照《环境影响评价技术导则－大气环境》（HJ2.2-2018）有关要求，本次环境影响评价选用AERMOD模式进行大气环境影响预测。</w:t>
      </w:r>
    </w:p>
    <w:p>
      <w:pPr>
        <w:spacing w:line="360" w:lineRule="auto"/>
        <w:ind w:firstLine="456" w:firstLineChars="200"/>
        <w:rPr>
          <w:rFonts w:ascii="Times New Roman" w:hAnsi="Times New Roman" w:cs="Times New Roman"/>
          <w:spacing w:val="-6"/>
        </w:rPr>
      </w:pPr>
      <w:r>
        <w:rPr>
          <w:rFonts w:ascii="Times New Roman" w:hAnsi="Times New Roman" w:cs="Times New Roman"/>
          <w:spacing w:val="-6"/>
        </w:rPr>
        <w:t>AERMOD是一个稳态烟羽扩散模式，可基于大气边界层数据特征模拟点源、面源、体源等排放出的污染物的浓度分布，适用于农村或城市地区、简单或复杂地形。使用AERMOD亦可考虑建筑物尾流（烟羽下洗）的影响。</w:t>
      </w:r>
    </w:p>
    <w:p>
      <w:pPr>
        <w:spacing w:line="360" w:lineRule="auto"/>
        <w:ind w:firstLine="480" w:firstLineChars="200"/>
        <w:rPr>
          <w:rFonts w:ascii="Times New Roman" w:hAnsi="Times New Roman" w:cs="Times New Roman"/>
        </w:rPr>
      </w:pPr>
      <w:r>
        <w:rPr>
          <w:rFonts w:ascii="Times New Roman" w:hAnsi="Times New Roman" w:cs="Times New Roman"/>
        </w:rPr>
        <w:t>（2）预测参数</w:t>
      </w:r>
    </w:p>
    <w:p>
      <w:pPr>
        <w:pStyle w:val="121"/>
        <w:spacing w:line="360" w:lineRule="auto"/>
        <w:ind w:firstLine="480"/>
        <w:rPr>
          <w:rFonts w:ascii="Times New Roman" w:hAnsi="Times New Roman" w:eastAsiaTheme="minorEastAsia"/>
          <w:lang w:val="en-US"/>
        </w:rPr>
      </w:pPr>
      <w:r>
        <w:rPr>
          <w:rFonts w:ascii="Times New Roman" w:hAnsi="Times New Roman" w:eastAsiaTheme="minorEastAsia"/>
          <w:lang w:val="en-US"/>
        </w:rPr>
        <w:t>预测参数</w:t>
      </w:r>
      <w:r>
        <w:rPr>
          <w:rFonts w:ascii="Times New Roman" w:hAnsi="Times New Roman"/>
        </w:rPr>
        <w:t>见下表</w:t>
      </w:r>
      <w:r>
        <w:rPr>
          <w:rFonts w:ascii="Times New Roman" w:hAnsi="Times New Roman" w:eastAsiaTheme="minorEastAsia"/>
          <w:lang w:val="en-US"/>
        </w:rPr>
        <w:t>所示。</w:t>
      </w:r>
    </w:p>
    <w:p>
      <w:pPr>
        <w:pStyle w:val="6"/>
        <w:rPr>
          <w:rFonts w:ascii="Times New Roman" w:hAnsi="Times New Roman" w:cs="Times New Roman"/>
          <w:lang w:val="zh-CN"/>
        </w:rPr>
      </w:pPr>
      <w:r>
        <w:rPr>
          <w:rFonts w:ascii="Times New Roman" w:hAnsi="Times New Roman" w:cs="Times New Roman"/>
          <w:lang w:val="zh-CN"/>
        </w:rPr>
        <w:t>表</w:t>
      </w:r>
      <w:r>
        <w:rPr>
          <w:rFonts w:ascii="Times New Roman" w:hAnsi="Times New Roman" w:cs="Times New Roman"/>
        </w:rPr>
        <w:t>6</w:t>
      </w:r>
      <w:r>
        <w:rPr>
          <w:rFonts w:ascii="Times New Roman" w:hAnsi="Times New Roman" w:cs="Times New Roman"/>
          <w:lang w:val="zh-CN"/>
        </w:rPr>
        <w:t>.2.1-9  本项目大气环境影响预测参数</w:t>
      </w:r>
    </w:p>
    <w:tbl>
      <w:tblPr>
        <w:tblStyle w:val="35"/>
        <w:tblW w:w="910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947"/>
        <w:gridCol w:w="3685"/>
        <w:gridCol w:w="447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947" w:type="dxa"/>
            <w:vAlign w:val="center"/>
          </w:tcPr>
          <w:p>
            <w:pPr>
              <w:pStyle w:val="63"/>
            </w:pPr>
            <w:r>
              <w:t>序号</w:t>
            </w:r>
          </w:p>
        </w:tc>
        <w:tc>
          <w:tcPr>
            <w:tcW w:w="3685" w:type="dxa"/>
            <w:vAlign w:val="center"/>
          </w:tcPr>
          <w:p>
            <w:pPr>
              <w:pStyle w:val="63"/>
            </w:pPr>
            <w:r>
              <w:t>项目</w:t>
            </w:r>
          </w:p>
        </w:tc>
        <w:tc>
          <w:tcPr>
            <w:tcW w:w="4472" w:type="dxa"/>
            <w:vAlign w:val="center"/>
          </w:tcPr>
          <w:p>
            <w:pPr>
              <w:pStyle w:val="63"/>
            </w:pPr>
            <w:r>
              <w:t>参数值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947" w:type="dxa"/>
            <w:vAlign w:val="center"/>
          </w:tcPr>
          <w:p>
            <w:pPr>
              <w:pStyle w:val="63"/>
            </w:pPr>
            <w:r>
              <w:t>1</w:t>
            </w:r>
          </w:p>
        </w:tc>
        <w:tc>
          <w:tcPr>
            <w:tcW w:w="3685" w:type="dxa"/>
            <w:vAlign w:val="center"/>
          </w:tcPr>
          <w:p>
            <w:pPr>
              <w:pStyle w:val="63"/>
            </w:pPr>
            <w:r>
              <w:t>地面站坐标</w:t>
            </w:r>
          </w:p>
        </w:tc>
        <w:tc>
          <w:tcPr>
            <w:tcW w:w="4472" w:type="dxa"/>
            <w:vAlign w:val="center"/>
          </w:tcPr>
          <w:p>
            <w:pPr>
              <w:pStyle w:val="63"/>
              <w:rPr>
                <w:kern w:val="0"/>
              </w:rPr>
            </w:pPr>
            <w:r>
              <w:rPr>
                <w:kern w:val="0"/>
              </w:rPr>
              <w:t>N 26.8892°，E 112.5958°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947" w:type="dxa"/>
            <w:vAlign w:val="center"/>
          </w:tcPr>
          <w:p>
            <w:pPr>
              <w:pStyle w:val="63"/>
            </w:pPr>
            <w:r>
              <w:t>2</w:t>
            </w:r>
          </w:p>
        </w:tc>
        <w:tc>
          <w:tcPr>
            <w:tcW w:w="3685" w:type="dxa"/>
            <w:vAlign w:val="center"/>
          </w:tcPr>
          <w:p>
            <w:pPr>
              <w:pStyle w:val="63"/>
            </w:pPr>
            <w:r>
              <w:t>计算中心点坐标</w:t>
            </w:r>
          </w:p>
        </w:tc>
        <w:tc>
          <w:tcPr>
            <w:tcW w:w="4472" w:type="dxa"/>
            <w:vAlign w:val="center"/>
          </w:tcPr>
          <w:p>
            <w:pPr>
              <w:pStyle w:val="63"/>
              <w:rPr>
                <w:kern w:val="0"/>
              </w:rPr>
            </w:pPr>
            <w:r>
              <w:rPr>
                <w:kern w:val="0"/>
              </w:rPr>
              <w:t>N 27.013633764°，E</w:t>
            </w:r>
            <w:r>
              <w:t xml:space="preserve"> </w:t>
            </w:r>
            <w:r>
              <w:rPr>
                <w:kern w:val="0"/>
              </w:rPr>
              <w:t>112.793338845°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947" w:type="dxa"/>
            <w:vAlign w:val="center"/>
          </w:tcPr>
          <w:p>
            <w:pPr>
              <w:pStyle w:val="63"/>
            </w:pPr>
            <w:r>
              <w:t>3</w:t>
            </w:r>
          </w:p>
        </w:tc>
        <w:tc>
          <w:tcPr>
            <w:tcW w:w="3685" w:type="dxa"/>
            <w:vAlign w:val="center"/>
          </w:tcPr>
          <w:p>
            <w:pPr>
              <w:pStyle w:val="63"/>
            </w:pPr>
            <w:r>
              <w:t>受体类型</w:t>
            </w:r>
          </w:p>
        </w:tc>
        <w:tc>
          <w:tcPr>
            <w:tcW w:w="4472" w:type="dxa"/>
            <w:vAlign w:val="center"/>
          </w:tcPr>
          <w:p>
            <w:pPr>
              <w:pStyle w:val="63"/>
            </w:pPr>
            <w:r>
              <w:t>网格+离散受体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947" w:type="dxa"/>
            <w:vAlign w:val="center"/>
          </w:tcPr>
          <w:p>
            <w:pPr>
              <w:pStyle w:val="63"/>
            </w:pPr>
            <w:r>
              <w:t>4</w:t>
            </w:r>
          </w:p>
        </w:tc>
        <w:tc>
          <w:tcPr>
            <w:tcW w:w="3685" w:type="dxa"/>
            <w:vAlign w:val="center"/>
          </w:tcPr>
          <w:p>
            <w:pPr>
              <w:pStyle w:val="63"/>
            </w:pPr>
            <w:r>
              <w:t>网格数</w:t>
            </w:r>
          </w:p>
        </w:tc>
        <w:tc>
          <w:tcPr>
            <w:tcW w:w="4472" w:type="dxa"/>
            <w:vAlign w:val="center"/>
          </w:tcPr>
          <w:p>
            <w:pPr>
              <w:pStyle w:val="63"/>
            </w:pPr>
            <w:r>
              <w:t>2层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947" w:type="dxa"/>
            <w:vAlign w:val="center"/>
          </w:tcPr>
          <w:p>
            <w:pPr>
              <w:pStyle w:val="63"/>
            </w:pPr>
            <w:r>
              <w:t>5</w:t>
            </w:r>
          </w:p>
        </w:tc>
        <w:tc>
          <w:tcPr>
            <w:tcW w:w="3685" w:type="dxa"/>
            <w:vAlign w:val="center"/>
          </w:tcPr>
          <w:p>
            <w:pPr>
              <w:pStyle w:val="63"/>
            </w:pPr>
            <w:r>
              <w:t>嵌套网格尺寸及网格间距</w:t>
            </w:r>
          </w:p>
        </w:tc>
        <w:tc>
          <w:tcPr>
            <w:tcW w:w="4472" w:type="dxa"/>
            <w:vAlign w:val="center"/>
          </w:tcPr>
          <w:p>
            <w:pPr>
              <w:pStyle w:val="63"/>
              <w:rPr>
                <w:kern w:val="0"/>
              </w:rPr>
            </w:pPr>
            <w:r>
              <w:rPr>
                <w:kern w:val="0"/>
              </w:rPr>
              <w:t>距源中心1km内网格间距50m；</w:t>
            </w:r>
          </w:p>
          <w:p>
            <w:pPr>
              <w:pStyle w:val="63"/>
            </w:pPr>
            <w:r>
              <w:t>距源中心1~2.5km内网格间距100m。</w:t>
            </w:r>
          </w:p>
        </w:tc>
      </w:tr>
    </w:tbl>
    <w:p>
      <w:pPr>
        <w:spacing w:line="360" w:lineRule="auto"/>
        <w:ind w:firstLine="456" w:firstLineChars="200"/>
        <w:rPr>
          <w:rFonts w:ascii="Times New Roman" w:hAnsi="Times New Roman" w:cs="Times New Roman"/>
          <w:spacing w:val="-6"/>
        </w:rPr>
      </w:pPr>
      <w:r>
        <w:rPr>
          <w:rFonts w:ascii="Times New Roman" w:hAnsi="Times New Roman" w:cs="Times New Roman"/>
          <w:spacing w:val="-6"/>
        </w:rPr>
        <w:t>（3）预测区域地形参数</w:t>
      </w:r>
    </w:p>
    <w:p>
      <w:pPr>
        <w:spacing w:line="360" w:lineRule="auto"/>
        <w:ind w:firstLine="456" w:firstLineChars="200"/>
        <w:rPr>
          <w:rFonts w:ascii="Times New Roman" w:hAnsi="Times New Roman" w:cs="Times New Roman"/>
          <w:spacing w:val="-6"/>
        </w:rPr>
      </w:pPr>
      <w:r>
        <w:rPr>
          <w:rFonts w:ascii="Times New Roman" w:hAnsi="Times New Roman" w:cs="Times New Roman"/>
          <w:spacing w:val="-6"/>
        </w:rPr>
        <w:t>评价范围内的地形数据采用外部DEM文件，数据来源为http://srtm.csi.cgiar.org/，分辨率为90m。采用Aermap运行计算得出评价范围内各网格及敏感点的地形数据。构建评价范围的预测网格时，采用直角坐标的方式，即坐标形式为(x，y)。</w:t>
      </w:r>
    </w:p>
    <w:p>
      <w:pPr>
        <w:spacing w:line="360" w:lineRule="auto"/>
        <w:ind w:firstLine="456" w:firstLineChars="200"/>
        <w:rPr>
          <w:rFonts w:ascii="Times New Roman" w:hAnsi="Times New Roman" w:cs="Times New Roman"/>
          <w:spacing w:val="-6"/>
        </w:rPr>
      </w:pPr>
      <w:r>
        <w:rPr>
          <w:rFonts w:ascii="Times New Roman" w:hAnsi="Times New Roman" w:cs="Times New Roman"/>
          <w:spacing w:val="-6"/>
        </w:rPr>
        <w:t>评价区地形示意</w:t>
      </w:r>
      <w:r>
        <w:rPr>
          <w:rFonts w:ascii="Times New Roman" w:hAnsi="Times New Roman" w:cs="Times New Roman"/>
        </w:rPr>
        <w:t>见下</w:t>
      </w:r>
      <w:r>
        <w:rPr>
          <w:rFonts w:hint="eastAsia" w:ascii="Times New Roman" w:hAnsi="Times New Roman" w:cs="Times New Roman"/>
        </w:rPr>
        <w:t>图</w:t>
      </w:r>
      <w:r>
        <w:rPr>
          <w:rFonts w:ascii="Times New Roman" w:hAnsi="Times New Roman" w:cs="Times New Roman"/>
          <w:spacing w:val="-6"/>
        </w:rPr>
        <w:t>。</w:t>
      </w:r>
    </w:p>
    <w:p>
      <w:pPr>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661312" behindDoc="0" locked="0" layoutInCell="1" allowOverlap="1">
                <wp:simplePos x="0" y="0"/>
                <wp:positionH relativeFrom="column">
                  <wp:posOffset>2557145</wp:posOffset>
                </wp:positionH>
                <wp:positionV relativeFrom="paragraph">
                  <wp:posOffset>1294765</wp:posOffset>
                </wp:positionV>
                <wp:extent cx="899160" cy="297180"/>
                <wp:effectExtent l="0" t="0" r="0" b="7620"/>
                <wp:wrapNone/>
                <wp:docPr id="253" name="文本框 253"/>
                <wp:cNvGraphicFramePr/>
                <a:graphic xmlns:a="http://schemas.openxmlformats.org/drawingml/2006/main">
                  <a:graphicData uri="http://schemas.microsoft.com/office/word/2010/wordprocessingShape">
                    <wps:wsp>
                      <wps:cNvSpPr txBox="1"/>
                      <wps:spPr>
                        <a:xfrm>
                          <a:off x="0" y="0"/>
                          <a:ext cx="899160" cy="297180"/>
                        </a:xfrm>
                        <a:prstGeom prst="rect">
                          <a:avLst/>
                        </a:prstGeom>
                        <a:noFill/>
                        <a:ln>
                          <a:noFill/>
                        </a:ln>
                        <a:effectLst/>
                      </wps:spPr>
                      <wps:txbx>
                        <w:txbxContent>
                          <w:p>
                            <w:pPr>
                              <w:rPr>
                                <w:color w:val="FF0000"/>
                              </w:rPr>
                            </w:pPr>
                            <w:r>
                              <w:rPr>
                                <w:rFonts w:hint="eastAsia"/>
                                <w:color w:val="FF0000"/>
                              </w:rPr>
                              <w:t>●</w:t>
                            </w:r>
                            <w:r>
                              <w:rPr>
                                <w:rFonts w:hint="eastAsia"/>
                                <w:b/>
                                <w:color w:val="FF0000"/>
                              </w:rPr>
                              <w:t>本项目</w:t>
                            </w:r>
                          </w:p>
                        </w:txbxContent>
                      </wps:txbx>
                      <wps:bodyPr vert="horz" anchor="t" anchorCtr="0" upright="1"/>
                    </wps:wsp>
                  </a:graphicData>
                </a:graphic>
              </wp:anchor>
            </w:drawing>
          </mc:Choice>
          <mc:Fallback>
            <w:pict>
              <v:shape id="_x0000_s1026" o:spid="_x0000_s1026" o:spt="202" type="#_x0000_t202" style="position:absolute;left:0pt;margin-left:201.35pt;margin-top:101.95pt;height:23.4pt;width:70.8pt;z-index:251661312;mso-width-relative:page;mso-height-relative:page;" filled="f" stroked="f" coordsize="21600,21600" o:gfxdata="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70fr/dkAAAALAQAADwAAAAAAAAABACAAAAAiAAAAZHJzL2Rv&#10;d25yZXYueG1sUEsBAhQAFAAAAAgAh07iQNnE48vHAQAAhAMAAA4AAAAAAAAAAQAgAAAAKAEAAGRy&#10;cy9lMm9Eb2MueG1sUEsFBgAAAAAGAAYAWQEAAGEFAAAAAA==&#10;">
                <v:fill on="f" focussize="0,0"/>
                <v:stroke on="f"/>
                <v:imagedata o:title=""/>
                <o:lock v:ext="edit" aspectratio="f"/>
                <v:textbox>
                  <w:txbxContent>
                    <w:p>
                      <w:pPr>
                        <w:rPr>
                          <w:color w:val="FF0000"/>
                        </w:rPr>
                      </w:pPr>
                      <w:r>
                        <w:rPr>
                          <w:rFonts w:hint="eastAsia"/>
                          <w:color w:val="FF0000"/>
                        </w:rPr>
                        <w:t>●</w:t>
                      </w:r>
                      <w:r>
                        <w:rPr>
                          <w:rFonts w:hint="eastAsia"/>
                          <w:b/>
                          <w:color w:val="FF0000"/>
                        </w:rPr>
                        <w:t>本项目</w:t>
                      </w:r>
                    </w:p>
                  </w:txbxContent>
                </v:textbox>
              </v:shape>
            </w:pict>
          </mc:Fallback>
        </mc:AlternateContent>
      </w:r>
      <w:r>
        <w:rPr>
          <w:rFonts w:ascii="Times New Roman" w:hAnsi="Times New Roman" w:cs="Times New Roman"/>
        </w:rPr>
        <w:drawing>
          <wp:inline distT="0" distB="0" distL="0" distR="0">
            <wp:extent cx="5278755" cy="390461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278755" cy="3904777"/>
                    </a:xfrm>
                    <a:prstGeom prst="rect">
                      <a:avLst/>
                    </a:prstGeom>
                    <a:noFill/>
                    <a:ln>
                      <a:noFill/>
                    </a:ln>
                  </pic:spPr>
                </pic:pic>
              </a:graphicData>
            </a:graphic>
          </wp:inline>
        </w:drawing>
      </w:r>
    </w:p>
    <w:p>
      <w:pPr>
        <w:pStyle w:val="6"/>
        <w:rPr>
          <w:rFonts w:ascii="Times New Roman" w:hAnsi="Times New Roman" w:cs="Times New Roman"/>
        </w:rPr>
      </w:pPr>
      <w:r>
        <w:rPr>
          <w:rFonts w:ascii="Times New Roman" w:hAnsi="Times New Roman" w:cs="Times New Roman"/>
        </w:rPr>
        <w:t>图6.2.1-1</w:t>
      </w:r>
      <w:r>
        <w:rPr>
          <w:rFonts w:hint="eastAsia" w:ascii="Times New Roman" w:hAnsi="Times New Roman" w:cs="Times New Roman"/>
        </w:rPr>
        <w:t>2</w:t>
      </w:r>
      <w:r>
        <w:rPr>
          <w:rFonts w:ascii="Times New Roman" w:hAnsi="Times New Roman" w:cs="Times New Roman"/>
        </w:rPr>
        <w:t xml:space="preserve">  本项目所在区域地形示意图</w:t>
      </w:r>
    </w:p>
    <w:p>
      <w:pPr>
        <w:pStyle w:val="5"/>
        <w:ind w:firstLine="482"/>
        <w:rPr>
          <w:rFonts w:ascii="Times New Roman" w:hAnsi="Times New Roman" w:cs="Times New Roman" w:eastAsiaTheme="minorEastAsia"/>
        </w:rPr>
      </w:pPr>
      <w:bookmarkStart w:id="336" w:name="_Toc11179341"/>
      <w:r>
        <w:rPr>
          <w:rFonts w:ascii="Times New Roman" w:hAnsi="Times New Roman" w:cs="Times New Roman" w:eastAsiaTheme="minorEastAsia"/>
        </w:rPr>
        <w:t>6.2.1.3 测因子与范围、评价标准</w:t>
      </w:r>
    </w:p>
    <w:p>
      <w:pPr>
        <w:spacing w:line="360" w:lineRule="auto"/>
        <w:ind w:firstLine="480" w:firstLineChars="200"/>
        <w:rPr>
          <w:rFonts w:ascii="Times New Roman" w:hAnsi="Times New Roman" w:cs="Times New Roman"/>
        </w:rPr>
      </w:pPr>
      <w:r>
        <w:rPr>
          <w:rFonts w:ascii="Times New Roman" w:hAnsi="Times New Roman" w:cs="Times New Roman"/>
        </w:rPr>
        <w:t>因本项目排放的钴及其化合物无环境空气质量标准，因此本项目选取颗粒物、SO</w:t>
      </w:r>
      <w:r>
        <w:rPr>
          <w:rFonts w:ascii="Times New Roman" w:hAnsi="Times New Roman" w:cs="Times New Roman"/>
          <w:vertAlign w:val="subscript"/>
        </w:rPr>
        <w:t>2</w:t>
      </w:r>
      <w:r>
        <w:rPr>
          <w:rFonts w:ascii="Times New Roman" w:hAnsi="Times New Roman" w:cs="Times New Roman"/>
        </w:rPr>
        <w:t>、NOx、镍及其化合物、氟化物、硫酸雾</w:t>
      </w:r>
      <w:r>
        <w:rPr>
          <w:rFonts w:hint="eastAsia" w:ascii="Times New Roman" w:hAnsi="Times New Roman" w:cs="Times New Roman"/>
        </w:rPr>
        <w:t>、</w:t>
      </w:r>
      <w:r>
        <w:rPr>
          <w:rFonts w:ascii="Times New Roman" w:hAnsi="Times New Roman" w:cs="Times New Roman"/>
        </w:rPr>
        <w:t>非甲烷总烃作为预测因子。</w:t>
      </w:r>
    </w:p>
    <w:p>
      <w:pPr>
        <w:pStyle w:val="6"/>
        <w:rPr>
          <w:kern w:val="0"/>
        </w:rPr>
      </w:pPr>
      <w:r>
        <w:rPr>
          <w:lang w:val="zh-CN"/>
        </w:rPr>
        <w:t>表</w:t>
      </w:r>
      <w:r>
        <w:t>6</w:t>
      </w:r>
      <w:r>
        <w:rPr>
          <w:lang w:val="zh-CN"/>
        </w:rPr>
        <w:t>.2.1-10  本项目预测因子评价标准</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62"/>
        <w:gridCol w:w="1387"/>
        <w:gridCol w:w="1852"/>
        <w:gridCol w:w="1700"/>
        <w:gridCol w:w="268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895" w:type="pct"/>
            <w:vAlign w:val="center"/>
          </w:tcPr>
          <w:p>
            <w:pPr>
              <w:pStyle w:val="63"/>
            </w:pPr>
            <w:r>
              <w:t>污染物名称</w:t>
            </w:r>
          </w:p>
        </w:tc>
        <w:tc>
          <w:tcPr>
            <w:tcW w:w="747" w:type="pct"/>
            <w:vAlign w:val="center"/>
          </w:tcPr>
          <w:p>
            <w:pPr>
              <w:pStyle w:val="63"/>
            </w:pPr>
            <w:r>
              <w:t>功能区</w:t>
            </w:r>
          </w:p>
        </w:tc>
        <w:tc>
          <w:tcPr>
            <w:tcW w:w="997" w:type="pct"/>
            <w:vAlign w:val="center"/>
          </w:tcPr>
          <w:p>
            <w:pPr>
              <w:pStyle w:val="63"/>
            </w:pPr>
            <w:r>
              <w:t>取值时间</w:t>
            </w:r>
          </w:p>
        </w:tc>
        <w:tc>
          <w:tcPr>
            <w:tcW w:w="915" w:type="pct"/>
            <w:vAlign w:val="center"/>
          </w:tcPr>
          <w:p>
            <w:pPr>
              <w:pStyle w:val="63"/>
            </w:pPr>
            <w:r>
              <w:t>标准值（μg/m3）</w:t>
            </w:r>
          </w:p>
        </w:tc>
        <w:tc>
          <w:tcPr>
            <w:tcW w:w="1446" w:type="pct"/>
            <w:vAlign w:val="center"/>
          </w:tcPr>
          <w:p>
            <w:pPr>
              <w:pStyle w:val="63"/>
            </w:pPr>
            <w: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895" w:type="pct"/>
            <w:vAlign w:val="center"/>
          </w:tcPr>
          <w:p>
            <w:pPr>
              <w:pStyle w:val="63"/>
            </w:pPr>
            <w:r>
              <w:t>SO</w:t>
            </w:r>
            <w:r>
              <w:rPr>
                <w:vertAlign w:val="subscript"/>
              </w:rPr>
              <w:t>2</w:t>
            </w:r>
          </w:p>
        </w:tc>
        <w:tc>
          <w:tcPr>
            <w:tcW w:w="747" w:type="pct"/>
            <w:vAlign w:val="center"/>
          </w:tcPr>
          <w:p>
            <w:pPr>
              <w:pStyle w:val="63"/>
            </w:pPr>
            <w:r>
              <w:t>二类区</w:t>
            </w:r>
          </w:p>
        </w:tc>
        <w:tc>
          <w:tcPr>
            <w:tcW w:w="997" w:type="pct"/>
            <w:vAlign w:val="center"/>
          </w:tcPr>
          <w:p>
            <w:pPr>
              <w:pStyle w:val="63"/>
            </w:pPr>
            <w:r>
              <w:t>1小时平均</w:t>
            </w:r>
          </w:p>
        </w:tc>
        <w:tc>
          <w:tcPr>
            <w:tcW w:w="915" w:type="pct"/>
            <w:vAlign w:val="center"/>
          </w:tcPr>
          <w:p>
            <w:pPr>
              <w:pStyle w:val="63"/>
            </w:pPr>
            <w:r>
              <w:t>500</w:t>
            </w:r>
          </w:p>
        </w:tc>
        <w:tc>
          <w:tcPr>
            <w:tcW w:w="1446" w:type="pct"/>
            <w:vMerge w:val="restart"/>
            <w:vAlign w:val="center"/>
          </w:tcPr>
          <w:p>
            <w:pPr>
              <w:pStyle w:val="63"/>
            </w:pPr>
            <w:r>
              <w:t>GB3095-2012</w:t>
            </w:r>
            <w:r>
              <w:rPr>
                <w:rFonts w:hint="eastAsia"/>
              </w:rPr>
              <w:t>及修改单的二级标准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895" w:type="pct"/>
            <w:vAlign w:val="center"/>
          </w:tcPr>
          <w:p>
            <w:pPr>
              <w:pStyle w:val="63"/>
            </w:pPr>
            <w:r>
              <w:t>NOx</w:t>
            </w:r>
          </w:p>
        </w:tc>
        <w:tc>
          <w:tcPr>
            <w:tcW w:w="747" w:type="pct"/>
            <w:vAlign w:val="center"/>
          </w:tcPr>
          <w:p>
            <w:pPr>
              <w:pStyle w:val="63"/>
            </w:pPr>
            <w:r>
              <w:t>二类区</w:t>
            </w:r>
          </w:p>
        </w:tc>
        <w:tc>
          <w:tcPr>
            <w:tcW w:w="997" w:type="pct"/>
            <w:vAlign w:val="center"/>
          </w:tcPr>
          <w:p>
            <w:pPr>
              <w:pStyle w:val="63"/>
            </w:pPr>
            <w:r>
              <w:t>1小时平均</w:t>
            </w:r>
          </w:p>
        </w:tc>
        <w:tc>
          <w:tcPr>
            <w:tcW w:w="915" w:type="pct"/>
            <w:vAlign w:val="center"/>
          </w:tcPr>
          <w:p>
            <w:pPr>
              <w:pStyle w:val="63"/>
            </w:pPr>
            <w:r>
              <w:t>250</w:t>
            </w:r>
          </w:p>
        </w:tc>
        <w:tc>
          <w:tcPr>
            <w:tcW w:w="1446"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895" w:type="pct"/>
            <w:vAlign w:val="center"/>
          </w:tcPr>
          <w:p>
            <w:pPr>
              <w:pStyle w:val="63"/>
            </w:pPr>
            <w:r>
              <w:t>PM</w:t>
            </w:r>
            <w:r>
              <w:rPr>
                <w:vertAlign w:val="subscript"/>
              </w:rPr>
              <w:t>10</w:t>
            </w:r>
          </w:p>
        </w:tc>
        <w:tc>
          <w:tcPr>
            <w:tcW w:w="747" w:type="pct"/>
            <w:vAlign w:val="center"/>
          </w:tcPr>
          <w:p>
            <w:pPr>
              <w:pStyle w:val="63"/>
            </w:pPr>
            <w:r>
              <w:t>二类区</w:t>
            </w:r>
          </w:p>
        </w:tc>
        <w:tc>
          <w:tcPr>
            <w:tcW w:w="997" w:type="pct"/>
            <w:vAlign w:val="center"/>
          </w:tcPr>
          <w:p>
            <w:pPr>
              <w:pStyle w:val="63"/>
            </w:pPr>
            <w:r>
              <w:t>24小时平均</w:t>
            </w:r>
          </w:p>
        </w:tc>
        <w:tc>
          <w:tcPr>
            <w:tcW w:w="915" w:type="pct"/>
            <w:vAlign w:val="center"/>
          </w:tcPr>
          <w:p>
            <w:pPr>
              <w:pStyle w:val="63"/>
            </w:pPr>
            <w:r>
              <w:t>150</w:t>
            </w:r>
          </w:p>
        </w:tc>
        <w:tc>
          <w:tcPr>
            <w:tcW w:w="1446"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895" w:type="pct"/>
            <w:vAlign w:val="center"/>
          </w:tcPr>
          <w:p>
            <w:pPr>
              <w:pStyle w:val="63"/>
            </w:pPr>
            <w:r>
              <w:t>氟化物</w:t>
            </w:r>
          </w:p>
        </w:tc>
        <w:tc>
          <w:tcPr>
            <w:tcW w:w="747" w:type="pct"/>
            <w:vAlign w:val="center"/>
          </w:tcPr>
          <w:p>
            <w:pPr>
              <w:pStyle w:val="63"/>
            </w:pPr>
            <w:r>
              <w:t>二类区</w:t>
            </w:r>
          </w:p>
        </w:tc>
        <w:tc>
          <w:tcPr>
            <w:tcW w:w="997" w:type="pct"/>
            <w:vAlign w:val="center"/>
          </w:tcPr>
          <w:p>
            <w:pPr>
              <w:pStyle w:val="63"/>
            </w:pPr>
            <w:r>
              <w:t>1小时平均</w:t>
            </w:r>
          </w:p>
        </w:tc>
        <w:tc>
          <w:tcPr>
            <w:tcW w:w="915" w:type="pct"/>
            <w:vAlign w:val="center"/>
          </w:tcPr>
          <w:p>
            <w:pPr>
              <w:pStyle w:val="63"/>
            </w:pPr>
            <w:r>
              <w:t>20</w:t>
            </w:r>
          </w:p>
        </w:tc>
        <w:tc>
          <w:tcPr>
            <w:tcW w:w="1446"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895" w:type="pct"/>
            <w:vAlign w:val="center"/>
          </w:tcPr>
          <w:p>
            <w:pPr>
              <w:pStyle w:val="63"/>
            </w:pPr>
            <w:r>
              <w:t>镍及其化合物</w:t>
            </w:r>
          </w:p>
        </w:tc>
        <w:tc>
          <w:tcPr>
            <w:tcW w:w="747" w:type="pct"/>
            <w:vAlign w:val="center"/>
          </w:tcPr>
          <w:p>
            <w:pPr>
              <w:pStyle w:val="63"/>
            </w:pPr>
            <w:r>
              <w:t>二类区</w:t>
            </w:r>
          </w:p>
        </w:tc>
        <w:tc>
          <w:tcPr>
            <w:tcW w:w="997" w:type="pct"/>
            <w:vAlign w:val="center"/>
          </w:tcPr>
          <w:p>
            <w:pPr>
              <w:pStyle w:val="63"/>
            </w:pPr>
            <w:r>
              <w:t>日平均</w:t>
            </w:r>
          </w:p>
        </w:tc>
        <w:tc>
          <w:tcPr>
            <w:tcW w:w="915" w:type="pct"/>
            <w:vAlign w:val="center"/>
          </w:tcPr>
          <w:p>
            <w:pPr>
              <w:pStyle w:val="63"/>
            </w:pPr>
            <w:r>
              <w:t>30</w:t>
            </w:r>
          </w:p>
        </w:tc>
        <w:tc>
          <w:tcPr>
            <w:tcW w:w="1446" w:type="pct"/>
            <w:vMerge w:val="restart"/>
            <w:vAlign w:val="center"/>
          </w:tcPr>
          <w:p>
            <w:pPr>
              <w:pStyle w:val="63"/>
            </w:pPr>
            <w:r>
              <w:t>《大气污染物综合排放标准详解》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895" w:type="pct"/>
            <w:vAlign w:val="center"/>
          </w:tcPr>
          <w:p>
            <w:pPr>
              <w:pStyle w:val="63"/>
            </w:pPr>
            <w:r>
              <w:t>非甲烷总烃</w:t>
            </w:r>
          </w:p>
        </w:tc>
        <w:tc>
          <w:tcPr>
            <w:tcW w:w="747" w:type="pct"/>
            <w:vAlign w:val="center"/>
          </w:tcPr>
          <w:p>
            <w:pPr>
              <w:pStyle w:val="63"/>
            </w:pPr>
            <w:r>
              <w:t>二类区</w:t>
            </w:r>
          </w:p>
        </w:tc>
        <w:tc>
          <w:tcPr>
            <w:tcW w:w="997" w:type="pct"/>
            <w:vAlign w:val="center"/>
          </w:tcPr>
          <w:p>
            <w:pPr>
              <w:pStyle w:val="63"/>
            </w:pPr>
            <w:r>
              <w:t>1小时平均</w:t>
            </w:r>
          </w:p>
        </w:tc>
        <w:tc>
          <w:tcPr>
            <w:tcW w:w="915" w:type="pct"/>
            <w:vAlign w:val="center"/>
          </w:tcPr>
          <w:p>
            <w:pPr>
              <w:pStyle w:val="63"/>
            </w:pPr>
            <w:r>
              <w:t>2000</w:t>
            </w:r>
          </w:p>
        </w:tc>
        <w:tc>
          <w:tcPr>
            <w:tcW w:w="1446"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895" w:type="pct"/>
            <w:vAlign w:val="center"/>
          </w:tcPr>
          <w:p>
            <w:pPr>
              <w:pStyle w:val="63"/>
            </w:pPr>
            <w:r>
              <w:t>硫酸雾</w:t>
            </w:r>
          </w:p>
        </w:tc>
        <w:tc>
          <w:tcPr>
            <w:tcW w:w="747" w:type="pct"/>
            <w:vAlign w:val="center"/>
          </w:tcPr>
          <w:p>
            <w:pPr>
              <w:pStyle w:val="63"/>
            </w:pPr>
            <w:r>
              <w:t>二类区</w:t>
            </w:r>
          </w:p>
        </w:tc>
        <w:tc>
          <w:tcPr>
            <w:tcW w:w="997" w:type="pct"/>
            <w:vAlign w:val="center"/>
          </w:tcPr>
          <w:p>
            <w:pPr>
              <w:pStyle w:val="63"/>
            </w:pPr>
            <w:r>
              <w:t>1小时平均</w:t>
            </w:r>
          </w:p>
        </w:tc>
        <w:tc>
          <w:tcPr>
            <w:tcW w:w="915" w:type="pct"/>
            <w:vAlign w:val="center"/>
          </w:tcPr>
          <w:p>
            <w:pPr>
              <w:pStyle w:val="63"/>
            </w:pPr>
            <w:r>
              <w:t>300</w:t>
            </w:r>
          </w:p>
        </w:tc>
        <w:tc>
          <w:tcPr>
            <w:tcW w:w="1446" w:type="pct"/>
            <w:vAlign w:val="center"/>
          </w:tcPr>
          <w:p>
            <w:pPr>
              <w:pStyle w:val="63"/>
            </w:pPr>
            <w:r>
              <w:t>HJ2.2-2018附录D</w:t>
            </w:r>
          </w:p>
        </w:tc>
      </w:tr>
    </w:tbl>
    <w:p>
      <w:pPr>
        <w:rPr>
          <w:rFonts w:ascii="Times New Roman" w:hAnsi="Times New Roman" w:cs="Times New Roman"/>
        </w:rPr>
        <w:sectPr>
          <w:pgSz w:w="11907" w:h="16840"/>
          <w:pgMar w:top="1418" w:right="1418" w:bottom="1418" w:left="1418" w:header="964" w:footer="851" w:gutter="0"/>
          <w:cols w:space="720" w:num="1"/>
          <w:docGrid w:linePitch="326" w:charSpace="200"/>
        </w:sectPr>
      </w:pPr>
    </w:p>
    <w:p>
      <w:pPr>
        <w:pStyle w:val="5"/>
        <w:ind w:firstLine="482"/>
        <w:rPr>
          <w:rFonts w:ascii="Times New Roman" w:hAnsi="Times New Roman" w:cs="Times New Roman" w:eastAsiaTheme="minorEastAsia"/>
        </w:rPr>
      </w:pPr>
      <w:r>
        <w:rPr>
          <w:rFonts w:ascii="Times New Roman" w:hAnsi="Times New Roman" w:cs="Times New Roman" w:eastAsiaTheme="minorEastAsia"/>
        </w:rPr>
        <w:t>6</w:t>
      </w:r>
      <w:r>
        <w:rPr>
          <w:rFonts w:ascii="Times New Roman" w:hAnsi="Times New Roman" w:cs="Times New Roman" w:eastAsiaTheme="minorEastAsia"/>
          <w:lang w:val="zh-CN"/>
        </w:rPr>
        <w:t>.2</w:t>
      </w:r>
      <w:r>
        <w:rPr>
          <w:rFonts w:ascii="Times New Roman" w:hAnsi="Times New Roman" w:cs="Times New Roman" w:eastAsiaTheme="minorEastAsia"/>
        </w:rPr>
        <w:t>.1.4 污染源计算清单</w:t>
      </w:r>
    </w:p>
    <w:p>
      <w:pPr>
        <w:pStyle w:val="6"/>
        <w:rPr>
          <w:rFonts w:ascii="Times New Roman" w:hAnsi="Times New Roman" w:cs="Times New Roman"/>
          <w:lang w:val="zh-CN"/>
        </w:rPr>
      </w:pPr>
      <w:r>
        <w:rPr>
          <w:rFonts w:ascii="Times New Roman" w:hAnsi="Times New Roman" w:cs="Times New Roman"/>
          <w:lang w:val="zh-CN"/>
        </w:rPr>
        <w:t>表</w:t>
      </w:r>
      <w:r>
        <w:rPr>
          <w:rFonts w:ascii="Times New Roman" w:hAnsi="Times New Roman" w:cs="Times New Roman"/>
        </w:rPr>
        <w:t>6</w:t>
      </w:r>
      <w:r>
        <w:rPr>
          <w:rFonts w:ascii="Times New Roman" w:hAnsi="Times New Roman" w:cs="Times New Roman"/>
          <w:lang w:val="zh-CN"/>
        </w:rPr>
        <w:t>.2.1-11  本项目大气污染物正常工况排放情况一览表</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986"/>
        <w:gridCol w:w="1418"/>
        <w:gridCol w:w="1311"/>
        <w:gridCol w:w="811"/>
        <w:gridCol w:w="805"/>
        <w:gridCol w:w="683"/>
        <w:gridCol w:w="805"/>
        <w:gridCol w:w="805"/>
        <w:gridCol w:w="930"/>
        <w:gridCol w:w="967"/>
        <w:gridCol w:w="930"/>
        <w:gridCol w:w="990"/>
        <w:gridCol w:w="930"/>
        <w:gridCol w:w="933"/>
        <w:gridCol w:w="916"/>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47" w:type="pct"/>
            <w:vMerge w:val="restart"/>
            <w:vAlign w:val="center"/>
          </w:tcPr>
          <w:p>
            <w:pPr>
              <w:pStyle w:val="63"/>
            </w:pPr>
            <w:r>
              <w:t>污染源名称</w:t>
            </w:r>
          </w:p>
        </w:tc>
        <w:tc>
          <w:tcPr>
            <w:tcW w:w="960" w:type="pct"/>
            <w:gridSpan w:val="2"/>
            <w:vAlign w:val="center"/>
          </w:tcPr>
          <w:p>
            <w:pPr>
              <w:pStyle w:val="63"/>
            </w:pPr>
            <w:r>
              <w:t>排气筒底部中心坐标(°)</w:t>
            </w:r>
          </w:p>
        </w:tc>
        <w:tc>
          <w:tcPr>
            <w:tcW w:w="285" w:type="pct"/>
            <w:vMerge w:val="restart"/>
            <w:vAlign w:val="center"/>
          </w:tcPr>
          <w:p>
            <w:pPr>
              <w:pStyle w:val="63"/>
            </w:pPr>
            <w:r>
              <w:t>排气筒底部海拔高度(m)</w:t>
            </w:r>
          </w:p>
        </w:tc>
        <w:tc>
          <w:tcPr>
            <w:tcW w:w="1089" w:type="pct"/>
            <w:gridSpan w:val="4"/>
            <w:vAlign w:val="center"/>
          </w:tcPr>
          <w:p>
            <w:pPr>
              <w:pStyle w:val="63"/>
            </w:pPr>
            <w:r>
              <w:t>排气筒参数</w:t>
            </w:r>
          </w:p>
        </w:tc>
        <w:tc>
          <w:tcPr>
            <w:tcW w:w="2319" w:type="pct"/>
            <w:gridSpan w:val="7"/>
            <w:vAlign w:val="center"/>
          </w:tcPr>
          <w:p>
            <w:pPr>
              <w:pStyle w:val="63"/>
            </w:pPr>
            <w:r>
              <w:t>污染物排放速率(kg/h)</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47" w:type="pct"/>
            <w:vMerge w:val="continue"/>
            <w:vAlign w:val="center"/>
          </w:tcPr>
          <w:p>
            <w:pPr>
              <w:pStyle w:val="63"/>
            </w:pPr>
          </w:p>
        </w:tc>
        <w:tc>
          <w:tcPr>
            <w:tcW w:w="499" w:type="pct"/>
            <w:vAlign w:val="center"/>
          </w:tcPr>
          <w:p>
            <w:pPr>
              <w:pStyle w:val="63"/>
            </w:pPr>
            <w:r>
              <w:t>经度</w:t>
            </w:r>
          </w:p>
        </w:tc>
        <w:tc>
          <w:tcPr>
            <w:tcW w:w="461" w:type="pct"/>
            <w:vAlign w:val="center"/>
          </w:tcPr>
          <w:p>
            <w:pPr>
              <w:pStyle w:val="63"/>
            </w:pPr>
            <w:r>
              <w:t>纬度</w:t>
            </w:r>
          </w:p>
        </w:tc>
        <w:tc>
          <w:tcPr>
            <w:tcW w:w="285" w:type="pct"/>
            <w:vMerge w:val="continue"/>
            <w:vAlign w:val="center"/>
          </w:tcPr>
          <w:p>
            <w:pPr>
              <w:pStyle w:val="63"/>
            </w:pPr>
          </w:p>
        </w:tc>
        <w:tc>
          <w:tcPr>
            <w:tcW w:w="283" w:type="pct"/>
            <w:vAlign w:val="center"/>
          </w:tcPr>
          <w:p>
            <w:pPr>
              <w:pStyle w:val="63"/>
            </w:pPr>
            <w:r>
              <w:t>高度(m)</w:t>
            </w:r>
          </w:p>
        </w:tc>
        <w:tc>
          <w:tcPr>
            <w:tcW w:w="240" w:type="pct"/>
            <w:vAlign w:val="center"/>
          </w:tcPr>
          <w:p>
            <w:pPr>
              <w:pStyle w:val="63"/>
            </w:pPr>
            <w:r>
              <w:t>内径(m)</w:t>
            </w:r>
          </w:p>
        </w:tc>
        <w:tc>
          <w:tcPr>
            <w:tcW w:w="283" w:type="pct"/>
            <w:vAlign w:val="center"/>
          </w:tcPr>
          <w:p>
            <w:pPr>
              <w:pStyle w:val="63"/>
            </w:pPr>
            <w:r>
              <w:t>温度(</w:t>
            </w:r>
            <w:r>
              <w:rPr>
                <w:rFonts w:hint="eastAsia" w:ascii="宋体" w:hAnsi="宋体" w:eastAsia="宋体" w:cs="宋体"/>
              </w:rPr>
              <w:t>℃</w:t>
            </w:r>
            <w:r>
              <w:t>)</w:t>
            </w:r>
          </w:p>
        </w:tc>
        <w:tc>
          <w:tcPr>
            <w:tcW w:w="283" w:type="pct"/>
            <w:vAlign w:val="center"/>
          </w:tcPr>
          <w:p>
            <w:pPr>
              <w:pStyle w:val="63"/>
            </w:pPr>
            <w:r>
              <w:t>流速(m/s)</w:t>
            </w:r>
          </w:p>
        </w:tc>
        <w:tc>
          <w:tcPr>
            <w:tcW w:w="327" w:type="pct"/>
            <w:vAlign w:val="center"/>
          </w:tcPr>
          <w:p>
            <w:pPr>
              <w:pStyle w:val="63"/>
            </w:pPr>
            <w:r>
              <w:t>NOx</w:t>
            </w:r>
          </w:p>
        </w:tc>
        <w:tc>
          <w:tcPr>
            <w:tcW w:w="340" w:type="pct"/>
            <w:vAlign w:val="center"/>
          </w:tcPr>
          <w:p>
            <w:pPr>
              <w:pStyle w:val="63"/>
            </w:pPr>
            <w:r>
              <w:t>Ni</w:t>
            </w:r>
          </w:p>
        </w:tc>
        <w:tc>
          <w:tcPr>
            <w:tcW w:w="327" w:type="pct"/>
            <w:vAlign w:val="center"/>
          </w:tcPr>
          <w:p>
            <w:pPr>
              <w:pStyle w:val="63"/>
            </w:pPr>
            <w:r>
              <w:t>氟化物</w:t>
            </w:r>
          </w:p>
        </w:tc>
        <w:tc>
          <w:tcPr>
            <w:tcW w:w="348" w:type="pct"/>
            <w:vAlign w:val="center"/>
          </w:tcPr>
          <w:p>
            <w:pPr>
              <w:pStyle w:val="63"/>
            </w:pPr>
            <w:r>
              <w:t>NMHC</w:t>
            </w:r>
          </w:p>
        </w:tc>
        <w:tc>
          <w:tcPr>
            <w:tcW w:w="327" w:type="pct"/>
            <w:vAlign w:val="center"/>
          </w:tcPr>
          <w:p>
            <w:pPr>
              <w:pStyle w:val="63"/>
            </w:pPr>
            <w:r>
              <w:t>SO</w:t>
            </w:r>
            <w:r>
              <w:rPr>
                <w:vertAlign w:val="subscript"/>
              </w:rPr>
              <w:t>2</w:t>
            </w:r>
          </w:p>
        </w:tc>
        <w:tc>
          <w:tcPr>
            <w:tcW w:w="328" w:type="pct"/>
            <w:vAlign w:val="center"/>
          </w:tcPr>
          <w:p>
            <w:pPr>
              <w:pStyle w:val="63"/>
            </w:pPr>
            <w:r>
              <w:t>硫酸雾</w:t>
            </w:r>
          </w:p>
        </w:tc>
        <w:tc>
          <w:tcPr>
            <w:tcW w:w="322" w:type="pct"/>
            <w:vAlign w:val="center"/>
          </w:tcPr>
          <w:p>
            <w:pPr>
              <w:pStyle w:val="63"/>
            </w:pPr>
            <w:r>
              <w:t>PM</w:t>
            </w:r>
            <w:r>
              <w:rPr>
                <w:vertAlign w:val="subscript"/>
              </w:rPr>
              <w:t>10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47" w:type="pct"/>
            <w:vAlign w:val="center"/>
          </w:tcPr>
          <w:p>
            <w:pPr>
              <w:pStyle w:val="63"/>
            </w:pPr>
            <w:r>
              <w:t>P1预处理车间</w:t>
            </w:r>
          </w:p>
        </w:tc>
        <w:tc>
          <w:tcPr>
            <w:tcW w:w="499" w:type="pct"/>
            <w:vAlign w:val="center"/>
          </w:tcPr>
          <w:p>
            <w:pPr>
              <w:pStyle w:val="63"/>
            </w:pPr>
            <w:r>
              <w:t>112.803659</w:t>
            </w:r>
          </w:p>
        </w:tc>
        <w:tc>
          <w:tcPr>
            <w:tcW w:w="461" w:type="pct"/>
            <w:vAlign w:val="center"/>
          </w:tcPr>
          <w:p>
            <w:pPr>
              <w:pStyle w:val="63"/>
            </w:pPr>
            <w:r>
              <w:t>27.012894</w:t>
            </w:r>
          </w:p>
        </w:tc>
        <w:tc>
          <w:tcPr>
            <w:tcW w:w="285" w:type="pct"/>
            <w:vAlign w:val="center"/>
          </w:tcPr>
          <w:p>
            <w:pPr>
              <w:pStyle w:val="63"/>
            </w:pPr>
            <w:r>
              <w:t>92.00</w:t>
            </w:r>
          </w:p>
        </w:tc>
        <w:tc>
          <w:tcPr>
            <w:tcW w:w="283" w:type="pct"/>
            <w:vAlign w:val="center"/>
          </w:tcPr>
          <w:p>
            <w:pPr>
              <w:pStyle w:val="63"/>
            </w:pPr>
            <w:r>
              <w:t>30.00</w:t>
            </w:r>
          </w:p>
        </w:tc>
        <w:tc>
          <w:tcPr>
            <w:tcW w:w="240" w:type="pct"/>
            <w:vAlign w:val="center"/>
          </w:tcPr>
          <w:p>
            <w:pPr>
              <w:pStyle w:val="63"/>
            </w:pPr>
            <w:r>
              <w:t>1.20</w:t>
            </w:r>
          </w:p>
        </w:tc>
        <w:tc>
          <w:tcPr>
            <w:tcW w:w="283" w:type="pct"/>
            <w:vAlign w:val="center"/>
          </w:tcPr>
          <w:p>
            <w:pPr>
              <w:pStyle w:val="63"/>
            </w:pPr>
            <w:r>
              <w:t>25.00</w:t>
            </w:r>
          </w:p>
        </w:tc>
        <w:tc>
          <w:tcPr>
            <w:tcW w:w="283" w:type="pct"/>
            <w:vAlign w:val="center"/>
          </w:tcPr>
          <w:p>
            <w:pPr>
              <w:pStyle w:val="63"/>
            </w:pPr>
            <w:r>
              <w:t>11.05</w:t>
            </w:r>
          </w:p>
        </w:tc>
        <w:tc>
          <w:tcPr>
            <w:tcW w:w="327" w:type="pct"/>
            <w:vAlign w:val="center"/>
          </w:tcPr>
          <w:p>
            <w:pPr>
              <w:pStyle w:val="63"/>
            </w:pPr>
            <w:r>
              <w:t>0.0750</w:t>
            </w:r>
          </w:p>
        </w:tc>
        <w:tc>
          <w:tcPr>
            <w:tcW w:w="340" w:type="pct"/>
            <w:vAlign w:val="center"/>
          </w:tcPr>
          <w:p>
            <w:pPr>
              <w:pStyle w:val="63"/>
            </w:pPr>
            <w:r>
              <w:t>0.00004</w:t>
            </w:r>
          </w:p>
        </w:tc>
        <w:tc>
          <w:tcPr>
            <w:tcW w:w="327" w:type="pct"/>
            <w:vAlign w:val="center"/>
          </w:tcPr>
          <w:p>
            <w:pPr>
              <w:pStyle w:val="63"/>
            </w:pPr>
            <w:r>
              <w:t>0.1486</w:t>
            </w:r>
          </w:p>
        </w:tc>
        <w:tc>
          <w:tcPr>
            <w:tcW w:w="348" w:type="pct"/>
            <w:vAlign w:val="center"/>
          </w:tcPr>
          <w:p>
            <w:pPr>
              <w:pStyle w:val="63"/>
            </w:pPr>
            <w:r>
              <w:t>1.4798</w:t>
            </w:r>
          </w:p>
        </w:tc>
        <w:tc>
          <w:tcPr>
            <w:tcW w:w="327" w:type="pct"/>
            <w:vAlign w:val="center"/>
          </w:tcPr>
          <w:p>
            <w:pPr>
              <w:pStyle w:val="63"/>
            </w:pPr>
            <w:r>
              <w:t>0.0004</w:t>
            </w:r>
          </w:p>
        </w:tc>
        <w:tc>
          <w:tcPr>
            <w:tcW w:w="328" w:type="pct"/>
            <w:vAlign w:val="center"/>
          </w:tcPr>
          <w:p>
            <w:pPr>
              <w:pStyle w:val="63"/>
            </w:pPr>
            <w:r>
              <w:t>-</w:t>
            </w:r>
          </w:p>
        </w:tc>
        <w:tc>
          <w:tcPr>
            <w:tcW w:w="322" w:type="pct"/>
            <w:vAlign w:val="center"/>
          </w:tcPr>
          <w:p>
            <w:pPr>
              <w:pStyle w:val="63"/>
            </w:pPr>
            <w:r>
              <w:t>0.0017</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47" w:type="pct"/>
            <w:vAlign w:val="center"/>
          </w:tcPr>
          <w:p>
            <w:pPr>
              <w:pStyle w:val="63"/>
            </w:pPr>
            <w:r>
              <w:t>P2浸出车间</w:t>
            </w:r>
          </w:p>
        </w:tc>
        <w:tc>
          <w:tcPr>
            <w:tcW w:w="499" w:type="pct"/>
            <w:vAlign w:val="center"/>
          </w:tcPr>
          <w:p>
            <w:pPr>
              <w:pStyle w:val="63"/>
            </w:pPr>
            <w:r>
              <w:t>112.805589</w:t>
            </w:r>
          </w:p>
        </w:tc>
        <w:tc>
          <w:tcPr>
            <w:tcW w:w="461" w:type="pct"/>
            <w:vAlign w:val="center"/>
          </w:tcPr>
          <w:p>
            <w:pPr>
              <w:pStyle w:val="63"/>
            </w:pPr>
            <w:r>
              <w:t>27.01626</w:t>
            </w:r>
          </w:p>
        </w:tc>
        <w:tc>
          <w:tcPr>
            <w:tcW w:w="285" w:type="pct"/>
            <w:vAlign w:val="center"/>
          </w:tcPr>
          <w:p>
            <w:pPr>
              <w:pStyle w:val="63"/>
            </w:pPr>
            <w:r>
              <w:t>79.00</w:t>
            </w:r>
          </w:p>
        </w:tc>
        <w:tc>
          <w:tcPr>
            <w:tcW w:w="283" w:type="pct"/>
            <w:vAlign w:val="center"/>
          </w:tcPr>
          <w:p>
            <w:pPr>
              <w:pStyle w:val="63"/>
            </w:pPr>
            <w:r>
              <w:t>20.00</w:t>
            </w:r>
          </w:p>
        </w:tc>
        <w:tc>
          <w:tcPr>
            <w:tcW w:w="240" w:type="pct"/>
            <w:vAlign w:val="center"/>
          </w:tcPr>
          <w:p>
            <w:pPr>
              <w:pStyle w:val="63"/>
            </w:pPr>
            <w:r>
              <w:t>0.80</w:t>
            </w:r>
          </w:p>
        </w:tc>
        <w:tc>
          <w:tcPr>
            <w:tcW w:w="283" w:type="pct"/>
            <w:vAlign w:val="center"/>
          </w:tcPr>
          <w:p>
            <w:pPr>
              <w:pStyle w:val="63"/>
            </w:pPr>
            <w:r>
              <w:t>25.00</w:t>
            </w:r>
          </w:p>
        </w:tc>
        <w:tc>
          <w:tcPr>
            <w:tcW w:w="283" w:type="pct"/>
            <w:vAlign w:val="center"/>
          </w:tcPr>
          <w:p>
            <w:pPr>
              <w:pStyle w:val="63"/>
            </w:pPr>
            <w:r>
              <w:t>11.00</w:t>
            </w:r>
          </w:p>
        </w:tc>
        <w:tc>
          <w:tcPr>
            <w:tcW w:w="327" w:type="pct"/>
            <w:vAlign w:val="center"/>
          </w:tcPr>
          <w:p>
            <w:pPr>
              <w:pStyle w:val="63"/>
            </w:pPr>
            <w:r>
              <w:t>-</w:t>
            </w:r>
          </w:p>
        </w:tc>
        <w:tc>
          <w:tcPr>
            <w:tcW w:w="340" w:type="pct"/>
            <w:vAlign w:val="center"/>
          </w:tcPr>
          <w:p>
            <w:pPr>
              <w:pStyle w:val="63"/>
            </w:pPr>
            <w:r>
              <w:t>-</w:t>
            </w:r>
          </w:p>
        </w:tc>
        <w:tc>
          <w:tcPr>
            <w:tcW w:w="327" w:type="pct"/>
            <w:vAlign w:val="center"/>
          </w:tcPr>
          <w:p>
            <w:pPr>
              <w:pStyle w:val="63"/>
            </w:pPr>
            <w:r>
              <w:t>-</w:t>
            </w:r>
          </w:p>
        </w:tc>
        <w:tc>
          <w:tcPr>
            <w:tcW w:w="348" w:type="pct"/>
            <w:vAlign w:val="center"/>
          </w:tcPr>
          <w:p>
            <w:pPr>
              <w:pStyle w:val="63"/>
            </w:pPr>
            <w:r>
              <w:t>-</w:t>
            </w:r>
          </w:p>
        </w:tc>
        <w:tc>
          <w:tcPr>
            <w:tcW w:w="327" w:type="pct"/>
            <w:vAlign w:val="center"/>
          </w:tcPr>
          <w:p>
            <w:pPr>
              <w:pStyle w:val="63"/>
            </w:pPr>
            <w:r>
              <w:t>-</w:t>
            </w:r>
          </w:p>
        </w:tc>
        <w:tc>
          <w:tcPr>
            <w:tcW w:w="328" w:type="pct"/>
            <w:vAlign w:val="center"/>
          </w:tcPr>
          <w:p>
            <w:pPr>
              <w:pStyle w:val="63"/>
            </w:pPr>
            <w:r>
              <w:t>0.4020</w:t>
            </w:r>
          </w:p>
        </w:tc>
        <w:tc>
          <w:tcPr>
            <w:tcW w:w="322" w:type="pct"/>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47" w:type="pct"/>
            <w:vAlign w:val="center"/>
          </w:tcPr>
          <w:p>
            <w:pPr>
              <w:pStyle w:val="63"/>
            </w:pPr>
            <w:r>
              <w:t>P3萃取车间</w:t>
            </w:r>
          </w:p>
        </w:tc>
        <w:tc>
          <w:tcPr>
            <w:tcW w:w="499" w:type="pct"/>
            <w:vAlign w:val="center"/>
          </w:tcPr>
          <w:p>
            <w:pPr>
              <w:pStyle w:val="63"/>
            </w:pPr>
            <w:r>
              <w:t>112.805643</w:t>
            </w:r>
          </w:p>
        </w:tc>
        <w:tc>
          <w:tcPr>
            <w:tcW w:w="461" w:type="pct"/>
            <w:vAlign w:val="center"/>
          </w:tcPr>
          <w:p>
            <w:pPr>
              <w:pStyle w:val="63"/>
            </w:pPr>
            <w:r>
              <w:t>27.015925</w:t>
            </w:r>
          </w:p>
        </w:tc>
        <w:tc>
          <w:tcPr>
            <w:tcW w:w="285" w:type="pct"/>
            <w:vAlign w:val="center"/>
          </w:tcPr>
          <w:p>
            <w:pPr>
              <w:pStyle w:val="63"/>
            </w:pPr>
            <w:r>
              <w:t>79.00</w:t>
            </w:r>
          </w:p>
        </w:tc>
        <w:tc>
          <w:tcPr>
            <w:tcW w:w="283" w:type="pct"/>
            <w:vAlign w:val="center"/>
          </w:tcPr>
          <w:p>
            <w:pPr>
              <w:pStyle w:val="63"/>
            </w:pPr>
            <w:r>
              <w:t>15.00</w:t>
            </w:r>
          </w:p>
        </w:tc>
        <w:tc>
          <w:tcPr>
            <w:tcW w:w="240" w:type="pct"/>
            <w:vAlign w:val="center"/>
          </w:tcPr>
          <w:p>
            <w:pPr>
              <w:pStyle w:val="63"/>
            </w:pPr>
            <w:r>
              <w:t>0.80</w:t>
            </w:r>
          </w:p>
        </w:tc>
        <w:tc>
          <w:tcPr>
            <w:tcW w:w="283" w:type="pct"/>
            <w:vAlign w:val="center"/>
          </w:tcPr>
          <w:p>
            <w:pPr>
              <w:pStyle w:val="63"/>
            </w:pPr>
            <w:r>
              <w:t>25.00</w:t>
            </w:r>
          </w:p>
        </w:tc>
        <w:tc>
          <w:tcPr>
            <w:tcW w:w="283" w:type="pct"/>
            <w:vAlign w:val="center"/>
          </w:tcPr>
          <w:p>
            <w:pPr>
              <w:pStyle w:val="63"/>
            </w:pPr>
            <w:r>
              <w:t>11.00</w:t>
            </w:r>
          </w:p>
        </w:tc>
        <w:tc>
          <w:tcPr>
            <w:tcW w:w="327" w:type="pct"/>
            <w:vAlign w:val="center"/>
          </w:tcPr>
          <w:p>
            <w:pPr>
              <w:pStyle w:val="63"/>
            </w:pPr>
            <w:r>
              <w:t>-</w:t>
            </w:r>
          </w:p>
        </w:tc>
        <w:tc>
          <w:tcPr>
            <w:tcW w:w="340" w:type="pct"/>
            <w:vAlign w:val="center"/>
          </w:tcPr>
          <w:p>
            <w:pPr>
              <w:pStyle w:val="63"/>
            </w:pPr>
            <w:r>
              <w:t>-</w:t>
            </w:r>
          </w:p>
        </w:tc>
        <w:tc>
          <w:tcPr>
            <w:tcW w:w="327" w:type="pct"/>
            <w:vAlign w:val="center"/>
          </w:tcPr>
          <w:p>
            <w:pPr>
              <w:pStyle w:val="63"/>
            </w:pPr>
            <w:r>
              <w:t>-</w:t>
            </w:r>
          </w:p>
        </w:tc>
        <w:tc>
          <w:tcPr>
            <w:tcW w:w="348" w:type="pct"/>
            <w:vAlign w:val="center"/>
          </w:tcPr>
          <w:p>
            <w:pPr>
              <w:pStyle w:val="63"/>
            </w:pPr>
            <w:r>
              <w:t>0.3150</w:t>
            </w:r>
          </w:p>
        </w:tc>
        <w:tc>
          <w:tcPr>
            <w:tcW w:w="327" w:type="pct"/>
            <w:vAlign w:val="center"/>
          </w:tcPr>
          <w:p>
            <w:pPr>
              <w:pStyle w:val="63"/>
            </w:pPr>
            <w:r>
              <w:t>-</w:t>
            </w:r>
          </w:p>
        </w:tc>
        <w:tc>
          <w:tcPr>
            <w:tcW w:w="328" w:type="pct"/>
            <w:vAlign w:val="center"/>
          </w:tcPr>
          <w:p>
            <w:pPr>
              <w:pStyle w:val="63"/>
            </w:pPr>
            <w:r>
              <w:t>0.0480</w:t>
            </w:r>
          </w:p>
        </w:tc>
        <w:tc>
          <w:tcPr>
            <w:tcW w:w="322" w:type="pct"/>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47" w:type="pct"/>
            <w:vAlign w:val="center"/>
          </w:tcPr>
          <w:p>
            <w:pPr>
              <w:pStyle w:val="63"/>
            </w:pPr>
            <w:r>
              <w:t>P4锅炉</w:t>
            </w:r>
          </w:p>
        </w:tc>
        <w:tc>
          <w:tcPr>
            <w:tcW w:w="499" w:type="pct"/>
            <w:vAlign w:val="center"/>
          </w:tcPr>
          <w:p>
            <w:pPr>
              <w:pStyle w:val="63"/>
            </w:pPr>
            <w:r>
              <w:t>112.803472</w:t>
            </w:r>
          </w:p>
        </w:tc>
        <w:tc>
          <w:tcPr>
            <w:tcW w:w="461" w:type="pct"/>
            <w:vAlign w:val="center"/>
          </w:tcPr>
          <w:p>
            <w:pPr>
              <w:pStyle w:val="63"/>
            </w:pPr>
            <w:r>
              <w:t>27.01351</w:t>
            </w:r>
          </w:p>
        </w:tc>
        <w:tc>
          <w:tcPr>
            <w:tcW w:w="285" w:type="pct"/>
            <w:vAlign w:val="center"/>
          </w:tcPr>
          <w:p>
            <w:pPr>
              <w:pStyle w:val="63"/>
            </w:pPr>
            <w:r>
              <w:t>84.00</w:t>
            </w:r>
          </w:p>
        </w:tc>
        <w:tc>
          <w:tcPr>
            <w:tcW w:w="283" w:type="pct"/>
            <w:vAlign w:val="center"/>
          </w:tcPr>
          <w:p>
            <w:pPr>
              <w:pStyle w:val="63"/>
            </w:pPr>
            <w:r>
              <w:t>40.00</w:t>
            </w:r>
          </w:p>
        </w:tc>
        <w:tc>
          <w:tcPr>
            <w:tcW w:w="240" w:type="pct"/>
            <w:vAlign w:val="center"/>
          </w:tcPr>
          <w:p>
            <w:pPr>
              <w:pStyle w:val="63"/>
            </w:pPr>
            <w:r>
              <w:t>0.80</w:t>
            </w:r>
          </w:p>
        </w:tc>
        <w:tc>
          <w:tcPr>
            <w:tcW w:w="283" w:type="pct"/>
            <w:vAlign w:val="center"/>
          </w:tcPr>
          <w:p>
            <w:pPr>
              <w:pStyle w:val="63"/>
            </w:pPr>
            <w:r>
              <w:t>75.00</w:t>
            </w:r>
          </w:p>
        </w:tc>
        <w:tc>
          <w:tcPr>
            <w:tcW w:w="283" w:type="pct"/>
            <w:vAlign w:val="center"/>
          </w:tcPr>
          <w:p>
            <w:pPr>
              <w:pStyle w:val="63"/>
            </w:pPr>
            <w:r>
              <w:t>11.00</w:t>
            </w:r>
          </w:p>
        </w:tc>
        <w:tc>
          <w:tcPr>
            <w:tcW w:w="327" w:type="pct"/>
            <w:vAlign w:val="center"/>
          </w:tcPr>
          <w:p>
            <w:pPr>
              <w:pStyle w:val="63"/>
            </w:pPr>
            <w:r>
              <w:t>1.9200</w:t>
            </w:r>
          </w:p>
        </w:tc>
        <w:tc>
          <w:tcPr>
            <w:tcW w:w="340" w:type="pct"/>
            <w:vAlign w:val="center"/>
          </w:tcPr>
          <w:p>
            <w:pPr>
              <w:pStyle w:val="63"/>
            </w:pPr>
            <w:r>
              <w:t>-</w:t>
            </w:r>
          </w:p>
        </w:tc>
        <w:tc>
          <w:tcPr>
            <w:tcW w:w="327" w:type="pct"/>
            <w:vAlign w:val="center"/>
          </w:tcPr>
          <w:p>
            <w:pPr>
              <w:pStyle w:val="63"/>
            </w:pPr>
            <w:r>
              <w:t>-</w:t>
            </w:r>
          </w:p>
        </w:tc>
        <w:tc>
          <w:tcPr>
            <w:tcW w:w="348" w:type="pct"/>
            <w:vAlign w:val="center"/>
          </w:tcPr>
          <w:p>
            <w:pPr>
              <w:pStyle w:val="63"/>
            </w:pPr>
            <w:r>
              <w:t>-</w:t>
            </w:r>
          </w:p>
        </w:tc>
        <w:tc>
          <w:tcPr>
            <w:tcW w:w="327" w:type="pct"/>
            <w:vAlign w:val="center"/>
          </w:tcPr>
          <w:p>
            <w:pPr>
              <w:pStyle w:val="63"/>
            </w:pPr>
            <w:r>
              <w:t>0.1470</w:t>
            </w:r>
          </w:p>
        </w:tc>
        <w:tc>
          <w:tcPr>
            <w:tcW w:w="328" w:type="pct"/>
            <w:vAlign w:val="center"/>
          </w:tcPr>
          <w:p>
            <w:pPr>
              <w:pStyle w:val="63"/>
            </w:pPr>
            <w:r>
              <w:t>-</w:t>
            </w:r>
          </w:p>
        </w:tc>
        <w:tc>
          <w:tcPr>
            <w:tcW w:w="322" w:type="pct"/>
            <w:vAlign w:val="center"/>
          </w:tcPr>
          <w:p>
            <w:pPr>
              <w:pStyle w:val="63"/>
            </w:pPr>
            <w:r>
              <w:t>0.0700</w:t>
            </w:r>
          </w:p>
        </w:tc>
      </w:tr>
    </w:tbl>
    <w:p>
      <w:pPr>
        <w:pStyle w:val="6"/>
        <w:rPr>
          <w:rFonts w:ascii="Times New Roman" w:hAnsi="Times New Roman" w:cs="Times New Roman"/>
        </w:rPr>
      </w:pPr>
      <w:r>
        <w:rPr>
          <w:lang w:val="zh-CN"/>
        </w:rPr>
        <w:t>表</w:t>
      </w:r>
      <w:r>
        <w:t>6</w:t>
      </w:r>
      <w:r>
        <w:rPr>
          <w:lang w:val="zh-CN"/>
        </w:rPr>
        <w:t>.2.1-12  本项目大气污染物正常工况</w:t>
      </w:r>
      <w:r>
        <w:rPr>
          <w:rFonts w:ascii="Times New Roman" w:hAnsi="Times New Roman" w:cs="Times New Roman"/>
        </w:rPr>
        <w:t>面源排放参数表</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1245"/>
        <w:gridCol w:w="2378"/>
        <w:gridCol w:w="2466"/>
        <w:gridCol w:w="1533"/>
        <w:gridCol w:w="1766"/>
        <w:gridCol w:w="1533"/>
        <w:gridCol w:w="1533"/>
        <w:gridCol w:w="1766"/>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438" w:type="pct"/>
            <w:vMerge w:val="restart"/>
            <w:vAlign w:val="center"/>
          </w:tcPr>
          <w:p>
            <w:pPr>
              <w:pStyle w:val="63"/>
            </w:pPr>
            <w:r>
              <w:t>污染源名称</w:t>
            </w:r>
          </w:p>
        </w:tc>
        <w:tc>
          <w:tcPr>
            <w:tcW w:w="1703" w:type="pct"/>
            <w:gridSpan w:val="2"/>
            <w:vAlign w:val="center"/>
          </w:tcPr>
          <w:p>
            <w:pPr>
              <w:pStyle w:val="63"/>
            </w:pPr>
            <w:r>
              <w:t>坐标(°)</w:t>
            </w:r>
          </w:p>
        </w:tc>
        <w:tc>
          <w:tcPr>
            <w:tcW w:w="539" w:type="pct"/>
            <w:vMerge w:val="restart"/>
            <w:vAlign w:val="center"/>
          </w:tcPr>
          <w:p>
            <w:pPr>
              <w:pStyle w:val="63"/>
            </w:pPr>
            <w:r>
              <w:t>海拔高度(m)</w:t>
            </w:r>
          </w:p>
        </w:tc>
        <w:tc>
          <w:tcPr>
            <w:tcW w:w="1699" w:type="pct"/>
            <w:gridSpan w:val="3"/>
            <w:vAlign w:val="center"/>
          </w:tcPr>
          <w:p>
            <w:pPr>
              <w:pStyle w:val="63"/>
            </w:pPr>
            <w:r>
              <w:t>矩形面源</w:t>
            </w:r>
          </w:p>
        </w:tc>
        <w:tc>
          <w:tcPr>
            <w:tcW w:w="621" w:type="pct"/>
            <w:vAlign w:val="center"/>
          </w:tcPr>
          <w:p>
            <w:pPr>
              <w:pStyle w:val="63"/>
            </w:pPr>
            <w:r>
              <w:t>污染物排放速率(kg/h)</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438" w:type="pct"/>
            <w:vMerge w:val="continue"/>
            <w:vAlign w:val="center"/>
          </w:tcPr>
          <w:p>
            <w:pPr>
              <w:pStyle w:val="63"/>
            </w:pPr>
          </w:p>
        </w:tc>
        <w:tc>
          <w:tcPr>
            <w:tcW w:w="836" w:type="pct"/>
            <w:vAlign w:val="center"/>
          </w:tcPr>
          <w:p>
            <w:pPr>
              <w:pStyle w:val="63"/>
            </w:pPr>
            <w:r>
              <w:t>经度</w:t>
            </w:r>
          </w:p>
        </w:tc>
        <w:tc>
          <w:tcPr>
            <w:tcW w:w="867" w:type="pct"/>
            <w:vAlign w:val="center"/>
          </w:tcPr>
          <w:p>
            <w:pPr>
              <w:pStyle w:val="63"/>
            </w:pPr>
            <w:r>
              <w:t>纬度</w:t>
            </w:r>
          </w:p>
        </w:tc>
        <w:tc>
          <w:tcPr>
            <w:tcW w:w="539" w:type="pct"/>
            <w:vMerge w:val="continue"/>
            <w:vAlign w:val="center"/>
          </w:tcPr>
          <w:p>
            <w:pPr>
              <w:pStyle w:val="63"/>
            </w:pPr>
          </w:p>
        </w:tc>
        <w:tc>
          <w:tcPr>
            <w:tcW w:w="621" w:type="pct"/>
            <w:vAlign w:val="center"/>
          </w:tcPr>
          <w:p>
            <w:pPr>
              <w:pStyle w:val="63"/>
            </w:pPr>
            <w:r>
              <w:t>长度(m)</w:t>
            </w:r>
          </w:p>
        </w:tc>
        <w:tc>
          <w:tcPr>
            <w:tcW w:w="539" w:type="pct"/>
            <w:vAlign w:val="center"/>
          </w:tcPr>
          <w:p>
            <w:pPr>
              <w:pStyle w:val="63"/>
            </w:pPr>
            <w:r>
              <w:t>宽度(m)</w:t>
            </w:r>
          </w:p>
        </w:tc>
        <w:tc>
          <w:tcPr>
            <w:tcW w:w="539" w:type="pct"/>
            <w:vAlign w:val="center"/>
          </w:tcPr>
          <w:p>
            <w:pPr>
              <w:pStyle w:val="63"/>
            </w:pPr>
            <w:r>
              <w:t>有效高度(m)</w:t>
            </w:r>
          </w:p>
        </w:tc>
        <w:tc>
          <w:tcPr>
            <w:tcW w:w="621" w:type="pct"/>
            <w:vAlign w:val="center"/>
          </w:tcPr>
          <w:p>
            <w:pPr>
              <w:pStyle w:val="63"/>
            </w:pPr>
            <w:r>
              <w:t>硫酸</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438" w:type="pct"/>
            <w:vAlign w:val="center"/>
          </w:tcPr>
          <w:p>
            <w:pPr>
              <w:pStyle w:val="63"/>
            </w:pPr>
            <w:r>
              <w:t>浸出车间</w:t>
            </w:r>
          </w:p>
        </w:tc>
        <w:tc>
          <w:tcPr>
            <w:tcW w:w="836" w:type="pct"/>
            <w:vAlign w:val="center"/>
          </w:tcPr>
          <w:p>
            <w:pPr>
              <w:pStyle w:val="63"/>
            </w:pPr>
            <w:r>
              <w:t>112.804819</w:t>
            </w:r>
          </w:p>
        </w:tc>
        <w:tc>
          <w:tcPr>
            <w:tcW w:w="867" w:type="pct"/>
            <w:vAlign w:val="center"/>
          </w:tcPr>
          <w:p>
            <w:pPr>
              <w:pStyle w:val="63"/>
            </w:pPr>
            <w:r>
              <w:t>27.016211</w:t>
            </w:r>
          </w:p>
        </w:tc>
        <w:tc>
          <w:tcPr>
            <w:tcW w:w="539" w:type="pct"/>
            <w:vAlign w:val="center"/>
          </w:tcPr>
          <w:p>
            <w:pPr>
              <w:pStyle w:val="63"/>
            </w:pPr>
            <w:r>
              <w:t>79.00</w:t>
            </w:r>
          </w:p>
        </w:tc>
        <w:tc>
          <w:tcPr>
            <w:tcW w:w="621" w:type="pct"/>
            <w:vAlign w:val="center"/>
          </w:tcPr>
          <w:p>
            <w:pPr>
              <w:pStyle w:val="63"/>
            </w:pPr>
            <w:r>
              <w:t>100.00</w:t>
            </w:r>
          </w:p>
        </w:tc>
        <w:tc>
          <w:tcPr>
            <w:tcW w:w="539" w:type="pct"/>
            <w:vAlign w:val="center"/>
          </w:tcPr>
          <w:p>
            <w:pPr>
              <w:pStyle w:val="63"/>
            </w:pPr>
            <w:r>
              <w:t>40.00</w:t>
            </w:r>
          </w:p>
        </w:tc>
        <w:tc>
          <w:tcPr>
            <w:tcW w:w="539" w:type="pct"/>
            <w:vAlign w:val="center"/>
          </w:tcPr>
          <w:p>
            <w:pPr>
              <w:pStyle w:val="63"/>
            </w:pPr>
            <w:r>
              <w:t>10.00</w:t>
            </w:r>
          </w:p>
        </w:tc>
        <w:tc>
          <w:tcPr>
            <w:tcW w:w="621" w:type="pct"/>
            <w:vAlign w:val="center"/>
          </w:tcPr>
          <w:p>
            <w:pPr>
              <w:pStyle w:val="63"/>
            </w:pPr>
            <w:r>
              <w:t>0.0100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438" w:type="pct"/>
            <w:vAlign w:val="center"/>
          </w:tcPr>
          <w:p>
            <w:pPr>
              <w:pStyle w:val="63"/>
            </w:pPr>
            <w:r>
              <w:t>罐区</w:t>
            </w:r>
          </w:p>
        </w:tc>
        <w:tc>
          <w:tcPr>
            <w:tcW w:w="836" w:type="pct"/>
            <w:vAlign w:val="center"/>
          </w:tcPr>
          <w:p>
            <w:pPr>
              <w:pStyle w:val="63"/>
            </w:pPr>
            <w:r>
              <w:t>112.805616</w:t>
            </w:r>
          </w:p>
        </w:tc>
        <w:tc>
          <w:tcPr>
            <w:tcW w:w="867" w:type="pct"/>
            <w:vAlign w:val="center"/>
          </w:tcPr>
          <w:p>
            <w:pPr>
              <w:pStyle w:val="63"/>
            </w:pPr>
            <w:r>
              <w:t>27.016675</w:t>
            </w:r>
          </w:p>
        </w:tc>
        <w:tc>
          <w:tcPr>
            <w:tcW w:w="539" w:type="pct"/>
            <w:vAlign w:val="center"/>
          </w:tcPr>
          <w:p>
            <w:pPr>
              <w:pStyle w:val="63"/>
            </w:pPr>
            <w:r>
              <w:t>79.00</w:t>
            </w:r>
          </w:p>
        </w:tc>
        <w:tc>
          <w:tcPr>
            <w:tcW w:w="621" w:type="pct"/>
            <w:vAlign w:val="center"/>
          </w:tcPr>
          <w:p>
            <w:pPr>
              <w:pStyle w:val="63"/>
            </w:pPr>
            <w:r>
              <w:t>15.00</w:t>
            </w:r>
          </w:p>
        </w:tc>
        <w:tc>
          <w:tcPr>
            <w:tcW w:w="539" w:type="pct"/>
            <w:vAlign w:val="center"/>
          </w:tcPr>
          <w:p>
            <w:pPr>
              <w:pStyle w:val="63"/>
            </w:pPr>
            <w:r>
              <w:t>15.00</w:t>
            </w:r>
          </w:p>
        </w:tc>
        <w:tc>
          <w:tcPr>
            <w:tcW w:w="539" w:type="pct"/>
            <w:vAlign w:val="center"/>
          </w:tcPr>
          <w:p>
            <w:pPr>
              <w:pStyle w:val="63"/>
            </w:pPr>
            <w:r>
              <w:t>10.00</w:t>
            </w:r>
          </w:p>
        </w:tc>
        <w:tc>
          <w:tcPr>
            <w:tcW w:w="621" w:type="pct"/>
            <w:vAlign w:val="center"/>
          </w:tcPr>
          <w:p>
            <w:pPr>
              <w:pStyle w:val="63"/>
            </w:pPr>
            <w:r>
              <w:t>0.0800</w:t>
            </w:r>
          </w:p>
        </w:tc>
      </w:tr>
    </w:tbl>
    <w:p>
      <w:pPr>
        <w:pStyle w:val="6"/>
        <w:rPr>
          <w:rFonts w:ascii="Times New Roman" w:hAnsi="Times New Roman" w:cs="Times New Roman"/>
        </w:rPr>
      </w:pPr>
      <w:r>
        <w:rPr>
          <w:lang w:val="zh-CN"/>
        </w:rPr>
        <w:t>表</w:t>
      </w:r>
      <w:r>
        <w:t>6</w:t>
      </w:r>
      <w:r>
        <w:rPr>
          <w:lang w:val="zh-CN"/>
        </w:rPr>
        <w:t>.2.1-1</w:t>
      </w:r>
      <w:r>
        <w:rPr>
          <w:rFonts w:hint="eastAsia"/>
          <w:lang w:val="zh-CN"/>
        </w:rPr>
        <w:t>3</w:t>
      </w:r>
      <w:r>
        <w:rPr>
          <w:lang w:val="zh-CN"/>
        </w:rPr>
        <w:t xml:space="preserve">  本项目大气污染物</w:t>
      </w:r>
      <w:r>
        <w:rPr>
          <w:rFonts w:hint="eastAsia"/>
          <w:lang w:val="zh-CN"/>
        </w:rPr>
        <w:t>非</w:t>
      </w:r>
      <w:r>
        <w:rPr>
          <w:lang w:val="zh-CN"/>
        </w:rPr>
        <w:t>正常工况</w:t>
      </w:r>
      <w:r>
        <w:rPr>
          <w:rFonts w:ascii="Times New Roman" w:hAnsi="Times New Roman" w:cs="Times New Roman"/>
        </w:rPr>
        <w:t>面源排放参数表</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986"/>
        <w:gridCol w:w="1418"/>
        <w:gridCol w:w="1311"/>
        <w:gridCol w:w="811"/>
        <w:gridCol w:w="805"/>
        <w:gridCol w:w="683"/>
        <w:gridCol w:w="805"/>
        <w:gridCol w:w="805"/>
        <w:gridCol w:w="930"/>
        <w:gridCol w:w="967"/>
        <w:gridCol w:w="930"/>
        <w:gridCol w:w="990"/>
        <w:gridCol w:w="930"/>
        <w:gridCol w:w="933"/>
        <w:gridCol w:w="916"/>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blHeader/>
        </w:trPr>
        <w:tc>
          <w:tcPr>
            <w:tcW w:w="347" w:type="pct"/>
            <w:vMerge w:val="restart"/>
            <w:vAlign w:val="center"/>
          </w:tcPr>
          <w:p>
            <w:pPr>
              <w:pStyle w:val="63"/>
            </w:pPr>
            <w:r>
              <w:t>污染源名称</w:t>
            </w:r>
          </w:p>
        </w:tc>
        <w:tc>
          <w:tcPr>
            <w:tcW w:w="960" w:type="pct"/>
            <w:gridSpan w:val="2"/>
            <w:vAlign w:val="center"/>
          </w:tcPr>
          <w:p>
            <w:pPr>
              <w:pStyle w:val="63"/>
            </w:pPr>
            <w:r>
              <w:t>排气筒底部中心坐标(°)</w:t>
            </w:r>
          </w:p>
        </w:tc>
        <w:tc>
          <w:tcPr>
            <w:tcW w:w="285" w:type="pct"/>
            <w:vMerge w:val="restart"/>
            <w:vAlign w:val="center"/>
          </w:tcPr>
          <w:p>
            <w:pPr>
              <w:pStyle w:val="63"/>
            </w:pPr>
            <w:r>
              <w:t>排气筒底部海拔高度(m)</w:t>
            </w:r>
          </w:p>
        </w:tc>
        <w:tc>
          <w:tcPr>
            <w:tcW w:w="1089" w:type="pct"/>
            <w:gridSpan w:val="4"/>
            <w:vAlign w:val="center"/>
          </w:tcPr>
          <w:p>
            <w:pPr>
              <w:pStyle w:val="63"/>
            </w:pPr>
            <w:r>
              <w:t>排气筒参数</w:t>
            </w:r>
          </w:p>
        </w:tc>
        <w:tc>
          <w:tcPr>
            <w:tcW w:w="2319" w:type="pct"/>
            <w:gridSpan w:val="7"/>
            <w:vAlign w:val="center"/>
          </w:tcPr>
          <w:p>
            <w:pPr>
              <w:pStyle w:val="63"/>
            </w:pPr>
            <w:r>
              <w:t>污染物排放速率(kg/h)</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blHeader/>
        </w:trPr>
        <w:tc>
          <w:tcPr>
            <w:tcW w:w="347" w:type="pct"/>
            <w:vMerge w:val="continue"/>
            <w:vAlign w:val="center"/>
          </w:tcPr>
          <w:p>
            <w:pPr>
              <w:pStyle w:val="63"/>
            </w:pPr>
          </w:p>
        </w:tc>
        <w:tc>
          <w:tcPr>
            <w:tcW w:w="499" w:type="pct"/>
            <w:vAlign w:val="center"/>
          </w:tcPr>
          <w:p>
            <w:pPr>
              <w:pStyle w:val="63"/>
            </w:pPr>
            <w:r>
              <w:t>经度</w:t>
            </w:r>
          </w:p>
        </w:tc>
        <w:tc>
          <w:tcPr>
            <w:tcW w:w="461" w:type="pct"/>
            <w:vAlign w:val="center"/>
          </w:tcPr>
          <w:p>
            <w:pPr>
              <w:pStyle w:val="63"/>
            </w:pPr>
            <w:r>
              <w:t>纬度</w:t>
            </w:r>
          </w:p>
        </w:tc>
        <w:tc>
          <w:tcPr>
            <w:tcW w:w="285" w:type="pct"/>
            <w:vMerge w:val="continue"/>
            <w:vAlign w:val="center"/>
          </w:tcPr>
          <w:p>
            <w:pPr>
              <w:pStyle w:val="63"/>
            </w:pPr>
          </w:p>
        </w:tc>
        <w:tc>
          <w:tcPr>
            <w:tcW w:w="283" w:type="pct"/>
            <w:vAlign w:val="center"/>
          </w:tcPr>
          <w:p>
            <w:pPr>
              <w:pStyle w:val="63"/>
            </w:pPr>
            <w:r>
              <w:t>高度(m)</w:t>
            </w:r>
          </w:p>
        </w:tc>
        <w:tc>
          <w:tcPr>
            <w:tcW w:w="240" w:type="pct"/>
            <w:vAlign w:val="center"/>
          </w:tcPr>
          <w:p>
            <w:pPr>
              <w:pStyle w:val="63"/>
            </w:pPr>
            <w:r>
              <w:t>内径(m)</w:t>
            </w:r>
          </w:p>
        </w:tc>
        <w:tc>
          <w:tcPr>
            <w:tcW w:w="283" w:type="pct"/>
            <w:vAlign w:val="center"/>
          </w:tcPr>
          <w:p>
            <w:pPr>
              <w:pStyle w:val="63"/>
            </w:pPr>
            <w:r>
              <w:t>温度(</w:t>
            </w:r>
            <w:r>
              <w:rPr>
                <w:rFonts w:hint="eastAsia" w:ascii="宋体" w:hAnsi="宋体" w:eastAsia="宋体" w:cs="宋体"/>
              </w:rPr>
              <w:t>℃</w:t>
            </w:r>
            <w:r>
              <w:t>)</w:t>
            </w:r>
          </w:p>
        </w:tc>
        <w:tc>
          <w:tcPr>
            <w:tcW w:w="283" w:type="pct"/>
            <w:vAlign w:val="center"/>
          </w:tcPr>
          <w:p>
            <w:pPr>
              <w:pStyle w:val="63"/>
            </w:pPr>
            <w:r>
              <w:t>流速(m/s)</w:t>
            </w:r>
          </w:p>
        </w:tc>
        <w:tc>
          <w:tcPr>
            <w:tcW w:w="327" w:type="pct"/>
            <w:vAlign w:val="center"/>
          </w:tcPr>
          <w:p>
            <w:pPr>
              <w:pStyle w:val="63"/>
            </w:pPr>
            <w:r>
              <w:t>NOx</w:t>
            </w:r>
          </w:p>
        </w:tc>
        <w:tc>
          <w:tcPr>
            <w:tcW w:w="340" w:type="pct"/>
            <w:vAlign w:val="center"/>
          </w:tcPr>
          <w:p>
            <w:pPr>
              <w:pStyle w:val="63"/>
            </w:pPr>
            <w:r>
              <w:t>Ni</w:t>
            </w:r>
          </w:p>
        </w:tc>
        <w:tc>
          <w:tcPr>
            <w:tcW w:w="327" w:type="pct"/>
            <w:vAlign w:val="center"/>
          </w:tcPr>
          <w:p>
            <w:pPr>
              <w:pStyle w:val="63"/>
            </w:pPr>
            <w:r>
              <w:t>氟化物</w:t>
            </w:r>
          </w:p>
        </w:tc>
        <w:tc>
          <w:tcPr>
            <w:tcW w:w="348" w:type="pct"/>
            <w:vAlign w:val="center"/>
          </w:tcPr>
          <w:p>
            <w:pPr>
              <w:pStyle w:val="63"/>
            </w:pPr>
            <w:r>
              <w:t>NMHC</w:t>
            </w:r>
          </w:p>
        </w:tc>
        <w:tc>
          <w:tcPr>
            <w:tcW w:w="327" w:type="pct"/>
            <w:vAlign w:val="center"/>
          </w:tcPr>
          <w:p>
            <w:pPr>
              <w:pStyle w:val="63"/>
            </w:pPr>
            <w:r>
              <w:t>SO</w:t>
            </w:r>
            <w:r>
              <w:rPr>
                <w:vertAlign w:val="subscript"/>
              </w:rPr>
              <w:t>2</w:t>
            </w:r>
          </w:p>
        </w:tc>
        <w:tc>
          <w:tcPr>
            <w:tcW w:w="328" w:type="pct"/>
            <w:vAlign w:val="center"/>
          </w:tcPr>
          <w:p>
            <w:pPr>
              <w:pStyle w:val="63"/>
            </w:pPr>
            <w:r>
              <w:t>硫酸雾</w:t>
            </w:r>
          </w:p>
        </w:tc>
        <w:tc>
          <w:tcPr>
            <w:tcW w:w="322" w:type="pct"/>
            <w:vAlign w:val="center"/>
          </w:tcPr>
          <w:p>
            <w:pPr>
              <w:pStyle w:val="63"/>
            </w:pPr>
            <w:r>
              <w:t>PM</w:t>
            </w:r>
            <w:r>
              <w:rPr>
                <w:vertAlign w:val="subscript"/>
              </w:rPr>
              <w:t>10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47" w:type="pct"/>
            <w:vAlign w:val="center"/>
          </w:tcPr>
          <w:p>
            <w:pPr>
              <w:pStyle w:val="63"/>
            </w:pPr>
            <w:r>
              <w:t>P1预处理车间</w:t>
            </w:r>
          </w:p>
        </w:tc>
        <w:tc>
          <w:tcPr>
            <w:tcW w:w="499" w:type="pct"/>
            <w:vAlign w:val="center"/>
          </w:tcPr>
          <w:p>
            <w:pPr>
              <w:pStyle w:val="63"/>
            </w:pPr>
            <w:r>
              <w:t>112.803659</w:t>
            </w:r>
          </w:p>
        </w:tc>
        <w:tc>
          <w:tcPr>
            <w:tcW w:w="461" w:type="pct"/>
            <w:vAlign w:val="center"/>
          </w:tcPr>
          <w:p>
            <w:pPr>
              <w:pStyle w:val="63"/>
            </w:pPr>
            <w:r>
              <w:t>27.012894</w:t>
            </w:r>
          </w:p>
        </w:tc>
        <w:tc>
          <w:tcPr>
            <w:tcW w:w="285" w:type="pct"/>
            <w:vAlign w:val="center"/>
          </w:tcPr>
          <w:p>
            <w:pPr>
              <w:pStyle w:val="63"/>
            </w:pPr>
            <w:r>
              <w:t>92.00</w:t>
            </w:r>
          </w:p>
        </w:tc>
        <w:tc>
          <w:tcPr>
            <w:tcW w:w="283" w:type="pct"/>
            <w:vAlign w:val="center"/>
          </w:tcPr>
          <w:p>
            <w:pPr>
              <w:pStyle w:val="63"/>
            </w:pPr>
            <w:r>
              <w:t>30.00</w:t>
            </w:r>
          </w:p>
        </w:tc>
        <w:tc>
          <w:tcPr>
            <w:tcW w:w="240" w:type="pct"/>
            <w:vAlign w:val="center"/>
          </w:tcPr>
          <w:p>
            <w:pPr>
              <w:pStyle w:val="63"/>
            </w:pPr>
            <w:r>
              <w:t>1.20</w:t>
            </w:r>
          </w:p>
        </w:tc>
        <w:tc>
          <w:tcPr>
            <w:tcW w:w="283" w:type="pct"/>
            <w:vAlign w:val="center"/>
          </w:tcPr>
          <w:p>
            <w:pPr>
              <w:pStyle w:val="63"/>
            </w:pPr>
            <w:r>
              <w:t>25.00</w:t>
            </w:r>
          </w:p>
        </w:tc>
        <w:tc>
          <w:tcPr>
            <w:tcW w:w="283" w:type="pct"/>
            <w:vAlign w:val="center"/>
          </w:tcPr>
          <w:p>
            <w:pPr>
              <w:pStyle w:val="63"/>
            </w:pPr>
            <w:r>
              <w:t>11.05</w:t>
            </w:r>
          </w:p>
        </w:tc>
        <w:tc>
          <w:tcPr>
            <w:tcW w:w="327" w:type="pct"/>
            <w:vAlign w:val="center"/>
          </w:tcPr>
          <w:p>
            <w:pPr>
              <w:pStyle w:val="63"/>
              <w:rPr>
                <w:sz w:val="22"/>
              </w:rPr>
            </w:pPr>
            <w:r>
              <w:rPr>
                <w:sz w:val="22"/>
              </w:rPr>
              <w:t>0.075</w:t>
            </w:r>
          </w:p>
        </w:tc>
        <w:tc>
          <w:tcPr>
            <w:tcW w:w="340" w:type="pct"/>
            <w:vAlign w:val="center"/>
          </w:tcPr>
          <w:p>
            <w:pPr>
              <w:pStyle w:val="63"/>
            </w:pPr>
            <w:r>
              <w:t>0.0020</w:t>
            </w:r>
          </w:p>
        </w:tc>
        <w:tc>
          <w:tcPr>
            <w:tcW w:w="327" w:type="pct"/>
            <w:vAlign w:val="center"/>
          </w:tcPr>
          <w:p>
            <w:pPr>
              <w:pStyle w:val="63"/>
            </w:pPr>
            <w:r>
              <w:t>14.86</w:t>
            </w:r>
          </w:p>
        </w:tc>
        <w:tc>
          <w:tcPr>
            <w:tcW w:w="348" w:type="pct"/>
            <w:vAlign w:val="center"/>
          </w:tcPr>
          <w:p>
            <w:pPr>
              <w:pStyle w:val="63"/>
            </w:pPr>
            <w:r>
              <w:t>147.98</w:t>
            </w:r>
          </w:p>
        </w:tc>
        <w:tc>
          <w:tcPr>
            <w:tcW w:w="327" w:type="pct"/>
            <w:vAlign w:val="center"/>
          </w:tcPr>
          <w:p>
            <w:pPr>
              <w:pStyle w:val="63"/>
            </w:pPr>
            <w:r>
              <w:rPr>
                <w:sz w:val="22"/>
              </w:rPr>
              <w:t>0.002</w:t>
            </w:r>
          </w:p>
        </w:tc>
        <w:tc>
          <w:tcPr>
            <w:tcW w:w="328" w:type="pct"/>
            <w:vAlign w:val="center"/>
          </w:tcPr>
          <w:p>
            <w:pPr>
              <w:pStyle w:val="63"/>
            </w:pPr>
            <w:r>
              <w:t>-</w:t>
            </w:r>
          </w:p>
        </w:tc>
        <w:tc>
          <w:tcPr>
            <w:tcW w:w="322" w:type="pct"/>
            <w:vAlign w:val="center"/>
          </w:tcPr>
          <w:p>
            <w:pPr>
              <w:pStyle w:val="63"/>
            </w:pPr>
            <w:r>
              <w:t>0.09</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47" w:type="pct"/>
            <w:vAlign w:val="center"/>
          </w:tcPr>
          <w:p>
            <w:pPr>
              <w:pStyle w:val="63"/>
            </w:pPr>
            <w:r>
              <w:t>P2浸出车间</w:t>
            </w:r>
          </w:p>
        </w:tc>
        <w:tc>
          <w:tcPr>
            <w:tcW w:w="499" w:type="pct"/>
            <w:vAlign w:val="center"/>
          </w:tcPr>
          <w:p>
            <w:pPr>
              <w:pStyle w:val="63"/>
            </w:pPr>
            <w:r>
              <w:t>112.805589</w:t>
            </w:r>
          </w:p>
        </w:tc>
        <w:tc>
          <w:tcPr>
            <w:tcW w:w="461" w:type="pct"/>
            <w:vAlign w:val="center"/>
          </w:tcPr>
          <w:p>
            <w:pPr>
              <w:pStyle w:val="63"/>
            </w:pPr>
            <w:r>
              <w:t>27.01626</w:t>
            </w:r>
          </w:p>
        </w:tc>
        <w:tc>
          <w:tcPr>
            <w:tcW w:w="285" w:type="pct"/>
            <w:vAlign w:val="center"/>
          </w:tcPr>
          <w:p>
            <w:pPr>
              <w:pStyle w:val="63"/>
            </w:pPr>
            <w:r>
              <w:t>79.00</w:t>
            </w:r>
          </w:p>
        </w:tc>
        <w:tc>
          <w:tcPr>
            <w:tcW w:w="283" w:type="pct"/>
            <w:vAlign w:val="center"/>
          </w:tcPr>
          <w:p>
            <w:pPr>
              <w:pStyle w:val="63"/>
            </w:pPr>
            <w:r>
              <w:t>20.00</w:t>
            </w:r>
          </w:p>
        </w:tc>
        <w:tc>
          <w:tcPr>
            <w:tcW w:w="240" w:type="pct"/>
            <w:vAlign w:val="center"/>
          </w:tcPr>
          <w:p>
            <w:pPr>
              <w:pStyle w:val="63"/>
            </w:pPr>
            <w:r>
              <w:t>0.80</w:t>
            </w:r>
          </w:p>
        </w:tc>
        <w:tc>
          <w:tcPr>
            <w:tcW w:w="283" w:type="pct"/>
            <w:vAlign w:val="center"/>
          </w:tcPr>
          <w:p>
            <w:pPr>
              <w:pStyle w:val="63"/>
            </w:pPr>
            <w:r>
              <w:t>25.00</w:t>
            </w:r>
          </w:p>
        </w:tc>
        <w:tc>
          <w:tcPr>
            <w:tcW w:w="283" w:type="pct"/>
            <w:vAlign w:val="center"/>
          </w:tcPr>
          <w:p>
            <w:pPr>
              <w:pStyle w:val="63"/>
            </w:pPr>
            <w:r>
              <w:t>11.00</w:t>
            </w:r>
          </w:p>
        </w:tc>
        <w:tc>
          <w:tcPr>
            <w:tcW w:w="327" w:type="pct"/>
            <w:vAlign w:val="center"/>
          </w:tcPr>
          <w:p>
            <w:pPr>
              <w:pStyle w:val="63"/>
            </w:pPr>
            <w:r>
              <w:t>-</w:t>
            </w:r>
          </w:p>
        </w:tc>
        <w:tc>
          <w:tcPr>
            <w:tcW w:w="340" w:type="pct"/>
            <w:vAlign w:val="center"/>
          </w:tcPr>
          <w:p>
            <w:pPr>
              <w:pStyle w:val="63"/>
            </w:pPr>
            <w:r>
              <w:t>-</w:t>
            </w:r>
          </w:p>
        </w:tc>
        <w:tc>
          <w:tcPr>
            <w:tcW w:w="327" w:type="pct"/>
            <w:vAlign w:val="center"/>
          </w:tcPr>
          <w:p>
            <w:pPr>
              <w:pStyle w:val="63"/>
            </w:pPr>
            <w:r>
              <w:t>-</w:t>
            </w:r>
          </w:p>
        </w:tc>
        <w:tc>
          <w:tcPr>
            <w:tcW w:w="348" w:type="pct"/>
            <w:vAlign w:val="center"/>
          </w:tcPr>
          <w:p>
            <w:pPr>
              <w:pStyle w:val="63"/>
            </w:pPr>
            <w:r>
              <w:t>-</w:t>
            </w:r>
          </w:p>
        </w:tc>
        <w:tc>
          <w:tcPr>
            <w:tcW w:w="327" w:type="pct"/>
            <w:vAlign w:val="center"/>
          </w:tcPr>
          <w:p>
            <w:pPr>
              <w:pStyle w:val="63"/>
            </w:pPr>
            <w:r>
              <w:t>-</w:t>
            </w:r>
          </w:p>
        </w:tc>
        <w:tc>
          <w:tcPr>
            <w:tcW w:w="328" w:type="pct"/>
            <w:vAlign w:val="center"/>
          </w:tcPr>
          <w:p>
            <w:pPr>
              <w:pStyle w:val="63"/>
            </w:pPr>
            <w:r>
              <w:t>8.03</w:t>
            </w:r>
          </w:p>
        </w:tc>
        <w:tc>
          <w:tcPr>
            <w:tcW w:w="322" w:type="pct"/>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47" w:type="pct"/>
            <w:vAlign w:val="center"/>
          </w:tcPr>
          <w:p>
            <w:pPr>
              <w:pStyle w:val="63"/>
            </w:pPr>
            <w:r>
              <w:t>P3萃取车间</w:t>
            </w:r>
          </w:p>
        </w:tc>
        <w:tc>
          <w:tcPr>
            <w:tcW w:w="499" w:type="pct"/>
            <w:vAlign w:val="center"/>
          </w:tcPr>
          <w:p>
            <w:pPr>
              <w:pStyle w:val="63"/>
            </w:pPr>
            <w:r>
              <w:t>112.805643</w:t>
            </w:r>
          </w:p>
        </w:tc>
        <w:tc>
          <w:tcPr>
            <w:tcW w:w="461" w:type="pct"/>
            <w:vAlign w:val="center"/>
          </w:tcPr>
          <w:p>
            <w:pPr>
              <w:pStyle w:val="63"/>
            </w:pPr>
            <w:r>
              <w:t>27.015925</w:t>
            </w:r>
          </w:p>
        </w:tc>
        <w:tc>
          <w:tcPr>
            <w:tcW w:w="285" w:type="pct"/>
            <w:vAlign w:val="center"/>
          </w:tcPr>
          <w:p>
            <w:pPr>
              <w:pStyle w:val="63"/>
            </w:pPr>
            <w:r>
              <w:t>79.00</w:t>
            </w:r>
          </w:p>
        </w:tc>
        <w:tc>
          <w:tcPr>
            <w:tcW w:w="283" w:type="pct"/>
            <w:vAlign w:val="center"/>
          </w:tcPr>
          <w:p>
            <w:pPr>
              <w:pStyle w:val="63"/>
            </w:pPr>
            <w:r>
              <w:t>15.00</w:t>
            </w:r>
          </w:p>
        </w:tc>
        <w:tc>
          <w:tcPr>
            <w:tcW w:w="240" w:type="pct"/>
            <w:vAlign w:val="center"/>
          </w:tcPr>
          <w:p>
            <w:pPr>
              <w:pStyle w:val="63"/>
            </w:pPr>
            <w:r>
              <w:t>0.80</w:t>
            </w:r>
          </w:p>
        </w:tc>
        <w:tc>
          <w:tcPr>
            <w:tcW w:w="283" w:type="pct"/>
            <w:vAlign w:val="center"/>
          </w:tcPr>
          <w:p>
            <w:pPr>
              <w:pStyle w:val="63"/>
            </w:pPr>
            <w:r>
              <w:t>25.00</w:t>
            </w:r>
          </w:p>
        </w:tc>
        <w:tc>
          <w:tcPr>
            <w:tcW w:w="283" w:type="pct"/>
            <w:vAlign w:val="center"/>
          </w:tcPr>
          <w:p>
            <w:pPr>
              <w:pStyle w:val="63"/>
            </w:pPr>
            <w:r>
              <w:t>11.00</w:t>
            </w:r>
          </w:p>
        </w:tc>
        <w:tc>
          <w:tcPr>
            <w:tcW w:w="327" w:type="pct"/>
            <w:vAlign w:val="center"/>
          </w:tcPr>
          <w:p>
            <w:pPr>
              <w:pStyle w:val="63"/>
            </w:pPr>
            <w:r>
              <w:t>-</w:t>
            </w:r>
          </w:p>
        </w:tc>
        <w:tc>
          <w:tcPr>
            <w:tcW w:w="340" w:type="pct"/>
            <w:vAlign w:val="center"/>
          </w:tcPr>
          <w:p>
            <w:pPr>
              <w:pStyle w:val="63"/>
            </w:pPr>
            <w:r>
              <w:t>-</w:t>
            </w:r>
          </w:p>
        </w:tc>
        <w:tc>
          <w:tcPr>
            <w:tcW w:w="327" w:type="pct"/>
            <w:vAlign w:val="center"/>
          </w:tcPr>
          <w:p>
            <w:pPr>
              <w:pStyle w:val="63"/>
            </w:pPr>
            <w:r>
              <w:t>-</w:t>
            </w:r>
          </w:p>
        </w:tc>
        <w:tc>
          <w:tcPr>
            <w:tcW w:w="348" w:type="pct"/>
            <w:vAlign w:val="center"/>
          </w:tcPr>
          <w:p>
            <w:pPr>
              <w:pStyle w:val="63"/>
            </w:pPr>
            <w:r>
              <w:t>1.05</w:t>
            </w:r>
          </w:p>
        </w:tc>
        <w:tc>
          <w:tcPr>
            <w:tcW w:w="327" w:type="pct"/>
            <w:vAlign w:val="center"/>
          </w:tcPr>
          <w:p>
            <w:pPr>
              <w:pStyle w:val="63"/>
            </w:pPr>
            <w:r>
              <w:t>-</w:t>
            </w:r>
          </w:p>
        </w:tc>
        <w:tc>
          <w:tcPr>
            <w:tcW w:w="328" w:type="pct"/>
            <w:vAlign w:val="center"/>
          </w:tcPr>
          <w:p>
            <w:pPr>
              <w:pStyle w:val="63"/>
            </w:pPr>
            <w:r>
              <w:t>0.958</w:t>
            </w:r>
          </w:p>
        </w:tc>
        <w:tc>
          <w:tcPr>
            <w:tcW w:w="322" w:type="pct"/>
            <w:vAlign w:val="center"/>
          </w:tcPr>
          <w:p>
            <w:pPr>
              <w:pStyle w:val="63"/>
            </w:pPr>
            <w: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47" w:type="pct"/>
            <w:vAlign w:val="center"/>
          </w:tcPr>
          <w:p>
            <w:pPr>
              <w:pStyle w:val="63"/>
            </w:pPr>
            <w:r>
              <w:t>P4锅炉</w:t>
            </w:r>
          </w:p>
        </w:tc>
        <w:tc>
          <w:tcPr>
            <w:tcW w:w="499" w:type="pct"/>
            <w:vAlign w:val="center"/>
          </w:tcPr>
          <w:p>
            <w:pPr>
              <w:pStyle w:val="63"/>
            </w:pPr>
            <w:r>
              <w:t>112.803472</w:t>
            </w:r>
          </w:p>
        </w:tc>
        <w:tc>
          <w:tcPr>
            <w:tcW w:w="461" w:type="pct"/>
            <w:vAlign w:val="center"/>
          </w:tcPr>
          <w:p>
            <w:pPr>
              <w:pStyle w:val="63"/>
            </w:pPr>
            <w:r>
              <w:t>27.01351</w:t>
            </w:r>
          </w:p>
        </w:tc>
        <w:tc>
          <w:tcPr>
            <w:tcW w:w="285" w:type="pct"/>
            <w:vAlign w:val="center"/>
          </w:tcPr>
          <w:p>
            <w:pPr>
              <w:pStyle w:val="63"/>
            </w:pPr>
            <w:r>
              <w:t>84.00</w:t>
            </w:r>
          </w:p>
        </w:tc>
        <w:tc>
          <w:tcPr>
            <w:tcW w:w="283" w:type="pct"/>
            <w:vAlign w:val="center"/>
          </w:tcPr>
          <w:p>
            <w:pPr>
              <w:pStyle w:val="63"/>
            </w:pPr>
            <w:r>
              <w:t>40.00</w:t>
            </w:r>
          </w:p>
        </w:tc>
        <w:tc>
          <w:tcPr>
            <w:tcW w:w="240" w:type="pct"/>
            <w:vAlign w:val="center"/>
          </w:tcPr>
          <w:p>
            <w:pPr>
              <w:pStyle w:val="63"/>
            </w:pPr>
            <w:r>
              <w:t>0.80</w:t>
            </w:r>
          </w:p>
        </w:tc>
        <w:tc>
          <w:tcPr>
            <w:tcW w:w="283" w:type="pct"/>
            <w:vAlign w:val="center"/>
          </w:tcPr>
          <w:p>
            <w:pPr>
              <w:pStyle w:val="63"/>
            </w:pPr>
            <w:r>
              <w:t>75.00</w:t>
            </w:r>
          </w:p>
        </w:tc>
        <w:tc>
          <w:tcPr>
            <w:tcW w:w="283" w:type="pct"/>
            <w:vAlign w:val="center"/>
          </w:tcPr>
          <w:p>
            <w:pPr>
              <w:pStyle w:val="63"/>
            </w:pPr>
            <w:r>
              <w:t>11.00</w:t>
            </w:r>
          </w:p>
        </w:tc>
        <w:tc>
          <w:tcPr>
            <w:tcW w:w="327" w:type="pct"/>
            <w:vAlign w:val="center"/>
          </w:tcPr>
          <w:p>
            <w:pPr>
              <w:pStyle w:val="63"/>
            </w:pPr>
            <w:r>
              <w:rPr>
                <w:szCs w:val="21"/>
              </w:rPr>
              <w:t>2.75</w:t>
            </w:r>
          </w:p>
        </w:tc>
        <w:tc>
          <w:tcPr>
            <w:tcW w:w="340" w:type="pct"/>
            <w:vAlign w:val="center"/>
          </w:tcPr>
          <w:p>
            <w:pPr>
              <w:pStyle w:val="63"/>
            </w:pPr>
            <w:r>
              <w:t>-</w:t>
            </w:r>
          </w:p>
        </w:tc>
        <w:tc>
          <w:tcPr>
            <w:tcW w:w="327" w:type="pct"/>
            <w:vAlign w:val="center"/>
          </w:tcPr>
          <w:p>
            <w:pPr>
              <w:pStyle w:val="63"/>
            </w:pPr>
            <w:r>
              <w:t>-</w:t>
            </w:r>
          </w:p>
        </w:tc>
        <w:tc>
          <w:tcPr>
            <w:tcW w:w="348" w:type="pct"/>
            <w:vAlign w:val="center"/>
          </w:tcPr>
          <w:p>
            <w:pPr>
              <w:pStyle w:val="63"/>
            </w:pPr>
            <w:r>
              <w:t>-</w:t>
            </w:r>
          </w:p>
        </w:tc>
        <w:tc>
          <w:tcPr>
            <w:tcW w:w="327" w:type="pct"/>
            <w:vAlign w:val="center"/>
          </w:tcPr>
          <w:p>
            <w:pPr>
              <w:pStyle w:val="63"/>
            </w:pPr>
            <w:r>
              <w:rPr>
                <w:szCs w:val="21"/>
              </w:rPr>
              <w:t>0.147</w:t>
            </w:r>
          </w:p>
        </w:tc>
        <w:tc>
          <w:tcPr>
            <w:tcW w:w="328" w:type="pct"/>
            <w:vAlign w:val="center"/>
          </w:tcPr>
          <w:p>
            <w:pPr>
              <w:pStyle w:val="63"/>
            </w:pPr>
            <w:r>
              <w:t>-</w:t>
            </w:r>
          </w:p>
        </w:tc>
        <w:tc>
          <w:tcPr>
            <w:tcW w:w="322" w:type="pct"/>
            <w:vAlign w:val="center"/>
          </w:tcPr>
          <w:p>
            <w:pPr>
              <w:pStyle w:val="63"/>
            </w:pPr>
            <w:r>
              <w:rPr>
                <w:szCs w:val="21"/>
              </w:rPr>
              <w:t>1.35</w:t>
            </w:r>
          </w:p>
        </w:tc>
      </w:tr>
    </w:tbl>
    <w:p>
      <w:pPr>
        <w:jc w:val="center"/>
        <w:rPr>
          <w:rFonts w:ascii="Times New Roman" w:hAnsi="Times New Roman" w:cs="Times New Roman"/>
          <w:b/>
          <w:bCs/>
          <w:lang w:val="zh-CN"/>
        </w:rPr>
      </w:pPr>
    </w:p>
    <w:p>
      <w:pPr>
        <w:jc w:val="center"/>
        <w:rPr>
          <w:rFonts w:ascii="Times New Roman" w:hAnsi="Times New Roman" w:cs="Times New Roman"/>
          <w:b/>
          <w:kern w:val="0"/>
        </w:rPr>
        <w:sectPr>
          <w:pgSz w:w="16840" w:h="11907" w:orient="landscape"/>
          <w:pgMar w:top="1418" w:right="1418" w:bottom="1418" w:left="1418" w:header="964" w:footer="851" w:gutter="0"/>
          <w:cols w:space="720" w:num="1"/>
          <w:docGrid w:linePitch="326" w:charSpace="200"/>
        </w:sectPr>
      </w:pPr>
    </w:p>
    <w:p>
      <w:pPr>
        <w:pStyle w:val="6"/>
        <w:rPr>
          <w:rFonts w:ascii="Times New Roman" w:hAnsi="Times New Roman" w:cs="Times New Roman"/>
          <w:u w:val="single"/>
          <w:lang w:val="zh-CN"/>
        </w:rPr>
      </w:pPr>
      <w:r>
        <w:rPr>
          <w:rFonts w:ascii="Times New Roman" w:hAnsi="Times New Roman" w:cs="Times New Roman"/>
          <w:u w:val="single"/>
          <w:lang w:val="zh-CN"/>
        </w:rPr>
        <w:t>表</w:t>
      </w:r>
      <w:r>
        <w:rPr>
          <w:rFonts w:ascii="Times New Roman" w:hAnsi="Times New Roman" w:cs="Times New Roman"/>
          <w:u w:val="single"/>
        </w:rPr>
        <w:t>6</w:t>
      </w:r>
      <w:r>
        <w:rPr>
          <w:rFonts w:ascii="Times New Roman" w:hAnsi="Times New Roman" w:cs="Times New Roman"/>
          <w:u w:val="single"/>
          <w:lang w:val="zh-CN"/>
        </w:rPr>
        <w:t>.2.1-1</w:t>
      </w:r>
      <w:r>
        <w:rPr>
          <w:rFonts w:hint="eastAsia" w:ascii="Times New Roman" w:hAnsi="Times New Roman" w:cs="Times New Roman"/>
          <w:u w:val="single"/>
          <w:lang w:val="zh-CN"/>
        </w:rPr>
        <w:t>4</w:t>
      </w:r>
      <w:r>
        <w:rPr>
          <w:rFonts w:ascii="Times New Roman" w:hAnsi="Times New Roman" w:cs="Times New Roman"/>
          <w:u w:val="single"/>
          <w:lang w:val="zh-CN"/>
        </w:rPr>
        <w:t xml:space="preserve">  评价范围内排放同类污染物的在建、拟建项目污染源</w:t>
      </w:r>
    </w:p>
    <w:tbl>
      <w:tblPr>
        <w:tblStyle w:val="35"/>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552"/>
        <w:gridCol w:w="834"/>
        <w:gridCol w:w="5333"/>
        <w:gridCol w:w="1440"/>
        <w:gridCol w:w="1297"/>
        <w:gridCol w:w="1204"/>
        <w:gridCol w:w="1350"/>
        <w:gridCol w:w="1154"/>
        <w:gridCol w:w="87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197" w:type="pct"/>
            <w:vMerge w:val="restart"/>
            <w:vAlign w:val="center"/>
          </w:tcPr>
          <w:p>
            <w:pPr>
              <w:pStyle w:val="63"/>
              <w:rPr>
                <w:u w:val="single"/>
              </w:rPr>
            </w:pPr>
            <w:r>
              <w:rPr>
                <w:u w:val="single"/>
              </w:rPr>
              <w:t>序号</w:t>
            </w:r>
          </w:p>
        </w:tc>
        <w:tc>
          <w:tcPr>
            <w:tcW w:w="297" w:type="pct"/>
            <w:vMerge w:val="restart"/>
            <w:vAlign w:val="center"/>
          </w:tcPr>
          <w:p>
            <w:pPr>
              <w:pStyle w:val="63"/>
              <w:rPr>
                <w:u w:val="single"/>
              </w:rPr>
            </w:pPr>
            <w:r>
              <w:rPr>
                <w:u w:val="single"/>
              </w:rPr>
              <w:t>类型</w:t>
            </w:r>
          </w:p>
        </w:tc>
        <w:tc>
          <w:tcPr>
            <w:tcW w:w="1900" w:type="pct"/>
            <w:vMerge w:val="restart"/>
            <w:vAlign w:val="center"/>
          </w:tcPr>
          <w:p>
            <w:pPr>
              <w:pStyle w:val="63"/>
              <w:rPr>
                <w:u w:val="single"/>
              </w:rPr>
            </w:pPr>
            <w:r>
              <w:rPr>
                <w:u w:val="single"/>
              </w:rPr>
              <w:t>污染源名称</w:t>
            </w:r>
          </w:p>
        </w:tc>
        <w:tc>
          <w:tcPr>
            <w:tcW w:w="975" w:type="pct"/>
            <w:gridSpan w:val="2"/>
            <w:vAlign w:val="center"/>
          </w:tcPr>
          <w:p>
            <w:pPr>
              <w:pStyle w:val="63"/>
              <w:rPr>
                <w:u w:val="single"/>
              </w:rPr>
            </w:pPr>
            <w:r>
              <w:rPr>
                <w:u w:val="single"/>
              </w:rPr>
              <w:t>排气筒</w:t>
            </w:r>
          </w:p>
        </w:tc>
        <w:tc>
          <w:tcPr>
            <w:tcW w:w="429" w:type="pct"/>
            <w:vAlign w:val="center"/>
          </w:tcPr>
          <w:p>
            <w:pPr>
              <w:pStyle w:val="63"/>
              <w:rPr>
                <w:u w:val="single"/>
              </w:rPr>
            </w:pPr>
            <w:r>
              <w:rPr>
                <w:u w:val="single"/>
              </w:rPr>
              <w:t>烟气</w:t>
            </w:r>
          </w:p>
        </w:tc>
        <w:tc>
          <w:tcPr>
            <w:tcW w:w="481" w:type="pct"/>
            <w:vAlign w:val="center"/>
          </w:tcPr>
          <w:p>
            <w:pPr>
              <w:pStyle w:val="63"/>
              <w:rPr>
                <w:u w:val="single"/>
              </w:rPr>
            </w:pPr>
            <w:r>
              <w:rPr>
                <w:u w:val="single"/>
              </w:rPr>
              <w:t>烟气(m</w:t>
            </w:r>
            <w:r>
              <w:rPr>
                <w:u w:val="single"/>
                <w:vertAlign w:val="superscript"/>
              </w:rPr>
              <w:t>3</w:t>
            </w:r>
            <w:r>
              <w:rPr>
                <w:u w:val="single"/>
              </w:rPr>
              <w:t>/h)</w:t>
            </w:r>
          </w:p>
        </w:tc>
        <w:tc>
          <w:tcPr>
            <w:tcW w:w="721" w:type="pct"/>
            <w:gridSpan w:val="2"/>
            <w:vAlign w:val="center"/>
          </w:tcPr>
          <w:p>
            <w:pPr>
              <w:pStyle w:val="63"/>
              <w:rPr>
                <w:u w:val="single"/>
              </w:rPr>
            </w:pPr>
            <w:r>
              <w:rPr>
                <w:u w:val="single"/>
              </w:rPr>
              <w:t>排放速率（</w:t>
            </w:r>
            <w:r>
              <w:rPr>
                <w:spacing w:val="1"/>
                <w:u w:val="single"/>
              </w:rPr>
              <w:t>kg</w:t>
            </w:r>
            <w:r>
              <w:rPr>
                <w:spacing w:val="-1"/>
                <w:u w:val="single"/>
              </w:rPr>
              <w:t>/</w:t>
            </w:r>
            <w:r>
              <w:rPr>
                <w:spacing w:val="1"/>
                <w:u w:val="single"/>
              </w:rPr>
              <w:t>h</w:t>
            </w:r>
            <w:r>
              <w:rPr>
                <w:u w:val="single"/>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197" w:type="pct"/>
            <w:vMerge w:val="continue"/>
            <w:vAlign w:val="center"/>
          </w:tcPr>
          <w:p>
            <w:pPr>
              <w:pStyle w:val="63"/>
              <w:rPr>
                <w:u w:val="single"/>
              </w:rPr>
            </w:pPr>
          </w:p>
        </w:tc>
        <w:tc>
          <w:tcPr>
            <w:tcW w:w="297" w:type="pct"/>
            <w:vMerge w:val="continue"/>
            <w:vAlign w:val="center"/>
          </w:tcPr>
          <w:p>
            <w:pPr>
              <w:pStyle w:val="63"/>
              <w:rPr>
                <w:u w:val="single"/>
              </w:rPr>
            </w:pPr>
          </w:p>
        </w:tc>
        <w:tc>
          <w:tcPr>
            <w:tcW w:w="1900" w:type="pct"/>
            <w:vMerge w:val="continue"/>
            <w:vAlign w:val="center"/>
          </w:tcPr>
          <w:p>
            <w:pPr>
              <w:pStyle w:val="63"/>
              <w:rPr>
                <w:u w:val="single"/>
              </w:rPr>
            </w:pPr>
          </w:p>
        </w:tc>
        <w:tc>
          <w:tcPr>
            <w:tcW w:w="513" w:type="pct"/>
            <w:vAlign w:val="center"/>
          </w:tcPr>
          <w:p>
            <w:pPr>
              <w:pStyle w:val="63"/>
              <w:rPr>
                <w:u w:val="single"/>
              </w:rPr>
            </w:pPr>
            <w:r>
              <w:rPr>
                <w:u w:val="single"/>
              </w:rPr>
              <w:t>高度</w:t>
            </w:r>
            <w:r>
              <w:rPr>
                <w:spacing w:val="1"/>
                <w:u w:val="single"/>
              </w:rPr>
              <w:t>（m）</w:t>
            </w:r>
          </w:p>
        </w:tc>
        <w:tc>
          <w:tcPr>
            <w:tcW w:w="462" w:type="pct"/>
            <w:vAlign w:val="center"/>
          </w:tcPr>
          <w:p>
            <w:pPr>
              <w:pStyle w:val="63"/>
              <w:rPr>
                <w:u w:val="single"/>
              </w:rPr>
            </w:pPr>
            <w:r>
              <w:rPr>
                <w:u w:val="single"/>
              </w:rPr>
              <w:t>内径</w:t>
            </w:r>
            <w:r>
              <w:rPr>
                <w:spacing w:val="1"/>
                <w:u w:val="single"/>
              </w:rPr>
              <w:t>（m）</w:t>
            </w:r>
          </w:p>
        </w:tc>
        <w:tc>
          <w:tcPr>
            <w:tcW w:w="429" w:type="pct"/>
            <w:vAlign w:val="center"/>
          </w:tcPr>
          <w:p>
            <w:pPr>
              <w:pStyle w:val="63"/>
              <w:rPr>
                <w:u w:val="single"/>
              </w:rPr>
            </w:pPr>
            <w:r>
              <w:rPr>
                <w:u w:val="single"/>
              </w:rPr>
              <w:t>温度</w:t>
            </w:r>
            <w:r>
              <w:rPr>
                <w:spacing w:val="1"/>
                <w:u w:val="single"/>
              </w:rPr>
              <w:t>（</w:t>
            </w:r>
            <w:r>
              <w:rPr>
                <w:rFonts w:hint="eastAsia" w:ascii="宋体" w:hAnsi="宋体" w:eastAsia="宋体" w:cs="宋体"/>
                <w:u w:val="single"/>
              </w:rPr>
              <w:t>℃</w:t>
            </w:r>
            <w:r>
              <w:rPr>
                <w:spacing w:val="1"/>
                <w:u w:val="single"/>
              </w:rPr>
              <w:t>）</w:t>
            </w:r>
          </w:p>
        </w:tc>
        <w:tc>
          <w:tcPr>
            <w:tcW w:w="481" w:type="pct"/>
            <w:vAlign w:val="center"/>
          </w:tcPr>
          <w:p>
            <w:pPr>
              <w:pStyle w:val="63"/>
              <w:rPr>
                <w:u w:val="single"/>
              </w:rPr>
            </w:pPr>
            <w:r>
              <w:rPr>
                <w:u w:val="single"/>
              </w:rPr>
              <w:t>排气量</w:t>
            </w:r>
          </w:p>
        </w:tc>
        <w:tc>
          <w:tcPr>
            <w:tcW w:w="411" w:type="pct"/>
            <w:vAlign w:val="center"/>
          </w:tcPr>
          <w:p>
            <w:pPr>
              <w:pStyle w:val="63"/>
              <w:rPr>
                <w:u w:val="single"/>
              </w:rPr>
            </w:pPr>
            <w:r>
              <w:rPr>
                <w:u w:val="single"/>
              </w:rPr>
              <w:t>PM</w:t>
            </w:r>
            <w:r>
              <w:rPr>
                <w:u w:val="single"/>
                <w:vertAlign w:val="subscript"/>
              </w:rPr>
              <w:t>10</w:t>
            </w:r>
          </w:p>
        </w:tc>
        <w:tc>
          <w:tcPr>
            <w:tcW w:w="310" w:type="pct"/>
            <w:vAlign w:val="center"/>
          </w:tcPr>
          <w:p>
            <w:pPr>
              <w:pStyle w:val="63"/>
              <w:rPr>
                <w:u w:val="single"/>
              </w:rPr>
            </w:pPr>
            <w:r>
              <w:rPr>
                <w:u w:val="single"/>
              </w:rPr>
              <w:t>PM</w:t>
            </w:r>
            <w:r>
              <w:rPr>
                <w:u w:val="single"/>
                <w:vertAlign w:val="subscript"/>
              </w:rPr>
              <w:t>2.5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197" w:type="pct"/>
            <w:vAlign w:val="center"/>
          </w:tcPr>
          <w:p>
            <w:pPr>
              <w:pStyle w:val="63"/>
              <w:rPr>
                <w:u w:val="single"/>
              </w:rPr>
            </w:pPr>
            <w:r>
              <w:rPr>
                <w:u w:val="single"/>
              </w:rPr>
              <w:t>1</w:t>
            </w:r>
          </w:p>
        </w:tc>
        <w:tc>
          <w:tcPr>
            <w:tcW w:w="297" w:type="pct"/>
            <w:vMerge w:val="restart"/>
            <w:vAlign w:val="center"/>
          </w:tcPr>
          <w:p>
            <w:pPr>
              <w:pStyle w:val="63"/>
              <w:rPr>
                <w:u w:val="single"/>
              </w:rPr>
            </w:pPr>
            <w:r>
              <w:rPr>
                <w:u w:val="single"/>
              </w:rPr>
              <w:t>点源</w:t>
            </w:r>
          </w:p>
        </w:tc>
        <w:tc>
          <w:tcPr>
            <w:tcW w:w="1900" w:type="pct"/>
            <w:vAlign w:val="center"/>
          </w:tcPr>
          <w:p>
            <w:pPr>
              <w:pStyle w:val="63"/>
              <w:rPr>
                <w:u w:val="single"/>
              </w:rPr>
            </w:pPr>
            <w:r>
              <w:rPr>
                <w:u w:val="single"/>
              </w:rPr>
              <w:t>南东有色公司锅炉烟气</w:t>
            </w:r>
          </w:p>
        </w:tc>
        <w:tc>
          <w:tcPr>
            <w:tcW w:w="513" w:type="pct"/>
            <w:vAlign w:val="center"/>
          </w:tcPr>
          <w:p>
            <w:pPr>
              <w:pStyle w:val="63"/>
              <w:rPr>
                <w:u w:val="single"/>
              </w:rPr>
            </w:pPr>
            <w:r>
              <w:rPr>
                <w:u w:val="single"/>
              </w:rPr>
              <w:t>40</w:t>
            </w:r>
          </w:p>
        </w:tc>
        <w:tc>
          <w:tcPr>
            <w:tcW w:w="462" w:type="pct"/>
            <w:vAlign w:val="center"/>
          </w:tcPr>
          <w:p>
            <w:pPr>
              <w:pStyle w:val="63"/>
              <w:rPr>
                <w:u w:val="single"/>
              </w:rPr>
            </w:pPr>
            <w:r>
              <w:rPr>
                <w:u w:val="single"/>
              </w:rPr>
              <w:t>0.4</w:t>
            </w:r>
          </w:p>
        </w:tc>
        <w:tc>
          <w:tcPr>
            <w:tcW w:w="429" w:type="pct"/>
            <w:vAlign w:val="center"/>
          </w:tcPr>
          <w:p>
            <w:pPr>
              <w:pStyle w:val="63"/>
              <w:rPr>
                <w:u w:val="single"/>
              </w:rPr>
            </w:pPr>
            <w:r>
              <w:rPr>
                <w:u w:val="single"/>
              </w:rPr>
              <w:t>60</w:t>
            </w:r>
          </w:p>
        </w:tc>
        <w:tc>
          <w:tcPr>
            <w:tcW w:w="481" w:type="pct"/>
            <w:vAlign w:val="center"/>
          </w:tcPr>
          <w:p>
            <w:pPr>
              <w:pStyle w:val="63"/>
              <w:rPr>
                <w:u w:val="single"/>
              </w:rPr>
            </w:pPr>
            <w:r>
              <w:rPr>
                <w:u w:val="single"/>
              </w:rPr>
              <w:t>12316</w:t>
            </w:r>
          </w:p>
        </w:tc>
        <w:tc>
          <w:tcPr>
            <w:tcW w:w="411" w:type="pct"/>
            <w:vAlign w:val="center"/>
          </w:tcPr>
          <w:p>
            <w:pPr>
              <w:pStyle w:val="63"/>
              <w:rPr>
                <w:u w:val="single"/>
              </w:rPr>
            </w:pPr>
            <w:r>
              <w:rPr>
                <w:u w:val="single"/>
              </w:rPr>
              <w:t>0.297</w:t>
            </w:r>
          </w:p>
        </w:tc>
        <w:tc>
          <w:tcPr>
            <w:tcW w:w="310" w:type="pct"/>
            <w:vAlign w:val="center"/>
          </w:tcPr>
          <w:p>
            <w:pPr>
              <w:pStyle w:val="63"/>
              <w:rPr>
                <w:u w:val="single"/>
              </w:rPr>
            </w:pPr>
            <w:r>
              <w:rPr>
                <w:u w:val="single"/>
              </w:rPr>
              <w:t>0.1485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197" w:type="pct"/>
            <w:vAlign w:val="center"/>
          </w:tcPr>
          <w:p>
            <w:pPr>
              <w:pStyle w:val="63"/>
              <w:rPr>
                <w:u w:val="single"/>
              </w:rPr>
            </w:pPr>
            <w:r>
              <w:rPr>
                <w:u w:val="single"/>
              </w:rPr>
              <w:t>2</w:t>
            </w:r>
          </w:p>
        </w:tc>
        <w:tc>
          <w:tcPr>
            <w:tcW w:w="297" w:type="pct"/>
            <w:vMerge w:val="continue"/>
            <w:vAlign w:val="center"/>
          </w:tcPr>
          <w:p>
            <w:pPr>
              <w:pStyle w:val="63"/>
              <w:rPr>
                <w:u w:val="single"/>
              </w:rPr>
            </w:pPr>
          </w:p>
        </w:tc>
        <w:tc>
          <w:tcPr>
            <w:tcW w:w="1900" w:type="pct"/>
            <w:vAlign w:val="center"/>
          </w:tcPr>
          <w:p>
            <w:pPr>
              <w:pStyle w:val="63"/>
              <w:rPr>
                <w:u w:val="single"/>
              </w:rPr>
            </w:pPr>
            <w:r>
              <w:rPr>
                <w:u w:val="single"/>
              </w:rPr>
              <w:t>南东有色公司废钨氧化焙烧回转窑烟气</w:t>
            </w:r>
          </w:p>
        </w:tc>
        <w:tc>
          <w:tcPr>
            <w:tcW w:w="513" w:type="pct"/>
            <w:vAlign w:val="center"/>
          </w:tcPr>
          <w:p>
            <w:pPr>
              <w:pStyle w:val="63"/>
              <w:rPr>
                <w:u w:val="single"/>
              </w:rPr>
            </w:pPr>
            <w:r>
              <w:rPr>
                <w:u w:val="single"/>
              </w:rPr>
              <w:t>15</w:t>
            </w:r>
          </w:p>
        </w:tc>
        <w:tc>
          <w:tcPr>
            <w:tcW w:w="462" w:type="pct"/>
            <w:vAlign w:val="center"/>
          </w:tcPr>
          <w:p>
            <w:pPr>
              <w:pStyle w:val="63"/>
              <w:rPr>
                <w:spacing w:val="1"/>
                <w:u w:val="single"/>
              </w:rPr>
            </w:pPr>
            <w:r>
              <w:rPr>
                <w:u w:val="single"/>
              </w:rPr>
              <w:t>0.2</w:t>
            </w:r>
          </w:p>
        </w:tc>
        <w:tc>
          <w:tcPr>
            <w:tcW w:w="429" w:type="pct"/>
            <w:vAlign w:val="center"/>
          </w:tcPr>
          <w:p>
            <w:pPr>
              <w:pStyle w:val="63"/>
              <w:rPr>
                <w:spacing w:val="1"/>
                <w:u w:val="single"/>
              </w:rPr>
            </w:pPr>
            <w:r>
              <w:rPr>
                <w:spacing w:val="1"/>
                <w:u w:val="single"/>
              </w:rPr>
              <w:t>20</w:t>
            </w:r>
          </w:p>
        </w:tc>
        <w:tc>
          <w:tcPr>
            <w:tcW w:w="481" w:type="pct"/>
            <w:vAlign w:val="center"/>
          </w:tcPr>
          <w:p>
            <w:pPr>
              <w:pStyle w:val="63"/>
              <w:rPr>
                <w:u w:val="single"/>
              </w:rPr>
            </w:pPr>
            <w:r>
              <w:rPr>
                <w:u w:val="single"/>
              </w:rPr>
              <w:t>500</w:t>
            </w:r>
          </w:p>
        </w:tc>
        <w:tc>
          <w:tcPr>
            <w:tcW w:w="411" w:type="pct"/>
            <w:vAlign w:val="center"/>
          </w:tcPr>
          <w:p>
            <w:pPr>
              <w:pStyle w:val="63"/>
              <w:rPr>
                <w:u w:val="single"/>
              </w:rPr>
            </w:pPr>
            <w:r>
              <w:rPr>
                <w:u w:val="single"/>
              </w:rPr>
              <w:t>0.0139</w:t>
            </w:r>
          </w:p>
        </w:tc>
        <w:tc>
          <w:tcPr>
            <w:tcW w:w="310" w:type="pct"/>
            <w:vAlign w:val="center"/>
          </w:tcPr>
          <w:p>
            <w:pPr>
              <w:pStyle w:val="63"/>
              <w:rPr>
                <w:u w:val="single"/>
              </w:rPr>
            </w:pPr>
            <w:r>
              <w:rPr>
                <w:u w:val="single"/>
              </w:rPr>
              <w:t>0.00695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197" w:type="pct"/>
            <w:vAlign w:val="center"/>
          </w:tcPr>
          <w:p>
            <w:pPr>
              <w:pStyle w:val="63"/>
              <w:rPr>
                <w:u w:val="single"/>
              </w:rPr>
            </w:pPr>
            <w:r>
              <w:rPr>
                <w:u w:val="single"/>
              </w:rPr>
              <w:t>4</w:t>
            </w:r>
          </w:p>
        </w:tc>
        <w:tc>
          <w:tcPr>
            <w:tcW w:w="297" w:type="pct"/>
            <w:vMerge w:val="continue"/>
            <w:vAlign w:val="center"/>
          </w:tcPr>
          <w:p>
            <w:pPr>
              <w:pStyle w:val="63"/>
              <w:rPr>
                <w:u w:val="single"/>
              </w:rPr>
            </w:pPr>
          </w:p>
        </w:tc>
        <w:tc>
          <w:tcPr>
            <w:tcW w:w="1900" w:type="pct"/>
            <w:vAlign w:val="center"/>
          </w:tcPr>
          <w:p>
            <w:pPr>
              <w:pStyle w:val="63"/>
              <w:rPr>
                <w:u w:val="single"/>
              </w:rPr>
            </w:pPr>
            <w:r>
              <w:rPr>
                <w:u w:val="single"/>
              </w:rPr>
              <w:t>汇中再生资源公司P1破碎废气</w:t>
            </w:r>
          </w:p>
        </w:tc>
        <w:tc>
          <w:tcPr>
            <w:tcW w:w="513" w:type="pct"/>
            <w:vAlign w:val="center"/>
          </w:tcPr>
          <w:p>
            <w:pPr>
              <w:pStyle w:val="63"/>
              <w:rPr>
                <w:u w:val="single"/>
              </w:rPr>
            </w:pPr>
            <w:r>
              <w:rPr>
                <w:u w:val="single"/>
              </w:rPr>
              <w:t>15</w:t>
            </w:r>
          </w:p>
        </w:tc>
        <w:tc>
          <w:tcPr>
            <w:tcW w:w="462" w:type="pct"/>
            <w:vAlign w:val="center"/>
          </w:tcPr>
          <w:p>
            <w:pPr>
              <w:pStyle w:val="63"/>
              <w:rPr>
                <w:spacing w:val="1"/>
                <w:u w:val="single"/>
              </w:rPr>
            </w:pPr>
            <w:r>
              <w:rPr>
                <w:spacing w:val="1"/>
                <w:u w:val="single"/>
              </w:rPr>
              <w:t>0.5</w:t>
            </w:r>
          </w:p>
        </w:tc>
        <w:tc>
          <w:tcPr>
            <w:tcW w:w="429" w:type="pct"/>
            <w:vAlign w:val="center"/>
          </w:tcPr>
          <w:p>
            <w:pPr>
              <w:pStyle w:val="63"/>
              <w:rPr>
                <w:spacing w:val="1"/>
                <w:u w:val="single"/>
              </w:rPr>
            </w:pPr>
            <w:r>
              <w:rPr>
                <w:spacing w:val="1"/>
                <w:u w:val="single"/>
              </w:rPr>
              <w:t>25</w:t>
            </w:r>
          </w:p>
        </w:tc>
        <w:tc>
          <w:tcPr>
            <w:tcW w:w="481" w:type="pct"/>
            <w:vAlign w:val="center"/>
          </w:tcPr>
          <w:p>
            <w:pPr>
              <w:pStyle w:val="63"/>
              <w:rPr>
                <w:u w:val="single"/>
              </w:rPr>
            </w:pPr>
            <w:r>
              <w:rPr>
                <w:u w:val="single"/>
              </w:rPr>
              <w:t>8000</w:t>
            </w:r>
          </w:p>
        </w:tc>
        <w:tc>
          <w:tcPr>
            <w:tcW w:w="411" w:type="pct"/>
            <w:vAlign w:val="center"/>
          </w:tcPr>
          <w:p>
            <w:pPr>
              <w:pStyle w:val="63"/>
              <w:rPr>
                <w:u w:val="single"/>
              </w:rPr>
            </w:pPr>
            <w:r>
              <w:rPr>
                <w:u w:val="single"/>
              </w:rPr>
              <w:t>0.0162</w:t>
            </w:r>
          </w:p>
        </w:tc>
        <w:tc>
          <w:tcPr>
            <w:tcW w:w="310" w:type="pct"/>
            <w:vAlign w:val="center"/>
          </w:tcPr>
          <w:p>
            <w:pPr>
              <w:pStyle w:val="63"/>
              <w:rPr>
                <w:u w:val="single"/>
              </w:rPr>
            </w:pPr>
            <w:r>
              <w:rPr>
                <w:u w:val="single"/>
              </w:rPr>
              <w:t>0.0081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197" w:type="pct"/>
            <w:vAlign w:val="center"/>
          </w:tcPr>
          <w:p>
            <w:pPr>
              <w:pStyle w:val="63"/>
              <w:rPr>
                <w:u w:val="single"/>
              </w:rPr>
            </w:pPr>
            <w:r>
              <w:rPr>
                <w:u w:val="single"/>
              </w:rPr>
              <w:t>5</w:t>
            </w:r>
          </w:p>
        </w:tc>
        <w:tc>
          <w:tcPr>
            <w:tcW w:w="297" w:type="pct"/>
            <w:vMerge w:val="continue"/>
            <w:vAlign w:val="center"/>
          </w:tcPr>
          <w:p>
            <w:pPr>
              <w:pStyle w:val="63"/>
              <w:rPr>
                <w:u w:val="single"/>
              </w:rPr>
            </w:pPr>
          </w:p>
        </w:tc>
        <w:tc>
          <w:tcPr>
            <w:tcW w:w="1900" w:type="pct"/>
            <w:vAlign w:val="center"/>
          </w:tcPr>
          <w:p>
            <w:pPr>
              <w:pStyle w:val="63"/>
              <w:rPr>
                <w:u w:val="single"/>
              </w:rPr>
            </w:pPr>
            <w:r>
              <w:rPr>
                <w:u w:val="single"/>
              </w:rPr>
              <w:t>汇中再生资源公司P3冶炼废气</w:t>
            </w:r>
          </w:p>
        </w:tc>
        <w:tc>
          <w:tcPr>
            <w:tcW w:w="513" w:type="pct"/>
            <w:vAlign w:val="center"/>
          </w:tcPr>
          <w:p>
            <w:pPr>
              <w:pStyle w:val="63"/>
              <w:rPr>
                <w:u w:val="single"/>
              </w:rPr>
            </w:pPr>
            <w:r>
              <w:rPr>
                <w:u w:val="single"/>
              </w:rPr>
              <w:t>40</w:t>
            </w:r>
          </w:p>
        </w:tc>
        <w:tc>
          <w:tcPr>
            <w:tcW w:w="462" w:type="pct"/>
            <w:vAlign w:val="center"/>
          </w:tcPr>
          <w:p>
            <w:pPr>
              <w:pStyle w:val="63"/>
              <w:rPr>
                <w:spacing w:val="1"/>
                <w:u w:val="single"/>
              </w:rPr>
            </w:pPr>
            <w:r>
              <w:rPr>
                <w:spacing w:val="1"/>
                <w:u w:val="single"/>
              </w:rPr>
              <w:t>1.4</w:t>
            </w:r>
          </w:p>
        </w:tc>
        <w:tc>
          <w:tcPr>
            <w:tcW w:w="429" w:type="pct"/>
            <w:vAlign w:val="center"/>
          </w:tcPr>
          <w:p>
            <w:pPr>
              <w:pStyle w:val="63"/>
              <w:rPr>
                <w:spacing w:val="1"/>
                <w:u w:val="single"/>
              </w:rPr>
            </w:pPr>
            <w:r>
              <w:rPr>
                <w:spacing w:val="1"/>
                <w:u w:val="single"/>
              </w:rPr>
              <w:t>30</w:t>
            </w:r>
          </w:p>
        </w:tc>
        <w:tc>
          <w:tcPr>
            <w:tcW w:w="481" w:type="pct"/>
            <w:vAlign w:val="center"/>
          </w:tcPr>
          <w:p>
            <w:pPr>
              <w:pStyle w:val="63"/>
              <w:rPr>
                <w:u w:val="single"/>
              </w:rPr>
            </w:pPr>
            <w:r>
              <w:rPr>
                <w:u w:val="single"/>
              </w:rPr>
              <w:t>80000</w:t>
            </w:r>
          </w:p>
        </w:tc>
        <w:tc>
          <w:tcPr>
            <w:tcW w:w="411" w:type="pct"/>
            <w:vAlign w:val="center"/>
          </w:tcPr>
          <w:p>
            <w:pPr>
              <w:pStyle w:val="63"/>
              <w:rPr>
                <w:u w:val="single"/>
              </w:rPr>
            </w:pPr>
            <w:r>
              <w:rPr>
                <w:u w:val="single"/>
              </w:rPr>
              <w:t>1.1387</w:t>
            </w:r>
          </w:p>
        </w:tc>
        <w:tc>
          <w:tcPr>
            <w:tcW w:w="310" w:type="pct"/>
            <w:vAlign w:val="center"/>
          </w:tcPr>
          <w:p>
            <w:pPr>
              <w:pStyle w:val="63"/>
              <w:rPr>
                <w:u w:val="single"/>
              </w:rPr>
            </w:pPr>
            <w:r>
              <w:rPr>
                <w:u w:val="single"/>
              </w:rPr>
              <w:t>0.56935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197" w:type="pct"/>
            <w:vAlign w:val="center"/>
          </w:tcPr>
          <w:p>
            <w:pPr>
              <w:pStyle w:val="63"/>
              <w:rPr>
                <w:u w:val="single"/>
              </w:rPr>
            </w:pPr>
            <w:r>
              <w:rPr>
                <w:u w:val="single"/>
              </w:rPr>
              <w:t>6</w:t>
            </w:r>
          </w:p>
        </w:tc>
        <w:tc>
          <w:tcPr>
            <w:tcW w:w="297" w:type="pct"/>
            <w:vMerge w:val="continue"/>
            <w:vAlign w:val="center"/>
          </w:tcPr>
          <w:p>
            <w:pPr>
              <w:pStyle w:val="63"/>
              <w:rPr>
                <w:u w:val="single"/>
              </w:rPr>
            </w:pPr>
          </w:p>
        </w:tc>
        <w:tc>
          <w:tcPr>
            <w:tcW w:w="1900" w:type="pct"/>
            <w:vAlign w:val="center"/>
          </w:tcPr>
          <w:p>
            <w:pPr>
              <w:pStyle w:val="63"/>
              <w:rPr>
                <w:u w:val="single"/>
              </w:rPr>
            </w:pPr>
            <w:r>
              <w:rPr>
                <w:u w:val="single"/>
              </w:rPr>
              <w:t>汇中再生资源公司P4电炉放锡口无组织收尘废气</w:t>
            </w:r>
          </w:p>
        </w:tc>
        <w:tc>
          <w:tcPr>
            <w:tcW w:w="513" w:type="pct"/>
            <w:vAlign w:val="center"/>
          </w:tcPr>
          <w:p>
            <w:pPr>
              <w:pStyle w:val="63"/>
              <w:rPr>
                <w:u w:val="single"/>
              </w:rPr>
            </w:pPr>
            <w:r>
              <w:rPr>
                <w:u w:val="single"/>
              </w:rPr>
              <w:t>15</w:t>
            </w:r>
          </w:p>
        </w:tc>
        <w:tc>
          <w:tcPr>
            <w:tcW w:w="462" w:type="pct"/>
            <w:vAlign w:val="center"/>
          </w:tcPr>
          <w:p>
            <w:pPr>
              <w:pStyle w:val="63"/>
              <w:rPr>
                <w:spacing w:val="1"/>
                <w:u w:val="single"/>
              </w:rPr>
            </w:pPr>
            <w:r>
              <w:rPr>
                <w:spacing w:val="1"/>
                <w:u w:val="single"/>
              </w:rPr>
              <w:t>0.8</w:t>
            </w:r>
          </w:p>
        </w:tc>
        <w:tc>
          <w:tcPr>
            <w:tcW w:w="429" w:type="pct"/>
            <w:vAlign w:val="center"/>
          </w:tcPr>
          <w:p>
            <w:pPr>
              <w:pStyle w:val="63"/>
              <w:rPr>
                <w:spacing w:val="1"/>
                <w:u w:val="single"/>
              </w:rPr>
            </w:pPr>
            <w:r>
              <w:rPr>
                <w:spacing w:val="1"/>
                <w:u w:val="single"/>
              </w:rPr>
              <w:t>25</w:t>
            </w:r>
          </w:p>
        </w:tc>
        <w:tc>
          <w:tcPr>
            <w:tcW w:w="481" w:type="pct"/>
            <w:vAlign w:val="center"/>
          </w:tcPr>
          <w:p>
            <w:pPr>
              <w:pStyle w:val="63"/>
              <w:rPr>
                <w:u w:val="single"/>
              </w:rPr>
            </w:pPr>
            <w:r>
              <w:rPr>
                <w:u w:val="single"/>
              </w:rPr>
              <w:t>30000</w:t>
            </w:r>
          </w:p>
        </w:tc>
        <w:tc>
          <w:tcPr>
            <w:tcW w:w="411" w:type="pct"/>
            <w:vAlign w:val="center"/>
          </w:tcPr>
          <w:p>
            <w:pPr>
              <w:pStyle w:val="63"/>
              <w:rPr>
                <w:u w:val="single"/>
              </w:rPr>
            </w:pPr>
            <w:r>
              <w:rPr>
                <w:u w:val="single"/>
              </w:rPr>
              <w:t>0.0355</w:t>
            </w:r>
          </w:p>
        </w:tc>
        <w:tc>
          <w:tcPr>
            <w:tcW w:w="310" w:type="pct"/>
            <w:vAlign w:val="center"/>
          </w:tcPr>
          <w:p>
            <w:pPr>
              <w:pStyle w:val="63"/>
              <w:rPr>
                <w:u w:val="single"/>
              </w:rPr>
            </w:pPr>
            <w:r>
              <w:rPr>
                <w:u w:val="single"/>
              </w:rPr>
              <w:t>0.01775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197" w:type="pct"/>
            <w:vAlign w:val="center"/>
          </w:tcPr>
          <w:p>
            <w:pPr>
              <w:pStyle w:val="63"/>
              <w:rPr>
                <w:u w:val="single"/>
              </w:rPr>
            </w:pPr>
            <w:r>
              <w:rPr>
                <w:u w:val="single"/>
              </w:rPr>
              <w:t>7</w:t>
            </w:r>
          </w:p>
        </w:tc>
        <w:tc>
          <w:tcPr>
            <w:tcW w:w="297" w:type="pct"/>
            <w:vMerge w:val="continue"/>
            <w:vAlign w:val="center"/>
          </w:tcPr>
          <w:p>
            <w:pPr>
              <w:pStyle w:val="63"/>
              <w:rPr>
                <w:u w:val="single"/>
              </w:rPr>
            </w:pPr>
          </w:p>
        </w:tc>
        <w:tc>
          <w:tcPr>
            <w:tcW w:w="1900" w:type="pct"/>
            <w:vAlign w:val="center"/>
          </w:tcPr>
          <w:p>
            <w:pPr>
              <w:pStyle w:val="63"/>
              <w:rPr>
                <w:u w:val="single"/>
              </w:rPr>
            </w:pPr>
            <w:r>
              <w:rPr>
                <w:u w:val="single"/>
              </w:rPr>
              <w:t>汇中再生资源公司P5精炼废气</w:t>
            </w:r>
          </w:p>
        </w:tc>
        <w:tc>
          <w:tcPr>
            <w:tcW w:w="513" w:type="pct"/>
            <w:vAlign w:val="center"/>
          </w:tcPr>
          <w:p>
            <w:pPr>
              <w:pStyle w:val="63"/>
              <w:rPr>
                <w:u w:val="single"/>
              </w:rPr>
            </w:pPr>
            <w:r>
              <w:rPr>
                <w:u w:val="single"/>
              </w:rPr>
              <w:t>30</w:t>
            </w:r>
          </w:p>
        </w:tc>
        <w:tc>
          <w:tcPr>
            <w:tcW w:w="462" w:type="pct"/>
            <w:vAlign w:val="center"/>
          </w:tcPr>
          <w:p>
            <w:pPr>
              <w:pStyle w:val="63"/>
              <w:rPr>
                <w:spacing w:val="1"/>
                <w:u w:val="single"/>
              </w:rPr>
            </w:pPr>
            <w:r>
              <w:rPr>
                <w:spacing w:val="1"/>
                <w:u w:val="single"/>
              </w:rPr>
              <w:t>0.8</w:t>
            </w:r>
          </w:p>
        </w:tc>
        <w:tc>
          <w:tcPr>
            <w:tcW w:w="429" w:type="pct"/>
            <w:vAlign w:val="center"/>
          </w:tcPr>
          <w:p>
            <w:pPr>
              <w:pStyle w:val="63"/>
              <w:rPr>
                <w:spacing w:val="1"/>
                <w:u w:val="single"/>
              </w:rPr>
            </w:pPr>
            <w:r>
              <w:rPr>
                <w:spacing w:val="1"/>
                <w:u w:val="single"/>
              </w:rPr>
              <w:t>25</w:t>
            </w:r>
          </w:p>
        </w:tc>
        <w:tc>
          <w:tcPr>
            <w:tcW w:w="481" w:type="pct"/>
            <w:vAlign w:val="center"/>
          </w:tcPr>
          <w:p>
            <w:pPr>
              <w:pStyle w:val="63"/>
              <w:rPr>
                <w:u w:val="single"/>
              </w:rPr>
            </w:pPr>
            <w:r>
              <w:rPr>
                <w:u w:val="single"/>
              </w:rPr>
              <w:t>30000</w:t>
            </w:r>
          </w:p>
        </w:tc>
        <w:tc>
          <w:tcPr>
            <w:tcW w:w="411" w:type="pct"/>
            <w:vAlign w:val="center"/>
          </w:tcPr>
          <w:p>
            <w:pPr>
              <w:pStyle w:val="63"/>
              <w:rPr>
                <w:u w:val="single"/>
              </w:rPr>
            </w:pPr>
            <w:r>
              <w:rPr>
                <w:u w:val="single"/>
              </w:rPr>
              <w:t>0.01</w:t>
            </w:r>
          </w:p>
        </w:tc>
        <w:tc>
          <w:tcPr>
            <w:tcW w:w="310" w:type="pct"/>
            <w:vAlign w:val="center"/>
          </w:tcPr>
          <w:p>
            <w:pPr>
              <w:pStyle w:val="63"/>
              <w:rPr>
                <w:u w:val="single"/>
              </w:rPr>
            </w:pPr>
            <w:r>
              <w:rPr>
                <w:u w:val="single"/>
              </w:rPr>
              <w:t>0.005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197" w:type="pct"/>
            <w:vAlign w:val="center"/>
          </w:tcPr>
          <w:p>
            <w:pPr>
              <w:pStyle w:val="63"/>
              <w:rPr>
                <w:u w:val="single"/>
              </w:rPr>
            </w:pPr>
            <w:r>
              <w:rPr>
                <w:u w:val="single"/>
              </w:rPr>
              <w:t>8</w:t>
            </w:r>
          </w:p>
        </w:tc>
        <w:tc>
          <w:tcPr>
            <w:tcW w:w="297" w:type="pct"/>
            <w:vMerge w:val="continue"/>
            <w:vAlign w:val="center"/>
          </w:tcPr>
          <w:p>
            <w:pPr>
              <w:pStyle w:val="63"/>
              <w:rPr>
                <w:u w:val="single"/>
              </w:rPr>
            </w:pPr>
          </w:p>
        </w:tc>
        <w:tc>
          <w:tcPr>
            <w:tcW w:w="1900" w:type="pct"/>
            <w:vAlign w:val="center"/>
          </w:tcPr>
          <w:p>
            <w:pPr>
              <w:pStyle w:val="63"/>
              <w:rPr>
                <w:u w:val="single"/>
              </w:rPr>
            </w:pPr>
            <w:r>
              <w:rPr>
                <w:u w:val="single"/>
              </w:rPr>
              <w:t>湘衡化学有限公司纯碱包装楼除尘尾气</w:t>
            </w:r>
          </w:p>
        </w:tc>
        <w:tc>
          <w:tcPr>
            <w:tcW w:w="513" w:type="pct"/>
            <w:vAlign w:val="center"/>
          </w:tcPr>
          <w:p>
            <w:pPr>
              <w:pStyle w:val="63"/>
              <w:rPr>
                <w:u w:val="single"/>
              </w:rPr>
            </w:pPr>
            <w:r>
              <w:rPr>
                <w:color w:val="000000"/>
                <w:szCs w:val="21"/>
                <w:u w:val="single"/>
              </w:rPr>
              <w:t>25</w:t>
            </w:r>
          </w:p>
        </w:tc>
        <w:tc>
          <w:tcPr>
            <w:tcW w:w="462" w:type="pct"/>
            <w:vAlign w:val="center"/>
          </w:tcPr>
          <w:p>
            <w:pPr>
              <w:pStyle w:val="63"/>
              <w:rPr>
                <w:spacing w:val="1"/>
                <w:u w:val="single"/>
              </w:rPr>
            </w:pPr>
            <w:r>
              <w:rPr>
                <w:spacing w:val="1"/>
                <w:u w:val="single"/>
              </w:rPr>
              <w:t>0.15</w:t>
            </w:r>
          </w:p>
        </w:tc>
        <w:tc>
          <w:tcPr>
            <w:tcW w:w="429" w:type="pct"/>
            <w:vAlign w:val="center"/>
          </w:tcPr>
          <w:p>
            <w:pPr>
              <w:pStyle w:val="63"/>
              <w:rPr>
                <w:spacing w:val="1"/>
                <w:u w:val="single"/>
              </w:rPr>
            </w:pPr>
            <w:r>
              <w:rPr>
                <w:spacing w:val="1"/>
                <w:u w:val="single"/>
              </w:rPr>
              <w:t>25</w:t>
            </w:r>
          </w:p>
        </w:tc>
        <w:tc>
          <w:tcPr>
            <w:tcW w:w="481" w:type="pct"/>
            <w:vAlign w:val="center"/>
          </w:tcPr>
          <w:p>
            <w:pPr>
              <w:pStyle w:val="63"/>
              <w:rPr>
                <w:u w:val="single"/>
              </w:rPr>
            </w:pPr>
            <w:r>
              <w:rPr>
                <w:u w:val="single"/>
              </w:rPr>
              <w:t>800</w:t>
            </w:r>
          </w:p>
        </w:tc>
        <w:tc>
          <w:tcPr>
            <w:tcW w:w="411" w:type="pct"/>
            <w:vAlign w:val="center"/>
          </w:tcPr>
          <w:p>
            <w:pPr>
              <w:pStyle w:val="63"/>
              <w:rPr>
                <w:u w:val="single"/>
              </w:rPr>
            </w:pPr>
            <w:r>
              <w:rPr>
                <w:color w:val="000000"/>
                <w:szCs w:val="21"/>
                <w:u w:val="single"/>
              </w:rPr>
              <w:t>0.024</w:t>
            </w:r>
          </w:p>
        </w:tc>
        <w:tc>
          <w:tcPr>
            <w:tcW w:w="310" w:type="pct"/>
            <w:vAlign w:val="center"/>
          </w:tcPr>
          <w:p>
            <w:pPr>
              <w:pStyle w:val="63"/>
              <w:rPr>
                <w:u w:val="single"/>
              </w:rPr>
            </w:pPr>
            <w:r>
              <w:rPr>
                <w:u w:val="single"/>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54" w:hRule="atLeast"/>
        </w:trPr>
        <w:tc>
          <w:tcPr>
            <w:tcW w:w="197" w:type="pct"/>
            <w:vAlign w:val="center"/>
          </w:tcPr>
          <w:p>
            <w:pPr>
              <w:pStyle w:val="63"/>
              <w:rPr>
                <w:u w:val="single"/>
              </w:rPr>
            </w:pPr>
            <w:r>
              <w:rPr>
                <w:u w:val="single"/>
              </w:rPr>
              <w:t>9</w:t>
            </w:r>
          </w:p>
        </w:tc>
        <w:tc>
          <w:tcPr>
            <w:tcW w:w="297" w:type="pct"/>
            <w:vAlign w:val="center"/>
          </w:tcPr>
          <w:p>
            <w:pPr>
              <w:pStyle w:val="63"/>
              <w:rPr>
                <w:u w:val="single"/>
              </w:rPr>
            </w:pPr>
            <w:r>
              <w:rPr>
                <w:u w:val="single"/>
              </w:rPr>
              <w:t>面源</w:t>
            </w:r>
          </w:p>
        </w:tc>
        <w:tc>
          <w:tcPr>
            <w:tcW w:w="1900" w:type="pct"/>
            <w:vAlign w:val="center"/>
          </w:tcPr>
          <w:p>
            <w:pPr>
              <w:pStyle w:val="63"/>
              <w:rPr>
                <w:u w:val="single"/>
              </w:rPr>
            </w:pPr>
            <w:r>
              <w:rPr>
                <w:u w:val="single"/>
              </w:rPr>
              <w:t>东南有色公司APT生产车间</w:t>
            </w:r>
          </w:p>
        </w:tc>
        <w:tc>
          <w:tcPr>
            <w:tcW w:w="1885" w:type="pct"/>
            <w:gridSpan w:val="4"/>
            <w:vAlign w:val="center"/>
          </w:tcPr>
          <w:p>
            <w:pPr>
              <w:pStyle w:val="63"/>
              <w:rPr>
                <w:u w:val="single"/>
              </w:rPr>
            </w:pPr>
            <w:r>
              <w:rPr>
                <w:u w:val="single"/>
              </w:rPr>
              <w:t>长/宽/高：99m×48m×13m</w:t>
            </w:r>
          </w:p>
        </w:tc>
        <w:tc>
          <w:tcPr>
            <w:tcW w:w="411" w:type="pct"/>
            <w:vAlign w:val="center"/>
          </w:tcPr>
          <w:p>
            <w:pPr>
              <w:pStyle w:val="63"/>
              <w:rPr>
                <w:u w:val="single"/>
              </w:rPr>
            </w:pPr>
            <w:r>
              <w:rPr>
                <w:u w:val="single"/>
              </w:rPr>
              <w:t>/</w:t>
            </w:r>
          </w:p>
        </w:tc>
        <w:tc>
          <w:tcPr>
            <w:tcW w:w="310" w:type="pct"/>
            <w:vAlign w:val="center"/>
          </w:tcPr>
          <w:p>
            <w:pPr>
              <w:pStyle w:val="63"/>
              <w:rPr>
                <w:u w:val="single"/>
              </w:rPr>
            </w:pPr>
            <w:r>
              <w:rPr>
                <w:u w:val="single"/>
              </w:rPr>
              <w:t>/</w:t>
            </w:r>
          </w:p>
        </w:tc>
      </w:tr>
    </w:tbl>
    <w:p>
      <w:pPr>
        <w:rPr>
          <w:rFonts w:ascii="Times New Roman" w:hAnsi="Times New Roman" w:cs="Times New Roman"/>
        </w:rPr>
        <w:sectPr>
          <w:pgSz w:w="16840" w:h="11907" w:orient="landscape"/>
          <w:pgMar w:top="1418" w:right="1418" w:bottom="1418" w:left="1418" w:header="964" w:footer="851" w:gutter="0"/>
          <w:cols w:space="720" w:num="1"/>
          <w:docGrid w:linePitch="297" w:charSpace="200"/>
        </w:sectPr>
      </w:pPr>
    </w:p>
    <w:p>
      <w:pPr>
        <w:pStyle w:val="5"/>
        <w:ind w:firstLine="482"/>
        <w:rPr>
          <w:rFonts w:ascii="Times New Roman" w:hAnsi="Times New Roman" w:cs="Times New Roman" w:eastAsiaTheme="minorEastAsia"/>
        </w:rPr>
      </w:pPr>
      <w:r>
        <w:rPr>
          <w:rFonts w:ascii="Times New Roman" w:hAnsi="Times New Roman" w:cs="Times New Roman" w:eastAsiaTheme="minorEastAsia"/>
        </w:rPr>
        <w:t>6.2.1.5 预测及评价内容</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本项目所在区域属于</w:t>
      </w:r>
      <w:r>
        <w:rPr>
          <w:rFonts w:ascii="Times New Roman" w:hAnsi="Times New Roman" w:cs="Times New Roman"/>
          <w:b/>
          <w:bCs/>
        </w:rPr>
        <w:t>空气达标区</w:t>
      </w:r>
      <w:r>
        <w:rPr>
          <w:rFonts w:ascii="Times New Roman" w:hAnsi="Times New Roman" w:cs="Times New Roman"/>
        </w:rPr>
        <w:t>。根据《环境影响评价技术导则－大气环境》（HJ2.2-2018）要求，一级评价需要预测和评价的内容如下：</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（1）项目正常排放条件下，预测环境空气保护目标和网格点主要污染物的短期浓度和长期浓度贡献贡献值，评价其最大浓度占标率；</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（2）项目正常排放条件下，预测评价叠加大气环境质量现状浓度后，环境空气保护目标和网格点主要污染物日平均质量浓度的达标情况；</w:t>
      </w:r>
    </w:p>
    <w:p>
      <w:pPr>
        <w:tabs>
          <w:tab w:val="left" w:pos="3119"/>
        </w:tabs>
        <w:spacing w:line="360" w:lineRule="auto"/>
        <w:ind w:firstLine="480" w:firstLineChars="200"/>
        <w:rPr>
          <w:rFonts w:ascii="Times New Roman" w:hAnsi="Times New Roman" w:cs="Times New Roman"/>
        </w:rPr>
      </w:pPr>
      <w:r>
        <w:rPr>
          <w:rFonts w:ascii="Times New Roman" w:hAnsi="Times New Roman" w:cs="Times New Roman"/>
        </w:rPr>
        <w:t>（3）非正常排放情况，预测环境空气保护目标和网格点主要污染物的1h最大浓度贡献值。</w:t>
      </w:r>
    </w:p>
    <w:p>
      <w:pPr>
        <w:spacing w:line="360" w:lineRule="auto"/>
        <w:ind w:firstLine="480" w:firstLineChars="200"/>
        <w:rPr>
          <w:rFonts w:ascii="Times New Roman" w:hAnsi="Times New Roman" w:cs="Times New Roman"/>
        </w:rPr>
      </w:pPr>
      <w:r>
        <w:rPr>
          <w:rFonts w:ascii="Times New Roman" w:hAnsi="Times New Roman" w:cs="Times New Roman"/>
        </w:rPr>
        <w:t>本次预测情景组合主要见</w:t>
      </w:r>
      <w:r>
        <w:rPr>
          <w:rFonts w:hint="eastAsia" w:ascii="Times New Roman" w:hAnsi="Times New Roman" w:cs="Times New Roman"/>
        </w:rPr>
        <w:t>下表</w:t>
      </w:r>
      <w:r>
        <w:rPr>
          <w:rFonts w:ascii="Times New Roman" w:hAnsi="Times New Roman" w:cs="Times New Roman"/>
        </w:rPr>
        <w:t>。</w:t>
      </w:r>
    </w:p>
    <w:p>
      <w:pPr>
        <w:pStyle w:val="6"/>
        <w:rPr>
          <w:rFonts w:ascii="Times New Roman" w:hAnsi="Times New Roman" w:cs="Times New Roman"/>
          <w:lang w:val="zh-CN"/>
        </w:rPr>
      </w:pPr>
      <w:r>
        <w:rPr>
          <w:rFonts w:ascii="Times New Roman" w:hAnsi="Times New Roman" w:cs="Times New Roman"/>
          <w:lang w:val="zh-CN"/>
        </w:rPr>
        <w:t>表</w:t>
      </w:r>
      <w:r>
        <w:rPr>
          <w:rFonts w:ascii="Times New Roman" w:hAnsi="Times New Roman" w:cs="Times New Roman"/>
        </w:rPr>
        <w:t>6</w:t>
      </w:r>
      <w:r>
        <w:rPr>
          <w:rFonts w:ascii="Times New Roman" w:hAnsi="Times New Roman" w:cs="Times New Roman"/>
          <w:lang w:val="zh-CN"/>
        </w:rPr>
        <w:t>.2.1-1</w:t>
      </w:r>
      <w:r>
        <w:rPr>
          <w:rFonts w:hint="eastAsia" w:ascii="Times New Roman" w:hAnsi="Times New Roman" w:cs="Times New Roman"/>
          <w:lang w:val="zh-CN"/>
        </w:rPr>
        <w:t>5</w:t>
      </w:r>
      <w:r>
        <w:rPr>
          <w:rFonts w:ascii="Times New Roman" w:hAnsi="Times New Roman" w:cs="Times New Roman"/>
          <w:lang w:val="zh-CN"/>
        </w:rPr>
        <w:t xml:space="preserve">  大气环境影响预测及评价内容一览表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00"/>
        <w:gridCol w:w="1559"/>
        <w:gridCol w:w="1559"/>
        <w:gridCol w:w="1419"/>
        <w:gridCol w:w="289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45" w:type="pct"/>
            <w:vAlign w:val="center"/>
          </w:tcPr>
          <w:p>
            <w:pPr>
              <w:pStyle w:val="63"/>
              <w:rPr>
                <w:szCs w:val="21"/>
              </w:rPr>
            </w:pPr>
            <w:r>
              <w:rPr>
                <w:szCs w:val="21"/>
              </w:rPr>
              <w:t>评价对象</w:t>
            </w:r>
          </w:p>
        </w:tc>
        <w:tc>
          <w:tcPr>
            <w:tcW w:w="914" w:type="pct"/>
            <w:vAlign w:val="center"/>
          </w:tcPr>
          <w:p>
            <w:pPr>
              <w:pStyle w:val="63"/>
              <w:rPr>
                <w:szCs w:val="21"/>
              </w:rPr>
            </w:pPr>
            <w:r>
              <w:rPr>
                <w:szCs w:val="21"/>
              </w:rPr>
              <w:t>污染源</w:t>
            </w:r>
          </w:p>
        </w:tc>
        <w:tc>
          <w:tcPr>
            <w:tcW w:w="914" w:type="pct"/>
            <w:vAlign w:val="center"/>
          </w:tcPr>
          <w:p>
            <w:pPr>
              <w:pStyle w:val="63"/>
              <w:rPr>
                <w:szCs w:val="21"/>
              </w:rPr>
            </w:pPr>
            <w:r>
              <w:rPr>
                <w:szCs w:val="21"/>
              </w:rPr>
              <w:t>污染源排放形式</w:t>
            </w:r>
          </w:p>
        </w:tc>
        <w:tc>
          <w:tcPr>
            <w:tcW w:w="832" w:type="pct"/>
            <w:vAlign w:val="center"/>
          </w:tcPr>
          <w:p>
            <w:pPr>
              <w:pStyle w:val="63"/>
              <w:rPr>
                <w:szCs w:val="21"/>
              </w:rPr>
            </w:pPr>
            <w:r>
              <w:rPr>
                <w:szCs w:val="21"/>
              </w:rPr>
              <w:t>预测内容</w:t>
            </w:r>
          </w:p>
        </w:tc>
        <w:tc>
          <w:tcPr>
            <w:tcW w:w="1695" w:type="pct"/>
            <w:vAlign w:val="center"/>
          </w:tcPr>
          <w:p>
            <w:pPr>
              <w:pStyle w:val="63"/>
              <w:rPr>
                <w:szCs w:val="21"/>
              </w:rPr>
            </w:pPr>
            <w:r>
              <w:rPr>
                <w:szCs w:val="21"/>
              </w:rPr>
              <w:t>评价内容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45" w:type="pct"/>
            <w:vMerge w:val="restart"/>
            <w:vAlign w:val="center"/>
          </w:tcPr>
          <w:p>
            <w:pPr>
              <w:pStyle w:val="63"/>
              <w:rPr>
                <w:szCs w:val="21"/>
              </w:rPr>
            </w:pPr>
            <w:r>
              <w:rPr>
                <w:szCs w:val="21"/>
              </w:rPr>
              <w:t>达标区评价项目</w:t>
            </w:r>
          </w:p>
        </w:tc>
        <w:tc>
          <w:tcPr>
            <w:tcW w:w="914" w:type="pct"/>
            <w:vAlign w:val="center"/>
          </w:tcPr>
          <w:p>
            <w:pPr>
              <w:pStyle w:val="63"/>
              <w:rPr>
                <w:szCs w:val="21"/>
              </w:rPr>
            </w:pPr>
            <w:r>
              <w:rPr>
                <w:szCs w:val="21"/>
              </w:rPr>
              <w:t>新增污染源</w:t>
            </w:r>
          </w:p>
        </w:tc>
        <w:tc>
          <w:tcPr>
            <w:tcW w:w="914" w:type="pct"/>
            <w:vAlign w:val="center"/>
          </w:tcPr>
          <w:p>
            <w:pPr>
              <w:pStyle w:val="63"/>
              <w:rPr>
                <w:szCs w:val="21"/>
              </w:rPr>
            </w:pPr>
            <w:r>
              <w:rPr>
                <w:szCs w:val="21"/>
              </w:rPr>
              <w:t>正常排放</w:t>
            </w:r>
          </w:p>
        </w:tc>
        <w:tc>
          <w:tcPr>
            <w:tcW w:w="832" w:type="pct"/>
            <w:vAlign w:val="center"/>
          </w:tcPr>
          <w:p>
            <w:pPr>
              <w:pStyle w:val="63"/>
              <w:rPr>
                <w:szCs w:val="21"/>
              </w:rPr>
            </w:pPr>
            <w:r>
              <w:rPr>
                <w:szCs w:val="21"/>
              </w:rPr>
              <w:t>短期浓度</w:t>
            </w:r>
          </w:p>
          <w:p>
            <w:pPr>
              <w:pStyle w:val="63"/>
              <w:rPr>
                <w:szCs w:val="21"/>
              </w:rPr>
            </w:pPr>
            <w:r>
              <w:rPr>
                <w:szCs w:val="21"/>
              </w:rPr>
              <w:t>长期浓度</w:t>
            </w:r>
          </w:p>
        </w:tc>
        <w:tc>
          <w:tcPr>
            <w:tcW w:w="1695" w:type="pct"/>
            <w:vAlign w:val="center"/>
          </w:tcPr>
          <w:p>
            <w:pPr>
              <w:pStyle w:val="63"/>
              <w:rPr>
                <w:szCs w:val="21"/>
              </w:rPr>
            </w:pPr>
            <w:r>
              <w:rPr>
                <w:szCs w:val="21"/>
              </w:rPr>
              <w:t>最大浓度占标率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45" w:type="pct"/>
            <w:vMerge w:val="continue"/>
            <w:vAlign w:val="center"/>
          </w:tcPr>
          <w:p>
            <w:pPr>
              <w:pStyle w:val="63"/>
              <w:rPr>
                <w:szCs w:val="21"/>
              </w:rPr>
            </w:pPr>
          </w:p>
        </w:tc>
        <w:tc>
          <w:tcPr>
            <w:tcW w:w="914" w:type="pct"/>
            <w:vAlign w:val="center"/>
          </w:tcPr>
          <w:p>
            <w:pPr>
              <w:pStyle w:val="63"/>
              <w:rPr>
                <w:szCs w:val="21"/>
              </w:rPr>
            </w:pPr>
            <w:r>
              <w:rPr>
                <w:szCs w:val="21"/>
              </w:rPr>
              <w:t>新增污染源+其他在建、拟建污染源</w:t>
            </w:r>
          </w:p>
        </w:tc>
        <w:tc>
          <w:tcPr>
            <w:tcW w:w="914" w:type="pct"/>
            <w:vAlign w:val="center"/>
          </w:tcPr>
          <w:p>
            <w:pPr>
              <w:pStyle w:val="63"/>
              <w:rPr>
                <w:szCs w:val="21"/>
              </w:rPr>
            </w:pPr>
            <w:r>
              <w:rPr>
                <w:szCs w:val="21"/>
              </w:rPr>
              <w:t>正常排放</w:t>
            </w:r>
          </w:p>
        </w:tc>
        <w:tc>
          <w:tcPr>
            <w:tcW w:w="832" w:type="pct"/>
            <w:vAlign w:val="center"/>
          </w:tcPr>
          <w:p>
            <w:pPr>
              <w:pStyle w:val="63"/>
              <w:rPr>
                <w:szCs w:val="21"/>
              </w:rPr>
            </w:pPr>
            <w:r>
              <w:rPr>
                <w:szCs w:val="21"/>
              </w:rPr>
              <w:t>短期浓度</w:t>
            </w:r>
          </w:p>
          <w:p>
            <w:pPr>
              <w:pStyle w:val="63"/>
              <w:rPr>
                <w:szCs w:val="21"/>
              </w:rPr>
            </w:pPr>
            <w:r>
              <w:rPr>
                <w:szCs w:val="21"/>
              </w:rPr>
              <w:t>长期浓度</w:t>
            </w:r>
          </w:p>
        </w:tc>
        <w:tc>
          <w:tcPr>
            <w:tcW w:w="1695" w:type="pct"/>
            <w:vAlign w:val="center"/>
          </w:tcPr>
          <w:p>
            <w:pPr>
              <w:pStyle w:val="63"/>
              <w:rPr>
                <w:szCs w:val="21"/>
              </w:rPr>
            </w:pPr>
            <w:r>
              <w:rPr>
                <w:szCs w:val="21"/>
              </w:rPr>
              <w:t>叠加环境质量现状浓度后的保证率日平均质量浓度和年平均质量浓度的占标率，或短期浓度的占标率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45" w:type="pct"/>
            <w:vMerge w:val="continue"/>
            <w:vAlign w:val="center"/>
          </w:tcPr>
          <w:p>
            <w:pPr>
              <w:pStyle w:val="63"/>
              <w:rPr>
                <w:szCs w:val="21"/>
              </w:rPr>
            </w:pPr>
          </w:p>
        </w:tc>
        <w:tc>
          <w:tcPr>
            <w:tcW w:w="914" w:type="pct"/>
            <w:vAlign w:val="center"/>
          </w:tcPr>
          <w:p>
            <w:pPr>
              <w:pStyle w:val="63"/>
              <w:rPr>
                <w:szCs w:val="21"/>
              </w:rPr>
            </w:pPr>
            <w:r>
              <w:rPr>
                <w:szCs w:val="21"/>
              </w:rPr>
              <w:t>新增污染源</w:t>
            </w:r>
          </w:p>
        </w:tc>
        <w:tc>
          <w:tcPr>
            <w:tcW w:w="914" w:type="pct"/>
            <w:vAlign w:val="center"/>
          </w:tcPr>
          <w:p>
            <w:pPr>
              <w:pStyle w:val="63"/>
              <w:rPr>
                <w:szCs w:val="21"/>
              </w:rPr>
            </w:pPr>
            <w:r>
              <w:rPr>
                <w:szCs w:val="21"/>
              </w:rPr>
              <w:t>非正常排放</w:t>
            </w:r>
          </w:p>
        </w:tc>
        <w:tc>
          <w:tcPr>
            <w:tcW w:w="832" w:type="pct"/>
            <w:vAlign w:val="center"/>
          </w:tcPr>
          <w:p>
            <w:pPr>
              <w:pStyle w:val="63"/>
              <w:rPr>
                <w:szCs w:val="21"/>
              </w:rPr>
            </w:pPr>
            <w:r>
              <w:rPr>
                <w:szCs w:val="21"/>
              </w:rPr>
              <w:t>1h平均质量浓度</w:t>
            </w:r>
          </w:p>
        </w:tc>
        <w:tc>
          <w:tcPr>
            <w:tcW w:w="1695" w:type="pct"/>
            <w:vAlign w:val="center"/>
          </w:tcPr>
          <w:p>
            <w:pPr>
              <w:pStyle w:val="63"/>
              <w:rPr>
                <w:szCs w:val="21"/>
              </w:rPr>
            </w:pPr>
            <w:r>
              <w:rPr>
                <w:szCs w:val="21"/>
              </w:rPr>
              <w:t>最大浓度占标率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45" w:type="pct"/>
            <w:vAlign w:val="center"/>
          </w:tcPr>
          <w:p>
            <w:pPr>
              <w:pStyle w:val="63"/>
              <w:rPr>
                <w:rFonts w:eastAsia="宋体"/>
                <w:szCs w:val="21"/>
              </w:rPr>
            </w:pPr>
            <w:r>
              <w:rPr>
                <w:rFonts w:eastAsia="宋体"/>
                <w:szCs w:val="21"/>
              </w:rPr>
              <w:t>大气环境防护距离</w:t>
            </w:r>
          </w:p>
        </w:tc>
        <w:tc>
          <w:tcPr>
            <w:tcW w:w="914" w:type="pct"/>
            <w:vAlign w:val="center"/>
          </w:tcPr>
          <w:p>
            <w:pPr>
              <w:pStyle w:val="63"/>
              <w:rPr>
                <w:rFonts w:eastAsia="宋体"/>
                <w:szCs w:val="21"/>
              </w:rPr>
            </w:pPr>
            <w:r>
              <w:rPr>
                <w:rFonts w:eastAsia="宋体"/>
                <w:szCs w:val="21"/>
              </w:rPr>
              <w:t>新增污染源</w:t>
            </w:r>
          </w:p>
        </w:tc>
        <w:tc>
          <w:tcPr>
            <w:tcW w:w="914" w:type="pct"/>
            <w:vAlign w:val="center"/>
          </w:tcPr>
          <w:p>
            <w:pPr>
              <w:pStyle w:val="63"/>
              <w:rPr>
                <w:rFonts w:eastAsia="宋体"/>
                <w:szCs w:val="21"/>
              </w:rPr>
            </w:pPr>
            <w:r>
              <w:rPr>
                <w:rFonts w:eastAsia="宋体"/>
                <w:szCs w:val="21"/>
              </w:rPr>
              <w:t>正常排放</w:t>
            </w:r>
          </w:p>
        </w:tc>
        <w:tc>
          <w:tcPr>
            <w:tcW w:w="832" w:type="pct"/>
            <w:vAlign w:val="center"/>
          </w:tcPr>
          <w:p>
            <w:pPr>
              <w:pStyle w:val="63"/>
              <w:rPr>
                <w:rFonts w:eastAsia="宋体"/>
                <w:szCs w:val="21"/>
              </w:rPr>
            </w:pPr>
            <w:r>
              <w:rPr>
                <w:rFonts w:eastAsia="宋体"/>
                <w:szCs w:val="21"/>
              </w:rPr>
              <w:t>短期浓度</w:t>
            </w:r>
          </w:p>
        </w:tc>
        <w:tc>
          <w:tcPr>
            <w:tcW w:w="1695" w:type="pct"/>
            <w:vAlign w:val="center"/>
          </w:tcPr>
          <w:p>
            <w:pPr>
              <w:pStyle w:val="63"/>
              <w:rPr>
                <w:rFonts w:eastAsia="宋体"/>
                <w:szCs w:val="21"/>
              </w:rPr>
            </w:pPr>
            <w:r>
              <w:rPr>
                <w:rFonts w:eastAsia="宋体"/>
                <w:szCs w:val="21"/>
              </w:rPr>
              <w:t>大气环境防护距离</w:t>
            </w:r>
          </w:p>
        </w:tc>
      </w:tr>
    </w:tbl>
    <w:p>
      <w:pPr>
        <w:pStyle w:val="5"/>
        <w:ind w:firstLine="482"/>
        <w:rPr>
          <w:rFonts w:ascii="Times New Roman" w:hAnsi="Times New Roman" w:cs="Times New Roman" w:eastAsiaTheme="minorEastAsia"/>
        </w:rPr>
      </w:pPr>
      <w:r>
        <w:rPr>
          <w:rFonts w:ascii="Times New Roman" w:hAnsi="Times New Roman" w:cs="Times New Roman" w:eastAsiaTheme="minorEastAsia"/>
        </w:rPr>
        <w:t>6.2.1.6 区域背景浓度</w:t>
      </w:r>
    </w:p>
    <w:p>
      <w:pPr>
        <w:tabs>
          <w:tab w:val="left" w:pos="1021"/>
        </w:tabs>
        <w:spacing w:line="324" w:lineRule="auto"/>
        <w:ind w:firstLine="480" w:firstLineChars="200"/>
        <w:rPr>
          <w:rFonts w:ascii="Times New Roman" w:hAnsi="Times New Roman" w:cs="Times New Roman"/>
        </w:rPr>
      </w:pPr>
      <w:r>
        <w:rPr>
          <w:rFonts w:ascii="Times New Roman" w:hAnsi="Times New Roman" w:cs="Times New Roman"/>
        </w:rPr>
        <w:t>1、基本污染物背景浓度</w:t>
      </w:r>
    </w:p>
    <w:p>
      <w:pPr>
        <w:tabs>
          <w:tab w:val="left" w:pos="1021"/>
        </w:tabs>
        <w:spacing w:line="324" w:lineRule="auto"/>
        <w:ind w:firstLine="480" w:firstLineChars="200"/>
        <w:rPr>
          <w:rFonts w:ascii="Times New Roman" w:hAnsi="Times New Roman" w:cs="Times New Roman"/>
        </w:rPr>
      </w:pPr>
      <w:r>
        <w:rPr>
          <w:rFonts w:ascii="Times New Roman" w:hAnsi="Times New Roman" w:cs="Times New Roman"/>
          <w:bCs/>
        </w:rPr>
        <w:t>按照《环境影响评价技术导则大气环境》（HJ2.2-2018）的相关规定，本次评价基本污染物背景浓度采用衡东县常规监测点2022年逐日监测浓度。</w:t>
      </w:r>
    </w:p>
    <w:p>
      <w:pPr>
        <w:tabs>
          <w:tab w:val="left" w:pos="1021"/>
        </w:tabs>
        <w:spacing w:line="324" w:lineRule="auto"/>
        <w:ind w:firstLine="480" w:firstLineChars="200"/>
        <w:rPr>
          <w:rFonts w:ascii="Times New Roman" w:hAnsi="Times New Roman" w:cs="Times New Roman"/>
        </w:rPr>
      </w:pPr>
      <w:r>
        <w:rPr>
          <w:rFonts w:ascii="Times New Roman" w:hAnsi="Times New Roman" w:cs="Times New Roman"/>
        </w:rPr>
        <w:t>2、其他污染物背景浓度</w:t>
      </w:r>
    </w:p>
    <w:p>
      <w:pPr>
        <w:tabs>
          <w:tab w:val="left" w:pos="1021"/>
        </w:tabs>
        <w:spacing w:line="360" w:lineRule="auto"/>
        <w:ind w:firstLine="480" w:firstLineChars="200"/>
        <w:rPr>
          <w:rFonts w:ascii="Times New Roman" w:hAnsi="Times New Roman" w:cs="Times New Roman"/>
        </w:rPr>
      </w:pPr>
      <w:r>
        <w:rPr>
          <w:rFonts w:ascii="Times New Roman" w:hAnsi="Times New Roman" w:cs="Times New Roman"/>
        </w:rPr>
        <w:t>本项目排放的特征污染物小时背景浓度采用现状监测浓度中的最大值。</w:t>
      </w:r>
    </w:p>
    <w:p>
      <w:pPr>
        <w:spacing w:line="360" w:lineRule="auto"/>
        <w:ind w:firstLine="480" w:firstLineChars="200"/>
        <w:rPr>
          <w:rFonts w:ascii="Times New Roman" w:hAnsi="Times New Roman" w:cs="Times New Roman"/>
        </w:rPr>
      </w:pPr>
      <w:r>
        <w:rPr>
          <w:rFonts w:ascii="Times New Roman" w:hAnsi="Times New Roman" w:cs="Times New Roman"/>
        </w:rPr>
        <w:t>3、PM</w:t>
      </w:r>
      <w:r>
        <w:rPr>
          <w:rFonts w:ascii="Times New Roman" w:hAnsi="Times New Roman" w:cs="Times New Roman"/>
          <w:vertAlign w:val="subscript"/>
        </w:rPr>
        <w:t>2.5</w:t>
      </w:r>
      <w:r>
        <w:rPr>
          <w:rFonts w:ascii="Times New Roman" w:hAnsi="Times New Roman" w:cs="Times New Roman"/>
        </w:rPr>
        <w:t>预测方法</w:t>
      </w:r>
    </w:p>
    <w:p>
      <w:pPr>
        <w:spacing w:line="360" w:lineRule="auto"/>
        <w:ind w:firstLine="480" w:firstLineChars="200"/>
        <w:rPr>
          <w:rFonts w:ascii="Times New Roman" w:hAnsi="Times New Roman" w:cs="Times New Roman"/>
        </w:rPr>
      </w:pPr>
      <w:r>
        <w:rPr>
          <w:rFonts w:ascii="Times New Roman" w:hAnsi="Times New Roman" w:cs="Times New Roman"/>
        </w:rPr>
        <w:t>本项目SO</w:t>
      </w:r>
      <w:r>
        <w:rPr>
          <w:rFonts w:ascii="Times New Roman" w:hAnsi="Times New Roman" w:cs="Times New Roman"/>
          <w:vertAlign w:val="subscript"/>
        </w:rPr>
        <w:t>2</w:t>
      </w:r>
      <w:r>
        <w:rPr>
          <w:rFonts w:ascii="Times New Roman" w:hAnsi="Times New Roman" w:cs="Times New Roman"/>
        </w:rPr>
        <w:t>+NOx＜500t/a，因此本次评价不考虑二次PM</w:t>
      </w:r>
      <w:r>
        <w:rPr>
          <w:rFonts w:ascii="Times New Roman" w:hAnsi="Times New Roman" w:cs="Times New Roman"/>
          <w:vertAlign w:val="subscript"/>
        </w:rPr>
        <w:t>2.5</w:t>
      </w:r>
      <w:r>
        <w:rPr>
          <w:rFonts w:ascii="Times New Roman" w:hAnsi="Times New Roman" w:cs="Times New Roman"/>
        </w:rPr>
        <w:t>。</w:t>
      </w:r>
    </w:p>
    <w:p>
      <w:pPr>
        <w:tabs>
          <w:tab w:val="left" w:pos="1021"/>
        </w:tabs>
        <w:spacing w:line="324" w:lineRule="auto"/>
        <w:ind w:firstLine="480" w:firstLineChars="200"/>
        <w:rPr>
          <w:rFonts w:ascii="Times New Roman" w:hAnsi="Times New Roman" w:cs="Times New Roman"/>
        </w:rPr>
      </w:pPr>
      <w:r>
        <w:rPr>
          <w:rFonts w:ascii="Times New Roman" w:hAnsi="Times New Roman" w:cs="Times New Roman"/>
        </w:rPr>
        <w:t>4、保证率日平均质量浓度处理</w:t>
      </w:r>
    </w:p>
    <w:p>
      <w:pPr>
        <w:tabs>
          <w:tab w:val="left" w:pos="1021"/>
        </w:tabs>
        <w:spacing w:line="360" w:lineRule="auto"/>
        <w:ind w:firstLine="480" w:firstLineChars="200"/>
        <w:rPr>
          <w:rFonts w:ascii="Times New Roman" w:hAnsi="Times New Roman" w:cs="Times New Roman"/>
          <w:bCs/>
        </w:rPr>
      </w:pPr>
      <w:r>
        <w:rPr>
          <w:rFonts w:ascii="Times New Roman" w:hAnsi="Times New Roman" w:cs="Times New Roman"/>
        </w:rPr>
        <w:t>按照</w:t>
      </w:r>
      <w:r>
        <w:rPr>
          <w:rFonts w:ascii="Times New Roman" w:hAnsi="Times New Roman" w:cs="Times New Roman"/>
          <w:bCs/>
        </w:rPr>
        <w:t>《环境影响评价技术导则 大气环境》（HJ2.2-2018）的规定，对于保证率日平均质量浓度在按导则方法计算叠加后预测点上的日平均质量浓度，然后对该预测点所有日平均质量浓度从小到大进行排序，根据各污染物日平均质量浓度的保证率（</w:t>
      </w:r>
      <w:r>
        <w:rPr>
          <w:rFonts w:ascii="Times New Roman" w:hAnsi="Times New Roman" w:cs="Times New Roman"/>
          <w:bCs/>
          <w:i/>
        </w:rPr>
        <w:t>p</w:t>
      </w:r>
      <w:r>
        <w:rPr>
          <w:rFonts w:ascii="Times New Roman" w:hAnsi="Times New Roman" w:cs="Times New Roman"/>
          <w:bCs/>
        </w:rPr>
        <w:t>），计算排在</w:t>
      </w:r>
      <w:r>
        <w:rPr>
          <w:rFonts w:ascii="Times New Roman" w:hAnsi="Times New Roman" w:cs="Times New Roman"/>
          <w:bCs/>
          <w:i/>
        </w:rPr>
        <w:t>p</w:t>
      </w:r>
      <w:r>
        <w:rPr>
          <w:rFonts w:ascii="Times New Roman" w:hAnsi="Times New Roman" w:cs="Times New Roman"/>
          <w:bCs/>
        </w:rPr>
        <w:t>百分位数的第m个序数，序数m对应的日平均质量浓度即为保证率日平均浓度。</w:t>
      </w:r>
      <w:r>
        <w:rPr>
          <w:rFonts w:ascii="Times New Roman" w:hAnsi="Times New Roman" w:cs="Times New Roman"/>
          <w:bCs/>
          <w:i/>
        </w:rPr>
        <w:t>p</w:t>
      </w:r>
      <w:r>
        <w:rPr>
          <w:rFonts w:ascii="Times New Roman" w:hAnsi="Times New Roman" w:cs="Times New Roman"/>
          <w:bCs/>
        </w:rPr>
        <w:t>按HJ663规定的对应污染物年评价24h平均百分位数取值，对于HJ663中未规定的污染物，不进行保证率计算。</w:t>
      </w:r>
    </w:p>
    <w:p>
      <w:pPr>
        <w:pStyle w:val="5"/>
        <w:ind w:firstLine="482"/>
        <w:rPr>
          <w:rFonts w:ascii="Times New Roman" w:hAnsi="Times New Roman" w:cs="Times New Roman" w:eastAsiaTheme="minorEastAsia"/>
        </w:rPr>
      </w:pPr>
      <w:r>
        <w:rPr>
          <w:rFonts w:ascii="Times New Roman" w:hAnsi="Times New Roman" w:cs="Times New Roman" w:eastAsiaTheme="minorEastAsia"/>
        </w:rPr>
        <w:t>6.2.1.7 大气环境影响预测</w:t>
      </w:r>
    </w:p>
    <w:p>
      <w:pPr>
        <w:pStyle w:val="5"/>
        <w:ind w:firstLine="482"/>
        <w:rPr>
          <w:rFonts w:ascii="Times New Roman" w:hAnsi="Times New Roman" w:cs="Times New Roman" w:eastAsiaTheme="minorEastAsia"/>
        </w:rPr>
      </w:pPr>
      <w:r>
        <w:rPr>
          <w:rFonts w:ascii="Times New Roman" w:hAnsi="Times New Roman" w:cs="Times New Roman" w:eastAsiaTheme="minorEastAsia"/>
        </w:rPr>
        <w:t>6.2.1.7.1</w:t>
      </w:r>
      <w:r>
        <w:rPr>
          <w:rFonts w:hint="eastAsia" w:ascii="Times New Roman" w:hAnsi="Times New Roman" w:cs="Times New Roman" w:eastAsiaTheme="minorEastAsia"/>
        </w:rPr>
        <w:t xml:space="preserve"> </w:t>
      </w:r>
      <w:r>
        <w:rPr>
          <w:rFonts w:ascii="Times New Roman" w:hAnsi="Times New Roman" w:cs="Times New Roman" w:eastAsiaTheme="minorEastAsia"/>
        </w:rPr>
        <w:t>情景1预测结果（正常工况）</w:t>
      </w:r>
    </w:p>
    <w:p>
      <w:pPr>
        <w:spacing w:line="360" w:lineRule="auto"/>
        <w:ind w:firstLine="480" w:firstLineChars="200"/>
        <w:rPr>
          <w:rFonts w:ascii="Times New Roman" w:hAnsi="Times New Roman" w:cs="Times New Roman"/>
        </w:rPr>
      </w:pPr>
      <w:r>
        <w:rPr>
          <w:rFonts w:ascii="Times New Roman" w:hAnsi="Times New Roman" w:cs="Times New Roman"/>
        </w:rPr>
        <w:t>本情况考虑在正常工况下，本项目所有外排废气对周边环境的影响。</w:t>
      </w:r>
    </w:p>
    <w:p>
      <w:pPr>
        <w:spacing w:line="360" w:lineRule="auto"/>
        <w:ind w:firstLine="482" w:firstLineChars="200"/>
        <w:rPr>
          <w:rFonts w:ascii="Times New Roman" w:hAnsi="Times New Roman" w:cs="Times New Roman"/>
          <w:b/>
        </w:rPr>
      </w:pPr>
      <w:r>
        <w:rPr>
          <w:rFonts w:ascii="Times New Roman" w:hAnsi="Times New Roman" w:cs="Times New Roman"/>
          <w:b/>
        </w:rPr>
        <w:t>（一）本项目在评价区域贡献值的最大地面浓度</w:t>
      </w:r>
    </w:p>
    <w:p>
      <w:pPr>
        <w:spacing w:line="360" w:lineRule="auto"/>
        <w:ind w:firstLine="480" w:firstLineChars="200"/>
        <w:rPr>
          <w:rFonts w:ascii="Times New Roman" w:hAnsi="Times New Roman" w:cs="Times New Roman"/>
        </w:rPr>
      </w:pPr>
      <w:r>
        <w:rPr>
          <w:rFonts w:ascii="Times New Roman" w:hAnsi="Times New Roman" w:cs="Times New Roman"/>
        </w:rPr>
        <w:t>本情景中各污染物因子贡献值最大地面浓度见下表所示，本项目排放的SO</w:t>
      </w:r>
      <w:r>
        <w:rPr>
          <w:rFonts w:ascii="Times New Roman" w:hAnsi="Times New Roman" w:cs="Times New Roman"/>
          <w:vertAlign w:val="subscript"/>
        </w:rPr>
        <w:t>2</w:t>
      </w:r>
      <w:r>
        <w:rPr>
          <w:rFonts w:ascii="Times New Roman" w:hAnsi="Times New Roman" w:cs="Times New Roman"/>
        </w:rPr>
        <w:t>、NOx、氟化物、颗粒物等污染因子在评价区域产生的最大地面贡献浓度影响值均满足《环境空气质量标准》（GB3095-2012）</w:t>
      </w:r>
      <w:r>
        <w:rPr>
          <w:rFonts w:hint="eastAsia" w:ascii="Times New Roman" w:hAnsi="Times New Roman" w:cs="Times New Roman"/>
        </w:rPr>
        <w:t>及修改单的二级</w:t>
      </w:r>
      <w:r>
        <w:rPr>
          <w:rFonts w:ascii="Times New Roman" w:hAnsi="Times New Roman" w:cs="Times New Roman"/>
        </w:rPr>
        <w:t>标准。本项目排放的硫酸雾在评价区域产生的最大地面贡献浓度满足《环境影响评价技术导则大气环境》（HJ2.2-2018）附录D中限值要求。镍及其化合物、非甲烷总烃能够满足《大气污染物综合排放标准详解》中相关要求，因此本项目所排放的污染物对区域大气环境影响较小。</w:t>
      </w:r>
    </w:p>
    <w:p>
      <w:pPr>
        <w:spacing w:line="360" w:lineRule="auto"/>
        <w:ind w:firstLine="480" w:firstLineChars="200"/>
        <w:rPr>
          <w:rFonts w:ascii="Times New Roman" w:hAnsi="Times New Roman" w:cs="Times New Roman"/>
        </w:rPr>
      </w:pPr>
    </w:p>
    <w:p>
      <w:pPr>
        <w:spacing w:line="360" w:lineRule="auto"/>
        <w:ind w:firstLine="480" w:firstLineChars="200"/>
        <w:rPr>
          <w:rFonts w:ascii="Times New Roman" w:hAnsi="Times New Roman" w:cs="Times New Roman"/>
        </w:rPr>
        <w:sectPr>
          <w:pgSz w:w="11907" w:h="16840"/>
          <w:pgMar w:top="1440" w:right="1797" w:bottom="1440" w:left="1797" w:header="964" w:footer="851" w:gutter="0"/>
          <w:cols w:space="720" w:num="1"/>
          <w:docGrid w:linePitch="311" w:charSpace="0"/>
        </w:sectPr>
      </w:pPr>
    </w:p>
    <w:p>
      <w:pPr>
        <w:pStyle w:val="6"/>
        <w:rPr>
          <w:rFonts w:ascii="Times New Roman" w:hAnsi="Times New Roman" w:cs="Times New Roman"/>
        </w:rPr>
      </w:pPr>
      <w:r>
        <w:rPr>
          <w:rFonts w:ascii="Times New Roman" w:hAnsi="Times New Roman" w:cs="Times New Roman"/>
        </w:rPr>
        <w:t>表6.2.1-</w:t>
      </w:r>
      <w:r>
        <w:rPr>
          <w:rFonts w:hint="eastAsia" w:ascii="Times New Roman" w:hAnsi="Times New Roman" w:cs="Times New Roman"/>
        </w:rPr>
        <w:t xml:space="preserve">16  </w:t>
      </w:r>
      <w:r>
        <w:rPr>
          <w:rFonts w:ascii="Times New Roman" w:hAnsi="Times New Roman" w:cs="Times New Roman"/>
        </w:rPr>
        <w:t>本项目排放的不同因子贡献值区域最大地面浓度预测结果</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471"/>
        <w:gridCol w:w="1234"/>
        <w:gridCol w:w="2102"/>
        <w:gridCol w:w="1310"/>
        <w:gridCol w:w="1310"/>
        <w:gridCol w:w="1313"/>
        <w:gridCol w:w="1749"/>
        <w:gridCol w:w="1749"/>
        <w:gridCol w:w="175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pct"/>
            <w:shd w:val="clear" w:color="auto" w:fill="auto"/>
            <w:vAlign w:val="center"/>
          </w:tcPr>
          <w:p>
            <w:pPr>
              <w:pStyle w:val="63"/>
            </w:pPr>
            <w:r>
              <w:t>因子</w:t>
            </w:r>
          </w:p>
        </w:tc>
        <w:tc>
          <w:tcPr>
            <w:tcW w:w="441" w:type="pct"/>
            <w:shd w:val="clear" w:color="auto" w:fill="auto"/>
            <w:vAlign w:val="center"/>
          </w:tcPr>
          <w:p>
            <w:pPr>
              <w:pStyle w:val="63"/>
            </w:pPr>
            <w:r>
              <w:t>平均时间</w:t>
            </w:r>
          </w:p>
        </w:tc>
        <w:tc>
          <w:tcPr>
            <w:tcW w:w="751" w:type="pct"/>
            <w:shd w:val="clear" w:color="auto" w:fill="auto"/>
            <w:vAlign w:val="center"/>
          </w:tcPr>
          <w:p>
            <w:pPr>
              <w:pStyle w:val="63"/>
            </w:pPr>
            <w:r>
              <w:t>本项目贡献值[μg/m</w:t>
            </w:r>
            <w:r>
              <w:rPr>
                <w:vertAlign w:val="superscript"/>
              </w:rPr>
              <w:t>3</w:t>
            </w:r>
            <w:r>
              <w:t>]</w:t>
            </w:r>
          </w:p>
        </w:tc>
        <w:tc>
          <w:tcPr>
            <w:tcW w:w="1405" w:type="pct"/>
            <w:gridSpan w:val="3"/>
            <w:shd w:val="clear" w:color="auto" w:fill="auto"/>
            <w:vAlign w:val="center"/>
          </w:tcPr>
          <w:p>
            <w:pPr>
              <w:pStyle w:val="63"/>
            </w:pPr>
            <w:r>
              <w:t>落地坐标[x，y，z]</w:t>
            </w:r>
          </w:p>
        </w:tc>
        <w:tc>
          <w:tcPr>
            <w:tcW w:w="625" w:type="pct"/>
            <w:shd w:val="clear" w:color="auto" w:fill="auto"/>
            <w:vAlign w:val="center"/>
          </w:tcPr>
          <w:p>
            <w:pPr>
              <w:pStyle w:val="63"/>
            </w:pPr>
            <w:r>
              <w:t>出现时刻</w:t>
            </w:r>
          </w:p>
        </w:tc>
        <w:tc>
          <w:tcPr>
            <w:tcW w:w="625" w:type="pct"/>
            <w:shd w:val="clear" w:color="auto" w:fill="auto"/>
            <w:vAlign w:val="center"/>
          </w:tcPr>
          <w:p>
            <w:pPr>
              <w:pStyle w:val="63"/>
            </w:pPr>
            <w:r>
              <w:t>标准值[μg/m</w:t>
            </w:r>
            <w:r>
              <w:rPr>
                <w:vertAlign w:val="superscript"/>
              </w:rPr>
              <w:t>3</w:t>
            </w:r>
            <w:r>
              <w:t>]</w:t>
            </w:r>
          </w:p>
        </w:tc>
        <w:tc>
          <w:tcPr>
            <w:tcW w:w="626" w:type="pct"/>
            <w:shd w:val="clear" w:color="auto" w:fill="auto"/>
            <w:vAlign w:val="center"/>
          </w:tcPr>
          <w:p>
            <w:pPr>
              <w:pStyle w:val="63"/>
            </w:pPr>
            <w:r>
              <w:t>占标率[%]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pct"/>
            <w:vMerge w:val="restart"/>
            <w:shd w:val="clear" w:color="auto" w:fill="auto"/>
            <w:vAlign w:val="center"/>
          </w:tcPr>
          <w:p>
            <w:pPr>
              <w:pStyle w:val="63"/>
            </w:pPr>
            <w:r>
              <w:t>SO</w:t>
            </w:r>
            <w:r>
              <w:rPr>
                <w:vertAlign w:val="subscript"/>
              </w:rPr>
              <w:t>2</w:t>
            </w:r>
          </w:p>
        </w:tc>
        <w:tc>
          <w:tcPr>
            <w:tcW w:w="441" w:type="pct"/>
            <w:shd w:val="clear" w:color="auto" w:fill="auto"/>
            <w:vAlign w:val="center"/>
          </w:tcPr>
          <w:p>
            <w:pPr>
              <w:pStyle w:val="63"/>
            </w:pPr>
            <w:r>
              <w:t>1h</w:t>
            </w:r>
          </w:p>
        </w:tc>
        <w:tc>
          <w:tcPr>
            <w:tcW w:w="751" w:type="pct"/>
            <w:shd w:val="clear" w:color="auto" w:fill="auto"/>
            <w:vAlign w:val="center"/>
          </w:tcPr>
          <w:p>
            <w:pPr>
              <w:pStyle w:val="63"/>
            </w:pPr>
            <w:r>
              <w:t>1.44</w:t>
            </w:r>
          </w:p>
        </w:tc>
        <w:tc>
          <w:tcPr>
            <w:tcW w:w="468" w:type="pct"/>
            <w:shd w:val="clear" w:color="auto" w:fill="auto"/>
            <w:vAlign w:val="center"/>
          </w:tcPr>
          <w:p>
            <w:pPr>
              <w:pStyle w:val="63"/>
            </w:pPr>
            <w:r>
              <w:t>381227</w:t>
            </w:r>
          </w:p>
        </w:tc>
        <w:tc>
          <w:tcPr>
            <w:tcW w:w="468" w:type="pct"/>
            <w:vAlign w:val="center"/>
          </w:tcPr>
          <w:p>
            <w:pPr>
              <w:pStyle w:val="63"/>
            </w:pPr>
            <w:r>
              <w:t>2989720</w:t>
            </w:r>
          </w:p>
        </w:tc>
        <w:tc>
          <w:tcPr>
            <w:tcW w:w="469" w:type="pct"/>
            <w:vAlign w:val="center"/>
          </w:tcPr>
          <w:p>
            <w:pPr>
              <w:pStyle w:val="63"/>
            </w:pPr>
            <w:r>
              <w:t>987.1</w:t>
            </w:r>
          </w:p>
        </w:tc>
        <w:tc>
          <w:tcPr>
            <w:tcW w:w="625" w:type="pct"/>
            <w:shd w:val="clear" w:color="auto" w:fill="auto"/>
            <w:vAlign w:val="center"/>
          </w:tcPr>
          <w:p>
            <w:pPr>
              <w:pStyle w:val="63"/>
            </w:pPr>
            <w:r>
              <w:t>2022-04-18</w:t>
            </w:r>
          </w:p>
          <w:p>
            <w:pPr>
              <w:pStyle w:val="63"/>
            </w:pPr>
            <w:r>
              <w:t>11:00:00</w:t>
            </w:r>
          </w:p>
        </w:tc>
        <w:tc>
          <w:tcPr>
            <w:tcW w:w="625" w:type="pct"/>
            <w:shd w:val="clear" w:color="auto" w:fill="auto"/>
            <w:vAlign w:val="center"/>
          </w:tcPr>
          <w:p>
            <w:pPr>
              <w:pStyle w:val="63"/>
            </w:pPr>
            <w:r>
              <w:t>500</w:t>
            </w:r>
          </w:p>
        </w:tc>
        <w:tc>
          <w:tcPr>
            <w:tcW w:w="626" w:type="pct"/>
            <w:shd w:val="clear" w:color="auto" w:fill="auto"/>
            <w:vAlign w:val="center"/>
          </w:tcPr>
          <w:p>
            <w:pPr>
              <w:pStyle w:val="63"/>
            </w:pPr>
            <w:r>
              <w:t>0.29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pct"/>
            <w:vMerge w:val="continue"/>
            <w:shd w:val="clear" w:color="auto" w:fill="auto"/>
            <w:vAlign w:val="center"/>
          </w:tcPr>
          <w:p>
            <w:pPr>
              <w:pStyle w:val="63"/>
            </w:pPr>
          </w:p>
        </w:tc>
        <w:tc>
          <w:tcPr>
            <w:tcW w:w="441" w:type="pct"/>
            <w:shd w:val="clear" w:color="auto" w:fill="auto"/>
            <w:vAlign w:val="center"/>
          </w:tcPr>
          <w:p>
            <w:pPr>
              <w:pStyle w:val="63"/>
            </w:pPr>
            <w:r>
              <w:t>24h</w:t>
            </w:r>
          </w:p>
        </w:tc>
        <w:tc>
          <w:tcPr>
            <w:tcW w:w="751" w:type="pct"/>
            <w:shd w:val="clear" w:color="auto" w:fill="auto"/>
            <w:vAlign w:val="center"/>
          </w:tcPr>
          <w:p>
            <w:pPr>
              <w:pStyle w:val="63"/>
            </w:pPr>
            <w:r>
              <w:t>0.23</w:t>
            </w:r>
          </w:p>
        </w:tc>
        <w:tc>
          <w:tcPr>
            <w:tcW w:w="468" w:type="pct"/>
            <w:shd w:val="clear" w:color="auto" w:fill="auto"/>
            <w:vAlign w:val="center"/>
          </w:tcPr>
          <w:p>
            <w:pPr>
              <w:pStyle w:val="63"/>
            </w:pPr>
            <w:r>
              <w:t>381027</w:t>
            </w:r>
          </w:p>
        </w:tc>
        <w:tc>
          <w:tcPr>
            <w:tcW w:w="468" w:type="pct"/>
            <w:vAlign w:val="center"/>
          </w:tcPr>
          <w:p>
            <w:pPr>
              <w:pStyle w:val="63"/>
            </w:pPr>
            <w:r>
              <w:t>2989420</w:t>
            </w:r>
          </w:p>
        </w:tc>
        <w:tc>
          <w:tcPr>
            <w:tcW w:w="469" w:type="pct"/>
            <w:vAlign w:val="center"/>
          </w:tcPr>
          <w:p>
            <w:pPr>
              <w:pStyle w:val="63"/>
            </w:pPr>
            <w:r>
              <w:t>999.6</w:t>
            </w:r>
          </w:p>
        </w:tc>
        <w:tc>
          <w:tcPr>
            <w:tcW w:w="625" w:type="pct"/>
            <w:shd w:val="clear" w:color="auto" w:fill="auto"/>
            <w:vAlign w:val="center"/>
          </w:tcPr>
          <w:p>
            <w:pPr>
              <w:pStyle w:val="63"/>
            </w:pPr>
            <w:r>
              <w:t>2022-07-03</w:t>
            </w:r>
          </w:p>
        </w:tc>
        <w:tc>
          <w:tcPr>
            <w:tcW w:w="625" w:type="pct"/>
            <w:shd w:val="clear" w:color="auto" w:fill="auto"/>
            <w:vAlign w:val="center"/>
          </w:tcPr>
          <w:p>
            <w:pPr>
              <w:pStyle w:val="63"/>
            </w:pPr>
            <w:r>
              <w:t>150</w:t>
            </w:r>
          </w:p>
        </w:tc>
        <w:tc>
          <w:tcPr>
            <w:tcW w:w="626" w:type="pct"/>
            <w:shd w:val="clear" w:color="auto" w:fill="auto"/>
            <w:vAlign w:val="center"/>
          </w:tcPr>
          <w:p>
            <w:pPr>
              <w:pStyle w:val="63"/>
            </w:pPr>
            <w:r>
              <w:t>0.15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pct"/>
            <w:vMerge w:val="continue"/>
            <w:shd w:val="clear" w:color="auto" w:fill="auto"/>
            <w:vAlign w:val="center"/>
          </w:tcPr>
          <w:p>
            <w:pPr>
              <w:pStyle w:val="63"/>
            </w:pPr>
          </w:p>
        </w:tc>
        <w:tc>
          <w:tcPr>
            <w:tcW w:w="441" w:type="pct"/>
            <w:shd w:val="clear" w:color="auto" w:fill="auto"/>
            <w:vAlign w:val="center"/>
          </w:tcPr>
          <w:p>
            <w:pPr>
              <w:pStyle w:val="63"/>
            </w:pPr>
            <w:r>
              <w:t>期间平均</w:t>
            </w:r>
          </w:p>
        </w:tc>
        <w:tc>
          <w:tcPr>
            <w:tcW w:w="751" w:type="pct"/>
            <w:shd w:val="clear" w:color="auto" w:fill="auto"/>
            <w:vAlign w:val="center"/>
          </w:tcPr>
          <w:p>
            <w:pPr>
              <w:pStyle w:val="63"/>
            </w:pPr>
            <w:r>
              <w:t>0.06</w:t>
            </w:r>
          </w:p>
        </w:tc>
        <w:tc>
          <w:tcPr>
            <w:tcW w:w="468" w:type="pct"/>
            <w:shd w:val="clear" w:color="auto" w:fill="auto"/>
            <w:vAlign w:val="center"/>
          </w:tcPr>
          <w:p>
            <w:pPr>
              <w:pStyle w:val="63"/>
            </w:pPr>
            <w:r>
              <w:t>381127</w:t>
            </w:r>
          </w:p>
        </w:tc>
        <w:tc>
          <w:tcPr>
            <w:tcW w:w="468" w:type="pct"/>
            <w:vAlign w:val="center"/>
          </w:tcPr>
          <w:p>
            <w:pPr>
              <w:pStyle w:val="63"/>
            </w:pPr>
            <w:r>
              <w:t>2989520</w:t>
            </w:r>
          </w:p>
        </w:tc>
        <w:tc>
          <w:tcPr>
            <w:tcW w:w="469" w:type="pct"/>
            <w:vAlign w:val="center"/>
          </w:tcPr>
          <w:p>
            <w:pPr>
              <w:pStyle w:val="63"/>
            </w:pPr>
            <w:r>
              <w:t>993.7</w:t>
            </w:r>
          </w:p>
        </w:tc>
        <w:tc>
          <w:tcPr>
            <w:tcW w:w="625" w:type="pct"/>
            <w:shd w:val="clear" w:color="auto" w:fill="auto"/>
            <w:vAlign w:val="center"/>
          </w:tcPr>
          <w:p>
            <w:pPr>
              <w:pStyle w:val="63"/>
            </w:pPr>
            <w:r>
              <w:t>—</w:t>
            </w:r>
          </w:p>
        </w:tc>
        <w:tc>
          <w:tcPr>
            <w:tcW w:w="625" w:type="pct"/>
            <w:shd w:val="clear" w:color="auto" w:fill="auto"/>
            <w:vAlign w:val="center"/>
          </w:tcPr>
          <w:p>
            <w:pPr>
              <w:pStyle w:val="63"/>
            </w:pPr>
            <w:r>
              <w:t>60</w:t>
            </w:r>
          </w:p>
        </w:tc>
        <w:tc>
          <w:tcPr>
            <w:tcW w:w="626" w:type="pct"/>
            <w:shd w:val="clear" w:color="auto" w:fill="auto"/>
            <w:vAlign w:val="center"/>
          </w:tcPr>
          <w:p>
            <w:pPr>
              <w:pStyle w:val="63"/>
            </w:pPr>
            <w:r>
              <w:t>0.10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pct"/>
            <w:vMerge w:val="restart"/>
            <w:shd w:val="clear" w:color="auto" w:fill="auto"/>
            <w:vAlign w:val="center"/>
          </w:tcPr>
          <w:p>
            <w:pPr>
              <w:pStyle w:val="63"/>
            </w:pPr>
            <w:r>
              <w:t>PM</w:t>
            </w:r>
            <w:r>
              <w:rPr>
                <w:vertAlign w:val="subscript"/>
              </w:rPr>
              <w:t>10</w:t>
            </w:r>
          </w:p>
        </w:tc>
        <w:tc>
          <w:tcPr>
            <w:tcW w:w="441" w:type="pct"/>
            <w:shd w:val="clear" w:color="auto" w:fill="auto"/>
            <w:vAlign w:val="center"/>
          </w:tcPr>
          <w:p>
            <w:pPr>
              <w:pStyle w:val="63"/>
            </w:pPr>
            <w:r>
              <w:t>24h</w:t>
            </w:r>
          </w:p>
        </w:tc>
        <w:tc>
          <w:tcPr>
            <w:tcW w:w="751" w:type="pct"/>
            <w:shd w:val="clear" w:color="auto" w:fill="auto"/>
            <w:vAlign w:val="center"/>
          </w:tcPr>
          <w:p>
            <w:pPr>
              <w:pStyle w:val="63"/>
            </w:pPr>
            <w:r>
              <w:t>0.11</w:t>
            </w:r>
          </w:p>
        </w:tc>
        <w:tc>
          <w:tcPr>
            <w:tcW w:w="468" w:type="pct"/>
            <w:shd w:val="clear" w:color="auto" w:fill="auto"/>
            <w:vAlign w:val="center"/>
          </w:tcPr>
          <w:p>
            <w:pPr>
              <w:pStyle w:val="63"/>
            </w:pPr>
            <w:r>
              <w:t>381027</w:t>
            </w:r>
          </w:p>
        </w:tc>
        <w:tc>
          <w:tcPr>
            <w:tcW w:w="468" w:type="pct"/>
            <w:vAlign w:val="center"/>
          </w:tcPr>
          <w:p>
            <w:pPr>
              <w:pStyle w:val="63"/>
            </w:pPr>
            <w:r>
              <w:t>2989420</w:t>
            </w:r>
          </w:p>
        </w:tc>
        <w:tc>
          <w:tcPr>
            <w:tcW w:w="469" w:type="pct"/>
            <w:vAlign w:val="center"/>
          </w:tcPr>
          <w:p>
            <w:pPr>
              <w:pStyle w:val="63"/>
            </w:pPr>
            <w:r>
              <w:t>999.6</w:t>
            </w:r>
          </w:p>
        </w:tc>
        <w:tc>
          <w:tcPr>
            <w:tcW w:w="625" w:type="pct"/>
            <w:shd w:val="clear" w:color="auto" w:fill="auto"/>
            <w:vAlign w:val="center"/>
          </w:tcPr>
          <w:p>
            <w:pPr>
              <w:pStyle w:val="63"/>
            </w:pPr>
            <w:r>
              <w:t>2022-07-03</w:t>
            </w:r>
          </w:p>
        </w:tc>
        <w:tc>
          <w:tcPr>
            <w:tcW w:w="625" w:type="pct"/>
            <w:shd w:val="clear" w:color="auto" w:fill="auto"/>
            <w:vAlign w:val="center"/>
          </w:tcPr>
          <w:p>
            <w:pPr>
              <w:pStyle w:val="63"/>
            </w:pPr>
            <w:r>
              <w:t>150</w:t>
            </w:r>
          </w:p>
        </w:tc>
        <w:tc>
          <w:tcPr>
            <w:tcW w:w="626" w:type="pct"/>
            <w:shd w:val="clear" w:color="auto" w:fill="auto"/>
            <w:vAlign w:val="center"/>
          </w:tcPr>
          <w:p>
            <w:pPr>
              <w:pStyle w:val="63"/>
            </w:pPr>
            <w:r>
              <w:t>0.07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pct"/>
            <w:vMerge w:val="continue"/>
            <w:shd w:val="clear" w:color="auto" w:fill="auto"/>
            <w:vAlign w:val="center"/>
          </w:tcPr>
          <w:p>
            <w:pPr>
              <w:pStyle w:val="63"/>
            </w:pPr>
          </w:p>
        </w:tc>
        <w:tc>
          <w:tcPr>
            <w:tcW w:w="441" w:type="pct"/>
            <w:shd w:val="clear" w:color="auto" w:fill="auto"/>
            <w:vAlign w:val="center"/>
          </w:tcPr>
          <w:p>
            <w:pPr>
              <w:pStyle w:val="63"/>
            </w:pPr>
            <w:r>
              <w:t>期间平均</w:t>
            </w:r>
          </w:p>
        </w:tc>
        <w:tc>
          <w:tcPr>
            <w:tcW w:w="751" w:type="pct"/>
            <w:shd w:val="clear" w:color="auto" w:fill="auto"/>
            <w:vAlign w:val="center"/>
          </w:tcPr>
          <w:p>
            <w:pPr>
              <w:pStyle w:val="63"/>
            </w:pPr>
            <w:r>
              <w:t>0.03</w:t>
            </w:r>
          </w:p>
        </w:tc>
        <w:tc>
          <w:tcPr>
            <w:tcW w:w="468" w:type="pct"/>
            <w:shd w:val="clear" w:color="auto" w:fill="auto"/>
            <w:vAlign w:val="center"/>
          </w:tcPr>
          <w:p>
            <w:pPr>
              <w:pStyle w:val="63"/>
            </w:pPr>
            <w:r>
              <w:t>381127</w:t>
            </w:r>
          </w:p>
        </w:tc>
        <w:tc>
          <w:tcPr>
            <w:tcW w:w="468" w:type="pct"/>
            <w:vAlign w:val="center"/>
          </w:tcPr>
          <w:p>
            <w:pPr>
              <w:pStyle w:val="63"/>
            </w:pPr>
            <w:r>
              <w:t>2989520</w:t>
            </w:r>
          </w:p>
        </w:tc>
        <w:tc>
          <w:tcPr>
            <w:tcW w:w="469" w:type="pct"/>
            <w:vAlign w:val="center"/>
          </w:tcPr>
          <w:p>
            <w:pPr>
              <w:pStyle w:val="63"/>
            </w:pPr>
            <w:r>
              <w:t>993.7</w:t>
            </w:r>
          </w:p>
        </w:tc>
        <w:tc>
          <w:tcPr>
            <w:tcW w:w="625" w:type="pct"/>
            <w:shd w:val="clear" w:color="auto" w:fill="auto"/>
            <w:vAlign w:val="center"/>
          </w:tcPr>
          <w:p>
            <w:pPr>
              <w:pStyle w:val="63"/>
            </w:pPr>
            <w:r>
              <w:t>—</w:t>
            </w:r>
          </w:p>
        </w:tc>
        <w:tc>
          <w:tcPr>
            <w:tcW w:w="625" w:type="pct"/>
            <w:shd w:val="clear" w:color="auto" w:fill="auto"/>
            <w:vAlign w:val="center"/>
          </w:tcPr>
          <w:p>
            <w:pPr>
              <w:pStyle w:val="63"/>
            </w:pPr>
            <w:r>
              <w:t>70</w:t>
            </w:r>
          </w:p>
        </w:tc>
        <w:tc>
          <w:tcPr>
            <w:tcW w:w="626" w:type="pct"/>
            <w:shd w:val="clear" w:color="auto" w:fill="auto"/>
            <w:vAlign w:val="center"/>
          </w:tcPr>
          <w:p>
            <w:pPr>
              <w:pStyle w:val="63"/>
            </w:pPr>
            <w:r>
              <w:t>0.04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pct"/>
            <w:vMerge w:val="restart"/>
            <w:shd w:val="clear" w:color="auto" w:fill="auto"/>
            <w:vAlign w:val="center"/>
          </w:tcPr>
          <w:p>
            <w:pPr>
              <w:pStyle w:val="63"/>
            </w:pPr>
            <w:r>
              <w:t>NOx</w:t>
            </w:r>
          </w:p>
        </w:tc>
        <w:tc>
          <w:tcPr>
            <w:tcW w:w="441" w:type="pct"/>
            <w:shd w:val="clear" w:color="auto" w:fill="auto"/>
            <w:vAlign w:val="center"/>
          </w:tcPr>
          <w:p>
            <w:pPr>
              <w:pStyle w:val="63"/>
            </w:pPr>
            <w:r>
              <w:t>1h</w:t>
            </w:r>
          </w:p>
        </w:tc>
        <w:tc>
          <w:tcPr>
            <w:tcW w:w="751" w:type="pct"/>
            <w:shd w:val="clear" w:color="auto" w:fill="auto"/>
            <w:vAlign w:val="center"/>
          </w:tcPr>
          <w:p>
            <w:pPr>
              <w:pStyle w:val="63"/>
            </w:pPr>
            <w:r>
              <w:t>19.21</w:t>
            </w:r>
          </w:p>
        </w:tc>
        <w:tc>
          <w:tcPr>
            <w:tcW w:w="468" w:type="pct"/>
            <w:shd w:val="clear" w:color="auto" w:fill="auto"/>
            <w:vAlign w:val="center"/>
          </w:tcPr>
          <w:p>
            <w:pPr>
              <w:pStyle w:val="63"/>
            </w:pPr>
            <w:r>
              <w:t>381277</w:t>
            </w:r>
          </w:p>
        </w:tc>
        <w:tc>
          <w:tcPr>
            <w:tcW w:w="468" w:type="pct"/>
            <w:vAlign w:val="center"/>
          </w:tcPr>
          <w:p>
            <w:pPr>
              <w:pStyle w:val="63"/>
            </w:pPr>
            <w:r>
              <w:t>2989670</w:t>
            </w:r>
          </w:p>
        </w:tc>
        <w:tc>
          <w:tcPr>
            <w:tcW w:w="469" w:type="pct"/>
            <w:vAlign w:val="center"/>
          </w:tcPr>
          <w:p>
            <w:pPr>
              <w:pStyle w:val="63"/>
            </w:pPr>
            <w:r>
              <w:t>994.3</w:t>
            </w:r>
          </w:p>
        </w:tc>
        <w:tc>
          <w:tcPr>
            <w:tcW w:w="625" w:type="pct"/>
            <w:shd w:val="clear" w:color="auto" w:fill="auto"/>
            <w:vAlign w:val="center"/>
          </w:tcPr>
          <w:p>
            <w:pPr>
              <w:pStyle w:val="63"/>
            </w:pPr>
            <w:r>
              <w:t>2022-04-18</w:t>
            </w:r>
          </w:p>
          <w:p>
            <w:pPr>
              <w:pStyle w:val="63"/>
            </w:pPr>
            <w:r>
              <w:t>11:00:00</w:t>
            </w:r>
          </w:p>
        </w:tc>
        <w:tc>
          <w:tcPr>
            <w:tcW w:w="625" w:type="pct"/>
            <w:shd w:val="clear" w:color="auto" w:fill="auto"/>
            <w:vAlign w:val="center"/>
          </w:tcPr>
          <w:p>
            <w:pPr>
              <w:pStyle w:val="63"/>
            </w:pPr>
            <w:r>
              <w:rPr>
                <w:rFonts w:hint="eastAsia"/>
              </w:rPr>
              <w:t>2</w:t>
            </w:r>
            <w:r>
              <w:t>00</w:t>
            </w:r>
          </w:p>
        </w:tc>
        <w:tc>
          <w:tcPr>
            <w:tcW w:w="626" w:type="pct"/>
            <w:shd w:val="clear" w:color="auto" w:fill="auto"/>
            <w:vAlign w:val="center"/>
          </w:tcPr>
          <w:p>
            <w:pPr>
              <w:pStyle w:val="63"/>
              <w:rPr>
                <w:rFonts w:ascii="宋体" w:hAnsi="宋体" w:eastAsia="宋体" w:cs="宋体"/>
                <w:color w:val="000000"/>
                <w:sz w:val="22"/>
              </w:rPr>
            </w:pPr>
            <w:r>
              <w:rPr>
                <w:rFonts w:hint="eastAsia"/>
                <w:color w:val="000000"/>
                <w:sz w:val="22"/>
              </w:rPr>
              <w:t>9.61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pct"/>
            <w:vMerge w:val="continue"/>
            <w:shd w:val="clear" w:color="auto" w:fill="auto"/>
            <w:vAlign w:val="center"/>
          </w:tcPr>
          <w:p>
            <w:pPr>
              <w:pStyle w:val="63"/>
            </w:pPr>
          </w:p>
        </w:tc>
        <w:tc>
          <w:tcPr>
            <w:tcW w:w="441" w:type="pct"/>
            <w:shd w:val="clear" w:color="auto" w:fill="auto"/>
            <w:vAlign w:val="center"/>
          </w:tcPr>
          <w:p>
            <w:pPr>
              <w:pStyle w:val="63"/>
            </w:pPr>
            <w:r>
              <w:t>24h</w:t>
            </w:r>
          </w:p>
        </w:tc>
        <w:tc>
          <w:tcPr>
            <w:tcW w:w="751" w:type="pct"/>
            <w:shd w:val="clear" w:color="auto" w:fill="auto"/>
            <w:vAlign w:val="center"/>
          </w:tcPr>
          <w:p>
            <w:pPr>
              <w:pStyle w:val="63"/>
            </w:pPr>
            <w:r>
              <w:t>3.16</w:t>
            </w:r>
          </w:p>
        </w:tc>
        <w:tc>
          <w:tcPr>
            <w:tcW w:w="468" w:type="pct"/>
            <w:shd w:val="clear" w:color="auto" w:fill="auto"/>
            <w:vAlign w:val="center"/>
          </w:tcPr>
          <w:p>
            <w:pPr>
              <w:pStyle w:val="63"/>
            </w:pPr>
            <w:r>
              <w:t>381027</w:t>
            </w:r>
          </w:p>
        </w:tc>
        <w:tc>
          <w:tcPr>
            <w:tcW w:w="468" w:type="pct"/>
            <w:vAlign w:val="center"/>
          </w:tcPr>
          <w:p>
            <w:pPr>
              <w:pStyle w:val="63"/>
            </w:pPr>
            <w:r>
              <w:t>2989420</w:t>
            </w:r>
          </w:p>
        </w:tc>
        <w:tc>
          <w:tcPr>
            <w:tcW w:w="469" w:type="pct"/>
            <w:vAlign w:val="center"/>
          </w:tcPr>
          <w:p>
            <w:pPr>
              <w:pStyle w:val="63"/>
            </w:pPr>
            <w:r>
              <w:t>999.6</w:t>
            </w:r>
          </w:p>
        </w:tc>
        <w:tc>
          <w:tcPr>
            <w:tcW w:w="625" w:type="pct"/>
            <w:shd w:val="clear" w:color="auto" w:fill="auto"/>
            <w:vAlign w:val="center"/>
          </w:tcPr>
          <w:p>
            <w:pPr>
              <w:pStyle w:val="63"/>
            </w:pPr>
            <w:r>
              <w:t>2022-07-03</w:t>
            </w:r>
          </w:p>
        </w:tc>
        <w:tc>
          <w:tcPr>
            <w:tcW w:w="625" w:type="pct"/>
            <w:shd w:val="clear" w:color="auto" w:fill="auto"/>
            <w:vAlign w:val="center"/>
          </w:tcPr>
          <w:p>
            <w:pPr>
              <w:pStyle w:val="63"/>
            </w:pPr>
            <w:r>
              <w:t>80</w:t>
            </w:r>
          </w:p>
        </w:tc>
        <w:tc>
          <w:tcPr>
            <w:tcW w:w="626" w:type="pct"/>
            <w:shd w:val="clear" w:color="auto" w:fill="auto"/>
            <w:vAlign w:val="center"/>
          </w:tcPr>
          <w:p>
            <w:pPr>
              <w:pStyle w:val="63"/>
              <w:rPr>
                <w:rFonts w:ascii="宋体" w:hAnsi="宋体" w:eastAsia="宋体" w:cs="宋体"/>
                <w:color w:val="000000"/>
                <w:sz w:val="22"/>
              </w:rPr>
            </w:pPr>
            <w:r>
              <w:rPr>
                <w:rFonts w:hint="eastAsia"/>
                <w:color w:val="000000"/>
                <w:sz w:val="22"/>
              </w:rPr>
              <w:t>3.95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pct"/>
            <w:vMerge w:val="continue"/>
            <w:shd w:val="clear" w:color="auto" w:fill="auto"/>
            <w:vAlign w:val="center"/>
          </w:tcPr>
          <w:p>
            <w:pPr>
              <w:pStyle w:val="63"/>
            </w:pPr>
          </w:p>
        </w:tc>
        <w:tc>
          <w:tcPr>
            <w:tcW w:w="441" w:type="pct"/>
            <w:shd w:val="clear" w:color="auto" w:fill="auto"/>
            <w:vAlign w:val="center"/>
          </w:tcPr>
          <w:p>
            <w:pPr>
              <w:pStyle w:val="63"/>
            </w:pPr>
            <w:r>
              <w:t>期间平均</w:t>
            </w:r>
          </w:p>
        </w:tc>
        <w:tc>
          <w:tcPr>
            <w:tcW w:w="751" w:type="pct"/>
            <w:shd w:val="clear" w:color="auto" w:fill="auto"/>
            <w:vAlign w:val="center"/>
          </w:tcPr>
          <w:p>
            <w:pPr>
              <w:pStyle w:val="63"/>
            </w:pPr>
            <w:r>
              <w:t>0.83</w:t>
            </w:r>
          </w:p>
        </w:tc>
        <w:tc>
          <w:tcPr>
            <w:tcW w:w="468" w:type="pct"/>
            <w:shd w:val="clear" w:color="auto" w:fill="auto"/>
            <w:vAlign w:val="center"/>
          </w:tcPr>
          <w:p>
            <w:pPr>
              <w:pStyle w:val="63"/>
            </w:pPr>
            <w:r>
              <w:t>381127</w:t>
            </w:r>
          </w:p>
        </w:tc>
        <w:tc>
          <w:tcPr>
            <w:tcW w:w="468" w:type="pct"/>
            <w:vAlign w:val="center"/>
          </w:tcPr>
          <w:p>
            <w:pPr>
              <w:pStyle w:val="63"/>
            </w:pPr>
            <w:r>
              <w:t>2989520</w:t>
            </w:r>
          </w:p>
        </w:tc>
        <w:tc>
          <w:tcPr>
            <w:tcW w:w="469" w:type="pct"/>
            <w:vAlign w:val="center"/>
          </w:tcPr>
          <w:p>
            <w:pPr>
              <w:pStyle w:val="63"/>
            </w:pPr>
            <w:r>
              <w:t>993.7</w:t>
            </w:r>
          </w:p>
        </w:tc>
        <w:tc>
          <w:tcPr>
            <w:tcW w:w="625" w:type="pct"/>
            <w:shd w:val="clear" w:color="auto" w:fill="auto"/>
            <w:vAlign w:val="center"/>
          </w:tcPr>
          <w:p>
            <w:pPr>
              <w:pStyle w:val="63"/>
            </w:pPr>
            <w:r>
              <w:t>—</w:t>
            </w:r>
          </w:p>
        </w:tc>
        <w:tc>
          <w:tcPr>
            <w:tcW w:w="625" w:type="pct"/>
            <w:shd w:val="clear" w:color="auto" w:fill="auto"/>
            <w:vAlign w:val="center"/>
          </w:tcPr>
          <w:p>
            <w:pPr>
              <w:pStyle w:val="63"/>
            </w:pPr>
            <w:r>
              <w:t>40</w:t>
            </w:r>
          </w:p>
        </w:tc>
        <w:tc>
          <w:tcPr>
            <w:tcW w:w="626" w:type="pct"/>
            <w:shd w:val="clear" w:color="auto" w:fill="auto"/>
            <w:vAlign w:val="center"/>
          </w:tcPr>
          <w:p>
            <w:pPr>
              <w:pStyle w:val="63"/>
              <w:rPr>
                <w:rFonts w:ascii="宋体" w:hAnsi="宋体" w:eastAsia="宋体" w:cs="宋体"/>
                <w:color w:val="000000"/>
                <w:sz w:val="22"/>
              </w:rPr>
            </w:pPr>
            <w:r>
              <w:rPr>
                <w:rFonts w:hint="eastAsia"/>
                <w:color w:val="000000"/>
                <w:sz w:val="22"/>
              </w:rPr>
              <w:t>2.08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pct"/>
            <w:shd w:val="clear" w:color="auto" w:fill="auto"/>
            <w:vAlign w:val="center"/>
          </w:tcPr>
          <w:p>
            <w:pPr>
              <w:pStyle w:val="63"/>
            </w:pPr>
            <w:r>
              <w:t>非甲烷总烃</w:t>
            </w:r>
          </w:p>
        </w:tc>
        <w:tc>
          <w:tcPr>
            <w:tcW w:w="441" w:type="pct"/>
            <w:shd w:val="clear" w:color="auto" w:fill="auto"/>
            <w:vAlign w:val="center"/>
          </w:tcPr>
          <w:p>
            <w:pPr>
              <w:pStyle w:val="63"/>
            </w:pPr>
            <w:r>
              <w:t>1h</w:t>
            </w:r>
          </w:p>
        </w:tc>
        <w:tc>
          <w:tcPr>
            <w:tcW w:w="751" w:type="pct"/>
            <w:shd w:val="clear" w:color="auto" w:fill="auto"/>
            <w:vAlign w:val="center"/>
          </w:tcPr>
          <w:p>
            <w:pPr>
              <w:pStyle w:val="63"/>
            </w:pPr>
            <w:r>
              <w:t>209.63</w:t>
            </w:r>
          </w:p>
        </w:tc>
        <w:tc>
          <w:tcPr>
            <w:tcW w:w="468" w:type="pct"/>
            <w:shd w:val="clear" w:color="auto" w:fill="auto"/>
            <w:vAlign w:val="center"/>
          </w:tcPr>
          <w:p>
            <w:pPr>
              <w:pStyle w:val="63"/>
            </w:pPr>
            <w:r>
              <w:t>381527</w:t>
            </w:r>
          </w:p>
        </w:tc>
        <w:tc>
          <w:tcPr>
            <w:tcW w:w="468" w:type="pct"/>
            <w:vAlign w:val="center"/>
          </w:tcPr>
          <w:p>
            <w:pPr>
              <w:pStyle w:val="63"/>
            </w:pPr>
            <w:r>
              <w:t>2989820</w:t>
            </w:r>
          </w:p>
        </w:tc>
        <w:tc>
          <w:tcPr>
            <w:tcW w:w="469" w:type="pct"/>
            <w:vAlign w:val="center"/>
          </w:tcPr>
          <w:p>
            <w:pPr>
              <w:pStyle w:val="63"/>
            </w:pPr>
            <w:r>
              <w:t>997.2</w:t>
            </w:r>
          </w:p>
        </w:tc>
        <w:tc>
          <w:tcPr>
            <w:tcW w:w="625" w:type="pct"/>
            <w:shd w:val="clear" w:color="auto" w:fill="auto"/>
            <w:vAlign w:val="center"/>
          </w:tcPr>
          <w:p>
            <w:pPr>
              <w:pStyle w:val="63"/>
            </w:pPr>
            <w:r>
              <w:t>2022-09-14</w:t>
            </w:r>
          </w:p>
          <w:p>
            <w:pPr>
              <w:pStyle w:val="63"/>
            </w:pPr>
            <w:r>
              <w:t>03:00:00</w:t>
            </w:r>
          </w:p>
        </w:tc>
        <w:tc>
          <w:tcPr>
            <w:tcW w:w="625" w:type="pct"/>
            <w:shd w:val="clear" w:color="auto" w:fill="auto"/>
            <w:vAlign w:val="center"/>
          </w:tcPr>
          <w:p>
            <w:pPr>
              <w:pStyle w:val="63"/>
            </w:pPr>
            <w:r>
              <w:t>2000</w:t>
            </w:r>
          </w:p>
        </w:tc>
        <w:tc>
          <w:tcPr>
            <w:tcW w:w="626" w:type="pct"/>
            <w:shd w:val="clear" w:color="auto" w:fill="auto"/>
            <w:vAlign w:val="center"/>
          </w:tcPr>
          <w:p>
            <w:pPr>
              <w:pStyle w:val="63"/>
            </w:pPr>
            <w:r>
              <w:t>10.48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pct"/>
            <w:vMerge w:val="restart"/>
            <w:shd w:val="clear" w:color="auto" w:fill="auto"/>
            <w:vAlign w:val="center"/>
          </w:tcPr>
          <w:p>
            <w:pPr>
              <w:pStyle w:val="63"/>
            </w:pPr>
            <w:r>
              <w:t>氟化物</w:t>
            </w:r>
          </w:p>
        </w:tc>
        <w:tc>
          <w:tcPr>
            <w:tcW w:w="441" w:type="pct"/>
            <w:shd w:val="clear" w:color="auto" w:fill="auto"/>
            <w:vAlign w:val="center"/>
          </w:tcPr>
          <w:p>
            <w:pPr>
              <w:pStyle w:val="63"/>
            </w:pPr>
            <w:r>
              <w:t>1h</w:t>
            </w:r>
          </w:p>
        </w:tc>
        <w:tc>
          <w:tcPr>
            <w:tcW w:w="751" w:type="pct"/>
            <w:shd w:val="clear" w:color="auto" w:fill="auto"/>
            <w:vAlign w:val="center"/>
          </w:tcPr>
          <w:p>
            <w:pPr>
              <w:pStyle w:val="63"/>
            </w:pPr>
            <w:r>
              <w:t>6.00</w:t>
            </w:r>
          </w:p>
        </w:tc>
        <w:tc>
          <w:tcPr>
            <w:tcW w:w="468" w:type="pct"/>
            <w:shd w:val="clear" w:color="auto" w:fill="auto"/>
            <w:vAlign w:val="center"/>
          </w:tcPr>
          <w:p>
            <w:pPr>
              <w:pStyle w:val="63"/>
            </w:pPr>
            <w:r>
              <w:t>378927</w:t>
            </w:r>
          </w:p>
        </w:tc>
        <w:tc>
          <w:tcPr>
            <w:tcW w:w="468" w:type="pct"/>
            <w:vAlign w:val="center"/>
          </w:tcPr>
          <w:p>
            <w:pPr>
              <w:pStyle w:val="63"/>
            </w:pPr>
            <w:r>
              <w:t>2989570</w:t>
            </w:r>
          </w:p>
        </w:tc>
        <w:tc>
          <w:tcPr>
            <w:tcW w:w="469" w:type="pct"/>
            <w:vAlign w:val="center"/>
          </w:tcPr>
          <w:p>
            <w:pPr>
              <w:pStyle w:val="63"/>
            </w:pPr>
            <w:r>
              <w:t>1031.2</w:t>
            </w:r>
          </w:p>
        </w:tc>
        <w:tc>
          <w:tcPr>
            <w:tcW w:w="625" w:type="pct"/>
            <w:shd w:val="clear" w:color="auto" w:fill="auto"/>
            <w:vAlign w:val="center"/>
          </w:tcPr>
          <w:p>
            <w:pPr>
              <w:pStyle w:val="63"/>
            </w:pPr>
            <w:r>
              <w:t>2022-08-16 21:00:00</w:t>
            </w:r>
          </w:p>
        </w:tc>
        <w:tc>
          <w:tcPr>
            <w:tcW w:w="625" w:type="pct"/>
            <w:shd w:val="clear" w:color="auto" w:fill="auto"/>
            <w:vAlign w:val="center"/>
          </w:tcPr>
          <w:p>
            <w:pPr>
              <w:pStyle w:val="63"/>
            </w:pPr>
            <w:r>
              <w:t>20</w:t>
            </w:r>
          </w:p>
        </w:tc>
        <w:tc>
          <w:tcPr>
            <w:tcW w:w="626" w:type="pct"/>
            <w:shd w:val="clear" w:color="auto" w:fill="auto"/>
            <w:vAlign w:val="center"/>
          </w:tcPr>
          <w:p>
            <w:pPr>
              <w:pStyle w:val="63"/>
            </w:pPr>
            <w:r>
              <w:t>30.00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pct"/>
            <w:vMerge w:val="continue"/>
            <w:shd w:val="clear" w:color="auto" w:fill="auto"/>
            <w:vAlign w:val="center"/>
          </w:tcPr>
          <w:p>
            <w:pPr>
              <w:pStyle w:val="63"/>
            </w:pPr>
          </w:p>
        </w:tc>
        <w:tc>
          <w:tcPr>
            <w:tcW w:w="441" w:type="pct"/>
            <w:shd w:val="clear" w:color="auto" w:fill="auto"/>
            <w:vAlign w:val="center"/>
          </w:tcPr>
          <w:p>
            <w:pPr>
              <w:pStyle w:val="63"/>
            </w:pPr>
            <w:r>
              <w:t>24h</w:t>
            </w:r>
          </w:p>
        </w:tc>
        <w:tc>
          <w:tcPr>
            <w:tcW w:w="751" w:type="pct"/>
            <w:shd w:val="clear" w:color="auto" w:fill="auto"/>
            <w:vAlign w:val="center"/>
          </w:tcPr>
          <w:p>
            <w:pPr>
              <w:pStyle w:val="63"/>
            </w:pPr>
            <w:r>
              <w:t>0.69</w:t>
            </w:r>
          </w:p>
        </w:tc>
        <w:tc>
          <w:tcPr>
            <w:tcW w:w="468" w:type="pct"/>
            <w:shd w:val="clear" w:color="auto" w:fill="auto"/>
            <w:vAlign w:val="center"/>
          </w:tcPr>
          <w:p>
            <w:pPr>
              <w:pStyle w:val="63"/>
            </w:pPr>
            <w:r>
              <w:t>381127</w:t>
            </w:r>
          </w:p>
        </w:tc>
        <w:tc>
          <w:tcPr>
            <w:tcW w:w="468" w:type="pct"/>
            <w:vAlign w:val="center"/>
          </w:tcPr>
          <w:p>
            <w:pPr>
              <w:pStyle w:val="63"/>
            </w:pPr>
            <w:r>
              <w:t>2989470</w:t>
            </w:r>
          </w:p>
        </w:tc>
        <w:tc>
          <w:tcPr>
            <w:tcW w:w="469" w:type="pct"/>
            <w:vAlign w:val="center"/>
          </w:tcPr>
          <w:p>
            <w:pPr>
              <w:pStyle w:val="63"/>
            </w:pPr>
            <w:r>
              <w:t>999.6</w:t>
            </w:r>
          </w:p>
        </w:tc>
        <w:tc>
          <w:tcPr>
            <w:tcW w:w="625" w:type="pct"/>
            <w:shd w:val="clear" w:color="auto" w:fill="auto"/>
            <w:vAlign w:val="center"/>
          </w:tcPr>
          <w:p>
            <w:pPr>
              <w:pStyle w:val="63"/>
            </w:pPr>
            <w:r>
              <w:t>2022-09-07</w:t>
            </w:r>
          </w:p>
        </w:tc>
        <w:tc>
          <w:tcPr>
            <w:tcW w:w="625" w:type="pct"/>
            <w:shd w:val="clear" w:color="auto" w:fill="auto"/>
            <w:vAlign w:val="center"/>
          </w:tcPr>
          <w:p>
            <w:pPr>
              <w:pStyle w:val="63"/>
            </w:pPr>
            <w:r>
              <w:t>7</w:t>
            </w:r>
          </w:p>
        </w:tc>
        <w:tc>
          <w:tcPr>
            <w:tcW w:w="626" w:type="pct"/>
            <w:shd w:val="clear" w:color="auto" w:fill="auto"/>
            <w:vAlign w:val="center"/>
          </w:tcPr>
          <w:p>
            <w:pPr>
              <w:pStyle w:val="63"/>
            </w:pPr>
            <w:r>
              <w:t>9.86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pct"/>
            <w:shd w:val="clear" w:color="auto" w:fill="auto"/>
            <w:vAlign w:val="center"/>
          </w:tcPr>
          <w:p>
            <w:pPr>
              <w:pStyle w:val="63"/>
            </w:pPr>
            <w:r>
              <w:t>镍及其化合物</w:t>
            </w:r>
          </w:p>
        </w:tc>
        <w:tc>
          <w:tcPr>
            <w:tcW w:w="441" w:type="pct"/>
            <w:shd w:val="clear" w:color="auto" w:fill="auto"/>
            <w:vAlign w:val="center"/>
          </w:tcPr>
          <w:p>
            <w:pPr>
              <w:pStyle w:val="63"/>
            </w:pPr>
            <w:r>
              <w:t>24h</w:t>
            </w:r>
          </w:p>
        </w:tc>
        <w:tc>
          <w:tcPr>
            <w:tcW w:w="751" w:type="pct"/>
            <w:shd w:val="clear" w:color="auto" w:fill="auto"/>
            <w:vAlign w:val="center"/>
          </w:tcPr>
          <w:p>
            <w:pPr>
              <w:pStyle w:val="63"/>
            </w:pPr>
            <w:r>
              <w:t>0.0002</w:t>
            </w:r>
          </w:p>
        </w:tc>
        <w:tc>
          <w:tcPr>
            <w:tcW w:w="468" w:type="pct"/>
            <w:shd w:val="clear" w:color="auto" w:fill="auto"/>
            <w:vAlign w:val="center"/>
          </w:tcPr>
          <w:p>
            <w:pPr>
              <w:pStyle w:val="63"/>
            </w:pPr>
            <w:r>
              <w:t>381127</w:t>
            </w:r>
          </w:p>
        </w:tc>
        <w:tc>
          <w:tcPr>
            <w:tcW w:w="468" w:type="pct"/>
            <w:vAlign w:val="center"/>
          </w:tcPr>
          <w:p>
            <w:pPr>
              <w:pStyle w:val="63"/>
            </w:pPr>
            <w:r>
              <w:t>2989470</w:t>
            </w:r>
          </w:p>
        </w:tc>
        <w:tc>
          <w:tcPr>
            <w:tcW w:w="469" w:type="pct"/>
            <w:vAlign w:val="center"/>
          </w:tcPr>
          <w:p>
            <w:pPr>
              <w:pStyle w:val="63"/>
            </w:pPr>
            <w:r>
              <w:t>999.6</w:t>
            </w:r>
          </w:p>
        </w:tc>
        <w:tc>
          <w:tcPr>
            <w:tcW w:w="625" w:type="pct"/>
            <w:shd w:val="clear" w:color="auto" w:fill="auto"/>
            <w:vAlign w:val="center"/>
          </w:tcPr>
          <w:p>
            <w:pPr>
              <w:pStyle w:val="63"/>
            </w:pPr>
            <w:r>
              <w:t>2022-09-07</w:t>
            </w:r>
          </w:p>
        </w:tc>
        <w:tc>
          <w:tcPr>
            <w:tcW w:w="625" w:type="pct"/>
            <w:shd w:val="clear" w:color="auto" w:fill="auto"/>
            <w:vAlign w:val="center"/>
          </w:tcPr>
          <w:p>
            <w:pPr>
              <w:pStyle w:val="63"/>
            </w:pPr>
            <w:r>
              <w:t>30</w:t>
            </w:r>
          </w:p>
        </w:tc>
        <w:tc>
          <w:tcPr>
            <w:tcW w:w="626" w:type="pct"/>
            <w:shd w:val="clear" w:color="auto" w:fill="auto"/>
            <w:vAlign w:val="center"/>
          </w:tcPr>
          <w:p>
            <w:pPr>
              <w:pStyle w:val="63"/>
            </w:pPr>
            <w:r>
              <w:t>0.0006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pct"/>
            <w:vMerge w:val="restart"/>
            <w:shd w:val="clear" w:color="auto" w:fill="auto"/>
            <w:vAlign w:val="center"/>
          </w:tcPr>
          <w:p>
            <w:pPr>
              <w:pStyle w:val="63"/>
            </w:pPr>
            <w:r>
              <w:t>硫酸雾</w:t>
            </w:r>
          </w:p>
        </w:tc>
        <w:tc>
          <w:tcPr>
            <w:tcW w:w="441" w:type="pct"/>
            <w:shd w:val="clear" w:color="auto" w:fill="auto"/>
            <w:vAlign w:val="center"/>
          </w:tcPr>
          <w:p>
            <w:pPr>
              <w:pStyle w:val="63"/>
            </w:pPr>
            <w:r>
              <w:t>1h</w:t>
            </w:r>
          </w:p>
        </w:tc>
        <w:tc>
          <w:tcPr>
            <w:tcW w:w="751" w:type="pct"/>
            <w:shd w:val="clear" w:color="auto" w:fill="auto"/>
            <w:vAlign w:val="center"/>
          </w:tcPr>
          <w:p>
            <w:pPr>
              <w:pStyle w:val="63"/>
            </w:pPr>
            <w:r>
              <w:t>61.98</w:t>
            </w:r>
          </w:p>
        </w:tc>
        <w:tc>
          <w:tcPr>
            <w:tcW w:w="468" w:type="pct"/>
            <w:shd w:val="clear" w:color="auto" w:fill="auto"/>
            <w:vAlign w:val="center"/>
          </w:tcPr>
          <w:p>
            <w:pPr>
              <w:jc w:val="center"/>
              <w:rPr>
                <w:rFonts w:ascii="Times New Roman" w:hAnsi="Times New Roman" w:cs="Times New Roman"/>
                <w:sz w:val="21"/>
              </w:rPr>
            </w:pPr>
            <w:r>
              <w:rPr>
                <w:rFonts w:ascii="Times New Roman" w:hAnsi="Times New Roman" w:cs="Times New Roman"/>
                <w:sz w:val="21"/>
              </w:rPr>
              <w:t>381527</w:t>
            </w:r>
          </w:p>
        </w:tc>
        <w:tc>
          <w:tcPr>
            <w:tcW w:w="468" w:type="pct"/>
            <w:vAlign w:val="center"/>
          </w:tcPr>
          <w:p>
            <w:pPr>
              <w:jc w:val="center"/>
              <w:rPr>
                <w:rFonts w:ascii="Times New Roman" w:hAnsi="Times New Roman" w:cs="Times New Roman"/>
                <w:sz w:val="21"/>
              </w:rPr>
            </w:pPr>
            <w:r>
              <w:rPr>
                <w:rFonts w:ascii="Times New Roman" w:hAnsi="Times New Roman" w:cs="Times New Roman"/>
                <w:sz w:val="21"/>
              </w:rPr>
              <w:t>2989820</w:t>
            </w:r>
          </w:p>
        </w:tc>
        <w:tc>
          <w:tcPr>
            <w:tcW w:w="469" w:type="pct"/>
            <w:vAlign w:val="center"/>
          </w:tcPr>
          <w:p>
            <w:pPr>
              <w:jc w:val="center"/>
              <w:rPr>
                <w:rFonts w:ascii="Times New Roman" w:hAnsi="Times New Roman" w:cs="Times New Roman"/>
                <w:sz w:val="21"/>
              </w:rPr>
            </w:pPr>
            <w:r>
              <w:rPr>
                <w:rFonts w:ascii="Times New Roman" w:hAnsi="Times New Roman" w:cs="Times New Roman"/>
                <w:sz w:val="21"/>
              </w:rPr>
              <w:t>997.2</w:t>
            </w:r>
          </w:p>
        </w:tc>
        <w:tc>
          <w:tcPr>
            <w:tcW w:w="625" w:type="pct"/>
            <w:shd w:val="clear" w:color="auto" w:fill="auto"/>
            <w:vAlign w:val="center"/>
          </w:tcPr>
          <w:p>
            <w:pPr>
              <w:pStyle w:val="63"/>
            </w:pPr>
            <w:r>
              <w:t>2022/9/14</w:t>
            </w:r>
          </w:p>
          <w:p>
            <w:pPr>
              <w:pStyle w:val="63"/>
            </w:pPr>
            <w:r>
              <w:t>3:00:00</w:t>
            </w:r>
          </w:p>
        </w:tc>
        <w:tc>
          <w:tcPr>
            <w:tcW w:w="625" w:type="pct"/>
            <w:shd w:val="clear" w:color="auto" w:fill="auto"/>
            <w:vAlign w:val="center"/>
          </w:tcPr>
          <w:p>
            <w:pPr>
              <w:pStyle w:val="63"/>
            </w:pPr>
            <w:r>
              <w:t>300</w:t>
            </w:r>
          </w:p>
        </w:tc>
        <w:tc>
          <w:tcPr>
            <w:tcW w:w="626" w:type="pct"/>
            <w:shd w:val="clear" w:color="auto" w:fill="auto"/>
            <w:vAlign w:val="center"/>
          </w:tcPr>
          <w:p>
            <w:pPr>
              <w:pStyle w:val="63"/>
            </w:pPr>
            <w:r>
              <w:rPr>
                <w:rFonts w:eastAsia="宋体"/>
                <w:szCs w:val="21"/>
              </w:rPr>
              <w:t>20.30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6" w:type="pct"/>
            <w:vMerge w:val="continue"/>
            <w:shd w:val="clear" w:color="auto" w:fill="auto"/>
            <w:vAlign w:val="center"/>
          </w:tcPr>
          <w:p>
            <w:pPr>
              <w:pStyle w:val="63"/>
            </w:pPr>
          </w:p>
        </w:tc>
        <w:tc>
          <w:tcPr>
            <w:tcW w:w="441" w:type="pct"/>
            <w:shd w:val="clear" w:color="auto" w:fill="auto"/>
            <w:vAlign w:val="center"/>
          </w:tcPr>
          <w:p>
            <w:pPr>
              <w:pStyle w:val="63"/>
            </w:pPr>
            <w:r>
              <w:t>24h</w:t>
            </w:r>
          </w:p>
        </w:tc>
        <w:tc>
          <w:tcPr>
            <w:tcW w:w="751" w:type="pct"/>
            <w:shd w:val="clear" w:color="auto" w:fill="auto"/>
            <w:vAlign w:val="center"/>
          </w:tcPr>
          <w:p>
            <w:pPr>
              <w:pStyle w:val="63"/>
            </w:pPr>
            <w:r>
              <w:t>3.19</w:t>
            </w:r>
          </w:p>
        </w:tc>
        <w:tc>
          <w:tcPr>
            <w:tcW w:w="468" w:type="pct"/>
            <w:shd w:val="clear" w:color="auto" w:fill="auto"/>
            <w:vAlign w:val="center"/>
          </w:tcPr>
          <w:p>
            <w:pPr>
              <w:pStyle w:val="63"/>
            </w:pPr>
            <w:r>
              <w:t>381377</w:t>
            </w:r>
          </w:p>
        </w:tc>
        <w:tc>
          <w:tcPr>
            <w:tcW w:w="468" w:type="pct"/>
            <w:vAlign w:val="center"/>
          </w:tcPr>
          <w:p>
            <w:pPr>
              <w:pStyle w:val="63"/>
            </w:pPr>
            <w:r>
              <w:t>2989920</w:t>
            </w:r>
          </w:p>
        </w:tc>
        <w:tc>
          <w:tcPr>
            <w:tcW w:w="469" w:type="pct"/>
            <w:vAlign w:val="center"/>
          </w:tcPr>
          <w:p>
            <w:pPr>
              <w:pStyle w:val="63"/>
            </w:pPr>
            <w:r>
              <w:t>978.6</w:t>
            </w:r>
          </w:p>
        </w:tc>
        <w:tc>
          <w:tcPr>
            <w:tcW w:w="625" w:type="pct"/>
            <w:shd w:val="clear" w:color="auto" w:fill="auto"/>
            <w:vAlign w:val="center"/>
          </w:tcPr>
          <w:p>
            <w:pPr>
              <w:pStyle w:val="63"/>
            </w:pPr>
            <w:r>
              <w:t>2022-02-27</w:t>
            </w:r>
          </w:p>
        </w:tc>
        <w:tc>
          <w:tcPr>
            <w:tcW w:w="625" w:type="pct"/>
            <w:shd w:val="clear" w:color="auto" w:fill="auto"/>
            <w:vAlign w:val="center"/>
          </w:tcPr>
          <w:p>
            <w:pPr>
              <w:pStyle w:val="63"/>
            </w:pPr>
            <w:r>
              <w:t>100</w:t>
            </w:r>
          </w:p>
        </w:tc>
        <w:tc>
          <w:tcPr>
            <w:tcW w:w="626" w:type="pct"/>
            <w:shd w:val="clear" w:color="auto" w:fill="auto"/>
            <w:vAlign w:val="center"/>
          </w:tcPr>
          <w:p>
            <w:pPr>
              <w:pStyle w:val="63"/>
            </w:pPr>
            <w:r>
              <w:rPr>
                <w:rFonts w:eastAsia="宋体"/>
                <w:szCs w:val="21"/>
              </w:rPr>
              <w:t>3.19</w:t>
            </w:r>
          </w:p>
        </w:tc>
      </w:tr>
    </w:tbl>
    <w:p>
      <w:pPr>
        <w:spacing w:line="360" w:lineRule="auto"/>
        <w:ind w:firstLine="480" w:firstLineChars="200"/>
        <w:rPr>
          <w:rFonts w:ascii="Times New Roman" w:hAnsi="Times New Roman" w:cs="Times New Roman"/>
        </w:rPr>
      </w:pPr>
    </w:p>
    <w:p>
      <w:pPr>
        <w:spacing w:line="360" w:lineRule="auto"/>
        <w:ind w:firstLine="480" w:firstLineChars="200"/>
        <w:rPr>
          <w:rFonts w:ascii="Times New Roman" w:hAnsi="Times New Roman" w:cs="Times New Roman"/>
        </w:rPr>
        <w:sectPr>
          <w:pgSz w:w="16840" w:h="11907" w:orient="landscape"/>
          <w:pgMar w:top="1797" w:right="1440" w:bottom="1797" w:left="1440" w:header="964" w:footer="851" w:gutter="0"/>
          <w:cols w:space="720" w:num="1"/>
          <w:docGrid w:linePitch="326" w:charSpace="0"/>
        </w:sectPr>
      </w:pP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本项目各污染因子贡献浓度影响范围和程度见下图所示。</w:t>
      </w:r>
    </w:p>
    <w:p>
      <w:pPr>
        <w:spacing w:line="360" w:lineRule="auto"/>
        <w:rPr>
          <w:rFonts w:ascii="Times New Roman" w:hAnsi="Times New Roman" w:cs="Times New Roman"/>
        </w:rPr>
      </w:pPr>
      <w:r>
        <w:rPr>
          <w:rFonts w:ascii="Times New Roman" w:hAnsi="Times New Roman" w:cs="Times New Roman"/>
        </w:rPr>
        <w:drawing>
          <wp:inline distT="0" distB="0" distL="0" distR="0">
            <wp:extent cx="5278755" cy="3909060"/>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74"/>
                    <a:stretch>
                      <a:fillRect/>
                    </a:stretch>
                  </pic:blipFill>
                  <pic:spPr>
                    <a:xfrm>
                      <a:off x="0" y="0"/>
                      <a:ext cx="5278755" cy="3909578"/>
                    </a:xfrm>
                    <a:prstGeom prst="rect">
                      <a:avLst/>
                    </a:prstGeom>
                  </pic:spPr>
                </pic:pic>
              </a:graphicData>
            </a:graphic>
          </wp:inline>
        </w:drawing>
      </w:r>
    </w:p>
    <w:p>
      <w:pPr>
        <w:pStyle w:val="6"/>
        <w:rPr>
          <w:rFonts w:ascii="Times New Roman" w:hAnsi="Times New Roman" w:cs="Times New Roman"/>
        </w:rPr>
      </w:pPr>
      <w:r>
        <w:rPr>
          <w:rFonts w:ascii="Times New Roman" w:hAnsi="Times New Roman" w:cs="Times New Roman"/>
        </w:rPr>
        <w:t>图6.2.1-1</w:t>
      </w:r>
      <w:r>
        <w:rPr>
          <w:rFonts w:hint="eastAsia" w:ascii="Times New Roman" w:hAnsi="Times New Roman" w:cs="Times New Roman"/>
        </w:rPr>
        <w:t>3</w:t>
      </w:r>
      <w:r>
        <w:rPr>
          <w:rFonts w:ascii="Times New Roman" w:hAnsi="Times New Roman" w:cs="Times New Roman"/>
        </w:rPr>
        <w:t xml:space="preserve">  本项目SO</w:t>
      </w:r>
      <w:r>
        <w:rPr>
          <w:rFonts w:ascii="Times New Roman" w:hAnsi="Times New Roman" w:cs="Times New Roman"/>
          <w:vertAlign w:val="subscript"/>
        </w:rPr>
        <w:t>2</w:t>
      </w:r>
      <w:r>
        <w:rPr>
          <w:rFonts w:ascii="Times New Roman" w:hAnsi="Times New Roman" w:cs="Times New Roman"/>
        </w:rPr>
        <w:t>小时浓度影响（μg/m</w:t>
      </w:r>
      <w:r>
        <w:rPr>
          <w:rFonts w:ascii="Times New Roman" w:hAnsi="Times New Roman" w:cs="Times New Roman"/>
          <w:vertAlign w:val="superscript"/>
        </w:rPr>
        <w:t>3</w:t>
      </w:r>
      <w:r>
        <w:rPr>
          <w:rFonts w:ascii="Times New Roman" w:hAnsi="Times New Roman" w:cs="Times New Roman"/>
        </w:rPr>
        <w:t>）</w:t>
      </w:r>
    </w:p>
    <w:p>
      <w:pPr>
        <w:spacing w:line="360" w:lineRule="auto"/>
        <w:rPr>
          <w:rFonts w:ascii="Times New Roman" w:hAnsi="Times New Roman" w:cs="Times New Roman"/>
        </w:rPr>
      </w:pPr>
      <w:r>
        <w:rPr>
          <w:rFonts w:ascii="Times New Roman" w:hAnsi="Times New Roman" w:cs="Times New Roman"/>
        </w:rPr>
        <w:drawing>
          <wp:inline distT="0" distB="0" distL="0" distR="0">
            <wp:extent cx="5278755" cy="3922395"/>
            <wp:effectExtent l="0" t="0" r="0" b="1905"/>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75"/>
                    <a:stretch>
                      <a:fillRect/>
                    </a:stretch>
                  </pic:blipFill>
                  <pic:spPr>
                    <a:xfrm>
                      <a:off x="0" y="0"/>
                      <a:ext cx="5278755" cy="3922408"/>
                    </a:xfrm>
                    <a:prstGeom prst="rect">
                      <a:avLst/>
                    </a:prstGeom>
                  </pic:spPr>
                </pic:pic>
              </a:graphicData>
            </a:graphic>
          </wp:inline>
        </w:drawing>
      </w:r>
    </w:p>
    <w:p>
      <w:pPr>
        <w:pStyle w:val="6"/>
        <w:rPr>
          <w:rFonts w:ascii="Times New Roman" w:hAnsi="Times New Roman" w:cs="Times New Roman"/>
        </w:rPr>
      </w:pPr>
      <w:r>
        <w:rPr>
          <w:rFonts w:ascii="Times New Roman" w:hAnsi="Times New Roman" w:cs="Times New Roman"/>
        </w:rPr>
        <w:t>图6.2.1-1</w:t>
      </w:r>
      <w:r>
        <w:rPr>
          <w:rFonts w:hint="eastAsia" w:ascii="Times New Roman" w:hAnsi="Times New Roman" w:cs="Times New Roman"/>
        </w:rPr>
        <w:t>4</w:t>
      </w:r>
      <w:r>
        <w:rPr>
          <w:rFonts w:ascii="Times New Roman" w:hAnsi="Times New Roman" w:cs="Times New Roman"/>
        </w:rPr>
        <w:t xml:space="preserve">  本项目SO</w:t>
      </w:r>
      <w:r>
        <w:rPr>
          <w:rFonts w:ascii="Times New Roman" w:hAnsi="Times New Roman" w:cs="Times New Roman"/>
          <w:vertAlign w:val="subscript"/>
        </w:rPr>
        <w:t>2</w:t>
      </w:r>
      <w:r>
        <w:rPr>
          <w:rFonts w:ascii="Times New Roman" w:hAnsi="Times New Roman" w:cs="Times New Roman"/>
        </w:rPr>
        <w:t>日均浓度影响（μg/m</w:t>
      </w:r>
      <w:r>
        <w:rPr>
          <w:rFonts w:ascii="Times New Roman" w:hAnsi="Times New Roman" w:cs="Times New Roman"/>
          <w:vertAlign w:val="superscript"/>
        </w:rPr>
        <w:t>3</w:t>
      </w:r>
      <w:r>
        <w:rPr>
          <w:rFonts w:ascii="Times New Roman" w:hAnsi="Times New Roman" w:cs="Times New Roman"/>
        </w:rPr>
        <w:t>）</w:t>
      </w:r>
    </w:p>
    <w:p>
      <w:pPr>
        <w:rPr>
          <w:rFonts w:ascii="Times New Roman" w:hAnsi="Times New Roman" w:cs="Times New Roman"/>
          <w:b/>
        </w:rPr>
      </w:pPr>
      <w:r>
        <w:rPr>
          <w:rFonts w:ascii="Times New Roman" w:hAnsi="Times New Roman" w:cs="Times New Roman"/>
        </w:rPr>
        <w:drawing>
          <wp:inline distT="0" distB="0" distL="0" distR="0">
            <wp:extent cx="5278755" cy="3976370"/>
            <wp:effectExtent l="0" t="0" r="0" b="508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76"/>
                    <a:stretch>
                      <a:fillRect/>
                    </a:stretch>
                  </pic:blipFill>
                  <pic:spPr>
                    <a:xfrm>
                      <a:off x="0" y="0"/>
                      <a:ext cx="5278755" cy="3976784"/>
                    </a:xfrm>
                    <a:prstGeom prst="rect">
                      <a:avLst/>
                    </a:prstGeom>
                  </pic:spPr>
                </pic:pic>
              </a:graphicData>
            </a:graphic>
          </wp:inline>
        </w:drawing>
      </w:r>
    </w:p>
    <w:p>
      <w:pPr>
        <w:pStyle w:val="6"/>
        <w:rPr>
          <w:rFonts w:ascii="Times New Roman" w:hAnsi="Times New Roman" w:cs="Times New Roman"/>
        </w:rPr>
      </w:pPr>
      <w:r>
        <w:rPr>
          <w:rFonts w:ascii="Times New Roman" w:hAnsi="Times New Roman" w:cs="Times New Roman"/>
        </w:rPr>
        <w:t>图6.2.1-1</w:t>
      </w:r>
      <w:r>
        <w:rPr>
          <w:rFonts w:hint="eastAsia" w:ascii="Times New Roman" w:hAnsi="Times New Roman" w:cs="Times New Roman"/>
        </w:rPr>
        <w:t xml:space="preserve">5  </w:t>
      </w:r>
      <w:r>
        <w:rPr>
          <w:rFonts w:ascii="Times New Roman" w:hAnsi="Times New Roman" w:cs="Times New Roman"/>
        </w:rPr>
        <w:t>本项目SO</w:t>
      </w:r>
      <w:r>
        <w:rPr>
          <w:rFonts w:ascii="Times New Roman" w:hAnsi="Times New Roman" w:cs="Times New Roman"/>
          <w:vertAlign w:val="subscript"/>
        </w:rPr>
        <w:t>2</w:t>
      </w:r>
      <w:r>
        <w:rPr>
          <w:rFonts w:ascii="Times New Roman" w:hAnsi="Times New Roman" w:cs="Times New Roman"/>
        </w:rPr>
        <w:t>年平均浓度分布情况（ug/m</w:t>
      </w:r>
      <w:r>
        <w:rPr>
          <w:rFonts w:ascii="Times New Roman" w:hAnsi="Times New Roman" w:cs="Times New Roman"/>
          <w:vertAlign w:val="superscript"/>
        </w:rPr>
        <w:t>3</w:t>
      </w:r>
      <w:r>
        <w:rPr>
          <w:rFonts w:ascii="Times New Roman" w:hAnsi="Times New Roman" w:cs="Times New Roman"/>
        </w:rPr>
        <w:t>）</w:t>
      </w:r>
    </w:p>
    <w:p>
      <w:pPr>
        <w:spacing w:line="360" w:lineRule="auto"/>
        <w:rPr>
          <w:rFonts w:ascii="Times New Roman" w:hAnsi="Times New Roman" w:cs="Times New Roman"/>
        </w:rPr>
      </w:pPr>
      <w:r>
        <w:rPr>
          <w:rFonts w:ascii="Times New Roman" w:hAnsi="Times New Roman" w:cs="Times New Roman"/>
        </w:rPr>
        <w:drawing>
          <wp:inline distT="0" distB="0" distL="0" distR="0">
            <wp:extent cx="5278755" cy="3874770"/>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77"/>
                    <a:stretch>
                      <a:fillRect/>
                    </a:stretch>
                  </pic:blipFill>
                  <pic:spPr>
                    <a:xfrm>
                      <a:off x="0" y="0"/>
                      <a:ext cx="5278755" cy="3875364"/>
                    </a:xfrm>
                    <a:prstGeom prst="rect">
                      <a:avLst/>
                    </a:prstGeom>
                  </pic:spPr>
                </pic:pic>
              </a:graphicData>
            </a:graphic>
          </wp:inline>
        </w:drawing>
      </w:r>
    </w:p>
    <w:p>
      <w:pPr>
        <w:pStyle w:val="6"/>
        <w:rPr>
          <w:rFonts w:ascii="Times New Roman" w:hAnsi="Times New Roman" w:cs="Times New Roman"/>
        </w:rPr>
      </w:pPr>
      <w:r>
        <w:rPr>
          <w:rFonts w:ascii="Times New Roman" w:hAnsi="Times New Roman" w:cs="Times New Roman"/>
        </w:rPr>
        <w:t>图6.2.1-1</w:t>
      </w:r>
      <w:r>
        <w:rPr>
          <w:rFonts w:hint="eastAsia" w:ascii="Times New Roman" w:hAnsi="Times New Roman" w:cs="Times New Roman"/>
        </w:rPr>
        <w:t xml:space="preserve">6  </w:t>
      </w:r>
      <w:r>
        <w:rPr>
          <w:rFonts w:ascii="Times New Roman" w:hAnsi="Times New Roman" w:cs="Times New Roman"/>
        </w:rPr>
        <w:t>本项目PM</w:t>
      </w:r>
      <w:r>
        <w:rPr>
          <w:rFonts w:ascii="Times New Roman" w:hAnsi="Times New Roman" w:cs="Times New Roman"/>
          <w:vertAlign w:val="subscript"/>
        </w:rPr>
        <w:t>10</w:t>
      </w:r>
      <w:r>
        <w:rPr>
          <w:rFonts w:ascii="Times New Roman" w:hAnsi="Times New Roman" w:cs="Times New Roman"/>
        </w:rPr>
        <w:t>最大24小时分布情况（ug/m</w:t>
      </w:r>
      <w:r>
        <w:rPr>
          <w:rFonts w:ascii="Times New Roman" w:hAnsi="Times New Roman" w:cs="Times New Roman"/>
          <w:vertAlign w:val="superscript"/>
        </w:rPr>
        <w:t>3</w:t>
      </w:r>
      <w:r>
        <w:rPr>
          <w:rFonts w:ascii="Times New Roman" w:hAnsi="Times New Roman" w:cs="Times New Roman"/>
        </w:rPr>
        <w:t>）</w:t>
      </w:r>
    </w:p>
    <w:p>
      <w:pPr>
        <w:adjustRightInd/>
        <w:snapToGrid/>
        <w:jc w:val="center"/>
        <w:rPr>
          <w:rFonts w:ascii="Times New Roman" w:hAnsi="Times New Roman" w:eastAsia="宋体" w:cs="Times New Roman"/>
          <w:b/>
          <w:szCs w:val="24"/>
        </w:rPr>
      </w:pPr>
      <w:r>
        <w:rPr>
          <w:rFonts w:ascii="Times New Roman" w:hAnsi="Times New Roman" w:cs="Times New Roman"/>
        </w:rPr>
        <w:drawing>
          <wp:inline distT="0" distB="0" distL="0" distR="0">
            <wp:extent cx="5278755" cy="3900805"/>
            <wp:effectExtent l="0" t="0" r="0" b="4445"/>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78"/>
                    <a:stretch>
                      <a:fillRect/>
                    </a:stretch>
                  </pic:blipFill>
                  <pic:spPr>
                    <a:xfrm>
                      <a:off x="0" y="0"/>
                      <a:ext cx="5278755" cy="3901024"/>
                    </a:xfrm>
                    <a:prstGeom prst="rect">
                      <a:avLst/>
                    </a:prstGeom>
                  </pic:spPr>
                </pic:pic>
              </a:graphicData>
            </a:graphic>
          </wp:inline>
        </w:drawing>
      </w:r>
    </w:p>
    <w:p>
      <w:pPr>
        <w:pStyle w:val="6"/>
        <w:rPr>
          <w:rFonts w:ascii="Times New Roman" w:hAnsi="Times New Roman" w:cs="Times New Roman"/>
        </w:rPr>
      </w:pPr>
      <w:r>
        <w:rPr>
          <w:rFonts w:ascii="Times New Roman" w:hAnsi="Times New Roman" w:cs="Times New Roman"/>
        </w:rPr>
        <w:t>图6.2.1-1</w:t>
      </w:r>
      <w:r>
        <w:rPr>
          <w:rFonts w:hint="eastAsia" w:ascii="Times New Roman" w:hAnsi="Times New Roman" w:cs="Times New Roman"/>
        </w:rPr>
        <w:t xml:space="preserve">7  </w:t>
      </w:r>
      <w:r>
        <w:rPr>
          <w:rFonts w:ascii="Times New Roman" w:hAnsi="Times New Roman" w:cs="Times New Roman"/>
        </w:rPr>
        <w:t>本项目PM</w:t>
      </w:r>
      <w:r>
        <w:rPr>
          <w:rFonts w:ascii="Times New Roman" w:hAnsi="Times New Roman" w:cs="Times New Roman"/>
          <w:vertAlign w:val="subscript"/>
        </w:rPr>
        <w:t>10</w:t>
      </w:r>
      <w:r>
        <w:rPr>
          <w:rFonts w:ascii="Times New Roman" w:hAnsi="Times New Roman" w:cs="Times New Roman"/>
        </w:rPr>
        <w:t>最大年平均浓度分布情况（ug/m</w:t>
      </w:r>
      <w:r>
        <w:rPr>
          <w:rFonts w:ascii="Times New Roman" w:hAnsi="Times New Roman" w:cs="Times New Roman"/>
          <w:vertAlign w:val="superscript"/>
        </w:rPr>
        <w:t>3</w:t>
      </w:r>
      <w:r>
        <w:rPr>
          <w:rFonts w:ascii="Times New Roman" w:hAnsi="Times New Roman" w:cs="Times New Roman"/>
        </w:rPr>
        <w:t>）</w:t>
      </w:r>
    </w:p>
    <w:p>
      <w:pPr>
        <w:spacing w:line="360" w:lineRule="auto"/>
        <w:rPr>
          <w:rFonts w:ascii="Times New Roman" w:hAnsi="Times New Roman" w:cs="Times New Roman"/>
        </w:rPr>
      </w:pPr>
      <w:r>
        <w:rPr>
          <w:rFonts w:ascii="Times New Roman" w:hAnsi="Times New Roman" w:cs="Times New Roman"/>
        </w:rPr>
        <w:drawing>
          <wp:inline distT="0" distB="0" distL="0" distR="0">
            <wp:extent cx="5278755" cy="3794125"/>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79"/>
                    <a:stretch>
                      <a:fillRect/>
                    </a:stretch>
                  </pic:blipFill>
                  <pic:spPr>
                    <a:xfrm>
                      <a:off x="0" y="0"/>
                      <a:ext cx="5278755" cy="3794716"/>
                    </a:xfrm>
                    <a:prstGeom prst="rect">
                      <a:avLst/>
                    </a:prstGeom>
                  </pic:spPr>
                </pic:pic>
              </a:graphicData>
            </a:graphic>
          </wp:inline>
        </w:drawing>
      </w:r>
    </w:p>
    <w:p>
      <w:pPr>
        <w:pStyle w:val="6"/>
        <w:rPr>
          <w:rFonts w:ascii="Times New Roman" w:hAnsi="Times New Roman" w:cs="Times New Roman"/>
        </w:rPr>
      </w:pPr>
      <w:r>
        <w:rPr>
          <w:rFonts w:ascii="Times New Roman" w:hAnsi="Times New Roman" w:cs="Times New Roman"/>
        </w:rPr>
        <w:t>图6.2.1-1</w:t>
      </w:r>
      <w:r>
        <w:rPr>
          <w:rFonts w:hint="eastAsia" w:ascii="Times New Roman" w:hAnsi="Times New Roman" w:cs="Times New Roman"/>
        </w:rPr>
        <w:t xml:space="preserve">8  </w:t>
      </w:r>
      <w:r>
        <w:rPr>
          <w:rFonts w:ascii="Times New Roman" w:hAnsi="Times New Roman" w:cs="Times New Roman"/>
        </w:rPr>
        <w:t>本项目NOx最大1小时浓度分布情况（ug/m</w:t>
      </w:r>
      <w:r>
        <w:rPr>
          <w:rFonts w:ascii="Times New Roman" w:hAnsi="Times New Roman" w:cs="Times New Roman"/>
          <w:vertAlign w:val="superscript"/>
        </w:rPr>
        <w:t>3</w:t>
      </w:r>
      <w:r>
        <w:rPr>
          <w:rFonts w:ascii="Times New Roman" w:hAnsi="Times New Roman" w:cs="Times New Roman"/>
        </w:rPr>
        <w:t>）</w:t>
      </w:r>
    </w:p>
    <w:p>
      <w:pPr>
        <w:adjustRightInd/>
        <w:snapToGrid/>
        <w:jc w:val="center"/>
        <w:rPr>
          <w:rFonts w:ascii="Times New Roman" w:hAnsi="Times New Roman" w:eastAsia="宋体" w:cs="Times New Roman"/>
          <w:b/>
          <w:szCs w:val="24"/>
        </w:rPr>
      </w:pPr>
      <w:r>
        <w:rPr>
          <w:rFonts w:ascii="Times New Roman" w:hAnsi="Times New Roman" w:cs="Times New Roman"/>
        </w:rPr>
        <w:drawing>
          <wp:inline distT="0" distB="0" distL="0" distR="0">
            <wp:extent cx="5278755" cy="3956050"/>
            <wp:effectExtent l="0" t="0" r="0" b="635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80"/>
                    <a:stretch>
                      <a:fillRect/>
                    </a:stretch>
                  </pic:blipFill>
                  <pic:spPr>
                    <a:xfrm>
                      <a:off x="0" y="0"/>
                      <a:ext cx="5278755" cy="3956622"/>
                    </a:xfrm>
                    <a:prstGeom prst="rect">
                      <a:avLst/>
                    </a:prstGeom>
                  </pic:spPr>
                </pic:pic>
              </a:graphicData>
            </a:graphic>
          </wp:inline>
        </w:drawing>
      </w:r>
    </w:p>
    <w:p>
      <w:pPr>
        <w:pStyle w:val="6"/>
        <w:rPr>
          <w:rFonts w:ascii="Times New Roman" w:hAnsi="Times New Roman" w:cs="Times New Roman"/>
        </w:rPr>
      </w:pPr>
      <w:r>
        <w:rPr>
          <w:rFonts w:ascii="Times New Roman" w:hAnsi="Times New Roman" w:cs="Times New Roman"/>
        </w:rPr>
        <w:t>图6.2.1-1</w:t>
      </w:r>
      <w:r>
        <w:rPr>
          <w:rFonts w:hint="eastAsia" w:ascii="Times New Roman" w:hAnsi="Times New Roman" w:cs="Times New Roman"/>
        </w:rPr>
        <w:t xml:space="preserve">9  </w:t>
      </w:r>
      <w:r>
        <w:rPr>
          <w:rFonts w:ascii="Times New Roman" w:hAnsi="Times New Roman" w:cs="Times New Roman"/>
        </w:rPr>
        <w:t>本项目NOx最大24h平均浓度分布情况（ug/m</w:t>
      </w:r>
      <w:r>
        <w:rPr>
          <w:rFonts w:ascii="Times New Roman" w:hAnsi="Times New Roman" w:cs="Times New Roman"/>
          <w:vertAlign w:val="superscript"/>
        </w:rPr>
        <w:t>3</w:t>
      </w:r>
      <w:r>
        <w:rPr>
          <w:rFonts w:ascii="Times New Roman" w:hAnsi="Times New Roman" w:cs="Times New Roman"/>
        </w:rPr>
        <w:t>）</w:t>
      </w:r>
    </w:p>
    <w:p>
      <w:pPr>
        <w:adjustRightInd/>
        <w:snapToGrid/>
        <w:jc w:val="center"/>
        <w:rPr>
          <w:rFonts w:ascii="Times New Roman" w:hAnsi="Times New Roman" w:eastAsia="宋体" w:cs="Times New Roman"/>
          <w:b/>
          <w:szCs w:val="24"/>
        </w:rPr>
      </w:pPr>
      <w:r>
        <w:rPr>
          <w:rFonts w:ascii="Times New Roman" w:hAnsi="Times New Roman" w:cs="Times New Roman"/>
        </w:rPr>
        <w:drawing>
          <wp:inline distT="0" distB="0" distL="0" distR="0">
            <wp:extent cx="5278755" cy="3864610"/>
            <wp:effectExtent l="0" t="0" r="0" b="254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81"/>
                    <a:stretch>
                      <a:fillRect/>
                    </a:stretch>
                  </pic:blipFill>
                  <pic:spPr>
                    <a:xfrm>
                      <a:off x="0" y="0"/>
                      <a:ext cx="5278755" cy="3864977"/>
                    </a:xfrm>
                    <a:prstGeom prst="rect">
                      <a:avLst/>
                    </a:prstGeom>
                  </pic:spPr>
                </pic:pic>
              </a:graphicData>
            </a:graphic>
          </wp:inline>
        </w:drawing>
      </w:r>
    </w:p>
    <w:p>
      <w:pPr>
        <w:pStyle w:val="6"/>
        <w:rPr>
          <w:rFonts w:ascii="Times New Roman" w:hAnsi="Times New Roman" w:cs="Times New Roman"/>
          <w:sz w:val="21"/>
        </w:rPr>
      </w:pPr>
      <w:r>
        <w:rPr>
          <w:rFonts w:ascii="Times New Roman" w:hAnsi="Times New Roman" w:cs="Times New Roman"/>
        </w:rPr>
        <w:t>图6.2.1-</w:t>
      </w:r>
      <w:r>
        <w:rPr>
          <w:rFonts w:hint="eastAsia" w:ascii="Times New Roman" w:hAnsi="Times New Roman" w:cs="Times New Roman"/>
        </w:rPr>
        <w:t xml:space="preserve">20  </w:t>
      </w:r>
      <w:r>
        <w:rPr>
          <w:rFonts w:ascii="Times New Roman" w:hAnsi="Times New Roman" w:cs="Times New Roman"/>
        </w:rPr>
        <w:t>本项目NOx最大年平均浓度分布情况（ug/m</w:t>
      </w:r>
      <w:r>
        <w:rPr>
          <w:rFonts w:ascii="Times New Roman" w:hAnsi="Times New Roman" w:cs="Times New Roman"/>
          <w:vertAlign w:val="superscript"/>
        </w:rPr>
        <w:t>3</w:t>
      </w:r>
      <w:r>
        <w:rPr>
          <w:rFonts w:ascii="Times New Roman" w:hAnsi="Times New Roman" w:cs="Times New Roman"/>
        </w:rPr>
        <w:t>）</w:t>
      </w:r>
    </w:p>
    <w:p>
      <w:pPr>
        <w:spacing w:line="360" w:lineRule="auto"/>
        <w:rPr>
          <w:rFonts w:ascii="Times New Roman" w:hAnsi="Times New Roman" w:cs="Times New Roman"/>
        </w:rPr>
      </w:pPr>
      <w:r>
        <w:rPr>
          <w:rFonts w:ascii="Times New Roman" w:hAnsi="Times New Roman" w:cs="Times New Roman"/>
        </w:rPr>
        <w:drawing>
          <wp:inline distT="0" distB="0" distL="0" distR="0">
            <wp:extent cx="5278755" cy="3723640"/>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82"/>
                    <a:stretch>
                      <a:fillRect/>
                    </a:stretch>
                  </pic:blipFill>
                  <pic:spPr>
                    <a:xfrm>
                      <a:off x="0" y="0"/>
                      <a:ext cx="5278755" cy="3723844"/>
                    </a:xfrm>
                    <a:prstGeom prst="rect">
                      <a:avLst/>
                    </a:prstGeom>
                  </pic:spPr>
                </pic:pic>
              </a:graphicData>
            </a:graphic>
          </wp:inline>
        </w:drawing>
      </w:r>
    </w:p>
    <w:p>
      <w:pPr>
        <w:pStyle w:val="6"/>
        <w:rPr>
          <w:rFonts w:ascii="Times New Roman" w:hAnsi="Times New Roman" w:cs="Times New Roman"/>
        </w:rPr>
      </w:pPr>
      <w:r>
        <w:rPr>
          <w:rFonts w:ascii="Times New Roman" w:hAnsi="Times New Roman" w:cs="Times New Roman"/>
        </w:rPr>
        <w:t>图6.2.1-</w:t>
      </w:r>
      <w:r>
        <w:rPr>
          <w:rFonts w:hint="eastAsia" w:ascii="Times New Roman" w:hAnsi="Times New Roman" w:cs="Times New Roman"/>
        </w:rPr>
        <w:t xml:space="preserve">21  </w:t>
      </w:r>
      <w:r>
        <w:rPr>
          <w:rFonts w:ascii="Times New Roman" w:hAnsi="Times New Roman" w:cs="Times New Roman"/>
        </w:rPr>
        <w:t>本项目非甲烷总烃最大1小时浓度分布情况（ug/m</w:t>
      </w:r>
      <w:r>
        <w:rPr>
          <w:rFonts w:ascii="Times New Roman" w:hAnsi="Times New Roman" w:cs="Times New Roman"/>
          <w:vertAlign w:val="superscript"/>
        </w:rPr>
        <w:t>3</w:t>
      </w:r>
      <w:r>
        <w:rPr>
          <w:rFonts w:ascii="Times New Roman" w:hAnsi="Times New Roman" w:cs="Times New Roman"/>
        </w:rPr>
        <w:t>）</w:t>
      </w:r>
    </w:p>
    <w:p>
      <w:pPr>
        <w:spacing w:line="360" w:lineRule="auto"/>
        <w:rPr>
          <w:rFonts w:ascii="Times New Roman" w:hAnsi="Times New Roman" w:cs="Times New Roman"/>
        </w:rPr>
      </w:pPr>
      <w:r>
        <w:rPr>
          <w:rFonts w:ascii="Times New Roman" w:hAnsi="Times New Roman" w:cs="Times New Roman"/>
        </w:rPr>
        <w:drawing>
          <wp:inline distT="0" distB="0" distL="0" distR="0">
            <wp:extent cx="5278755" cy="3853815"/>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83"/>
                    <a:stretch>
                      <a:fillRect/>
                    </a:stretch>
                  </pic:blipFill>
                  <pic:spPr>
                    <a:xfrm>
                      <a:off x="0" y="0"/>
                      <a:ext cx="5278755" cy="3853980"/>
                    </a:xfrm>
                    <a:prstGeom prst="rect">
                      <a:avLst/>
                    </a:prstGeom>
                  </pic:spPr>
                </pic:pic>
              </a:graphicData>
            </a:graphic>
          </wp:inline>
        </w:drawing>
      </w:r>
    </w:p>
    <w:p>
      <w:pPr>
        <w:pStyle w:val="6"/>
        <w:rPr>
          <w:rFonts w:ascii="Times New Roman" w:hAnsi="Times New Roman" w:cs="Times New Roman"/>
        </w:rPr>
      </w:pPr>
      <w:r>
        <w:rPr>
          <w:rFonts w:ascii="Times New Roman" w:hAnsi="Times New Roman" w:cs="Times New Roman"/>
        </w:rPr>
        <w:t>图6.2.1-</w:t>
      </w:r>
      <w:r>
        <w:rPr>
          <w:rFonts w:hint="eastAsia" w:ascii="Times New Roman" w:hAnsi="Times New Roman" w:cs="Times New Roman"/>
        </w:rPr>
        <w:t xml:space="preserve">22  </w:t>
      </w:r>
      <w:r>
        <w:rPr>
          <w:rFonts w:ascii="Times New Roman" w:hAnsi="Times New Roman" w:cs="Times New Roman"/>
        </w:rPr>
        <w:t>本项目氟化物最大1小时平均浓度分布情况（ug/m</w:t>
      </w:r>
      <w:r>
        <w:rPr>
          <w:rFonts w:ascii="Times New Roman" w:hAnsi="Times New Roman" w:cs="Times New Roman"/>
          <w:vertAlign w:val="superscript"/>
        </w:rPr>
        <w:t>3</w:t>
      </w:r>
      <w:r>
        <w:rPr>
          <w:rFonts w:ascii="Times New Roman" w:hAnsi="Times New Roman" w:cs="Times New Roman"/>
        </w:rPr>
        <w:t>）</w:t>
      </w:r>
    </w:p>
    <w:p>
      <w:pPr>
        <w:tabs>
          <w:tab w:val="right" w:leader="middleDot" w:pos="9062"/>
        </w:tabs>
        <w:adjustRightInd/>
        <w:snapToGrid/>
        <w:jc w:val="center"/>
        <w:rPr>
          <w:rFonts w:ascii="Times New Roman" w:hAnsi="Times New Roman" w:eastAsia="宋体" w:cs="Times New Roman"/>
          <w:b/>
          <w:szCs w:val="24"/>
        </w:rPr>
      </w:pPr>
      <w:r>
        <w:rPr>
          <w:rFonts w:ascii="Times New Roman" w:hAnsi="Times New Roman" w:cs="Times New Roman"/>
        </w:rPr>
        <w:drawing>
          <wp:inline distT="0" distB="0" distL="0" distR="0">
            <wp:extent cx="5278755" cy="3747135"/>
            <wp:effectExtent l="0" t="0" r="0" b="571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84"/>
                    <a:stretch>
                      <a:fillRect/>
                    </a:stretch>
                  </pic:blipFill>
                  <pic:spPr>
                    <a:xfrm>
                      <a:off x="0" y="0"/>
                      <a:ext cx="5278755" cy="3747672"/>
                    </a:xfrm>
                    <a:prstGeom prst="rect">
                      <a:avLst/>
                    </a:prstGeom>
                  </pic:spPr>
                </pic:pic>
              </a:graphicData>
            </a:graphic>
          </wp:inline>
        </w:drawing>
      </w:r>
    </w:p>
    <w:p>
      <w:pPr>
        <w:pStyle w:val="6"/>
        <w:rPr>
          <w:rFonts w:ascii="Times New Roman" w:hAnsi="Times New Roman" w:cs="Times New Roman"/>
        </w:rPr>
      </w:pPr>
      <w:r>
        <w:rPr>
          <w:rFonts w:ascii="Times New Roman" w:hAnsi="Times New Roman" w:cs="Times New Roman"/>
        </w:rPr>
        <w:t>图6.2.1-</w:t>
      </w:r>
      <w:r>
        <w:rPr>
          <w:rFonts w:hint="eastAsia" w:ascii="Times New Roman" w:hAnsi="Times New Roman" w:cs="Times New Roman"/>
        </w:rPr>
        <w:t xml:space="preserve">23  </w:t>
      </w:r>
      <w:r>
        <w:rPr>
          <w:rFonts w:ascii="Times New Roman" w:hAnsi="Times New Roman" w:cs="Times New Roman"/>
        </w:rPr>
        <w:t>本项目氟化物最大24小时平均浓度分布情况（ug/m</w:t>
      </w:r>
      <w:r>
        <w:rPr>
          <w:rFonts w:ascii="Times New Roman" w:hAnsi="Times New Roman" w:cs="Times New Roman"/>
          <w:vertAlign w:val="superscript"/>
        </w:rPr>
        <w:t>3</w:t>
      </w:r>
      <w:r>
        <w:rPr>
          <w:rFonts w:ascii="Times New Roman" w:hAnsi="Times New Roman" w:cs="Times New Roman"/>
        </w:rPr>
        <w:t>）</w:t>
      </w:r>
    </w:p>
    <w:p>
      <w:pPr>
        <w:adjustRightInd/>
        <w:snapToGrid/>
        <w:rPr>
          <w:rFonts w:ascii="Times New Roman" w:hAnsi="Times New Roman" w:eastAsia="宋体" w:cs="Times New Roman"/>
          <w:sz w:val="21"/>
          <w:szCs w:val="24"/>
        </w:rPr>
      </w:pPr>
      <w:r>
        <w:rPr>
          <w:rFonts w:ascii="Times New Roman" w:hAnsi="Times New Roman" w:cs="Times New Roman"/>
        </w:rPr>
        <w:drawing>
          <wp:inline distT="0" distB="0" distL="0" distR="0">
            <wp:extent cx="5278755" cy="3804285"/>
            <wp:effectExtent l="0" t="0" r="0" b="571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85"/>
                    <a:stretch>
                      <a:fillRect/>
                    </a:stretch>
                  </pic:blipFill>
                  <pic:spPr>
                    <a:xfrm>
                      <a:off x="0" y="0"/>
                      <a:ext cx="5278755" cy="3804492"/>
                    </a:xfrm>
                    <a:prstGeom prst="rect">
                      <a:avLst/>
                    </a:prstGeom>
                  </pic:spPr>
                </pic:pic>
              </a:graphicData>
            </a:graphic>
          </wp:inline>
        </w:drawing>
      </w:r>
    </w:p>
    <w:p>
      <w:pPr>
        <w:pStyle w:val="6"/>
        <w:rPr>
          <w:rFonts w:ascii="Times New Roman" w:hAnsi="Times New Roman" w:cs="Times New Roman"/>
        </w:rPr>
      </w:pPr>
      <w:r>
        <w:rPr>
          <w:rFonts w:ascii="Times New Roman" w:hAnsi="Times New Roman" w:cs="Times New Roman"/>
        </w:rPr>
        <w:t>图6.2.1-</w:t>
      </w:r>
      <w:r>
        <w:rPr>
          <w:rFonts w:hint="eastAsia" w:ascii="Times New Roman" w:hAnsi="Times New Roman" w:cs="Times New Roman"/>
        </w:rPr>
        <w:t xml:space="preserve">24  </w:t>
      </w:r>
      <w:r>
        <w:rPr>
          <w:rFonts w:ascii="Times New Roman" w:hAnsi="Times New Roman" w:cs="Times New Roman"/>
        </w:rPr>
        <w:t>本项目镍及其化合物最大24小时浓度分布情况（ug/m</w:t>
      </w:r>
      <w:r>
        <w:rPr>
          <w:rFonts w:ascii="Times New Roman" w:hAnsi="Times New Roman" w:cs="Times New Roman"/>
          <w:vertAlign w:val="superscript"/>
        </w:rPr>
        <w:t>3</w:t>
      </w:r>
      <w:r>
        <w:rPr>
          <w:rFonts w:ascii="Times New Roman" w:hAnsi="Times New Roman" w:cs="Times New Roman"/>
        </w:rPr>
        <w:t>）</w:t>
      </w:r>
    </w:p>
    <w:p>
      <w:pPr>
        <w:spacing w:line="360" w:lineRule="auto"/>
        <w:rPr>
          <w:rFonts w:ascii="Times New Roman" w:hAnsi="Times New Roman" w:cs="Times New Roman"/>
        </w:rPr>
      </w:pPr>
      <w:r>
        <w:drawing>
          <wp:inline distT="0" distB="0" distL="0" distR="0">
            <wp:extent cx="5278755" cy="381127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86"/>
                    <a:stretch>
                      <a:fillRect/>
                    </a:stretch>
                  </pic:blipFill>
                  <pic:spPr>
                    <a:xfrm>
                      <a:off x="0" y="0"/>
                      <a:ext cx="5278755" cy="3811823"/>
                    </a:xfrm>
                    <a:prstGeom prst="rect">
                      <a:avLst/>
                    </a:prstGeom>
                  </pic:spPr>
                </pic:pic>
              </a:graphicData>
            </a:graphic>
          </wp:inline>
        </w:drawing>
      </w:r>
    </w:p>
    <w:p>
      <w:pPr>
        <w:pStyle w:val="6"/>
        <w:rPr>
          <w:rFonts w:ascii="Times New Roman" w:hAnsi="Times New Roman" w:cs="Times New Roman"/>
        </w:rPr>
      </w:pPr>
      <w:r>
        <w:rPr>
          <w:rFonts w:ascii="Times New Roman" w:hAnsi="Times New Roman" w:cs="Times New Roman"/>
        </w:rPr>
        <w:t>图6.2.1-</w:t>
      </w:r>
      <w:r>
        <w:rPr>
          <w:rFonts w:hint="eastAsia" w:ascii="Times New Roman" w:hAnsi="Times New Roman" w:cs="Times New Roman"/>
        </w:rPr>
        <w:t xml:space="preserve">25  </w:t>
      </w:r>
      <w:r>
        <w:rPr>
          <w:rFonts w:ascii="Times New Roman" w:hAnsi="Times New Roman" w:cs="Times New Roman"/>
        </w:rPr>
        <w:t>本项目硫酸雾最大1小时平均浓度分布情况（ug/m</w:t>
      </w:r>
      <w:r>
        <w:rPr>
          <w:rFonts w:ascii="Times New Roman" w:hAnsi="Times New Roman" w:cs="Times New Roman"/>
          <w:vertAlign w:val="superscript"/>
        </w:rPr>
        <w:t>3</w:t>
      </w:r>
      <w:r>
        <w:rPr>
          <w:rFonts w:ascii="Times New Roman" w:hAnsi="Times New Roman" w:cs="Times New Roman"/>
        </w:rPr>
        <w:t>）</w:t>
      </w:r>
    </w:p>
    <w:p>
      <w:pPr>
        <w:tabs>
          <w:tab w:val="right" w:leader="middleDot" w:pos="9062"/>
        </w:tabs>
        <w:adjustRightInd/>
        <w:snapToGrid/>
        <w:spacing w:line="360" w:lineRule="auto"/>
        <w:jc w:val="center"/>
        <w:rPr>
          <w:rFonts w:ascii="Times New Roman" w:hAnsi="Times New Roman" w:eastAsia="宋体" w:cs="Times New Roman"/>
          <w:b/>
          <w:szCs w:val="24"/>
        </w:rPr>
      </w:pPr>
      <w:r>
        <w:drawing>
          <wp:inline distT="0" distB="0" distL="0" distR="0">
            <wp:extent cx="5278755" cy="3678555"/>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87"/>
                    <a:stretch>
                      <a:fillRect/>
                    </a:stretch>
                  </pic:blipFill>
                  <pic:spPr>
                    <a:xfrm>
                      <a:off x="0" y="0"/>
                      <a:ext cx="5278755" cy="3678632"/>
                    </a:xfrm>
                    <a:prstGeom prst="rect">
                      <a:avLst/>
                    </a:prstGeom>
                  </pic:spPr>
                </pic:pic>
              </a:graphicData>
            </a:graphic>
          </wp:inline>
        </w:drawing>
      </w:r>
    </w:p>
    <w:p>
      <w:pPr>
        <w:pStyle w:val="6"/>
        <w:rPr>
          <w:rFonts w:ascii="Times New Roman" w:hAnsi="Times New Roman" w:cs="Times New Roman"/>
        </w:rPr>
      </w:pPr>
      <w:r>
        <w:rPr>
          <w:rFonts w:ascii="Times New Roman" w:hAnsi="Times New Roman" w:cs="Times New Roman"/>
        </w:rPr>
        <w:t>图6.2.1-</w:t>
      </w:r>
      <w:r>
        <w:rPr>
          <w:rFonts w:hint="eastAsia" w:ascii="Times New Roman" w:hAnsi="Times New Roman" w:cs="Times New Roman"/>
        </w:rPr>
        <w:t xml:space="preserve">26  </w:t>
      </w:r>
      <w:r>
        <w:rPr>
          <w:rFonts w:ascii="Times New Roman" w:hAnsi="Times New Roman" w:cs="Times New Roman"/>
        </w:rPr>
        <w:t>本项目硫酸雾最大24小时平均浓度分布情况（ug/m</w:t>
      </w:r>
      <w:r>
        <w:rPr>
          <w:rFonts w:ascii="Times New Roman" w:hAnsi="Times New Roman" w:cs="Times New Roman"/>
          <w:vertAlign w:val="superscript"/>
        </w:rPr>
        <w:t>3</w:t>
      </w:r>
      <w:r>
        <w:rPr>
          <w:rFonts w:ascii="Times New Roman" w:hAnsi="Times New Roman" w:cs="Times New Roman"/>
        </w:rPr>
        <w:t>）</w:t>
      </w:r>
    </w:p>
    <w:p/>
    <w:p/>
    <w:p/>
    <w:p>
      <w:pPr>
        <w:spacing w:line="360" w:lineRule="auto"/>
        <w:ind w:firstLine="482" w:firstLineChars="200"/>
        <w:rPr>
          <w:rFonts w:ascii="Times New Roman" w:hAnsi="Times New Roman" w:cs="Times New Roman"/>
          <w:b/>
        </w:rPr>
      </w:pPr>
      <w:r>
        <w:rPr>
          <w:rFonts w:ascii="Times New Roman" w:hAnsi="Times New Roman" w:cs="Times New Roman"/>
          <w:b/>
        </w:rPr>
        <w:t>（二）关心点贡献值最大影响</w:t>
      </w:r>
    </w:p>
    <w:p>
      <w:pPr>
        <w:spacing w:line="360" w:lineRule="auto"/>
        <w:ind w:firstLine="480" w:firstLineChars="200"/>
        <w:rPr>
          <w:rFonts w:ascii="Times New Roman" w:hAnsi="Times New Roman" w:cs="Times New Roman"/>
        </w:rPr>
      </w:pPr>
      <w:r>
        <w:rPr>
          <w:rFonts w:ascii="Times New Roman" w:hAnsi="Times New Roman" w:cs="Times New Roman"/>
        </w:rPr>
        <w:t>a.SO</w:t>
      </w:r>
      <w:r>
        <w:rPr>
          <w:rFonts w:ascii="Times New Roman" w:hAnsi="Times New Roman" w:cs="Times New Roman"/>
          <w:vertAlign w:val="subscript"/>
        </w:rPr>
        <w:t>2</w:t>
      </w:r>
    </w:p>
    <w:p>
      <w:pPr>
        <w:spacing w:line="360" w:lineRule="auto"/>
        <w:ind w:firstLine="480" w:firstLineChars="200"/>
        <w:rPr>
          <w:rFonts w:ascii="Times New Roman" w:hAnsi="Times New Roman" w:cs="Times New Roman"/>
        </w:rPr>
      </w:pPr>
      <w:r>
        <w:rPr>
          <w:rFonts w:ascii="Times New Roman" w:hAnsi="Times New Roman" w:cs="Times New Roman"/>
        </w:rPr>
        <w:t>评价范围内SO</w:t>
      </w:r>
      <w:r>
        <w:rPr>
          <w:rFonts w:ascii="Times New Roman" w:hAnsi="Times New Roman" w:cs="Times New Roman"/>
          <w:vertAlign w:val="subscript"/>
        </w:rPr>
        <w:t>2</w:t>
      </w:r>
      <w:r>
        <w:rPr>
          <w:rFonts w:ascii="Times New Roman" w:hAnsi="Times New Roman" w:cs="Times New Roman"/>
        </w:rPr>
        <w:t>关心点预测结果如下表所示。可以看出，本项目对评价区域的关心点SO</w:t>
      </w:r>
      <w:r>
        <w:rPr>
          <w:rFonts w:ascii="Times New Roman" w:hAnsi="Times New Roman" w:cs="Times New Roman"/>
          <w:vertAlign w:val="subscript"/>
        </w:rPr>
        <w:t>2</w:t>
      </w:r>
      <w:r>
        <w:rPr>
          <w:rFonts w:ascii="Times New Roman" w:hAnsi="Times New Roman" w:cs="Times New Roman"/>
        </w:rPr>
        <w:t>小时、日均、年均最大贡献值均满足《环境空气质量标准》（GB3095-2012）</w:t>
      </w:r>
      <w:r>
        <w:rPr>
          <w:rFonts w:hint="eastAsia" w:ascii="Times New Roman" w:hAnsi="Times New Roman" w:cs="Times New Roman"/>
        </w:rPr>
        <w:t>及修改单的二级标准</w:t>
      </w:r>
      <w:r>
        <w:rPr>
          <w:rFonts w:ascii="Times New Roman" w:hAnsi="Times New Roman" w:cs="Times New Roman"/>
        </w:rPr>
        <w:t>要求。</w:t>
      </w:r>
    </w:p>
    <w:p>
      <w:pPr>
        <w:pStyle w:val="6"/>
        <w:rPr>
          <w:rFonts w:ascii="Times New Roman" w:hAnsi="Times New Roman" w:cs="Times New Roman"/>
        </w:rPr>
      </w:pPr>
      <w:r>
        <w:rPr>
          <w:rFonts w:ascii="Times New Roman" w:hAnsi="Times New Roman" w:cs="Times New Roman"/>
        </w:rPr>
        <w:t>表6.2.1-</w:t>
      </w:r>
      <w:r>
        <w:rPr>
          <w:rFonts w:hint="eastAsia" w:ascii="Times New Roman" w:hAnsi="Times New Roman" w:cs="Times New Roman"/>
        </w:rPr>
        <w:t>17</w:t>
      </w:r>
      <w:r>
        <w:rPr>
          <w:rFonts w:ascii="Times New Roman" w:hAnsi="Times New Roman" w:cs="Times New Roman"/>
        </w:rPr>
        <w:t xml:space="preserve">  本项目排放SO</w:t>
      </w:r>
      <w:r>
        <w:rPr>
          <w:rFonts w:ascii="Times New Roman" w:hAnsi="Times New Roman" w:cs="Times New Roman"/>
          <w:vertAlign w:val="subscript"/>
        </w:rPr>
        <w:t>2</w:t>
      </w:r>
      <w:r>
        <w:rPr>
          <w:rFonts w:ascii="Times New Roman" w:hAnsi="Times New Roman" w:cs="Times New Roman"/>
        </w:rPr>
        <w:t>大气环境影响关心点预测结果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85"/>
        <w:gridCol w:w="1058"/>
        <w:gridCol w:w="1777"/>
        <w:gridCol w:w="1777"/>
        <w:gridCol w:w="22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8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敏感点名称</w:t>
            </w: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浓度类型</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浓度增量(μg/m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评价标准(μg/m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浦泉村</w:t>
            </w: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1小时</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0.13</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500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60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三才村</w:t>
            </w: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1小时</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0.16</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500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0.001</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60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新石桥村</w:t>
            </w: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1小时</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0.28</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500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60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大浦镇</w:t>
            </w: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1小时</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0.15</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500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60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炉铺村</w:t>
            </w: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1小时</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0.18</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500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0.004</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60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堰桥村</w:t>
            </w: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1小时</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0.13</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500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60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安置区</w:t>
            </w: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1小时</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0.19</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500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0.004</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60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爱国医院</w:t>
            </w: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1小时</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0.21</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500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0.004</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60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罗家老屋</w:t>
            </w: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1小时</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0.15</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500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0.001</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60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北头村</w:t>
            </w: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1小时</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0.27</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500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0.04</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0.004</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60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龙家冲</w:t>
            </w: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1小时</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0.15</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500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60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平田村</w:t>
            </w: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1小时</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0.14</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500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0.001</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60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彭家屋场</w:t>
            </w: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1小时</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0.25</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500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0.03</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adjustRightInd/>
              <w:snapToGrid/>
              <w:jc w:val="center"/>
              <w:rPr>
                <w:rFonts w:ascii="Times New Roman" w:hAnsi="Times New Roman" w:eastAsia="宋体" w:cs="Times New Roman"/>
                <w:sz w:val="21"/>
                <w:szCs w:val="21"/>
              </w:rPr>
            </w:pPr>
          </w:p>
        </w:tc>
        <w:tc>
          <w:tcPr>
            <w:tcW w:w="620"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0.005</w:t>
            </w:r>
          </w:p>
        </w:tc>
        <w:tc>
          <w:tcPr>
            <w:tcW w:w="1042"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60</w:t>
            </w:r>
          </w:p>
        </w:tc>
        <w:tc>
          <w:tcPr>
            <w:tcW w:w="1308" w:type="pct"/>
            <w:shd w:val="clear" w:color="auto" w:fill="auto"/>
            <w:noWrap/>
            <w:vAlign w:val="center"/>
          </w:tcPr>
          <w:p>
            <w:pPr>
              <w:adjustRightInd/>
              <w:snapToGrid/>
              <w:jc w:val="center"/>
              <w:rPr>
                <w:rFonts w:ascii="Times New Roman" w:hAnsi="Times New Roman" w:eastAsia="宋体" w:cs="Times New Roman"/>
                <w:sz w:val="21"/>
                <w:szCs w:val="21"/>
              </w:rPr>
            </w:pPr>
            <w:r>
              <w:rPr>
                <w:rFonts w:ascii="Times New Roman" w:hAnsi="Times New Roman" w:eastAsia="宋体" w:cs="Times New Roman"/>
                <w:sz w:val="21"/>
                <w:szCs w:val="21"/>
              </w:rPr>
              <w:t>0.009</w:t>
            </w:r>
          </w:p>
        </w:tc>
      </w:tr>
    </w:tbl>
    <w:p>
      <w:pPr>
        <w:spacing w:line="360" w:lineRule="auto"/>
        <w:ind w:firstLine="480" w:firstLineChars="200"/>
        <w:rPr>
          <w:rFonts w:ascii="Times New Roman" w:hAnsi="Times New Roman" w:cs="Times New Roman"/>
        </w:rPr>
      </w:pPr>
      <w:r>
        <w:rPr>
          <w:rFonts w:ascii="Times New Roman" w:hAnsi="Times New Roman" w:cs="Times New Roman"/>
        </w:rPr>
        <w:t>b.NOx</w:t>
      </w:r>
    </w:p>
    <w:p>
      <w:pPr>
        <w:spacing w:line="360" w:lineRule="auto"/>
        <w:ind w:firstLine="480" w:firstLineChars="200"/>
        <w:rPr>
          <w:rFonts w:ascii="Times New Roman" w:hAnsi="Times New Roman" w:cs="Times New Roman"/>
        </w:rPr>
      </w:pPr>
      <w:r>
        <w:rPr>
          <w:rFonts w:ascii="Times New Roman" w:hAnsi="Times New Roman" w:cs="Times New Roman"/>
        </w:rPr>
        <w:t>评价范围内NOx关心点预测结果见下表所示。可以看出，本项目对评价区域的关心点NOx小时、日均、年均最大贡献值均满足《环境空气质量标准》（GB3095-2012）</w:t>
      </w:r>
      <w:r>
        <w:rPr>
          <w:rFonts w:hint="eastAsia" w:ascii="Times New Roman" w:hAnsi="Times New Roman" w:cs="Times New Roman"/>
        </w:rPr>
        <w:t>及修改单的二级标准要求</w:t>
      </w:r>
      <w:r>
        <w:rPr>
          <w:rFonts w:ascii="Times New Roman" w:hAnsi="Times New Roman" w:cs="Times New Roman"/>
        </w:rPr>
        <w:t>。</w:t>
      </w:r>
    </w:p>
    <w:p>
      <w:pPr>
        <w:pStyle w:val="6"/>
        <w:rPr>
          <w:rFonts w:ascii="Times New Roman" w:hAnsi="Times New Roman" w:cs="Times New Roman"/>
        </w:rPr>
      </w:pPr>
      <w:r>
        <w:rPr>
          <w:rFonts w:ascii="Times New Roman" w:hAnsi="Times New Roman" w:cs="Times New Roman"/>
        </w:rPr>
        <w:t>表6.2.1-</w:t>
      </w:r>
      <w:r>
        <w:rPr>
          <w:rFonts w:hint="eastAsia" w:ascii="Times New Roman" w:hAnsi="Times New Roman" w:cs="Times New Roman"/>
        </w:rPr>
        <w:t>18</w:t>
      </w:r>
      <w:r>
        <w:rPr>
          <w:rFonts w:ascii="Times New Roman" w:hAnsi="Times New Roman" w:cs="Times New Roman"/>
        </w:rPr>
        <w:t xml:space="preserve">  本项目排放NOx大气环境影响关心点预测结果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85"/>
        <w:gridCol w:w="1058"/>
        <w:gridCol w:w="1777"/>
        <w:gridCol w:w="1777"/>
        <w:gridCol w:w="22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88" w:type="pct"/>
            <w:shd w:val="clear" w:color="auto" w:fill="auto"/>
            <w:noWrap/>
            <w:vAlign w:val="center"/>
          </w:tcPr>
          <w:p>
            <w:pPr>
              <w:pStyle w:val="63"/>
            </w:pPr>
            <w:r>
              <w:t>敏感点名称</w:t>
            </w:r>
          </w:p>
        </w:tc>
        <w:tc>
          <w:tcPr>
            <w:tcW w:w="620" w:type="pct"/>
            <w:shd w:val="clear" w:color="auto" w:fill="auto"/>
            <w:noWrap/>
            <w:vAlign w:val="center"/>
          </w:tcPr>
          <w:p>
            <w:pPr>
              <w:pStyle w:val="63"/>
            </w:pPr>
            <w:r>
              <w:t>浓度类型</w:t>
            </w:r>
          </w:p>
        </w:tc>
        <w:tc>
          <w:tcPr>
            <w:tcW w:w="1042" w:type="pct"/>
            <w:shd w:val="clear" w:color="auto" w:fill="auto"/>
            <w:noWrap/>
            <w:vAlign w:val="center"/>
          </w:tcPr>
          <w:p>
            <w:pPr>
              <w:pStyle w:val="63"/>
            </w:pPr>
            <w:r>
              <w:t>浓度增量(μg/m</w:t>
            </w:r>
            <w:r>
              <w:rPr>
                <w:vertAlign w:val="superscript"/>
              </w:rPr>
              <w:t>3</w:t>
            </w:r>
            <w:r>
              <w:t>)</w:t>
            </w:r>
          </w:p>
        </w:tc>
        <w:tc>
          <w:tcPr>
            <w:tcW w:w="1042" w:type="pct"/>
            <w:shd w:val="clear" w:color="auto" w:fill="auto"/>
            <w:noWrap/>
            <w:vAlign w:val="center"/>
          </w:tcPr>
          <w:p>
            <w:pPr>
              <w:pStyle w:val="63"/>
            </w:pPr>
            <w:r>
              <w:t>评价标准(μg/m</w:t>
            </w:r>
            <w:r>
              <w:rPr>
                <w:vertAlign w:val="superscript"/>
              </w:rPr>
              <w:t>3</w:t>
            </w:r>
            <w:r>
              <w:t>)</w:t>
            </w:r>
          </w:p>
        </w:tc>
        <w:tc>
          <w:tcPr>
            <w:tcW w:w="1308" w:type="pct"/>
            <w:shd w:val="clear" w:color="auto" w:fill="auto"/>
            <w:noWrap/>
            <w:vAlign w:val="center"/>
          </w:tcPr>
          <w:p>
            <w:pPr>
              <w:pStyle w:val="63"/>
            </w:pPr>
            <w: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pStyle w:val="63"/>
            </w:pPr>
            <w:r>
              <w:t>浦泉村</w:t>
            </w:r>
          </w:p>
        </w:tc>
        <w:tc>
          <w:tcPr>
            <w:tcW w:w="620" w:type="pct"/>
            <w:shd w:val="clear" w:color="auto" w:fill="auto"/>
            <w:noWrap/>
            <w:vAlign w:val="center"/>
          </w:tcPr>
          <w:p>
            <w:pPr>
              <w:pStyle w:val="63"/>
            </w:pPr>
            <w:r>
              <w:t>1小时</w:t>
            </w:r>
          </w:p>
        </w:tc>
        <w:tc>
          <w:tcPr>
            <w:tcW w:w="1042" w:type="pct"/>
            <w:shd w:val="clear" w:color="auto" w:fill="auto"/>
            <w:noWrap/>
            <w:vAlign w:val="center"/>
          </w:tcPr>
          <w:p>
            <w:pPr>
              <w:pStyle w:val="63"/>
            </w:pPr>
            <w:r>
              <w:t>1.73</w:t>
            </w:r>
          </w:p>
        </w:tc>
        <w:tc>
          <w:tcPr>
            <w:tcW w:w="1042" w:type="pct"/>
            <w:shd w:val="clear" w:color="auto" w:fill="auto"/>
            <w:noWrap/>
            <w:vAlign w:val="center"/>
          </w:tcPr>
          <w:p>
            <w:pPr>
              <w:pStyle w:val="63"/>
            </w:pPr>
            <w:r>
              <w:t>250.0</w:t>
            </w:r>
          </w:p>
        </w:tc>
        <w:tc>
          <w:tcPr>
            <w:tcW w:w="1308" w:type="pct"/>
            <w:shd w:val="clear" w:color="auto" w:fill="auto"/>
            <w:noWrap/>
            <w:vAlign w:val="center"/>
          </w:tcPr>
          <w:p>
            <w:pPr>
              <w:pStyle w:val="63"/>
            </w:pPr>
            <w:r>
              <w:t>0.69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日平均</w:t>
            </w:r>
          </w:p>
        </w:tc>
        <w:tc>
          <w:tcPr>
            <w:tcW w:w="1042" w:type="pct"/>
            <w:shd w:val="clear" w:color="auto" w:fill="auto"/>
            <w:noWrap/>
            <w:vAlign w:val="center"/>
          </w:tcPr>
          <w:p>
            <w:pPr>
              <w:pStyle w:val="63"/>
            </w:pPr>
            <w:r>
              <w:t>0.25</w:t>
            </w:r>
          </w:p>
        </w:tc>
        <w:tc>
          <w:tcPr>
            <w:tcW w:w="1042" w:type="pct"/>
            <w:shd w:val="clear" w:color="auto" w:fill="auto"/>
            <w:noWrap/>
            <w:vAlign w:val="center"/>
          </w:tcPr>
          <w:p>
            <w:pPr>
              <w:pStyle w:val="63"/>
            </w:pPr>
            <w:r>
              <w:t>100.0</w:t>
            </w:r>
          </w:p>
        </w:tc>
        <w:tc>
          <w:tcPr>
            <w:tcW w:w="1308" w:type="pct"/>
            <w:shd w:val="clear" w:color="auto" w:fill="auto"/>
            <w:noWrap/>
            <w:vAlign w:val="center"/>
          </w:tcPr>
          <w:p>
            <w:pPr>
              <w:pStyle w:val="63"/>
            </w:pPr>
            <w:r>
              <w:t>0.25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年平均</w:t>
            </w:r>
          </w:p>
        </w:tc>
        <w:tc>
          <w:tcPr>
            <w:tcW w:w="1042" w:type="pct"/>
            <w:shd w:val="clear" w:color="auto" w:fill="auto"/>
            <w:noWrap/>
            <w:vAlign w:val="center"/>
          </w:tcPr>
          <w:p>
            <w:pPr>
              <w:pStyle w:val="63"/>
            </w:pPr>
            <w:r>
              <w:t>0.06</w:t>
            </w:r>
          </w:p>
        </w:tc>
        <w:tc>
          <w:tcPr>
            <w:tcW w:w="1042" w:type="pct"/>
            <w:shd w:val="clear" w:color="auto" w:fill="auto"/>
            <w:noWrap/>
            <w:vAlign w:val="center"/>
          </w:tcPr>
          <w:p>
            <w:pPr>
              <w:pStyle w:val="63"/>
            </w:pPr>
            <w:r>
              <w:t>50.0</w:t>
            </w:r>
          </w:p>
        </w:tc>
        <w:tc>
          <w:tcPr>
            <w:tcW w:w="1308" w:type="pct"/>
            <w:shd w:val="clear" w:color="auto" w:fill="auto"/>
            <w:noWrap/>
            <w:vAlign w:val="center"/>
          </w:tcPr>
          <w:p>
            <w:pPr>
              <w:pStyle w:val="63"/>
            </w:pPr>
            <w:r>
              <w:t>0.12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pStyle w:val="63"/>
            </w:pPr>
            <w:r>
              <w:t>三才村</w:t>
            </w:r>
          </w:p>
        </w:tc>
        <w:tc>
          <w:tcPr>
            <w:tcW w:w="620" w:type="pct"/>
            <w:shd w:val="clear" w:color="auto" w:fill="auto"/>
            <w:noWrap/>
            <w:vAlign w:val="center"/>
          </w:tcPr>
          <w:p>
            <w:pPr>
              <w:pStyle w:val="63"/>
            </w:pPr>
            <w:r>
              <w:t>1小时</w:t>
            </w:r>
          </w:p>
        </w:tc>
        <w:tc>
          <w:tcPr>
            <w:tcW w:w="1042" w:type="pct"/>
            <w:shd w:val="clear" w:color="auto" w:fill="auto"/>
            <w:noWrap/>
            <w:vAlign w:val="center"/>
          </w:tcPr>
          <w:p>
            <w:pPr>
              <w:pStyle w:val="63"/>
            </w:pPr>
            <w:r>
              <w:t>2.18</w:t>
            </w:r>
          </w:p>
        </w:tc>
        <w:tc>
          <w:tcPr>
            <w:tcW w:w="1042" w:type="pct"/>
            <w:shd w:val="clear" w:color="auto" w:fill="auto"/>
            <w:noWrap/>
            <w:vAlign w:val="center"/>
          </w:tcPr>
          <w:p>
            <w:pPr>
              <w:pStyle w:val="63"/>
            </w:pPr>
            <w:r>
              <w:t>250.0</w:t>
            </w:r>
          </w:p>
        </w:tc>
        <w:tc>
          <w:tcPr>
            <w:tcW w:w="1308" w:type="pct"/>
            <w:shd w:val="clear" w:color="auto" w:fill="auto"/>
            <w:noWrap/>
            <w:vAlign w:val="center"/>
          </w:tcPr>
          <w:p>
            <w:pPr>
              <w:pStyle w:val="63"/>
            </w:pPr>
            <w:r>
              <w:t>0.87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日平均</w:t>
            </w:r>
          </w:p>
        </w:tc>
        <w:tc>
          <w:tcPr>
            <w:tcW w:w="1042" w:type="pct"/>
            <w:shd w:val="clear" w:color="auto" w:fill="auto"/>
            <w:noWrap/>
            <w:vAlign w:val="center"/>
          </w:tcPr>
          <w:p>
            <w:pPr>
              <w:pStyle w:val="63"/>
            </w:pPr>
            <w:r>
              <w:t>0.10</w:t>
            </w:r>
          </w:p>
        </w:tc>
        <w:tc>
          <w:tcPr>
            <w:tcW w:w="1042" w:type="pct"/>
            <w:shd w:val="clear" w:color="auto" w:fill="auto"/>
            <w:noWrap/>
            <w:vAlign w:val="center"/>
          </w:tcPr>
          <w:p>
            <w:pPr>
              <w:pStyle w:val="63"/>
            </w:pPr>
            <w:r>
              <w:t>100.0</w:t>
            </w:r>
          </w:p>
        </w:tc>
        <w:tc>
          <w:tcPr>
            <w:tcW w:w="1308" w:type="pct"/>
            <w:shd w:val="clear" w:color="auto" w:fill="auto"/>
            <w:noWrap/>
            <w:vAlign w:val="center"/>
          </w:tcPr>
          <w:p>
            <w:pPr>
              <w:pStyle w:val="63"/>
            </w:pPr>
            <w:r>
              <w:t>0.10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年平均</w:t>
            </w:r>
          </w:p>
        </w:tc>
        <w:tc>
          <w:tcPr>
            <w:tcW w:w="1042" w:type="pct"/>
            <w:shd w:val="clear" w:color="auto" w:fill="auto"/>
            <w:noWrap/>
            <w:vAlign w:val="center"/>
          </w:tcPr>
          <w:p>
            <w:pPr>
              <w:pStyle w:val="63"/>
            </w:pPr>
            <w:r>
              <w:t>0.02</w:t>
            </w:r>
          </w:p>
        </w:tc>
        <w:tc>
          <w:tcPr>
            <w:tcW w:w="1042" w:type="pct"/>
            <w:shd w:val="clear" w:color="auto" w:fill="auto"/>
            <w:noWrap/>
            <w:vAlign w:val="center"/>
          </w:tcPr>
          <w:p>
            <w:pPr>
              <w:pStyle w:val="63"/>
            </w:pPr>
            <w:r>
              <w:t>50.0</w:t>
            </w:r>
          </w:p>
        </w:tc>
        <w:tc>
          <w:tcPr>
            <w:tcW w:w="1308" w:type="pct"/>
            <w:shd w:val="clear" w:color="auto" w:fill="auto"/>
            <w:noWrap/>
            <w:vAlign w:val="center"/>
          </w:tcPr>
          <w:p>
            <w:pPr>
              <w:pStyle w:val="63"/>
            </w:pPr>
            <w:r>
              <w:t>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pStyle w:val="63"/>
            </w:pPr>
            <w:r>
              <w:t>新石桥村</w:t>
            </w:r>
          </w:p>
        </w:tc>
        <w:tc>
          <w:tcPr>
            <w:tcW w:w="620" w:type="pct"/>
            <w:shd w:val="clear" w:color="auto" w:fill="auto"/>
            <w:noWrap/>
            <w:vAlign w:val="center"/>
          </w:tcPr>
          <w:p>
            <w:pPr>
              <w:pStyle w:val="63"/>
            </w:pPr>
            <w:r>
              <w:t>1小时</w:t>
            </w:r>
          </w:p>
        </w:tc>
        <w:tc>
          <w:tcPr>
            <w:tcW w:w="1042" w:type="pct"/>
            <w:shd w:val="clear" w:color="auto" w:fill="auto"/>
            <w:noWrap/>
            <w:vAlign w:val="center"/>
          </w:tcPr>
          <w:p>
            <w:pPr>
              <w:pStyle w:val="63"/>
            </w:pPr>
            <w:r>
              <w:t>3.96</w:t>
            </w:r>
          </w:p>
        </w:tc>
        <w:tc>
          <w:tcPr>
            <w:tcW w:w="1042" w:type="pct"/>
            <w:shd w:val="clear" w:color="auto" w:fill="auto"/>
            <w:noWrap/>
            <w:vAlign w:val="center"/>
          </w:tcPr>
          <w:p>
            <w:pPr>
              <w:pStyle w:val="63"/>
            </w:pPr>
            <w:r>
              <w:t>250.0</w:t>
            </w:r>
          </w:p>
        </w:tc>
        <w:tc>
          <w:tcPr>
            <w:tcW w:w="1308" w:type="pct"/>
            <w:shd w:val="clear" w:color="auto" w:fill="auto"/>
            <w:noWrap/>
            <w:vAlign w:val="center"/>
          </w:tcPr>
          <w:p>
            <w:pPr>
              <w:pStyle w:val="63"/>
            </w:pPr>
            <w:r>
              <w:t>1.58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日平均</w:t>
            </w:r>
          </w:p>
        </w:tc>
        <w:tc>
          <w:tcPr>
            <w:tcW w:w="1042" w:type="pct"/>
            <w:shd w:val="clear" w:color="auto" w:fill="auto"/>
            <w:noWrap/>
            <w:vAlign w:val="center"/>
          </w:tcPr>
          <w:p>
            <w:pPr>
              <w:pStyle w:val="63"/>
            </w:pPr>
            <w:r>
              <w:t>0.19</w:t>
            </w:r>
          </w:p>
        </w:tc>
        <w:tc>
          <w:tcPr>
            <w:tcW w:w="1042" w:type="pct"/>
            <w:shd w:val="clear" w:color="auto" w:fill="auto"/>
            <w:noWrap/>
            <w:vAlign w:val="center"/>
          </w:tcPr>
          <w:p>
            <w:pPr>
              <w:pStyle w:val="63"/>
            </w:pPr>
            <w:r>
              <w:t>100.0</w:t>
            </w:r>
          </w:p>
        </w:tc>
        <w:tc>
          <w:tcPr>
            <w:tcW w:w="1308" w:type="pct"/>
            <w:shd w:val="clear" w:color="auto" w:fill="auto"/>
            <w:noWrap/>
            <w:vAlign w:val="center"/>
          </w:tcPr>
          <w:p>
            <w:pPr>
              <w:pStyle w:val="63"/>
            </w:pPr>
            <w:r>
              <w:t>0.19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年平均</w:t>
            </w:r>
          </w:p>
        </w:tc>
        <w:tc>
          <w:tcPr>
            <w:tcW w:w="1042" w:type="pct"/>
            <w:shd w:val="clear" w:color="auto" w:fill="auto"/>
            <w:noWrap/>
            <w:vAlign w:val="center"/>
          </w:tcPr>
          <w:p>
            <w:pPr>
              <w:pStyle w:val="63"/>
            </w:pPr>
            <w:r>
              <w:t>0.02</w:t>
            </w:r>
          </w:p>
        </w:tc>
        <w:tc>
          <w:tcPr>
            <w:tcW w:w="1042" w:type="pct"/>
            <w:shd w:val="clear" w:color="auto" w:fill="auto"/>
            <w:noWrap/>
            <w:vAlign w:val="center"/>
          </w:tcPr>
          <w:p>
            <w:pPr>
              <w:pStyle w:val="63"/>
            </w:pPr>
            <w:r>
              <w:t>50.0</w:t>
            </w:r>
          </w:p>
        </w:tc>
        <w:tc>
          <w:tcPr>
            <w:tcW w:w="1308" w:type="pct"/>
            <w:shd w:val="clear" w:color="auto" w:fill="auto"/>
            <w:noWrap/>
            <w:vAlign w:val="center"/>
          </w:tcPr>
          <w:p>
            <w:pPr>
              <w:pStyle w:val="63"/>
            </w:pPr>
            <w:r>
              <w:t>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pStyle w:val="63"/>
            </w:pPr>
            <w:r>
              <w:t>大浦镇</w:t>
            </w:r>
          </w:p>
        </w:tc>
        <w:tc>
          <w:tcPr>
            <w:tcW w:w="620" w:type="pct"/>
            <w:shd w:val="clear" w:color="auto" w:fill="auto"/>
            <w:noWrap/>
            <w:vAlign w:val="center"/>
          </w:tcPr>
          <w:p>
            <w:pPr>
              <w:pStyle w:val="63"/>
            </w:pPr>
            <w:r>
              <w:t>1小时</w:t>
            </w:r>
          </w:p>
        </w:tc>
        <w:tc>
          <w:tcPr>
            <w:tcW w:w="1042" w:type="pct"/>
            <w:shd w:val="clear" w:color="auto" w:fill="auto"/>
            <w:noWrap/>
            <w:vAlign w:val="center"/>
          </w:tcPr>
          <w:p>
            <w:pPr>
              <w:pStyle w:val="63"/>
            </w:pPr>
            <w:r>
              <w:t>2.11</w:t>
            </w:r>
          </w:p>
        </w:tc>
        <w:tc>
          <w:tcPr>
            <w:tcW w:w="1042" w:type="pct"/>
            <w:shd w:val="clear" w:color="auto" w:fill="auto"/>
            <w:noWrap/>
            <w:vAlign w:val="center"/>
          </w:tcPr>
          <w:p>
            <w:pPr>
              <w:pStyle w:val="63"/>
            </w:pPr>
            <w:r>
              <w:t>250.0</w:t>
            </w:r>
          </w:p>
        </w:tc>
        <w:tc>
          <w:tcPr>
            <w:tcW w:w="1308" w:type="pct"/>
            <w:shd w:val="clear" w:color="auto" w:fill="auto"/>
            <w:noWrap/>
            <w:vAlign w:val="center"/>
          </w:tcPr>
          <w:p>
            <w:pPr>
              <w:pStyle w:val="63"/>
            </w:pPr>
            <w:r>
              <w:t>0.84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日平均</w:t>
            </w:r>
          </w:p>
        </w:tc>
        <w:tc>
          <w:tcPr>
            <w:tcW w:w="1042" w:type="pct"/>
            <w:shd w:val="clear" w:color="auto" w:fill="auto"/>
            <w:noWrap/>
            <w:vAlign w:val="center"/>
          </w:tcPr>
          <w:p>
            <w:pPr>
              <w:pStyle w:val="63"/>
            </w:pPr>
            <w:r>
              <w:t>0.32</w:t>
            </w:r>
          </w:p>
        </w:tc>
        <w:tc>
          <w:tcPr>
            <w:tcW w:w="1042" w:type="pct"/>
            <w:shd w:val="clear" w:color="auto" w:fill="auto"/>
            <w:noWrap/>
            <w:vAlign w:val="center"/>
          </w:tcPr>
          <w:p>
            <w:pPr>
              <w:pStyle w:val="63"/>
            </w:pPr>
            <w:r>
              <w:t>100.0</w:t>
            </w:r>
          </w:p>
        </w:tc>
        <w:tc>
          <w:tcPr>
            <w:tcW w:w="1308" w:type="pct"/>
            <w:shd w:val="clear" w:color="auto" w:fill="auto"/>
            <w:noWrap/>
            <w:vAlign w:val="center"/>
          </w:tcPr>
          <w:p>
            <w:pPr>
              <w:pStyle w:val="63"/>
            </w:pPr>
            <w:r>
              <w:t>0.32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年平均</w:t>
            </w:r>
          </w:p>
        </w:tc>
        <w:tc>
          <w:tcPr>
            <w:tcW w:w="1042" w:type="pct"/>
            <w:shd w:val="clear" w:color="auto" w:fill="auto"/>
            <w:noWrap/>
            <w:vAlign w:val="center"/>
          </w:tcPr>
          <w:p>
            <w:pPr>
              <w:pStyle w:val="63"/>
            </w:pPr>
            <w:r>
              <w:t>0.07</w:t>
            </w:r>
          </w:p>
        </w:tc>
        <w:tc>
          <w:tcPr>
            <w:tcW w:w="1042" w:type="pct"/>
            <w:shd w:val="clear" w:color="auto" w:fill="auto"/>
            <w:noWrap/>
            <w:vAlign w:val="center"/>
          </w:tcPr>
          <w:p>
            <w:pPr>
              <w:pStyle w:val="63"/>
            </w:pPr>
            <w:r>
              <w:t>50.0</w:t>
            </w:r>
          </w:p>
        </w:tc>
        <w:tc>
          <w:tcPr>
            <w:tcW w:w="1308" w:type="pct"/>
            <w:shd w:val="clear" w:color="auto" w:fill="auto"/>
            <w:noWrap/>
            <w:vAlign w:val="center"/>
          </w:tcPr>
          <w:p>
            <w:pPr>
              <w:pStyle w:val="63"/>
            </w:pPr>
            <w:r>
              <w:t>0.13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pStyle w:val="63"/>
            </w:pPr>
            <w:r>
              <w:t>炉铺村</w:t>
            </w:r>
          </w:p>
        </w:tc>
        <w:tc>
          <w:tcPr>
            <w:tcW w:w="620" w:type="pct"/>
            <w:shd w:val="clear" w:color="auto" w:fill="auto"/>
            <w:noWrap/>
            <w:vAlign w:val="center"/>
          </w:tcPr>
          <w:p>
            <w:pPr>
              <w:pStyle w:val="63"/>
            </w:pPr>
            <w:r>
              <w:t>1小时</w:t>
            </w:r>
          </w:p>
        </w:tc>
        <w:tc>
          <w:tcPr>
            <w:tcW w:w="1042" w:type="pct"/>
            <w:shd w:val="clear" w:color="auto" w:fill="auto"/>
            <w:noWrap/>
            <w:vAlign w:val="center"/>
          </w:tcPr>
          <w:p>
            <w:pPr>
              <w:pStyle w:val="63"/>
            </w:pPr>
            <w:r>
              <w:t>2.51</w:t>
            </w:r>
          </w:p>
        </w:tc>
        <w:tc>
          <w:tcPr>
            <w:tcW w:w="1042" w:type="pct"/>
            <w:shd w:val="clear" w:color="auto" w:fill="auto"/>
            <w:noWrap/>
            <w:vAlign w:val="center"/>
          </w:tcPr>
          <w:p>
            <w:pPr>
              <w:pStyle w:val="63"/>
            </w:pPr>
            <w:r>
              <w:t>250.0</w:t>
            </w:r>
          </w:p>
        </w:tc>
        <w:tc>
          <w:tcPr>
            <w:tcW w:w="1308" w:type="pct"/>
            <w:shd w:val="clear" w:color="auto" w:fill="auto"/>
            <w:noWrap/>
            <w:vAlign w:val="center"/>
          </w:tcPr>
          <w:p>
            <w:pPr>
              <w:pStyle w:val="63"/>
            </w:pPr>
            <w:r>
              <w:t>1.01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日平均</w:t>
            </w:r>
          </w:p>
        </w:tc>
        <w:tc>
          <w:tcPr>
            <w:tcW w:w="1042" w:type="pct"/>
            <w:shd w:val="clear" w:color="auto" w:fill="auto"/>
            <w:noWrap/>
            <w:vAlign w:val="center"/>
          </w:tcPr>
          <w:p>
            <w:pPr>
              <w:pStyle w:val="63"/>
            </w:pPr>
            <w:r>
              <w:t>0.42</w:t>
            </w:r>
          </w:p>
        </w:tc>
        <w:tc>
          <w:tcPr>
            <w:tcW w:w="1042" w:type="pct"/>
            <w:shd w:val="clear" w:color="auto" w:fill="auto"/>
            <w:noWrap/>
            <w:vAlign w:val="center"/>
          </w:tcPr>
          <w:p>
            <w:pPr>
              <w:pStyle w:val="63"/>
            </w:pPr>
            <w:r>
              <w:t>100.0</w:t>
            </w:r>
          </w:p>
        </w:tc>
        <w:tc>
          <w:tcPr>
            <w:tcW w:w="1308" w:type="pct"/>
            <w:shd w:val="clear" w:color="auto" w:fill="auto"/>
            <w:noWrap/>
            <w:vAlign w:val="center"/>
          </w:tcPr>
          <w:p>
            <w:pPr>
              <w:pStyle w:val="63"/>
            </w:pPr>
            <w:r>
              <w:t>0.42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年平均</w:t>
            </w:r>
          </w:p>
        </w:tc>
        <w:tc>
          <w:tcPr>
            <w:tcW w:w="1042" w:type="pct"/>
            <w:shd w:val="clear" w:color="auto" w:fill="auto"/>
            <w:noWrap/>
            <w:vAlign w:val="center"/>
          </w:tcPr>
          <w:p>
            <w:pPr>
              <w:pStyle w:val="63"/>
            </w:pPr>
            <w:r>
              <w:t>0.06</w:t>
            </w:r>
          </w:p>
        </w:tc>
        <w:tc>
          <w:tcPr>
            <w:tcW w:w="1042" w:type="pct"/>
            <w:shd w:val="clear" w:color="auto" w:fill="auto"/>
            <w:noWrap/>
            <w:vAlign w:val="center"/>
          </w:tcPr>
          <w:p>
            <w:pPr>
              <w:pStyle w:val="63"/>
            </w:pPr>
            <w:r>
              <w:t>50.0</w:t>
            </w:r>
          </w:p>
        </w:tc>
        <w:tc>
          <w:tcPr>
            <w:tcW w:w="1308" w:type="pct"/>
            <w:shd w:val="clear" w:color="auto" w:fill="auto"/>
            <w:noWrap/>
            <w:vAlign w:val="center"/>
          </w:tcPr>
          <w:p>
            <w:pPr>
              <w:pStyle w:val="63"/>
            </w:pPr>
            <w:r>
              <w:t>0.12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pStyle w:val="63"/>
            </w:pPr>
            <w:r>
              <w:t>堰桥村</w:t>
            </w:r>
          </w:p>
        </w:tc>
        <w:tc>
          <w:tcPr>
            <w:tcW w:w="620" w:type="pct"/>
            <w:shd w:val="clear" w:color="auto" w:fill="auto"/>
            <w:noWrap/>
            <w:vAlign w:val="center"/>
          </w:tcPr>
          <w:p>
            <w:pPr>
              <w:pStyle w:val="63"/>
            </w:pPr>
            <w:r>
              <w:t>1小时</w:t>
            </w:r>
          </w:p>
        </w:tc>
        <w:tc>
          <w:tcPr>
            <w:tcW w:w="1042" w:type="pct"/>
            <w:shd w:val="clear" w:color="auto" w:fill="auto"/>
            <w:noWrap/>
            <w:vAlign w:val="center"/>
          </w:tcPr>
          <w:p>
            <w:pPr>
              <w:pStyle w:val="63"/>
            </w:pPr>
            <w:r>
              <w:t>1.77</w:t>
            </w:r>
          </w:p>
        </w:tc>
        <w:tc>
          <w:tcPr>
            <w:tcW w:w="1042" w:type="pct"/>
            <w:shd w:val="clear" w:color="auto" w:fill="auto"/>
            <w:noWrap/>
            <w:vAlign w:val="center"/>
          </w:tcPr>
          <w:p>
            <w:pPr>
              <w:pStyle w:val="63"/>
            </w:pPr>
            <w:r>
              <w:t>250.0</w:t>
            </w:r>
          </w:p>
        </w:tc>
        <w:tc>
          <w:tcPr>
            <w:tcW w:w="1308" w:type="pct"/>
            <w:shd w:val="clear" w:color="auto" w:fill="auto"/>
            <w:noWrap/>
            <w:vAlign w:val="center"/>
          </w:tcPr>
          <w:p>
            <w:pPr>
              <w:pStyle w:val="63"/>
            </w:pPr>
            <w:r>
              <w:t>0.71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日平均</w:t>
            </w:r>
          </w:p>
        </w:tc>
        <w:tc>
          <w:tcPr>
            <w:tcW w:w="1042" w:type="pct"/>
            <w:shd w:val="clear" w:color="auto" w:fill="auto"/>
            <w:noWrap/>
            <w:vAlign w:val="center"/>
          </w:tcPr>
          <w:p>
            <w:pPr>
              <w:pStyle w:val="63"/>
            </w:pPr>
            <w:r>
              <w:t>0.23</w:t>
            </w:r>
          </w:p>
        </w:tc>
        <w:tc>
          <w:tcPr>
            <w:tcW w:w="1042" w:type="pct"/>
            <w:shd w:val="clear" w:color="auto" w:fill="auto"/>
            <w:noWrap/>
            <w:vAlign w:val="center"/>
          </w:tcPr>
          <w:p>
            <w:pPr>
              <w:pStyle w:val="63"/>
            </w:pPr>
            <w:r>
              <w:t>100.0</w:t>
            </w:r>
          </w:p>
        </w:tc>
        <w:tc>
          <w:tcPr>
            <w:tcW w:w="1308" w:type="pct"/>
            <w:shd w:val="clear" w:color="auto" w:fill="auto"/>
            <w:noWrap/>
            <w:vAlign w:val="center"/>
          </w:tcPr>
          <w:p>
            <w:pPr>
              <w:pStyle w:val="63"/>
            </w:pPr>
            <w:r>
              <w:t>0.23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年平均</w:t>
            </w:r>
          </w:p>
        </w:tc>
        <w:tc>
          <w:tcPr>
            <w:tcW w:w="1042" w:type="pct"/>
            <w:shd w:val="clear" w:color="auto" w:fill="auto"/>
            <w:noWrap/>
            <w:vAlign w:val="center"/>
          </w:tcPr>
          <w:p>
            <w:pPr>
              <w:pStyle w:val="63"/>
            </w:pPr>
            <w:r>
              <w:t>0.02</w:t>
            </w:r>
          </w:p>
        </w:tc>
        <w:tc>
          <w:tcPr>
            <w:tcW w:w="1042" w:type="pct"/>
            <w:shd w:val="clear" w:color="auto" w:fill="auto"/>
            <w:noWrap/>
            <w:vAlign w:val="center"/>
          </w:tcPr>
          <w:p>
            <w:pPr>
              <w:pStyle w:val="63"/>
            </w:pPr>
            <w:r>
              <w:t>50.0</w:t>
            </w:r>
          </w:p>
        </w:tc>
        <w:tc>
          <w:tcPr>
            <w:tcW w:w="1308" w:type="pct"/>
            <w:shd w:val="clear" w:color="auto" w:fill="auto"/>
            <w:noWrap/>
            <w:vAlign w:val="center"/>
          </w:tcPr>
          <w:p>
            <w:pPr>
              <w:pStyle w:val="63"/>
            </w:pPr>
            <w:r>
              <w:t>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pStyle w:val="63"/>
            </w:pPr>
            <w:r>
              <w:t>安置区</w:t>
            </w:r>
          </w:p>
        </w:tc>
        <w:tc>
          <w:tcPr>
            <w:tcW w:w="620" w:type="pct"/>
            <w:shd w:val="clear" w:color="auto" w:fill="auto"/>
            <w:noWrap/>
            <w:vAlign w:val="center"/>
          </w:tcPr>
          <w:p>
            <w:pPr>
              <w:pStyle w:val="63"/>
            </w:pPr>
            <w:r>
              <w:t>1小时</w:t>
            </w:r>
          </w:p>
        </w:tc>
        <w:tc>
          <w:tcPr>
            <w:tcW w:w="1042" w:type="pct"/>
            <w:shd w:val="clear" w:color="auto" w:fill="auto"/>
            <w:noWrap/>
            <w:vAlign w:val="center"/>
          </w:tcPr>
          <w:p>
            <w:pPr>
              <w:pStyle w:val="63"/>
            </w:pPr>
            <w:r>
              <w:t>2.62</w:t>
            </w:r>
          </w:p>
        </w:tc>
        <w:tc>
          <w:tcPr>
            <w:tcW w:w="1042" w:type="pct"/>
            <w:shd w:val="clear" w:color="auto" w:fill="auto"/>
            <w:noWrap/>
            <w:vAlign w:val="center"/>
          </w:tcPr>
          <w:p>
            <w:pPr>
              <w:pStyle w:val="63"/>
            </w:pPr>
            <w:r>
              <w:t>250.0</w:t>
            </w:r>
          </w:p>
        </w:tc>
        <w:tc>
          <w:tcPr>
            <w:tcW w:w="1308" w:type="pct"/>
            <w:shd w:val="clear" w:color="auto" w:fill="auto"/>
            <w:noWrap/>
            <w:vAlign w:val="center"/>
          </w:tcPr>
          <w:p>
            <w:pPr>
              <w:pStyle w:val="63"/>
            </w:pPr>
            <w:r>
              <w:t>1.05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日平均</w:t>
            </w:r>
          </w:p>
        </w:tc>
        <w:tc>
          <w:tcPr>
            <w:tcW w:w="1042" w:type="pct"/>
            <w:shd w:val="clear" w:color="auto" w:fill="auto"/>
            <w:noWrap/>
            <w:vAlign w:val="center"/>
          </w:tcPr>
          <w:p>
            <w:pPr>
              <w:pStyle w:val="63"/>
            </w:pPr>
            <w:r>
              <w:t>0.47</w:t>
            </w:r>
          </w:p>
        </w:tc>
        <w:tc>
          <w:tcPr>
            <w:tcW w:w="1042" w:type="pct"/>
            <w:shd w:val="clear" w:color="auto" w:fill="auto"/>
            <w:noWrap/>
            <w:vAlign w:val="center"/>
          </w:tcPr>
          <w:p>
            <w:pPr>
              <w:pStyle w:val="63"/>
            </w:pPr>
            <w:r>
              <w:t>100.0</w:t>
            </w:r>
          </w:p>
        </w:tc>
        <w:tc>
          <w:tcPr>
            <w:tcW w:w="1308" w:type="pct"/>
            <w:shd w:val="clear" w:color="auto" w:fill="auto"/>
            <w:noWrap/>
            <w:vAlign w:val="center"/>
          </w:tcPr>
          <w:p>
            <w:pPr>
              <w:pStyle w:val="63"/>
            </w:pPr>
            <w:r>
              <w:t>0.47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年平均</w:t>
            </w:r>
          </w:p>
        </w:tc>
        <w:tc>
          <w:tcPr>
            <w:tcW w:w="1042" w:type="pct"/>
            <w:shd w:val="clear" w:color="auto" w:fill="auto"/>
            <w:noWrap/>
            <w:vAlign w:val="center"/>
          </w:tcPr>
          <w:p>
            <w:pPr>
              <w:pStyle w:val="63"/>
            </w:pPr>
            <w:r>
              <w:t>0.05</w:t>
            </w:r>
          </w:p>
        </w:tc>
        <w:tc>
          <w:tcPr>
            <w:tcW w:w="1042" w:type="pct"/>
            <w:shd w:val="clear" w:color="auto" w:fill="auto"/>
            <w:noWrap/>
            <w:vAlign w:val="center"/>
          </w:tcPr>
          <w:p>
            <w:pPr>
              <w:pStyle w:val="63"/>
            </w:pPr>
            <w:r>
              <w:t>50.0</w:t>
            </w:r>
          </w:p>
        </w:tc>
        <w:tc>
          <w:tcPr>
            <w:tcW w:w="1308" w:type="pct"/>
            <w:shd w:val="clear" w:color="auto" w:fill="auto"/>
            <w:noWrap/>
            <w:vAlign w:val="center"/>
          </w:tcPr>
          <w:p>
            <w:pPr>
              <w:pStyle w:val="63"/>
            </w:pPr>
            <w:r>
              <w:t>0.10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pStyle w:val="63"/>
            </w:pPr>
            <w:r>
              <w:t>爱国医院</w:t>
            </w:r>
          </w:p>
        </w:tc>
        <w:tc>
          <w:tcPr>
            <w:tcW w:w="620" w:type="pct"/>
            <w:shd w:val="clear" w:color="auto" w:fill="auto"/>
            <w:noWrap/>
            <w:vAlign w:val="center"/>
          </w:tcPr>
          <w:p>
            <w:pPr>
              <w:pStyle w:val="63"/>
            </w:pPr>
            <w:r>
              <w:t>1小时</w:t>
            </w:r>
          </w:p>
        </w:tc>
        <w:tc>
          <w:tcPr>
            <w:tcW w:w="1042" w:type="pct"/>
            <w:shd w:val="clear" w:color="auto" w:fill="auto"/>
            <w:noWrap/>
            <w:vAlign w:val="center"/>
          </w:tcPr>
          <w:p>
            <w:pPr>
              <w:pStyle w:val="63"/>
            </w:pPr>
            <w:r>
              <w:t>2.80</w:t>
            </w:r>
          </w:p>
        </w:tc>
        <w:tc>
          <w:tcPr>
            <w:tcW w:w="1042" w:type="pct"/>
            <w:shd w:val="clear" w:color="auto" w:fill="auto"/>
            <w:noWrap/>
            <w:vAlign w:val="center"/>
          </w:tcPr>
          <w:p>
            <w:pPr>
              <w:pStyle w:val="63"/>
            </w:pPr>
            <w:r>
              <w:t>250.0</w:t>
            </w:r>
          </w:p>
        </w:tc>
        <w:tc>
          <w:tcPr>
            <w:tcW w:w="1308" w:type="pct"/>
            <w:shd w:val="clear" w:color="auto" w:fill="auto"/>
            <w:noWrap/>
            <w:vAlign w:val="center"/>
          </w:tcPr>
          <w:p>
            <w:pPr>
              <w:pStyle w:val="63"/>
            </w:pPr>
            <w:r>
              <w:t>1.12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日平均</w:t>
            </w:r>
          </w:p>
        </w:tc>
        <w:tc>
          <w:tcPr>
            <w:tcW w:w="1042" w:type="pct"/>
            <w:shd w:val="clear" w:color="auto" w:fill="auto"/>
            <w:noWrap/>
            <w:vAlign w:val="center"/>
          </w:tcPr>
          <w:p>
            <w:pPr>
              <w:pStyle w:val="63"/>
            </w:pPr>
            <w:r>
              <w:t>0.38</w:t>
            </w:r>
          </w:p>
        </w:tc>
        <w:tc>
          <w:tcPr>
            <w:tcW w:w="1042" w:type="pct"/>
            <w:shd w:val="clear" w:color="auto" w:fill="auto"/>
            <w:noWrap/>
            <w:vAlign w:val="center"/>
          </w:tcPr>
          <w:p>
            <w:pPr>
              <w:pStyle w:val="63"/>
            </w:pPr>
            <w:r>
              <w:t>100.0</w:t>
            </w:r>
          </w:p>
        </w:tc>
        <w:tc>
          <w:tcPr>
            <w:tcW w:w="1308" w:type="pct"/>
            <w:shd w:val="clear" w:color="auto" w:fill="auto"/>
            <w:noWrap/>
            <w:vAlign w:val="center"/>
          </w:tcPr>
          <w:p>
            <w:pPr>
              <w:pStyle w:val="63"/>
            </w:pPr>
            <w:r>
              <w:t>0.38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年平均</w:t>
            </w:r>
          </w:p>
        </w:tc>
        <w:tc>
          <w:tcPr>
            <w:tcW w:w="1042" w:type="pct"/>
            <w:shd w:val="clear" w:color="auto" w:fill="auto"/>
            <w:noWrap/>
            <w:vAlign w:val="center"/>
          </w:tcPr>
          <w:p>
            <w:pPr>
              <w:pStyle w:val="63"/>
            </w:pPr>
            <w:r>
              <w:t>0.05</w:t>
            </w:r>
          </w:p>
        </w:tc>
        <w:tc>
          <w:tcPr>
            <w:tcW w:w="1042" w:type="pct"/>
            <w:shd w:val="clear" w:color="auto" w:fill="auto"/>
            <w:noWrap/>
            <w:vAlign w:val="center"/>
          </w:tcPr>
          <w:p>
            <w:pPr>
              <w:pStyle w:val="63"/>
            </w:pPr>
            <w:r>
              <w:t>50.0</w:t>
            </w:r>
          </w:p>
        </w:tc>
        <w:tc>
          <w:tcPr>
            <w:tcW w:w="1308" w:type="pct"/>
            <w:shd w:val="clear" w:color="auto" w:fill="auto"/>
            <w:noWrap/>
            <w:vAlign w:val="center"/>
          </w:tcPr>
          <w:p>
            <w:pPr>
              <w:pStyle w:val="63"/>
            </w:pPr>
            <w:r>
              <w:t>0.10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pStyle w:val="63"/>
            </w:pPr>
            <w:r>
              <w:t>罗家老屋</w:t>
            </w:r>
          </w:p>
        </w:tc>
        <w:tc>
          <w:tcPr>
            <w:tcW w:w="620" w:type="pct"/>
            <w:shd w:val="clear" w:color="auto" w:fill="auto"/>
            <w:noWrap/>
            <w:vAlign w:val="center"/>
          </w:tcPr>
          <w:p>
            <w:pPr>
              <w:pStyle w:val="63"/>
            </w:pPr>
            <w:r>
              <w:t>1小时</w:t>
            </w:r>
          </w:p>
        </w:tc>
        <w:tc>
          <w:tcPr>
            <w:tcW w:w="1042" w:type="pct"/>
            <w:shd w:val="clear" w:color="auto" w:fill="auto"/>
            <w:noWrap/>
            <w:vAlign w:val="center"/>
          </w:tcPr>
          <w:p>
            <w:pPr>
              <w:pStyle w:val="63"/>
            </w:pPr>
            <w:r>
              <w:t>2.18</w:t>
            </w:r>
          </w:p>
        </w:tc>
        <w:tc>
          <w:tcPr>
            <w:tcW w:w="1042" w:type="pct"/>
            <w:shd w:val="clear" w:color="auto" w:fill="auto"/>
            <w:noWrap/>
            <w:vAlign w:val="center"/>
          </w:tcPr>
          <w:p>
            <w:pPr>
              <w:pStyle w:val="63"/>
            </w:pPr>
            <w:r>
              <w:t>250.0</w:t>
            </w:r>
          </w:p>
        </w:tc>
        <w:tc>
          <w:tcPr>
            <w:tcW w:w="1308" w:type="pct"/>
            <w:shd w:val="clear" w:color="auto" w:fill="auto"/>
            <w:noWrap/>
            <w:vAlign w:val="center"/>
          </w:tcPr>
          <w:p>
            <w:pPr>
              <w:pStyle w:val="63"/>
            </w:pPr>
            <w:r>
              <w:t>0.87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日平均</w:t>
            </w:r>
          </w:p>
        </w:tc>
        <w:tc>
          <w:tcPr>
            <w:tcW w:w="1042" w:type="pct"/>
            <w:shd w:val="clear" w:color="auto" w:fill="auto"/>
            <w:noWrap/>
            <w:vAlign w:val="center"/>
          </w:tcPr>
          <w:p>
            <w:pPr>
              <w:pStyle w:val="63"/>
            </w:pPr>
            <w:r>
              <w:t>0.19</w:t>
            </w:r>
          </w:p>
        </w:tc>
        <w:tc>
          <w:tcPr>
            <w:tcW w:w="1042" w:type="pct"/>
            <w:shd w:val="clear" w:color="auto" w:fill="auto"/>
            <w:noWrap/>
            <w:vAlign w:val="center"/>
          </w:tcPr>
          <w:p>
            <w:pPr>
              <w:pStyle w:val="63"/>
            </w:pPr>
            <w:r>
              <w:t>100.0</w:t>
            </w:r>
          </w:p>
        </w:tc>
        <w:tc>
          <w:tcPr>
            <w:tcW w:w="1308" w:type="pct"/>
            <w:shd w:val="clear" w:color="auto" w:fill="auto"/>
            <w:noWrap/>
            <w:vAlign w:val="center"/>
          </w:tcPr>
          <w:p>
            <w:pPr>
              <w:pStyle w:val="63"/>
            </w:pPr>
            <w:r>
              <w:t>0.19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年平均</w:t>
            </w:r>
          </w:p>
        </w:tc>
        <w:tc>
          <w:tcPr>
            <w:tcW w:w="1042" w:type="pct"/>
            <w:shd w:val="clear" w:color="auto" w:fill="auto"/>
            <w:noWrap/>
            <w:vAlign w:val="center"/>
          </w:tcPr>
          <w:p>
            <w:pPr>
              <w:pStyle w:val="63"/>
            </w:pPr>
            <w:r>
              <w:t>0.02</w:t>
            </w:r>
          </w:p>
        </w:tc>
        <w:tc>
          <w:tcPr>
            <w:tcW w:w="1042" w:type="pct"/>
            <w:shd w:val="clear" w:color="auto" w:fill="auto"/>
            <w:noWrap/>
            <w:vAlign w:val="center"/>
          </w:tcPr>
          <w:p>
            <w:pPr>
              <w:pStyle w:val="63"/>
            </w:pPr>
            <w:r>
              <w:t>50.0</w:t>
            </w:r>
          </w:p>
        </w:tc>
        <w:tc>
          <w:tcPr>
            <w:tcW w:w="1308" w:type="pct"/>
            <w:shd w:val="clear" w:color="auto" w:fill="auto"/>
            <w:noWrap/>
            <w:vAlign w:val="center"/>
          </w:tcPr>
          <w:p>
            <w:pPr>
              <w:pStyle w:val="63"/>
            </w:pPr>
            <w:r>
              <w:t>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pStyle w:val="63"/>
            </w:pPr>
            <w:r>
              <w:t>北头村</w:t>
            </w:r>
          </w:p>
        </w:tc>
        <w:tc>
          <w:tcPr>
            <w:tcW w:w="620" w:type="pct"/>
            <w:shd w:val="clear" w:color="auto" w:fill="auto"/>
            <w:noWrap/>
            <w:vAlign w:val="center"/>
          </w:tcPr>
          <w:p>
            <w:pPr>
              <w:pStyle w:val="63"/>
            </w:pPr>
            <w:r>
              <w:t>1小时</w:t>
            </w:r>
          </w:p>
        </w:tc>
        <w:tc>
          <w:tcPr>
            <w:tcW w:w="1042" w:type="pct"/>
            <w:shd w:val="clear" w:color="auto" w:fill="auto"/>
            <w:noWrap/>
            <w:vAlign w:val="center"/>
          </w:tcPr>
          <w:p>
            <w:pPr>
              <w:pStyle w:val="63"/>
            </w:pPr>
            <w:r>
              <w:t>3.64</w:t>
            </w:r>
          </w:p>
        </w:tc>
        <w:tc>
          <w:tcPr>
            <w:tcW w:w="1042" w:type="pct"/>
            <w:shd w:val="clear" w:color="auto" w:fill="auto"/>
            <w:noWrap/>
            <w:vAlign w:val="center"/>
          </w:tcPr>
          <w:p>
            <w:pPr>
              <w:pStyle w:val="63"/>
            </w:pPr>
            <w:r>
              <w:t>250.0</w:t>
            </w:r>
          </w:p>
        </w:tc>
        <w:tc>
          <w:tcPr>
            <w:tcW w:w="1308" w:type="pct"/>
            <w:shd w:val="clear" w:color="auto" w:fill="auto"/>
            <w:noWrap/>
            <w:vAlign w:val="center"/>
          </w:tcPr>
          <w:p>
            <w:pPr>
              <w:pStyle w:val="63"/>
            </w:pPr>
            <w:r>
              <w:t>1.46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日平均</w:t>
            </w:r>
          </w:p>
        </w:tc>
        <w:tc>
          <w:tcPr>
            <w:tcW w:w="1042" w:type="pct"/>
            <w:shd w:val="clear" w:color="auto" w:fill="auto"/>
            <w:noWrap/>
            <w:vAlign w:val="center"/>
          </w:tcPr>
          <w:p>
            <w:pPr>
              <w:pStyle w:val="63"/>
            </w:pPr>
            <w:r>
              <w:t>0.49</w:t>
            </w:r>
          </w:p>
        </w:tc>
        <w:tc>
          <w:tcPr>
            <w:tcW w:w="1042" w:type="pct"/>
            <w:shd w:val="clear" w:color="auto" w:fill="auto"/>
            <w:noWrap/>
            <w:vAlign w:val="center"/>
          </w:tcPr>
          <w:p>
            <w:pPr>
              <w:pStyle w:val="63"/>
            </w:pPr>
            <w:r>
              <w:t>100.0</w:t>
            </w:r>
          </w:p>
        </w:tc>
        <w:tc>
          <w:tcPr>
            <w:tcW w:w="1308" w:type="pct"/>
            <w:shd w:val="clear" w:color="auto" w:fill="auto"/>
            <w:noWrap/>
            <w:vAlign w:val="center"/>
          </w:tcPr>
          <w:p>
            <w:pPr>
              <w:pStyle w:val="63"/>
            </w:pPr>
            <w:r>
              <w:t>0.49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年平均</w:t>
            </w:r>
          </w:p>
        </w:tc>
        <w:tc>
          <w:tcPr>
            <w:tcW w:w="1042" w:type="pct"/>
            <w:shd w:val="clear" w:color="auto" w:fill="auto"/>
            <w:noWrap/>
            <w:vAlign w:val="center"/>
          </w:tcPr>
          <w:p>
            <w:pPr>
              <w:pStyle w:val="63"/>
            </w:pPr>
            <w:r>
              <w:t>0.06</w:t>
            </w:r>
          </w:p>
        </w:tc>
        <w:tc>
          <w:tcPr>
            <w:tcW w:w="1042" w:type="pct"/>
            <w:shd w:val="clear" w:color="auto" w:fill="auto"/>
            <w:noWrap/>
            <w:vAlign w:val="center"/>
          </w:tcPr>
          <w:p>
            <w:pPr>
              <w:pStyle w:val="63"/>
            </w:pPr>
            <w:r>
              <w:t>50.0</w:t>
            </w:r>
          </w:p>
        </w:tc>
        <w:tc>
          <w:tcPr>
            <w:tcW w:w="1308" w:type="pct"/>
            <w:shd w:val="clear" w:color="auto" w:fill="auto"/>
            <w:noWrap/>
            <w:vAlign w:val="center"/>
          </w:tcPr>
          <w:p>
            <w:pPr>
              <w:pStyle w:val="63"/>
            </w:pPr>
            <w:r>
              <w:t>0.12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pStyle w:val="63"/>
            </w:pPr>
            <w:r>
              <w:t>龙家冲</w:t>
            </w:r>
          </w:p>
        </w:tc>
        <w:tc>
          <w:tcPr>
            <w:tcW w:w="620" w:type="pct"/>
            <w:shd w:val="clear" w:color="auto" w:fill="auto"/>
            <w:noWrap/>
            <w:vAlign w:val="center"/>
          </w:tcPr>
          <w:p>
            <w:pPr>
              <w:pStyle w:val="63"/>
            </w:pPr>
            <w:r>
              <w:t>1小时</w:t>
            </w:r>
          </w:p>
        </w:tc>
        <w:tc>
          <w:tcPr>
            <w:tcW w:w="1042" w:type="pct"/>
            <w:shd w:val="clear" w:color="auto" w:fill="auto"/>
            <w:noWrap/>
            <w:vAlign w:val="center"/>
          </w:tcPr>
          <w:p>
            <w:pPr>
              <w:pStyle w:val="63"/>
            </w:pPr>
            <w:r>
              <w:t>2.15</w:t>
            </w:r>
          </w:p>
        </w:tc>
        <w:tc>
          <w:tcPr>
            <w:tcW w:w="1042" w:type="pct"/>
            <w:shd w:val="clear" w:color="auto" w:fill="auto"/>
            <w:noWrap/>
            <w:vAlign w:val="center"/>
          </w:tcPr>
          <w:p>
            <w:pPr>
              <w:pStyle w:val="63"/>
            </w:pPr>
            <w:r>
              <w:t>250.0</w:t>
            </w:r>
          </w:p>
        </w:tc>
        <w:tc>
          <w:tcPr>
            <w:tcW w:w="1308" w:type="pct"/>
            <w:shd w:val="clear" w:color="auto" w:fill="auto"/>
            <w:noWrap/>
            <w:vAlign w:val="center"/>
          </w:tcPr>
          <w:p>
            <w:pPr>
              <w:pStyle w:val="63"/>
            </w:pPr>
            <w:r>
              <w:t>0.86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日平均</w:t>
            </w:r>
          </w:p>
        </w:tc>
        <w:tc>
          <w:tcPr>
            <w:tcW w:w="1042" w:type="pct"/>
            <w:shd w:val="clear" w:color="auto" w:fill="auto"/>
            <w:noWrap/>
            <w:vAlign w:val="center"/>
          </w:tcPr>
          <w:p>
            <w:pPr>
              <w:pStyle w:val="63"/>
            </w:pPr>
            <w:r>
              <w:t>0.20</w:t>
            </w:r>
          </w:p>
        </w:tc>
        <w:tc>
          <w:tcPr>
            <w:tcW w:w="1042" w:type="pct"/>
            <w:shd w:val="clear" w:color="auto" w:fill="auto"/>
            <w:noWrap/>
            <w:vAlign w:val="center"/>
          </w:tcPr>
          <w:p>
            <w:pPr>
              <w:pStyle w:val="63"/>
            </w:pPr>
            <w:r>
              <w:t>100.0</w:t>
            </w:r>
          </w:p>
        </w:tc>
        <w:tc>
          <w:tcPr>
            <w:tcW w:w="1308" w:type="pct"/>
            <w:shd w:val="clear" w:color="auto" w:fill="auto"/>
            <w:noWrap/>
            <w:vAlign w:val="center"/>
          </w:tcPr>
          <w:p>
            <w:pPr>
              <w:pStyle w:val="63"/>
            </w:pPr>
            <w:r>
              <w:t>0.20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年平均</w:t>
            </w:r>
          </w:p>
        </w:tc>
        <w:tc>
          <w:tcPr>
            <w:tcW w:w="1042" w:type="pct"/>
            <w:shd w:val="clear" w:color="auto" w:fill="auto"/>
            <w:noWrap/>
            <w:vAlign w:val="center"/>
          </w:tcPr>
          <w:p>
            <w:pPr>
              <w:pStyle w:val="63"/>
            </w:pPr>
            <w:r>
              <w:t>0.02</w:t>
            </w:r>
          </w:p>
        </w:tc>
        <w:tc>
          <w:tcPr>
            <w:tcW w:w="1042" w:type="pct"/>
            <w:shd w:val="clear" w:color="auto" w:fill="auto"/>
            <w:noWrap/>
            <w:vAlign w:val="center"/>
          </w:tcPr>
          <w:p>
            <w:pPr>
              <w:pStyle w:val="63"/>
            </w:pPr>
            <w:r>
              <w:t>50.0</w:t>
            </w:r>
          </w:p>
        </w:tc>
        <w:tc>
          <w:tcPr>
            <w:tcW w:w="1308" w:type="pct"/>
            <w:shd w:val="clear" w:color="auto" w:fill="auto"/>
            <w:noWrap/>
            <w:vAlign w:val="center"/>
          </w:tcPr>
          <w:p>
            <w:pPr>
              <w:pStyle w:val="63"/>
            </w:pPr>
            <w:r>
              <w:t>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pStyle w:val="63"/>
            </w:pPr>
            <w:r>
              <w:t>平田村</w:t>
            </w:r>
          </w:p>
        </w:tc>
        <w:tc>
          <w:tcPr>
            <w:tcW w:w="620" w:type="pct"/>
            <w:shd w:val="clear" w:color="auto" w:fill="auto"/>
            <w:noWrap/>
            <w:vAlign w:val="center"/>
          </w:tcPr>
          <w:p>
            <w:pPr>
              <w:pStyle w:val="63"/>
            </w:pPr>
            <w:r>
              <w:t>1小时</w:t>
            </w:r>
          </w:p>
        </w:tc>
        <w:tc>
          <w:tcPr>
            <w:tcW w:w="1042" w:type="pct"/>
            <w:shd w:val="clear" w:color="auto" w:fill="auto"/>
            <w:noWrap/>
            <w:vAlign w:val="center"/>
          </w:tcPr>
          <w:p>
            <w:pPr>
              <w:pStyle w:val="63"/>
            </w:pPr>
            <w:r>
              <w:t>1.86</w:t>
            </w:r>
          </w:p>
        </w:tc>
        <w:tc>
          <w:tcPr>
            <w:tcW w:w="1042" w:type="pct"/>
            <w:shd w:val="clear" w:color="auto" w:fill="auto"/>
            <w:noWrap/>
            <w:vAlign w:val="center"/>
          </w:tcPr>
          <w:p>
            <w:pPr>
              <w:pStyle w:val="63"/>
            </w:pPr>
            <w:r>
              <w:t>250.0</w:t>
            </w:r>
          </w:p>
        </w:tc>
        <w:tc>
          <w:tcPr>
            <w:tcW w:w="1308" w:type="pct"/>
            <w:shd w:val="clear" w:color="auto" w:fill="auto"/>
            <w:noWrap/>
            <w:vAlign w:val="center"/>
          </w:tcPr>
          <w:p>
            <w:pPr>
              <w:pStyle w:val="63"/>
            </w:pPr>
            <w:r>
              <w:t>0.75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日平均</w:t>
            </w:r>
          </w:p>
        </w:tc>
        <w:tc>
          <w:tcPr>
            <w:tcW w:w="1042" w:type="pct"/>
            <w:shd w:val="clear" w:color="auto" w:fill="auto"/>
            <w:noWrap/>
            <w:vAlign w:val="center"/>
          </w:tcPr>
          <w:p>
            <w:pPr>
              <w:pStyle w:val="63"/>
            </w:pPr>
            <w:r>
              <w:t>0.17</w:t>
            </w:r>
          </w:p>
        </w:tc>
        <w:tc>
          <w:tcPr>
            <w:tcW w:w="1042" w:type="pct"/>
            <w:shd w:val="clear" w:color="auto" w:fill="auto"/>
            <w:noWrap/>
            <w:vAlign w:val="center"/>
          </w:tcPr>
          <w:p>
            <w:pPr>
              <w:pStyle w:val="63"/>
            </w:pPr>
            <w:r>
              <w:t>100.0</w:t>
            </w:r>
          </w:p>
        </w:tc>
        <w:tc>
          <w:tcPr>
            <w:tcW w:w="1308" w:type="pct"/>
            <w:shd w:val="clear" w:color="auto" w:fill="auto"/>
            <w:noWrap/>
            <w:vAlign w:val="center"/>
          </w:tcPr>
          <w:p>
            <w:pPr>
              <w:pStyle w:val="63"/>
            </w:pPr>
            <w:r>
              <w:t>0.17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年平均</w:t>
            </w:r>
          </w:p>
        </w:tc>
        <w:tc>
          <w:tcPr>
            <w:tcW w:w="1042" w:type="pct"/>
            <w:shd w:val="clear" w:color="auto" w:fill="auto"/>
            <w:noWrap/>
            <w:vAlign w:val="center"/>
          </w:tcPr>
          <w:p>
            <w:pPr>
              <w:pStyle w:val="63"/>
            </w:pPr>
            <w:r>
              <w:t>0.02</w:t>
            </w:r>
          </w:p>
        </w:tc>
        <w:tc>
          <w:tcPr>
            <w:tcW w:w="1042" w:type="pct"/>
            <w:shd w:val="clear" w:color="auto" w:fill="auto"/>
            <w:noWrap/>
            <w:vAlign w:val="center"/>
          </w:tcPr>
          <w:p>
            <w:pPr>
              <w:pStyle w:val="63"/>
            </w:pPr>
            <w:r>
              <w:t>50.0</w:t>
            </w:r>
          </w:p>
        </w:tc>
        <w:tc>
          <w:tcPr>
            <w:tcW w:w="1308" w:type="pct"/>
            <w:shd w:val="clear" w:color="auto" w:fill="auto"/>
            <w:noWrap/>
            <w:vAlign w:val="center"/>
          </w:tcPr>
          <w:p>
            <w:pPr>
              <w:pStyle w:val="63"/>
            </w:pPr>
            <w:r>
              <w:t>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restart"/>
            <w:shd w:val="clear" w:color="auto" w:fill="auto"/>
            <w:noWrap/>
            <w:vAlign w:val="center"/>
          </w:tcPr>
          <w:p>
            <w:pPr>
              <w:pStyle w:val="63"/>
            </w:pPr>
            <w:r>
              <w:t>彭家屋场</w:t>
            </w:r>
          </w:p>
        </w:tc>
        <w:tc>
          <w:tcPr>
            <w:tcW w:w="620" w:type="pct"/>
            <w:shd w:val="clear" w:color="auto" w:fill="auto"/>
            <w:noWrap/>
            <w:vAlign w:val="center"/>
          </w:tcPr>
          <w:p>
            <w:pPr>
              <w:pStyle w:val="63"/>
            </w:pPr>
            <w:r>
              <w:t>1小时</w:t>
            </w:r>
          </w:p>
        </w:tc>
        <w:tc>
          <w:tcPr>
            <w:tcW w:w="1042" w:type="pct"/>
            <w:shd w:val="clear" w:color="auto" w:fill="auto"/>
            <w:noWrap/>
            <w:vAlign w:val="center"/>
          </w:tcPr>
          <w:p>
            <w:pPr>
              <w:pStyle w:val="63"/>
            </w:pPr>
            <w:r>
              <w:t>3.60</w:t>
            </w:r>
          </w:p>
        </w:tc>
        <w:tc>
          <w:tcPr>
            <w:tcW w:w="1042" w:type="pct"/>
            <w:shd w:val="clear" w:color="auto" w:fill="auto"/>
            <w:noWrap/>
            <w:vAlign w:val="center"/>
          </w:tcPr>
          <w:p>
            <w:pPr>
              <w:pStyle w:val="63"/>
            </w:pPr>
            <w:r>
              <w:t>250.0</w:t>
            </w:r>
          </w:p>
        </w:tc>
        <w:tc>
          <w:tcPr>
            <w:tcW w:w="1308" w:type="pct"/>
            <w:shd w:val="clear" w:color="auto" w:fill="auto"/>
            <w:noWrap/>
            <w:vAlign w:val="center"/>
          </w:tcPr>
          <w:p>
            <w:pPr>
              <w:pStyle w:val="63"/>
            </w:pPr>
            <w:r>
              <w:t>1.44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日平均</w:t>
            </w:r>
          </w:p>
        </w:tc>
        <w:tc>
          <w:tcPr>
            <w:tcW w:w="1042" w:type="pct"/>
            <w:shd w:val="clear" w:color="auto" w:fill="auto"/>
            <w:noWrap/>
            <w:vAlign w:val="center"/>
          </w:tcPr>
          <w:p>
            <w:pPr>
              <w:pStyle w:val="63"/>
            </w:pPr>
            <w:r>
              <w:t>0.43</w:t>
            </w:r>
          </w:p>
        </w:tc>
        <w:tc>
          <w:tcPr>
            <w:tcW w:w="1042" w:type="pct"/>
            <w:shd w:val="clear" w:color="auto" w:fill="auto"/>
            <w:noWrap/>
            <w:vAlign w:val="center"/>
          </w:tcPr>
          <w:p>
            <w:pPr>
              <w:pStyle w:val="63"/>
            </w:pPr>
            <w:r>
              <w:t>100.0</w:t>
            </w:r>
          </w:p>
        </w:tc>
        <w:tc>
          <w:tcPr>
            <w:tcW w:w="1308" w:type="pct"/>
            <w:shd w:val="clear" w:color="auto" w:fill="auto"/>
            <w:noWrap/>
            <w:vAlign w:val="center"/>
          </w:tcPr>
          <w:p>
            <w:pPr>
              <w:pStyle w:val="63"/>
            </w:pPr>
            <w:r>
              <w:t>0.43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vMerge w:val="continue"/>
            <w:shd w:val="clear" w:color="auto" w:fill="auto"/>
            <w:noWrap/>
            <w:vAlign w:val="center"/>
          </w:tcPr>
          <w:p>
            <w:pPr>
              <w:pStyle w:val="63"/>
            </w:pPr>
          </w:p>
        </w:tc>
        <w:tc>
          <w:tcPr>
            <w:tcW w:w="620" w:type="pct"/>
            <w:shd w:val="clear" w:color="auto" w:fill="auto"/>
            <w:noWrap/>
            <w:vAlign w:val="center"/>
          </w:tcPr>
          <w:p>
            <w:pPr>
              <w:pStyle w:val="63"/>
            </w:pPr>
            <w:r>
              <w:t>年平均</w:t>
            </w:r>
          </w:p>
        </w:tc>
        <w:tc>
          <w:tcPr>
            <w:tcW w:w="1042" w:type="pct"/>
            <w:shd w:val="clear" w:color="auto" w:fill="auto"/>
            <w:noWrap/>
            <w:vAlign w:val="center"/>
          </w:tcPr>
          <w:p>
            <w:pPr>
              <w:pStyle w:val="63"/>
            </w:pPr>
            <w:r>
              <w:t>0.07</w:t>
            </w:r>
          </w:p>
        </w:tc>
        <w:tc>
          <w:tcPr>
            <w:tcW w:w="1042" w:type="pct"/>
            <w:shd w:val="clear" w:color="auto" w:fill="auto"/>
            <w:noWrap/>
            <w:vAlign w:val="center"/>
          </w:tcPr>
          <w:p>
            <w:pPr>
              <w:pStyle w:val="63"/>
            </w:pPr>
            <w:r>
              <w:t>50.0</w:t>
            </w:r>
          </w:p>
        </w:tc>
        <w:tc>
          <w:tcPr>
            <w:tcW w:w="1308" w:type="pct"/>
            <w:shd w:val="clear" w:color="auto" w:fill="auto"/>
            <w:noWrap/>
            <w:vAlign w:val="center"/>
          </w:tcPr>
          <w:p>
            <w:pPr>
              <w:pStyle w:val="63"/>
            </w:pPr>
            <w:r>
              <w:t>0.14</w:t>
            </w:r>
          </w:p>
        </w:tc>
      </w:tr>
    </w:tbl>
    <w:p>
      <w:pPr>
        <w:spacing w:line="360" w:lineRule="auto"/>
        <w:ind w:firstLine="480" w:firstLineChars="200"/>
        <w:rPr>
          <w:rFonts w:ascii="Times New Roman" w:hAnsi="Times New Roman" w:cs="Times New Roman"/>
        </w:rPr>
      </w:pPr>
      <w:r>
        <w:rPr>
          <w:rFonts w:ascii="Times New Roman" w:hAnsi="Times New Roman" w:cs="Times New Roman"/>
        </w:rPr>
        <w:t>c.PM10</w:t>
      </w:r>
    </w:p>
    <w:p>
      <w:pPr>
        <w:spacing w:line="360" w:lineRule="auto"/>
        <w:ind w:firstLine="480" w:firstLineChars="200"/>
        <w:rPr>
          <w:rFonts w:ascii="Times New Roman" w:hAnsi="Times New Roman" w:cs="Times New Roman"/>
        </w:rPr>
      </w:pPr>
      <w:r>
        <w:rPr>
          <w:rFonts w:ascii="Times New Roman" w:hAnsi="Times New Roman" w:cs="Times New Roman"/>
        </w:rPr>
        <w:t>评价范围内PM</w:t>
      </w:r>
      <w:r>
        <w:rPr>
          <w:rFonts w:ascii="Times New Roman" w:hAnsi="Times New Roman" w:cs="Times New Roman"/>
          <w:vertAlign w:val="subscript"/>
        </w:rPr>
        <w:t>10</w:t>
      </w:r>
      <w:r>
        <w:rPr>
          <w:rFonts w:ascii="Times New Roman" w:hAnsi="Times New Roman" w:cs="Times New Roman"/>
        </w:rPr>
        <w:t>关心点预测结果</w:t>
      </w:r>
      <w:r>
        <w:rPr>
          <w:rFonts w:hint="eastAsia" w:ascii="Times New Roman" w:hAnsi="Times New Roman" w:cs="Times New Roman"/>
        </w:rPr>
        <w:t>见下表</w:t>
      </w:r>
      <w:r>
        <w:rPr>
          <w:rFonts w:ascii="Times New Roman" w:hAnsi="Times New Roman" w:cs="Times New Roman"/>
        </w:rPr>
        <w:t>所示。可以看出，本项目对评价区域的关心点PM</w:t>
      </w:r>
      <w:r>
        <w:rPr>
          <w:rFonts w:ascii="Times New Roman" w:hAnsi="Times New Roman" w:cs="Times New Roman"/>
          <w:vertAlign w:val="subscript"/>
        </w:rPr>
        <w:t>10</w:t>
      </w:r>
      <w:r>
        <w:rPr>
          <w:rFonts w:ascii="Times New Roman" w:hAnsi="Times New Roman" w:cs="Times New Roman"/>
        </w:rPr>
        <w:t>日均、年均最大贡献值均满足《环境空气质量标准》（GB3095-2012）</w:t>
      </w:r>
      <w:r>
        <w:rPr>
          <w:rFonts w:hint="eastAsia" w:ascii="Times New Roman" w:hAnsi="Times New Roman" w:cs="Times New Roman"/>
        </w:rPr>
        <w:t>及修改单的二级标准</w:t>
      </w:r>
      <w:r>
        <w:rPr>
          <w:rFonts w:ascii="Times New Roman" w:hAnsi="Times New Roman" w:cs="Times New Roman"/>
        </w:rPr>
        <w:t>要求。</w:t>
      </w:r>
    </w:p>
    <w:p>
      <w:pPr>
        <w:pStyle w:val="6"/>
        <w:rPr>
          <w:rFonts w:ascii="Times New Roman" w:hAnsi="Times New Roman" w:cs="Times New Roman"/>
        </w:rPr>
      </w:pPr>
      <w:r>
        <w:rPr>
          <w:rFonts w:ascii="Times New Roman" w:hAnsi="Times New Roman" w:cs="Times New Roman"/>
        </w:rPr>
        <w:t>表6.2.1-</w:t>
      </w:r>
      <w:r>
        <w:rPr>
          <w:rFonts w:hint="eastAsia" w:ascii="Times New Roman" w:hAnsi="Times New Roman" w:cs="Times New Roman"/>
        </w:rPr>
        <w:t>19</w:t>
      </w:r>
      <w:r>
        <w:rPr>
          <w:rFonts w:ascii="Times New Roman" w:hAnsi="Times New Roman" w:cs="Times New Roman"/>
        </w:rPr>
        <w:t xml:space="preserve">  本项目排放PM</w:t>
      </w:r>
      <w:r>
        <w:rPr>
          <w:rFonts w:ascii="Times New Roman" w:hAnsi="Times New Roman" w:cs="Times New Roman"/>
          <w:vertAlign w:val="subscript"/>
        </w:rPr>
        <w:t>10</w:t>
      </w:r>
      <w:r>
        <w:rPr>
          <w:rFonts w:ascii="Times New Roman" w:hAnsi="Times New Roman" w:cs="Times New Roman"/>
        </w:rPr>
        <w:t>大气环境影响关心点预测结果</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79"/>
        <w:gridCol w:w="1469"/>
        <w:gridCol w:w="1706"/>
        <w:gridCol w:w="1706"/>
        <w:gridCol w:w="146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277"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敏感点点名称</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浓度类型</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浓度增量(μg/m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评价标准(μg/m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cs="Times New Roman"/>
              </w:rPr>
              <w:t>浦泉村</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0.0089</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jc w:val="center"/>
              <w:rPr>
                <w:rFonts w:ascii="Times New Roman" w:hAnsi="Times New Roman" w:eastAsia="宋体" w:cs="Times New Roman"/>
                <w:sz w:val="21"/>
                <w:szCs w:val="21"/>
              </w:rPr>
            </w:pP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0.0022</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70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三才村</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0.0037</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jc w:val="center"/>
              <w:rPr>
                <w:rFonts w:ascii="Times New Roman" w:hAnsi="Times New Roman" w:eastAsia="宋体" w:cs="Times New Roman"/>
                <w:sz w:val="21"/>
                <w:szCs w:val="21"/>
              </w:rPr>
            </w:pP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0.0006</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70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新石桥村</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0.0069</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jc w:val="center"/>
              <w:rPr>
                <w:rFonts w:ascii="Times New Roman" w:hAnsi="Times New Roman" w:eastAsia="宋体" w:cs="Times New Roman"/>
                <w:sz w:val="21"/>
                <w:szCs w:val="21"/>
              </w:rPr>
            </w:pP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0.0007</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70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大浦镇</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0.0116</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jc w:val="center"/>
              <w:rPr>
                <w:rFonts w:ascii="Times New Roman" w:hAnsi="Times New Roman" w:eastAsia="宋体" w:cs="Times New Roman"/>
                <w:sz w:val="21"/>
                <w:szCs w:val="21"/>
              </w:rPr>
            </w:pP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0.0024</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70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炉铺村</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0.0150</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jc w:val="center"/>
              <w:rPr>
                <w:rFonts w:ascii="Times New Roman" w:hAnsi="Times New Roman" w:eastAsia="宋体" w:cs="Times New Roman"/>
                <w:sz w:val="21"/>
                <w:szCs w:val="21"/>
              </w:rPr>
            </w:pP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0.0022</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70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堰桥村</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0.0083</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jc w:val="center"/>
              <w:rPr>
                <w:rFonts w:ascii="Times New Roman" w:hAnsi="Times New Roman" w:eastAsia="宋体" w:cs="Times New Roman"/>
                <w:sz w:val="21"/>
                <w:szCs w:val="21"/>
              </w:rPr>
            </w:pP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0.0008</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70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安置区</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0.0167</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0.0111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jc w:val="center"/>
              <w:rPr>
                <w:rFonts w:ascii="Times New Roman" w:hAnsi="Times New Roman" w:eastAsia="宋体" w:cs="Times New Roman"/>
                <w:sz w:val="21"/>
                <w:szCs w:val="21"/>
              </w:rPr>
            </w:pP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0.0020</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70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爱国医院</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0.0135</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jc w:val="center"/>
              <w:rPr>
                <w:rFonts w:ascii="Times New Roman" w:hAnsi="Times New Roman" w:eastAsia="宋体" w:cs="Times New Roman"/>
                <w:sz w:val="21"/>
                <w:szCs w:val="21"/>
              </w:rPr>
            </w:pP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0.0018</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70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罗家老屋</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0.0069</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jc w:val="center"/>
              <w:rPr>
                <w:rFonts w:ascii="Times New Roman" w:hAnsi="Times New Roman" w:eastAsia="宋体" w:cs="Times New Roman"/>
                <w:sz w:val="21"/>
                <w:szCs w:val="21"/>
              </w:rPr>
            </w:pP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0.0005</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70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北头村</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0.0175</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0.0117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jc w:val="center"/>
              <w:rPr>
                <w:rFonts w:ascii="Times New Roman" w:hAnsi="Times New Roman" w:eastAsia="宋体" w:cs="Times New Roman"/>
                <w:sz w:val="21"/>
                <w:szCs w:val="21"/>
              </w:rPr>
            </w:pP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0.0022</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70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龙家冲</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0.0072</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jc w:val="center"/>
              <w:rPr>
                <w:rFonts w:ascii="Times New Roman" w:hAnsi="Times New Roman" w:eastAsia="宋体" w:cs="Times New Roman"/>
                <w:sz w:val="21"/>
                <w:szCs w:val="21"/>
              </w:rPr>
            </w:pP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0.0008</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70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平田村</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0.0061</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jc w:val="center"/>
              <w:rPr>
                <w:rFonts w:ascii="Times New Roman" w:hAnsi="Times New Roman" w:eastAsia="宋体" w:cs="Times New Roman"/>
                <w:sz w:val="21"/>
                <w:szCs w:val="21"/>
              </w:rPr>
            </w:pP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0.0006</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70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彭家屋场</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日平均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0.0151</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150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0.0101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jc w:val="center"/>
              <w:rPr>
                <w:rFonts w:ascii="Times New Roman" w:hAnsi="Times New Roman" w:eastAsia="宋体" w:cs="Times New Roman"/>
                <w:sz w:val="21"/>
                <w:szCs w:val="21"/>
              </w:rPr>
            </w:pP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年平均</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0.0026</w:t>
            </w:r>
          </w:p>
        </w:tc>
        <w:tc>
          <w:tcPr>
            <w:tcW w:w="1000"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70</w:t>
            </w:r>
          </w:p>
        </w:tc>
        <w:tc>
          <w:tcPr>
            <w:tcW w:w="861" w:type="pct"/>
            <w:shd w:val="clear" w:color="auto" w:fill="auto"/>
            <w:noWrap/>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rPr>
              <w:t>0.0038</w:t>
            </w:r>
          </w:p>
        </w:tc>
      </w:tr>
    </w:tbl>
    <w:p>
      <w:pPr>
        <w:spacing w:line="360" w:lineRule="auto"/>
        <w:ind w:firstLine="480" w:firstLineChars="200"/>
        <w:rPr>
          <w:rFonts w:ascii="Times New Roman" w:hAnsi="Times New Roman" w:cs="Times New Roman"/>
        </w:rPr>
      </w:pPr>
      <w:r>
        <w:rPr>
          <w:rFonts w:ascii="Times New Roman" w:hAnsi="Times New Roman" w:cs="Times New Roman"/>
        </w:rPr>
        <w:t>d.非甲烷总烃</w:t>
      </w:r>
    </w:p>
    <w:p>
      <w:pPr>
        <w:spacing w:line="360" w:lineRule="auto"/>
        <w:ind w:firstLine="480" w:firstLineChars="200"/>
        <w:rPr>
          <w:rFonts w:ascii="Times New Roman" w:hAnsi="Times New Roman" w:cs="Times New Roman"/>
        </w:rPr>
      </w:pPr>
      <w:r>
        <w:rPr>
          <w:rFonts w:ascii="Times New Roman" w:hAnsi="Times New Roman" w:cs="Times New Roman"/>
        </w:rPr>
        <w:t>评价范围内非甲烷总烃关心点预测结果</w:t>
      </w:r>
      <w:r>
        <w:rPr>
          <w:rFonts w:hint="eastAsia" w:ascii="Times New Roman" w:hAnsi="Times New Roman" w:cs="Times New Roman"/>
        </w:rPr>
        <w:t>见下表</w:t>
      </w:r>
      <w:r>
        <w:rPr>
          <w:rFonts w:ascii="Times New Roman" w:hAnsi="Times New Roman" w:cs="Times New Roman"/>
        </w:rPr>
        <w:t>所示。可以看出，本项目对评价区域的关心点非甲烷总烃的1小时最大贡献值均满足《大气污染物综合排放标准详解》相关要求。</w:t>
      </w:r>
    </w:p>
    <w:p>
      <w:pPr>
        <w:pStyle w:val="6"/>
        <w:rPr>
          <w:rFonts w:ascii="Times New Roman" w:hAnsi="Times New Roman" w:cs="Times New Roman"/>
        </w:rPr>
      </w:pPr>
      <w:r>
        <w:rPr>
          <w:rFonts w:ascii="Times New Roman" w:hAnsi="Times New Roman" w:cs="Times New Roman"/>
        </w:rPr>
        <w:t>表6.2.1-</w:t>
      </w:r>
      <w:r>
        <w:rPr>
          <w:rFonts w:hint="eastAsia" w:ascii="Times New Roman" w:hAnsi="Times New Roman" w:cs="Times New Roman"/>
        </w:rPr>
        <w:t>20</w:t>
      </w:r>
      <w:r>
        <w:rPr>
          <w:rFonts w:ascii="Times New Roman" w:hAnsi="Times New Roman" w:cs="Times New Roman"/>
        </w:rPr>
        <w:t xml:space="preserve">  本项目排放非甲烷总烃大气环境影响关心点预测结果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85"/>
        <w:gridCol w:w="1056"/>
        <w:gridCol w:w="1743"/>
        <w:gridCol w:w="1743"/>
        <w:gridCol w:w="23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szCs w:val="21"/>
              </w:rPr>
            </w:pPr>
            <w:r>
              <w:rPr>
                <w:szCs w:val="21"/>
              </w:rPr>
              <w:t>敏感点名称</w:t>
            </w:r>
          </w:p>
        </w:tc>
        <w:tc>
          <w:tcPr>
            <w:tcW w:w="619" w:type="pct"/>
            <w:shd w:val="clear" w:color="auto" w:fill="auto"/>
            <w:noWrap/>
            <w:vAlign w:val="center"/>
          </w:tcPr>
          <w:p>
            <w:pPr>
              <w:pStyle w:val="63"/>
              <w:rPr>
                <w:szCs w:val="21"/>
              </w:rPr>
            </w:pPr>
            <w:r>
              <w:rPr>
                <w:szCs w:val="21"/>
              </w:rPr>
              <w:t>浓度类型</w:t>
            </w:r>
          </w:p>
        </w:tc>
        <w:tc>
          <w:tcPr>
            <w:tcW w:w="1022" w:type="pct"/>
            <w:shd w:val="clear" w:color="auto" w:fill="auto"/>
            <w:noWrap/>
            <w:vAlign w:val="center"/>
          </w:tcPr>
          <w:p>
            <w:pPr>
              <w:pStyle w:val="63"/>
              <w:rPr>
                <w:szCs w:val="21"/>
              </w:rPr>
            </w:pPr>
            <w:r>
              <w:rPr>
                <w:szCs w:val="21"/>
              </w:rPr>
              <w:t>浓度增量(μg/m</w:t>
            </w:r>
            <w:r>
              <w:rPr>
                <w:szCs w:val="21"/>
                <w:vertAlign w:val="superscript"/>
              </w:rPr>
              <w:t>3</w:t>
            </w:r>
            <w:r>
              <w:rPr>
                <w:szCs w:val="21"/>
              </w:rPr>
              <w:t>)</w:t>
            </w:r>
          </w:p>
        </w:tc>
        <w:tc>
          <w:tcPr>
            <w:tcW w:w="1022" w:type="pct"/>
            <w:shd w:val="clear" w:color="auto" w:fill="auto"/>
            <w:noWrap/>
            <w:vAlign w:val="center"/>
          </w:tcPr>
          <w:p>
            <w:pPr>
              <w:pStyle w:val="63"/>
              <w:rPr>
                <w:szCs w:val="21"/>
              </w:rPr>
            </w:pPr>
            <w:r>
              <w:rPr>
                <w:szCs w:val="21"/>
              </w:rPr>
              <w:t>评价标准(μg/m</w:t>
            </w:r>
            <w:r>
              <w:rPr>
                <w:szCs w:val="21"/>
                <w:vertAlign w:val="superscript"/>
              </w:rPr>
              <w:t>3</w:t>
            </w:r>
            <w:r>
              <w:rPr>
                <w:szCs w:val="21"/>
              </w:rPr>
              <w:t>)</w:t>
            </w:r>
          </w:p>
        </w:tc>
        <w:tc>
          <w:tcPr>
            <w:tcW w:w="1349" w:type="pct"/>
            <w:shd w:val="clear" w:color="auto" w:fill="auto"/>
            <w:noWrap/>
            <w:vAlign w:val="center"/>
          </w:tcPr>
          <w:p>
            <w:pPr>
              <w:pStyle w:val="63"/>
              <w:rPr>
                <w:szCs w:val="21"/>
              </w:rPr>
            </w:pPr>
            <w:r>
              <w:rPr>
                <w:szCs w:val="21"/>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szCs w:val="21"/>
              </w:rPr>
            </w:pPr>
            <w:r>
              <w:rPr>
                <w:color w:val="000000"/>
                <w:szCs w:val="21"/>
              </w:rPr>
              <w:t>浦泉村</w:t>
            </w:r>
          </w:p>
        </w:tc>
        <w:tc>
          <w:tcPr>
            <w:tcW w:w="619" w:type="pct"/>
            <w:shd w:val="clear" w:color="auto" w:fill="auto"/>
            <w:noWrap/>
            <w:vAlign w:val="center"/>
          </w:tcPr>
          <w:p>
            <w:pPr>
              <w:pStyle w:val="63"/>
              <w:rPr>
                <w:szCs w:val="21"/>
              </w:rPr>
            </w:pPr>
            <w:r>
              <w:rPr>
                <w:szCs w:val="21"/>
              </w:rPr>
              <w:t>1小时</w:t>
            </w:r>
          </w:p>
        </w:tc>
        <w:tc>
          <w:tcPr>
            <w:tcW w:w="1022" w:type="pct"/>
            <w:shd w:val="clear" w:color="auto" w:fill="auto"/>
            <w:noWrap/>
            <w:vAlign w:val="center"/>
          </w:tcPr>
          <w:p>
            <w:pPr>
              <w:pStyle w:val="63"/>
              <w:rPr>
                <w:color w:val="000000"/>
                <w:szCs w:val="21"/>
              </w:rPr>
            </w:pPr>
            <w:r>
              <w:rPr>
                <w:color w:val="000000"/>
                <w:szCs w:val="21"/>
              </w:rPr>
              <w:t>6.94</w:t>
            </w:r>
          </w:p>
        </w:tc>
        <w:tc>
          <w:tcPr>
            <w:tcW w:w="1022" w:type="pct"/>
            <w:shd w:val="clear" w:color="auto" w:fill="auto"/>
            <w:noWrap/>
            <w:vAlign w:val="center"/>
          </w:tcPr>
          <w:p>
            <w:pPr>
              <w:pStyle w:val="63"/>
              <w:rPr>
                <w:szCs w:val="21"/>
              </w:rPr>
            </w:pPr>
            <w:r>
              <w:rPr>
                <w:szCs w:val="21"/>
              </w:rPr>
              <w:t>2000.0</w:t>
            </w:r>
          </w:p>
        </w:tc>
        <w:tc>
          <w:tcPr>
            <w:tcW w:w="1349" w:type="pct"/>
            <w:shd w:val="clear" w:color="auto" w:fill="auto"/>
            <w:noWrap/>
            <w:vAlign w:val="center"/>
          </w:tcPr>
          <w:p>
            <w:pPr>
              <w:pStyle w:val="63"/>
              <w:rPr>
                <w:color w:val="000000"/>
                <w:szCs w:val="21"/>
              </w:rPr>
            </w:pPr>
            <w:r>
              <w:rPr>
                <w:color w:val="000000"/>
                <w:szCs w:val="21"/>
              </w:rPr>
              <w:t>0.35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szCs w:val="21"/>
              </w:rPr>
            </w:pPr>
            <w:r>
              <w:rPr>
                <w:color w:val="000000"/>
                <w:szCs w:val="21"/>
              </w:rPr>
              <w:t>三才村</w:t>
            </w:r>
          </w:p>
        </w:tc>
        <w:tc>
          <w:tcPr>
            <w:tcW w:w="619" w:type="pct"/>
            <w:shd w:val="clear" w:color="auto" w:fill="auto"/>
            <w:noWrap/>
            <w:vAlign w:val="center"/>
          </w:tcPr>
          <w:p>
            <w:pPr>
              <w:pStyle w:val="63"/>
              <w:rPr>
                <w:szCs w:val="21"/>
              </w:rPr>
            </w:pPr>
            <w:r>
              <w:rPr>
                <w:szCs w:val="21"/>
              </w:rPr>
              <w:t>1小时</w:t>
            </w:r>
          </w:p>
        </w:tc>
        <w:tc>
          <w:tcPr>
            <w:tcW w:w="1022" w:type="pct"/>
            <w:shd w:val="clear" w:color="auto" w:fill="auto"/>
            <w:noWrap/>
            <w:vAlign w:val="center"/>
          </w:tcPr>
          <w:p>
            <w:pPr>
              <w:pStyle w:val="63"/>
              <w:rPr>
                <w:color w:val="000000"/>
                <w:szCs w:val="21"/>
              </w:rPr>
            </w:pPr>
            <w:r>
              <w:rPr>
                <w:color w:val="000000"/>
                <w:szCs w:val="21"/>
              </w:rPr>
              <w:t>7.82</w:t>
            </w:r>
          </w:p>
        </w:tc>
        <w:tc>
          <w:tcPr>
            <w:tcW w:w="1022" w:type="pct"/>
            <w:shd w:val="clear" w:color="auto" w:fill="auto"/>
            <w:noWrap/>
            <w:vAlign w:val="center"/>
          </w:tcPr>
          <w:p>
            <w:pPr>
              <w:pStyle w:val="63"/>
              <w:rPr>
                <w:szCs w:val="21"/>
              </w:rPr>
            </w:pPr>
            <w:r>
              <w:rPr>
                <w:szCs w:val="21"/>
              </w:rPr>
              <w:t>2000.0</w:t>
            </w:r>
          </w:p>
        </w:tc>
        <w:tc>
          <w:tcPr>
            <w:tcW w:w="1349" w:type="pct"/>
            <w:shd w:val="clear" w:color="auto" w:fill="auto"/>
            <w:noWrap/>
            <w:vAlign w:val="center"/>
          </w:tcPr>
          <w:p>
            <w:pPr>
              <w:pStyle w:val="63"/>
              <w:rPr>
                <w:color w:val="000000"/>
                <w:szCs w:val="21"/>
              </w:rPr>
            </w:pPr>
            <w:r>
              <w:rPr>
                <w:color w:val="000000"/>
                <w:szCs w:val="21"/>
              </w:rPr>
              <w:t>0.39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szCs w:val="21"/>
              </w:rPr>
            </w:pPr>
            <w:r>
              <w:rPr>
                <w:color w:val="000000"/>
                <w:szCs w:val="21"/>
              </w:rPr>
              <w:t>新石桥村</w:t>
            </w:r>
          </w:p>
        </w:tc>
        <w:tc>
          <w:tcPr>
            <w:tcW w:w="619" w:type="pct"/>
            <w:shd w:val="clear" w:color="auto" w:fill="auto"/>
            <w:noWrap/>
            <w:vAlign w:val="center"/>
          </w:tcPr>
          <w:p>
            <w:pPr>
              <w:pStyle w:val="63"/>
              <w:rPr>
                <w:szCs w:val="21"/>
              </w:rPr>
            </w:pPr>
            <w:r>
              <w:rPr>
                <w:szCs w:val="21"/>
              </w:rPr>
              <w:t>1小时</w:t>
            </w:r>
          </w:p>
        </w:tc>
        <w:tc>
          <w:tcPr>
            <w:tcW w:w="1022" w:type="pct"/>
            <w:shd w:val="clear" w:color="auto" w:fill="auto"/>
            <w:noWrap/>
            <w:vAlign w:val="center"/>
          </w:tcPr>
          <w:p>
            <w:pPr>
              <w:pStyle w:val="63"/>
              <w:rPr>
                <w:color w:val="000000"/>
                <w:szCs w:val="21"/>
              </w:rPr>
            </w:pPr>
            <w:r>
              <w:rPr>
                <w:color w:val="000000"/>
                <w:szCs w:val="21"/>
              </w:rPr>
              <w:t>6.88</w:t>
            </w:r>
          </w:p>
        </w:tc>
        <w:tc>
          <w:tcPr>
            <w:tcW w:w="1022" w:type="pct"/>
            <w:shd w:val="clear" w:color="auto" w:fill="auto"/>
            <w:noWrap/>
            <w:vAlign w:val="center"/>
          </w:tcPr>
          <w:p>
            <w:pPr>
              <w:pStyle w:val="63"/>
              <w:rPr>
                <w:szCs w:val="21"/>
              </w:rPr>
            </w:pPr>
            <w:r>
              <w:rPr>
                <w:szCs w:val="21"/>
              </w:rPr>
              <w:t>2000.0</w:t>
            </w:r>
          </w:p>
        </w:tc>
        <w:tc>
          <w:tcPr>
            <w:tcW w:w="1349" w:type="pct"/>
            <w:shd w:val="clear" w:color="auto" w:fill="auto"/>
            <w:noWrap/>
            <w:vAlign w:val="center"/>
          </w:tcPr>
          <w:p>
            <w:pPr>
              <w:pStyle w:val="63"/>
              <w:rPr>
                <w:color w:val="000000"/>
                <w:szCs w:val="21"/>
              </w:rPr>
            </w:pPr>
            <w:r>
              <w:rPr>
                <w:color w:val="000000"/>
                <w:szCs w:val="21"/>
              </w:rPr>
              <w:t>0.34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szCs w:val="21"/>
              </w:rPr>
            </w:pPr>
            <w:r>
              <w:rPr>
                <w:color w:val="000000"/>
                <w:szCs w:val="21"/>
              </w:rPr>
              <w:t>大浦镇</w:t>
            </w:r>
          </w:p>
        </w:tc>
        <w:tc>
          <w:tcPr>
            <w:tcW w:w="619" w:type="pct"/>
            <w:shd w:val="clear" w:color="auto" w:fill="auto"/>
            <w:noWrap/>
            <w:vAlign w:val="center"/>
          </w:tcPr>
          <w:p>
            <w:pPr>
              <w:pStyle w:val="63"/>
              <w:rPr>
                <w:szCs w:val="21"/>
              </w:rPr>
            </w:pPr>
            <w:r>
              <w:rPr>
                <w:szCs w:val="21"/>
              </w:rPr>
              <w:t>1小时</w:t>
            </w:r>
          </w:p>
        </w:tc>
        <w:tc>
          <w:tcPr>
            <w:tcW w:w="1022" w:type="pct"/>
            <w:shd w:val="clear" w:color="auto" w:fill="auto"/>
            <w:noWrap/>
            <w:vAlign w:val="center"/>
          </w:tcPr>
          <w:p>
            <w:pPr>
              <w:pStyle w:val="63"/>
              <w:rPr>
                <w:color w:val="000000"/>
                <w:szCs w:val="21"/>
              </w:rPr>
            </w:pPr>
            <w:r>
              <w:rPr>
                <w:color w:val="000000"/>
                <w:szCs w:val="21"/>
              </w:rPr>
              <w:t>7.66</w:t>
            </w:r>
          </w:p>
        </w:tc>
        <w:tc>
          <w:tcPr>
            <w:tcW w:w="1022" w:type="pct"/>
            <w:shd w:val="clear" w:color="auto" w:fill="auto"/>
            <w:noWrap/>
            <w:vAlign w:val="center"/>
          </w:tcPr>
          <w:p>
            <w:pPr>
              <w:pStyle w:val="63"/>
              <w:rPr>
                <w:szCs w:val="21"/>
              </w:rPr>
            </w:pPr>
            <w:r>
              <w:rPr>
                <w:szCs w:val="21"/>
              </w:rPr>
              <w:t>2000.0</w:t>
            </w:r>
          </w:p>
        </w:tc>
        <w:tc>
          <w:tcPr>
            <w:tcW w:w="1349" w:type="pct"/>
            <w:shd w:val="clear" w:color="auto" w:fill="auto"/>
            <w:noWrap/>
            <w:vAlign w:val="center"/>
          </w:tcPr>
          <w:p>
            <w:pPr>
              <w:pStyle w:val="63"/>
              <w:rPr>
                <w:color w:val="000000"/>
                <w:szCs w:val="21"/>
              </w:rPr>
            </w:pPr>
            <w:r>
              <w:rPr>
                <w:color w:val="000000"/>
                <w:szCs w:val="21"/>
              </w:rPr>
              <w:t>0.38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szCs w:val="21"/>
              </w:rPr>
            </w:pPr>
            <w:r>
              <w:rPr>
                <w:color w:val="000000"/>
                <w:szCs w:val="21"/>
              </w:rPr>
              <w:t>炉铺村</w:t>
            </w:r>
          </w:p>
        </w:tc>
        <w:tc>
          <w:tcPr>
            <w:tcW w:w="619" w:type="pct"/>
            <w:shd w:val="clear" w:color="auto" w:fill="auto"/>
            <w:noWrap/>
            <w:vAlign w:val="center"/>
          </w:tcPr>
          <w:p>
            <w:pPr>
              <w:pStyle w:val="63"/>
              <w:rPr>
                <w:szCs w:val="21"/>
              </w:rPr>
            </w:pPr>
            <w:r>
              <w:rPr>
                <w:szCs w:val="21"/>
              </w:rPr>
              <w:t>1小时</w:t>
            </w:r>
          </w:p>
        </w:tc>
        <w:tc>
          <w:tcPr>
            <w:tcW w:w="1022" w:type="pct"/>
            <w:shd w:val="clear" w:color="auto" w:fill="auto"/>
            <w:noWrap/>
            <w:vAlign w:val="center"/>
          </w:tcPr>
          <w:p>
            <w:pPr>
              <w:pStyle w:val="63"/>
              <w:rPr>
                <w:color w:val="000000"/>
                <w:szCs w:val="21"/>
              </w:rPr>
            </w:pPr>
            <w:r>
              <w:rPr>
                <w:color w:val="000000"/>
                <w:szCs w:val="21"/>
              </w:rPr>
              <w:t>6.71</w:t>
            </w:r>
          </w:p>
        </w:tc>
        <w:tc>
          <w:tcPr>
            <w:tcW w:w="1022" w:type="pct"/>
            <w:shd w:val="clear" w:color="auto" w:fill="auto"/>
            <w:noWrap/>
            <w:vAlign w:val="center"/>
          </w:tcPr>
          <w:p>
            <w:pPr>
              <w:pStyle w:val="63"/>
              <w:rPr>
                <w:szCs w:val="21"/>
              </w:rPr>
            </w:pPr>
            <w:r>
              <w:rPr>
                <w:szCs w:val="21"/>
              </w:rPr>
              <w:t>2000.0</w:t>
            </w:r>
          </w:p>
        </w:tc>
        <w:tc>
          <w:tcPr>
            <w:tcW w:w="1349" w:type="pct"/>
            <w:shd w:val="clear" w:color="auto" w:fill="auto"/>
            <w:noWrap/>
            <w:vAlign w:val="center"/>
          </w:tcPr>
          <w:p>
            <w:pPr>
              <w:pStyle w:val="63"/>
              <w:rPr>
                <w:color w:val="000000"/>
                <w:szCs w:val="21"/>
              </w:rPr>
            </w:pPr>
            <w:r>
              <w:rPr>
                <w:color w:val="000000"/>
                <w:szCs w:val="21"/>
              </w:rPr>
              <w:t>0.34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szCs w:val="21"/>
              </w:rPr>
            </w:pPr>
            <w:r>
              <w:rPr>
                <w:color w:val="000000"/>
                <w:szCs w:val="21"/>
              </w:rPr>
              <w:t>堰桥村</w:t>
            </w:r>
          </w:p>
        </w:tc>
        <w:tc>
          <w:tcPr>
            <w:tcW w:w="619" w:type="pct"/>
            <w:shd w:val="clear" w:color="auto" w:fill="auto"/>
            <w:noWrap/>
            <w:vAlign w:val="center"/>
          </w:tcPr>
          <w:p>
            <w:pPr>
              <w:pStyle w:val="63"/>
              <w:rPr>
                <w:szCs w:val="21"/>
              </w:rPr>
            </w:pPr>
            <w:r>
              <w:rPr>
                <w:szCs w:val="21"/>
              </w:rPr>
              <w:t>1小时</w:t>
            </w:r>
          </w:p>
        </w:tc>
        <w:tc>
          <w:tcPr>
            <w:tcW w:w="1022" w:type="pct"/>
            <w:shd w:val="clear" w:color="auto" w:fill="auto"/>
            <w:noWrap/>
            <w:vAlign w:val="center"/>
          </w:tcPr>
          <w:p>
            <w:pPr>
              <w:pStyle w:val="63"/>
              <w:rPr>
                <w:color w:val="000000"/>
                <w:szCs w:val="21"/>
              </w:rPr>
            </w:pPr>
            <w:r>
              <w:rPr>
                <w:color w:val="000000"/>
                <w:szCs w:val="21"/>
              </w:rPr>
              <w:t>6.41</w:t>
            </w:r>
          </w:p>
        </w:tc>
        <w:tc>
          <w:tcPr>
            <w:tcW w:w="1022" w:type="pct"/>
            <w:shd w:val="clear" w:color="auto" w:fill="auto"/>
            <w:noWrap/>
            <w:vAlign w:val="center"/>
          </w:tcPr>
          <w:p>
            <w:pPr>
              <w:pStyle w:val="63"/>
              <w:rPr>
                <w:szCs w:val="21"/>
              </w:rPr>
            </w:pPr>
            <w:r>
              <w:rPr>
                <w:szCs w:val="21"/>
              </w:rPr>
              <w:t>2000.0</w:t>
            </w:r>
          </w:p>
        </w:tc>
        <w:tc>
          <w:tcPr>
            <w:tcW w:w="1349" w:type="pct"/>
            <w:shd w:val="clear" w:color="auto" w:fill="auto"/>
            <w:noWrap/>
            <w:vAlign w:val="center"/>
          </w:tcPr>
          <w:p>
            <w:pPr>
              <w:pStyle w:val="63"/>
              <w:rPr>
                <w:color w:val="000000"/>
                <w:szCs w:val="21"/>
              </w:rPr>
            </w:pPr>
            <w:r>
              <w:rPr>
                <w:color w:val="000000"/>
                <w:szCs w:val="21"/>
              </w:rPr>
              <w:t>0.32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szCs w:val="21"/>
              </w:rPr>
            </w:pPr>
            <w:r>
              <w:rPr>
                <w:color w:val="000000"/>
                <w:szCs w:val="21"/>
              </w:rPr>
              <w:t>安置区</w:t>
            </w:r>
          </w:p>
        </w:tc>
        <w:tc>
          <w:tcPr>
            <w:tcW w:w="619" w:type="pct"/>
            <w:shd w:val="clear" w:color="auto" w:fill="auto"/>
            <w:noWrap/>
            <w:vAlign w:val="center"/>
          </w:tcPr>
          <w:p>
            <w:pPr>
              <w:pStyle w:val="63"/>
              <w:rPr>
                <w:szCs w:val="21"/>
              </w:rPr>
            </w:pPr>
            <w:r>
              <w:rPr>
                <w:szCs w:val="21"/>
              </w:rPr>
              <w:t>1小时</w:t>
            </w:r>
          </w:p>
        </w:tc>
        <w:tc>
          <w:tcPr>
            <w:tcW w:w="1022" w:type="pct"/>
            <w:shd w:val="clear" w:color="auto" w:fill="auto"/>
            <w:noWrap/>
            <w:vAlign w:val="center"/>
          </w:tcPr>
          <w:p>
            <w:pPr>
              <w:pStyle w:val="63"/>
              <w:rPr>
                <w:color w:val="000000"/>
                <w:szCs w:val="21"/>
              </w:rPr>
            </w:pPr>
            <w:r>
              <w:rPr>
                <w:color w:val="000000"/>
                <w:szCs w:val="21"/>
              </w:rPr>
              <w:t>5.49</w:t>
            </w:r>
          </w:p>
        </w:tc>
        <w:tc>
          <w:tcPr>
            <w:tcW w:w="1022" w:type="pct"/>
            <w:shd w:val="clear" w:color="auto" w:fill="auto"/>
            <w:noWrap/>
            <w:vAlign w:val="center"/>
          </w:tcPr>
          <w:p>
            <w:pPr>
              <w:pStyle w:val="63"/>
              <w:rPr>
                <w:szCs w:val="21"/>
              </w:rPr>
            </w:pPr>
            <w:r>
              <w:rPr>
                <w:szCs w:val="21"/>
              </w:rPr>
              <w:t>2000.0</w:t>
            </w:r>
          </w:p>
        </w:tc>
        <w:tc>
          <w:tcPr>
            <w:tcW w:w="1349" w:type="pct"/>
            <w:shd w:val="clear" w:color="auto" w:fill="auto"/>
            <w:noWrap/>
            <w:vAlign w:val="center"/>
          </w:tcPr>
          <w:p>
            <w:pPr>
              <w:pStyle w:val="63"/>
              <w:rPr>
                <w:color w:val="000000"/>
                <w:szCs w:val="21"/>
              </w:rPr>
            </w:pPr>
            <w:r>
              <w:rPr>
                <w:color w:val="000000"/>
                <w:szCs w:val="21"/>
              </w:rPr>
              <w:t>0.27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szCs w:val="21"/>
              </w:rPr>
            </w:pPr>
            <w:r>
              <w:rPr>
                <w:color w:val="000000"/>
                <w:szCs w:val="21"/>
              </w:rPr>
              <w:t>爱国医院</w:t>
            </w:r>
          </w:p>
        </w:tc>
        <w:tc>
          <w:tcPr>
            <w:tcW w:w="619" w:type="pct"/>
            <w:shd w:val="clear" w:color="auto" w:fill="auto"/>
            <w:noWrap/>
            <w:vAlign w:val="center"/>
          </w:tcPr>
          <w:p>
            <w:pPr>
              <w:pStyle w:val="63"/>
              <w:rPr>
                <w:szCs w:val="21"/>
              </w:rPr>
            </w:pPr>
            <w:r>
              <w:rPr>
                <w:szCs w:val="21"/>
              </w:rPr>
              <w:t>1小时</w:t>
            </w:r>
          </w:p>
        </w:tc>
        <w:tc>
          <w:tcPr>
            <w:tcW w:w="1022" w:type="pct"/>
            <w:shd w:val="clear" w:color="auto" w:fill="auto"/>
            <w:noWrap/>
            <w:vAlign w:val="center"/>
          </w:tcPr>
          <w:p>
            <w:pPr>
              <w:pStyle w:val="63"/>
              <w:rPr>
                <w:color w:val="000000"/>
                <w:szCs w:val="21"/>
              </w:rPr>
            </w:pPr>
            <w:r>
              <w:rPr>
                <w:color w:val="000000"/>
                <w:szCs w:val="21"/>
              </w:rPr>
              <w:t>6.65</w:t>
            </w:r>
          </w:p>
        </w:tc>
        <w:tc>
          <w:tcPr>
            <w:tcW w:w="1022" w:type="pct"/>
            <w:shd w:val="clear" w:color="auto" w:fill="auto"/>
            <w:noWrap/>
            <w:vAlign w:val="center"/>
          </w:tcPr>
          <w:p>
            <w:pPr>
              <w:pStyle w:val="63"/>
              <w:rPr>
                <w:szCs w:val="21"/>
              </w:rPr>
            </w:pPr>
            <w:r>
              <w:rPr>
                <w:szCs w:val="21"/>
              </w:rPr>
              <w:t>2000.0</w:t>
            </w:r>
          </w:p>
        </w:tc>
        <w:tc>
          <w:tcPr>
            <w:tcW w:w="1349" w:type="pct"/>
            <w:shd w:val="clear" w:color="auto" w:fill="auto"/>
            <w:noWrap/>
            <w:vAlign w:val="center"/>
          </w:tcPr>
          <w:p>
            <w:pPr>
              <w:pStyle w:val="63"/>
              <w:rPr>
                <w:color w:val="000000"/>
                <w:szCs w:val="21"/>
              </w:rPr>
            </w:pPr>
            <w:r>
              <w:rPr>
                <w:color w:val="000000"/>
                <w:szCs w:val="21"/>
              </w:rPr>
              <w:t>0.33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szCs w:val="21"/>
              </w:rPr>
            </w:pPr>
            <w:r>
              <w:rPr>
                <w:color w:val="000000"/>
                <w:szCs w:val="21"/>
              </w:rPr>
              <w:t>罗家老屋</w:t>
            </w:r>
          </w:p>
        </w:tc>
        <w:tc>
          <w:tcPr>
            <w:tcW w:w="619" w:type="pct"/>
            <w:shd w:val="clear" w:color="auto" w:fill="auto"/>
            <w:noWrap/>
            <w:vAlign w:val="center"/>
          </w:tcPr>
          <w:p>
            <w:pPr>
              <w:pStyle w:val="63"/>
              <w:rPr>
                <w:szCs w:val="21"/>
              </w:rPr>
            </w:pPr>
            <w:r>
              <w:rPr>
                <w:szCs w:val="21"/>
              </w:rPr>
              <w:t>1小时</w:t>
            </w:r>
          </w:p>
        </w:tc>
        <w:tc>
          <w:tcPr>
            <w:tcW w:w="1022" w:type="pct"/>
            <w:shd w:val="clear" w:color="auto" w:fill="auto"/>
            <w:noWrap/>
            <w:vAlign w:val="center"/>
          </w:tcPr>
          <w:p>
            <w:pPr>
              <w:pStyle w:val="63"/>
              <w:rPr>
                <w:color w:val="000000"/>
                <w:szCs w:val="21"/>
              </w:rPr>
            </w:pPr>
            <w:r>
              <w:rPr>
                <w:color w:val="000000"/>
                <w:szCs w:val="21"/>
              </w:rPr>
              <w:t>8.14</w:t>
            </w:r>
          </w:p>
        </w:tc>
        <w:tc>
          <w:tcPr>
            <w:tcW w:w="1022" w:type="pct"/>
            <w:shd w:val="clear" w:color="auto" w:fill="auto"/>
            <w:noWrap/>
            <w:vAlign w:val="center"/>
          </w:tcPr>
          <w:p>
            <w:pPr>
              <w:pStyle w:val="63"/>
              <w:rPr>
                <w:szCs w:val="21"/>
              </w:rPr>
            </w:pPr>
            <w:r>
              <w:rPr>
                <w:szCs w:val="21"/>
              </w:rPr>
              <w:t>2000.0</w:t>
            </w:r>
          </w:p>
        </w:tc>
        <w:tc>
          <w:tcPr>
            <w:tcW w:w="1349" w:type="pct"/>
            <w:shd w:val="clear" w:color="auto" w:fill="auto"/>
            <w:noWrap/>
            <w:vAlign w:val="center"/>
          </w:tcPr>
          <w:p>
            <w:pPr>
              <w:pStyle w:val="63"/>
              <w:rPr>
                <w:color w:val="000000"/>
                <w:szCs w:val="21"/>
              </w:rPr>
            </w:pPr>
            <w:r>
              <w:rPr>
                <w:color w:val="000000"/>
                <w:szCs w:val="21"/>
              </w:rPr>
              <w:t>0.41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szCs w:val="21"/>
              </w:rPr>
            </w:pPr>
            <w:r>
              <w:rPr>
                <w:color w:val="000000"/>
                <w:szCs w:val="21"/>
              </w:rPr>
              <w:t>北头村</w:t>
            </w:r>
          </w:p>
        </w:tc>
        <w:tc>
          <w:tcPr>
            <w:tcW w:w="619" w:type="pct"/>
            <w:shd w:val="clear" w:color="auto" w:fill="auto"/>
            <w:noWrap/>
            <w:vAlign w:val="center"/>
          </w:tcPr>
          <w:p>
            <w:pPr>
              <w:pStyle w:val="63"/>
              <w:rPr>
                <w:szCs w:val="21"/>
              </w:rPr>
            </w:pPr>
            <w:r>
              <w:rPr>
                <w:szCs w:val="21"/>
              </w:rPr>
              <w:t>1小时</w:t>
            </w:r>
          </w:p>
        </w:tc>
        <w:tc>
          <w:tcPr>
            <w:tcW w:w="1022" w:type="pct"/>
            <w:shd w:val="clear" w:color="auto" w:fill="auto"/>
            <w:noWrap/>
            <w:vAlign w:val="center"/>
          </w:tcPr>
          <w:p>
            <w:pPr>
              <w:pStyle w:val="63"/>
              <w:rPr>
                <w:color w:val="000000"/>
                <w:szCs w:val="21"/>
              </w:rPr>
            </w:pPr>
            <w:r>
              <w:rPr>
                <w:color w:val="000000"/>
                <w:szCs w:val="21"/>
              </w:rPr>
              <w:t>19.28</w:t>
            </w:r>
          </w:p>
        </w:tc>
        <w:tc>
          <w:tcPr>
            <w:tcW w:w="1022" w:type="pct"/>
            <w:shd w:val="clear" w:color="auto" w:fill="auto"/>
            <w:noWrap/>
            <w:vAlign w:val="center"/>
          </w:tcPr>
          <w:p>
            <w:pPr>
              <w:pStyle w:val="63"/>
              <w:rPr>
                <w:szCs w:val="21"/>
              </w:rPr>
            </w:pPr>
            <w:r>
              <w:rPr>
                <w:szCs w:val="21"/>
              </w:rPr>
              <w:t>2000.0</w:t>
            </w:r>
          </w:p>
        </w:tc>
        <w:tc>
          <w:tcPr>
            <w:tcW w:w="1349" w:type="pct"/>
            <w:shd w:val="clear" w:color="auto" w:fill="auto"/>
            <w:noWrap/>
            <w:vAlign w:val="center"/>
          </w:tcPr>
          <w:p>
            <w:pPr>
              <w:pStyle w:val="63"/>
              <w:rPr>
                <w:color w:val="000000"/>
                <w:szCs w:val="21"/>
              </w:rPr>
            </w:pPr>
            <w:r>
              <w:rPr>
                <w:color w:val="000000"/>
                <w:szCs w:val="21"/>
              </w:rPr>
              <w:t>0.96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szCs w:val="21"/>
              </w:rPr>
            </w:pPr>
            <w:r>
              <w:rPr>
                <w:color w:val="000000"/>
                <w:szCs w:val="21"/>
              </w:rPr>
              <w:t>龙家冲</w:t>
            </w:r>
          </w:p>
        </w:tc>
        <w:tc>
          <w:tcPr>
            <w:tcW w:w="619" w:type="pct"/>
            <w:shd w:val="clear" w:color="auto" w:fill="auto"/>
            <w:noWrap/>
            <w:vAlign w:val="center"/>
          </w:tcPr>
          <w:p>
            <w:pPr>
              <w:pStyle w:val="63"/>
              <w:rPr>
                <w:szCs w:val="21"/>
              </w:rPr>
            </w:pPr>
            <w:r>
              <w:rPr>
                <w:szCs w:val="21"/>
              </w:rPr>
              <w:t>1小时</w:t>
            </w:r>
          </w:p>
        </w:tc>
        <w:tc>
          <w:tcPr>
            <w:tcW w:w="1022" w:type="pct"/>
            <w:shd w:val="clear" w:color="auto" w:fill="auto"/>
            <w:noWrap/>
            <w:vAlign w:val="center"/>
          </w:tcPr>
          <w:p>
            <w:pPr>
              <w:pStyle w:val="63"/>
              <w:rPr>
                <w:color w:val="000000"/>
                <w:szCs w:val="21"/>
              </w:rPr>
            </w:pPr>
            <w:r>
              <w:rPr>
                <w:color w:val="000000"/>
                <w:szCs w:val="21"/>
              </w:rPr>
              <w:t>6.95</w:t>
            </w:r>
          </w:p>
        </w:tc>
        <w:tc>
          <w:tcPr>
            <w:tcW w:w="1022" w:type="pct"/>
            <w:shd w:val="clear" w:color="auto" w:fill="auto"/>
            <w:noWrap/>
            <w:vAlign w:val="center"/>
          </w:tcPr>
          <w:p>
            <w:pPr>
              <w:pStyle w:val="63"/>
              <w:rPr>
                <w:szCs w:val="21"/>
              </w:rPr>
            </w:pPr>
            <w:r>
              <w:rPr>
                <w:szCs w:val="21"/>
              </w:rPr>
              <w:t>2000.0</w:t>
            </w:r>
          </w:p>
        </w:tc>
        <w:tc>
          <w:tcPr>
            <w:tcW w:w="1349" w:type="pct"/>
            <w:shd w:val="clear" w:color="auto" w:fill="auto"/>
            <w:noWrap/>
            <w:vAlign w:val="center"/>
          </w:tcPr>
          <w:p>
            <w:pPr>
              <w:pStyle w:val="63"/>
              <w:rPr>
                <w:color w:val="000000"/>
                <w:szCs w:val="21"/>
              </w:rPr>
            </w:pPr>
            <w:r>
              <w:rPr>
                <w:color w:val="000000"/>
                <w:szCs w:val="21"/>
              </w:rPr>
              <w:t>0.35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szCs w:val="21"/>
              </w:rPr>
            </w:pPr>
            <w:r>
              <w:rPr>
                <w:color w:val="000000"/>
                <w:szCs w:val="21"/>
              </w:rPr>
              <w:t>平田村</w:t>
            </w:r>
          </w:p>
        </w:tc>
        <w:tc>
          <w:tcPr>
            <w:tcW w:w="619" w:type="pct"/>
            <w:shd w:val="clear" w:color="auto" w:fill="auto"/>
            <w:noWrap/>
            <w:vAlign w:val="center"/>
          </w:tcPr>
          <w:p>
            <w:pPr>
              <w:pStyle w:val="63"/>
              <w:rPr>
                <w:szCs w:val="21"/>
              </w:rPr>
            </w:pPr>
            <w:r>
              <w:rPr>
                <w:szCs w:val="21"/>
              </w:rPr>
              <w:t>1小时</w:t>
            </w:r>
          </w:p>
        </w:tc>
        <w:tc>
          <w:tcPr>
            <w:tcW w:w="1022" w:type="pct"/>
            <w:shd w:val="clear" w:color="auto" w:fill="auto"/>
            <w:noWrap/>
            <w:vAlign w:val="center"/>
          </w:tcPr>
          <w:p>
            <w:pPr>
              <w:pStyle w:val="63"/>
              <w:rPr>
                <w:color w:val="000000"/>
                <w:szCs w:val="21"/>
              </w:rPr>
            </w:pPr>
            <w:r>
              <w:rPr>
                <w:color w:val="000000"/>
                <w:szCs w:val="21"/>
              </w:rPr>
              <w:t>7.63</w:t>
            </w:r>
          </w:p>
        </w:tc>
        <w:tc>
          <w:tcPr>
            <w:tcW w:w="1022" w:type="pct"/>
            <w:shd w:val="clear" w:color="auto" w:fill="auto"/>
            <w:noWrap/>
            <w:vAlign w:val="center"/>
          </w:tcPr>
          <w:p>
            <w:pPr>
              <w:pStyle w:val="63"/>
              <w:rPr>
                <w:szCs w:val="21"/>
              </w:rPr>
            </w:pPr>
            <w:r>
              <w:rPr>
                <w:szCs w:val="21"/>
              </w:rPr>
              <w:t>2000.0</w:t>
            </w:r>
          </w:p>
        </w:tc>
        <w:tc>
          <w:tcPr>
            <w:tcW w:w="1349" w:type="pct"/>
            <w:shd w:val="clear" w:color="auto" w:fill="auto"/>
            <w:noWrap/>
            <w:vAlign w:val="center"/>
          </w:tcPr>
          <w:p>
            <w:pPr>
              <w:pStyle w:val="63"/>
              <w:rPr>
                <w:color w:val="000000"/>
                <w:szCs w:val="21"/>
              </w:rPr>
            </w:pPr>
            <w:r>
              <w:rPr>
                <w:color w:val="000000"/>
                <w:szCs w:val="21"/>
              </w:rPr>
              <w:t>0.38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szCs w:val="21"/>
              </w:rPr>
            </w:pPr>
            <w:r>
              <w:rPr>
                <w:color w:val="000000"/>
                <w:szCs w:val="21"/>
              </w:rPr>
              <w:t>彭家屋场</w:t>
            </w:r>
          </w:p>
        </w:tc>
        <w:tc>
          <w:tcPr>
            <w:tcW w:w="619" w:type="pct"/>
            <w:shd w:val="clear" w:color="auto" w:fill="auto"/>
            <w:noWrap/>
            <w:vAlign w:val="center"/>
          </w:tcPr>
          <w:p>
            <w:pPr>
              <w:pStyle w:val="63"/>
              <w:rPr>
                <w:szCs w:val="21"/>
              </w:rPr>
            </w:pPr>
            <w:r>
              <w:rPr>
                <w:szCs w:val="21"/>
              </w:rPr>
              <w:t>1小时</w:t>
            </w:r>
          </w:p>
        </w:tc>
        <w:tc>
          <w:tcPr>
            <w:tcW w:w="1022" w:type="pct"/>
            <w:shd w:val="clear" w:color="auto" w:fill="auto"/>
            <w:noWrap/>
            <w:vAlign w:val="center"/>
          </w:tcPr>
          <w:p>
            <w:pPr>
              <w:pStyle w:val="63"/>
              <w:rPr>
                <w:color w:val="000000"/>
                <w:szCs w:val="21"/>
              </w:rPr>
            </w:pPr>
            <w:r>
              <w:rPr>
                <w:color w:val="000000"/>
                <w:szCs w:val="21"/>
              </w:rPr>
              <w:t>15.1</w:t>
            </w:r>
          </w:p>
        </w:tc>
        <w:tc>
          <w:tcPr>
            <w:tcW w:w="1022" w:type="pct"/>
            <w:shd w:val="clear" w:color="auto" w:fill="auto"/>
            <w:noWrap/>
            <w:vAlign w:val="center"/>
          </w:tcPr>
          <w:p>
            <w:pPr>
              <w:pStyle w:val="63"/>
              <w:rPr>
                <w:szCs w:val="21"/>
              </w:rPr>
            </w:pPr>
            <w:r>
              <w:rPr>
                <w:szCs w:val="21"/>
              </w:rPr>
              <w:t>2000.0</w:t>
            </w:r>
          </w:p>
        </w:tc>
        <w:tc>
          <w:tcPr>
            <w:tcW w:w="1349" w:type="pct"/>
            <w:shd w:val="clear" w:color="auto" w:fill="auto"/>
            <w:noWrap/>
            <w:vAlign w:val="center"/>
          </w:tcPr>
          <w:p>
            <w:pPr>
              <w:pStyle w:val="63"/>
              <w:rPr>
                <w:color w:val="000000"/>
                <w:szCs w:val="21"/>
              </w:rPr>
            </w:pPr>
            <w:r>
              <w:rPr>
                <w:color w:val="000000"/>
                <w:szCs w:val="21"/>
              </w:rPr>
              <w:t>0.75</w:t>
            </w:r>
          </w:p>
        </w:tc>
      </w:tr>
    </w:tbl>
    <w:p>
      <w:pPr>
        <w:spacing w:line="360" w:lineRule="auto"/>
        <w:ind w:firstLine="480" w:firstLineChars="200"/>
        <w:rPr>
          <w:rFonts w:ascii="Times New Roman" w:hAnsi="Times New Roman" w:cs="Times New Roman"/>
        </w:rPr>
      </w:pPr>
      <w:r>
        <w:rPr>
          <w:rFonts w:ascii="Times New Roman" w:hAnsi="Times New Roman" w:cs="Times New Roman"/>
        </w:rPr>
        <w:t>e.镍及其化合物</w:t>
      </w:r>
    </w:p>
    <w:p>
      <w:pPr>
        <w:spacing w:line="360" w:lineRule="auto"/>
        <w:ind w:firstLine="480" w:firstLineChars="200"/>
        <w:rPr>
          <w:rFonts w:ascii="Times New Roman" w:hAnsi="Times New Roman" w:cs="Times New Roman"/>
        </w:rPr>
      </w:pPr>
      <w:r>
        <w:rPr>
          <w:rFonts w:ascii="Times New Roman" w:hAnsi="Times New Roman" w:cs="Times New Roman"/>
        </w:rPr>
        <w:t>评价范围内镍及其化合物关心点预测结果</w:t>
      </w:r>
      <w:r>
        <w:rPr>
          <w:rFonts w:hint="eastAsia" w:ascii="Times New Roman" w:hAnsi="Times New Roman" w:cs="Times New Roman"/>
        </w:rPr>
        <w:t>见下表</w:t>
      </w:r>
      <w:r>
        <w:rPr>
          <w:rFonts w:ascii="Times New Roman" w:hAnsi="Times New Roman" w:cs="Times New Roman"/>
        </w:rPr>
        <w:t>所示。可以看出，本项目对评价区域的关心点镍及其化合物的日平均最大贡献值均满足《大气污染物综合排放标准详解》相关要求。</w:t>
      </w:r>
    </w:p>
    <w:p>
      <w:pPr>
        <w:pStyle w:val="6"/>
        <w:rPr>
          <w:rFonts w:ascii="Times New Roman" w:hAnsi="Times New Roman" w:cs="Times New Roman"/>
        </w:rPr>
      </w:pPr>
      <w:r>
        <w:rPr>
          <w:rFonts w:ascii="Times New Roman" w:hAnsi="Times New Roman" w:cs="Times New Roman"/>
        </w:rPr>
        <w:t>表6.2.1-</w:t>
      </w:r>
      <w:r>
        <w:rPr>
          <w:rFonts w:hint="eastAsia" w:ascii="Times New Roman" w:hAnsi="Times New Roman" w:cs="Times New Roman"/>
        </w:rPr>
        <w:t>21</w:t>
      </w:r>
      <w:r>
        <w:rPr>
          <w:rFonts w:ascii="Times New Roman" w:hAnsi="Times New Roman" w:cs="Times New Roman"/>
        </w:rPr>
        <w:t xml:space="preserve">  本项目排放镍及其化合物大气环境影响关心点预测结果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85"/>
        <w:gridCol w:w="1056"/>
        <w:gridCol w:w="1743"/>
        <w:gridCol w:w="1743"/>
        <w:gridCol w:w="23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pPr>
            <w:r>
              <w:t>敏感点名称</w:t>
            </w:r>
          </w:p>
        </w:tc>
        <w:tc>
          <w:tcPr>
            <w:tcW w:w="619" w:type="pct"/>
            <w:shd w:val="clear" w:color="auto" w:fill="auto"/>
            <w:noWrap/>
            <w:vAlign w:val="center"/>
          </w:tcPr>
          <w:p>
            <w:pPr>
              <w:pStyle w:val="63"/>
            </w:pPr>
            <w:r>
              <w:t>浓度类型</w:t>
            </w:r>
          </w:p>
        </w:tc>
        <w:tc>
          <w:tcPr>
            <w:tcW w:w="1022" w:type="pct"/>
            <w:shd w:val="clear" w:color="auto" w:fill="auto"/>
            <w:noWrap/>
            <w:vAlign w:val="center"/>
          </w:tcPr>
          <w:p>
            <w:pPr>
              <w:pStyle w:val="63"/>
            </w:pPr>
            <w:r>
              <w:t>浓度增量(μg/m</w:t>
            </w:r>
            <w:r>
              <w:rPr>
                <w:vertAlign w:val="superscript"/>
              </w:rPr>
              <w:t>3</w:t>
            </w:r>
            <w:r>
              <w:t>)</w:t>
            </w:r>
          </w:p>
        </w:tc>
        <w:tc>
          <w:tcPr>
            <w:tcW w:w="1022" w:type="pct"/>
            <w:shd w:val="clear" w:color="auto" w:fill="auto"/>
            <w:noWrap/>
            <w:vAlign w:val="center"/>
          </w:tcPr>
          <w:p>
            <w:pPr>
              <w:pStyle w:val="63"/>
            </w:pPr>
            <w:r>
              <w:t>评价标准(μg/m</w:t>
            </w:r>
            <w:r>
              <w:rPr>
                <w:vertAlign w:val="superscript"/>
              </w:rPr>
              <w:t>3</w:t>
            </w:r>
            <w:r>
              <w:t>)</w:t>
            </w:r>
          </w:p>
        </w:tc>
        <w:tc>
          <w:tcPr>
            <w:tcW w:w="1349" w:type="pct"/>
            <w:shd w:val="clear" w:color="auto" w:fill="auto"/>
            <w:noWrap/>
            <w:vAlign w:val="center"/>
          </w:tcPr>
          <w:p>
            <w:pPr>
              <w:pStyle w:val="63"/>
            </w:pPr>
            <w: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rPr>
            </w:pPr>
            <w:r>
              <w:rPr>
                <w:color w:val="000000"/>
              </w:rPr>
              <w:t>浦泉村</w:t>
            </w:r>
          </w:p>
        </w:tc>
        <w:tc>
          <w:tcPr>
            <w:tcW w:w="619" w:type="pct"/>
            <w:shd w:val="clear" w:color="auto" w:fill="auto"/>
            <w:noWrap/>
            <w:vAlign w:val="center"/>
          </w:tcPr>
          <w:p>
            <w:pPr>
              <w:pStyle w:val="63"/>
            </w:pPr>
            <w:r>
              <w:t>1小时</w:t>
            </w:r>
          </w:p>
        </w:tc>
        <w:tc>
          <w:tcPr>
            <w:tcW w:w="1022" w:type="pct"/>
            <w:shd w:val="clear" w:color="auto" w:fill="auto"/>
            <w:noWrap/>
            <w:vAlign w:val="center"/>
          </w:tcPr>
          <w:p>
            <w:pPr>
              <w:pStyle w:val="63"/>
              <w:rPr>
                <w:rFonts w:eastAsia="宋体"/>
                <w:color w:val="000000"/>
                <w:sz w:val="22"/>
              </w:rPr>
            </w:pPr>
            <w:r>
              <w:rPr>
                <w:color w:val="000000"/>
                <w:sz w:val="22"/>
              </w:rPr>
              <w:t>0.00015</w:t>
            </w:r>
          </w:p>
        </w:tc>
        <w:tc>
          <w:tcPr>
            <w:tcW w:w="1022" w:type="pct"/>
            <w:shd w:val="clear" w:color="auto" w:fill="auto"/>
            <w:noWrap/>
            <w:vAlign w:val="center"/>
          </w:tcPr>
          <w:p>
            <w:pPr>
              <w:pStyle w:val="63"/>
            </w:pPr>
            <w:r>
              <w:t>30.0</w:t>
            </w:r>
          </w:p>
        </w:tc>
        <w:tc>
          <w:tcPr>
            <w:tcW w:w="1349" w:type="pct"/>
            <w:shd w:val="clear" w:color="auto" w:fill="auto"/>
            <w:noWrap/>
            <w:vAlign w:val="center"/>
          </w:tcPr>
          <w:p>
            <w:pPr>
              <w:pStyle w:val="63"/>
              <w:rPr>
                <w:rFonts w:eastAsia="宋体"/>
                <w:color w:val="000000"/>
                <w:sz w:val="22"/>
              </w:rPr>
            </w:pPr>
            <w:r>
              <w:rPr>
                <w:color w:val="000000"/>
                <w:sz w:val="22"/>
              </w:rPr>
              <w:t>0.000499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rPr>
            </w:pPr>
            <w:r>
              <w:rPr>
                <w:color w:val="000000"/>
              </w:rPr>
              <w:t>三才村</w:t>
            </w:r>
          </w:p>
        </w:tc>
        <w:tc>
          <w:tcPr>
            <w:tcW w:w="619" w:type="pct"/>
            <w:shd w:val="clear" w:color="auto" w:fill="auto"/>
            <w:noWrap/>
            <w:vAlign w:val="center"/>
          </w:tcPr>
          <w:p>
            <w:pPr>
              <w:pStyle w:val="63"/>
            </w:pPr>
            <w:r>
              <w:t>1小时</w:t>
            </w:r>
          </w:p>
        </w:tc>
        <w:tc>
          <w:tcPr>
            <w:tcW w:w="1022" w:type="pct"/>
            <w:shd w:val="clear" w:color="auto" w:fill="auto"/>
            <w:noWrap/>
            <w:vAlign w:val="center"/>
          </w:tcPr>
          <w:p>
            <w:pPr>
              <w:pStyle w:val="63"/>
              <w:rPr>
                <w:rFonts w:eastAsia="宋体"/>
                <w:color w:val="000000"/>
                <w:sz w:val="22"/>
              </w:rPr>
            </w:pPr>
            <w:r>
              <w:rPr>
                <w:color w:val="000000"/>
                <w:sz w:val="22"/>
              </w:rPr>
              <w:t>0.000182</w:t>
            </w:r>
          </w:p>
        </w:tc>
        <w:tc>
          <w:tcPr>
            <w:tcW w:w="1022" w:type="pct"/>
            <w:shd w:val="clear" w:color="auto" w:fill="auto"/>
            <w:noWrap/>
            <w:vAlign w:val="center"/>
          </w:tcPr>
          <w:p>
            <w:pPr>
              <w:pStyle w:val="63"/>
            </w:pPr>
            <w:r>
              <w:t>30.0</w:t>
            </w:r>
          </w:p>
        </w:tc>
        <w:tc>
          <w:tcPr>
            <w:tcW w:w="1349" w:type="pct"/>
            <w:shd w:val="clear" w:color="auto" w:fill="auto"/>
            <w:noWrap/>
            <w:vAlign w:val="center"/>
          </w:tcPr>
          <w:p>
            <w:pPr>
              <w:pStyle w:val="63"/>
              <w:rPr>
                <w:rFonts w:eastAsia="宋体"/>
                <w:color w:val="000000"/>
                <w:sz w:val="22"/>
              </w:rPr>
            </w:pPr>
            <w:r>
              <w:rPr>
                <w:color w:val="000000"/>
                <w:sz w:val="22"/>
              </w:rPr>
              <w:t>0.000607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rPr>
            </w:pPr>
            <w:r>
              <w:rPr>
                <w:color w:val="000000"/>
              </w:rPr>
              <w:t>新石桥村</w:t>
            </w:r>
          </w:p>
        </w:tc>
        <w:tc>
          <w:tcPr>
            <w:tcW w:w="619" w:type="pct"/>
            <w:shd w:val="clear" w:color="auto" w:fill="auto"/>
            <w:noWrap/>
            <w:vAlign w:val="center"/>
          </w:tcPr>
          <w:p>
            <w:pPr>
              <w:pStyle w:val="63"/>
            </w:pPr>
            <w:r>
              <w:t>1小时</w:t>
            </w:r>
          </w:p>
        </w:tc>
        <w:tc>
          <w:tcPr>
            <w:tcW w:w="1022" w:type="pct"/>
            <w:shd w:val="clear" w:color="auto" w:fill="auto"/>
            <w:noWrap/>
            <w:vAlign w:val="center"/>
          </w:tcPr>
          <w:p>
            <w:pPr>
              <w:pStyle w:val="63"/>
              <w:rPr>
                <w:rFonts w:eastAsia="宋体"/>
                <w:color w:val="000000"/>
                <w:sz w:val="22"/>
              </w:rPr>
            </w:pPr>
            <w:r>
              <w:rPr>
                <w:color w:val="000000"/>
                <w:sz w:val="22"/>
              </w:rPr>
              <w:t>0.000165</w:t>
            </w:r>
          </w:p>
        </w:tc>
        <w:tc>
          <w:tcPr>
            <w:tcW w:w="1022" w:type="pct"/>
            <w:shd w:val="clear" w:color="auto" w:fill="auto"/>
            <w:noWrap/>
            <w:vAlign w:val="center"/>
          </w:tcPr>
          <w:p>
            <w:pPr>
              <w:pStyle w:val="63"/>
            </w:pPr>
            <w:r>
              <w:t>30.0</w:t>
            </w:r>
          </w:p>
        </w:tc>
        <w:tc>
          <w:tcPr>
            <w:tcW w:w="1349" w:type="pct"/>
            <w:shd w:val="clear" w:color="auto" w:fill="auto"/>
            <w:noWrap/>
            <w:vAlign w:val="center"/>
          </w:tcPr>
          <w:p>
            <w:pPr>
              <w:pStyle w:val="63"/>
              <w:rPr>
                <w:rFonts w:eastAsia="宋体"/>
                <w:color w:val="000000"/>
                <w:sz w:val="22"/>
              </w:rPr>
            </w:pPr>
            <w:r>
              <w:rPr>
                <w:color w:val="000000"/>
                <w:sz w:val="22"/>
              </w:rPr>
              <w:t>0.000551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rPr>
            </w:pPr>
            <w:r>
              <w:rPr>
                <w:color w:val="000000"/>
              </w:rPr>
              <w:t>大浦镇</w:t>
            </w:r>
          </w:p>
        </w:tc>
        <w:tc>
          <w:tcPr>
            <w:tcW w:w="619" w:type="pct"/>
            <w:shd w:val="clear" w:color="auto" w:fill="auto"/>
            <w:noWrap/>
            <w:vAlign w:val="center"/>
          </w:tcPr>
          <w:p>
            <w:pPr>
              <w:pStyle w:val="63"/>
            </w:pPr>
            <w:r>
              <w:t>1小时</w:t>
            </w:r>
          </w:p>
        </w:tc>
        <w:tc>
          <w:tcPr>
            <w:tcW w:w="1022" w:type="pct"/>
            <w:shd w:val="clear" w:color="auto" w:fill="auto"/>
            <w:noWrap/>
            <w:vAlign w:val="center"/>
          </w:tcPr>
          <w:p>
            <w:pPr>
              <w:pStyle w:val="63"/>
              <w:rPr>
                <w:rFonts w:eastAsia="宋体"/>
                <w:color w:val="000000"/>
                <w:sz w:val="22"/>
              </w:rPr>
            </w:pPr>
            <w:r>
              <w:rPr>
                <w:color w:val="000000"/>
                <w:sz w:val="22"/>
              </w:rPr>
              <w:t>0.000161</w:t>
            </w:r>
          </w:p>
        </w:tc>
        <w:tc>
          <w:tcPr>
            <w:tcW w:w="1022" w:type="pct"/>
            <w:shd w:val="clear" w:color="auto" w:fill="auto"/>
            <w:noWrap/>
            <w:vAlign w:val="center"/>
          </w:tcPr>
          <w:p>
            <w:pPr>
              <w:pStyle w:val="63"/>
            </w:pPr>
            <w:r>
              <w:t>30.0</w:t>
            </w:r>
          </w:p>
        </w:tc>
        <w:tc>
          <w:tcPr>
            <w:tcW w:w="1349" w:type="pct"/>
            <w:shd w:val="clear" w:color="auto" w:fill="auto"/>
            <w:noWrap/>
            <w:vAlign w:val="center"/>
          </w:tcPr>
          <w:p>
            <w:pPr>
              <w:pStyle w:val="63"/>
              <w:rPr>
                <w:rFonts w:eastAsia="宋体"/>
                <w:color w:val="000000"/>
                <w:sz w:val="22"/>
              </w:rPr>
            </w:pPr>
            <w:r>
              <w:rPr>
                <w:color w:val="000000"/>
                <w:sz w:val="22"/>
              </w:rPr>
              <w:t>0.000538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rPr>
            </w:pPr>
            <w:r>
              <w:rPr>
                <w:color w:val="000000"/>
              </w:rPr>
              <w:t>炉铺村</w:t>
            </w:r>
          </w:p>
        </w:tc>
        <w:tc>
          <w:tcPr>
            <w:tcW w:w="619" w:type="pct"/>
            <w:shd w:val="clear" w:color="auto" w:fill="auto"/>
            <w:noWrap/>
            <w:vAlign w:val="center"/>
          </w:tcPr>
          <w:p>
            <w:pPr>
              <w:pStyle w:val="63"/>
            </w:pPr>
            <w:r>
              <w:t>1小时</w:t>
            </w:r>
          </w:p>
        </w:tc>
        <w:tc>
          <w:tcPr>
            <w:tcW w:w="1022" w:type="pct"/>
            <w:shd w:val="clear" w:color="auto" w:fill="auto"/>
            <w:noWrap/>
            <w:vAlign w:val="center"/>
          </w:tcPr>
          <w:p>
            <w:pPr>
              <w:pStyle w:val="63"/>
              <w:rPr>
                <w:rFonts w:eastAsia="宋体"/>
                <w:color w:val="000000"/>
                <w:sz w:val="22"/>
              </w:rPr>
            </w:pPr>
            <w:r>
              <w:rPr>
                <w:color w:val="000000"/>
                <w:sz w:val="22"/>
              </w:rPr>
              <w:t>0.000136</w:t>
            </w:r>
          </w:p>
        </w:tc>
        <w:tc>
          <w:tcPr>
            <w:tcW w:w="1022" w:type="pct"/>
            <w:shd w:val="clear" w:color="auto" w:fill="auto"/>
            <w:noWrap/>
            <w:vAlign w:val="center"/>
          </w:tcPr>
          <w:p>
            <w:pPr>
              <w:pStyle w:val="63"/>
            </w:pPr>
            <w:r>
              <w:t>30.0</w:t>
            </w:r>
          </w:p>
        </w:tc>
        <w:tc>
          <w:tcPr>
            <w:tcW w:w="1349" w:type="pct"/>
            <w:shd w:val="clear" w:color="auto" w:fill="auto"/>
            <w:noWrap/>
            <w:vAlign w:val="center"/>
          </w:tcPr>
          <w:p>
            <w:pPr>
              <w:pStyle w:val="63"/>
              <w:rPr>
                <w:rFonts w:eastAsia="宋体"/>
                <w:color w:val="000000"/>
                <w:sz w:val="22"/>
              </w:rPr>
            </w:pPr>
            <w:r>
              <w:rPr>
                <w:color w:val="000000"/>
                <w:sz w:val="22"/>
              </w:rPr>
              <w:t>0.000455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rPr>
            </w:pPr>
            <w:r>
              <w:rPr>
                <w:color w:val="000000"/>
              </w:rPr>
              <w:t>堰桥村</w:t>
            </w:r>
          </w:p>
        </w:tc>
        <w:tc>
          <w:tcPr>
            <w:tcW w:w="619" w:type="pct"/>
            <w:shd w:val="clear" w:color="auto" w:fill="auto"/>
            <w:noWrap/>
            <w:vAlign w:val="center"/>
          </w:tcPr>
          <w:p>
            <w:pPr>
              <w:pStyle w:val="63"/>
            </w:pPr>
            <w:r>
              <w:t>1小时</w:t>
            </w:r>
          </w:p>
        </w:tc>
        <w:tc>
          <w:tcPr>
            <w:tcW w:w="1022" w:type="pct"/>
            <w:shd w:val="clear" w:color="auto" w:fill="auto"/>
            <w:noWrap/>
            <w:vAlign w:val="center"/>
          </w:tcPr>
          <w:p>
            <w:pPr>
              <w:pStyle w:val="63"/>
              <w:rPr>
                <w:rFonts w:eastAsia="宋体"/>
                <w:color w:val="000000"/>
                <w:sz w:val="22"/>
              </w:rPr>
            </w:pPr>
            <w:r>
              <w:rPr>
                <w:color w:val="000000"/>
                <w:sz w:val="22"/>
              </w:rPr>
              <w:t>0.000157</w:t>
            </w:r>
          </w:p>
        </w:tc>
        <w:tc>
          <w:tcPr>
            <w:tcW w:w="1022" w:type="pct"/>
            <w:shd w:val="clear" w:color="auto" w:fill="auto"/>
            <w:noWrap/>
            <w:vAlign w:val="center"/>
          </w:tcPr>
          <w:p>
            <w:pPr>
              <w:pStyle w:val="63"/>
            </w:pPr>
            <w:r>
              <w:t>30.0</w:t>
            </w:r>
          </w:p>
        </w:tc>
        <w:tc>
          <w:tcPr>
            <w:tcW w:w="1349" w:type="pct"/>
            <w:shd w:val="clear" w:color="auto" w:fill="auto"/>
            <w:noWrap/>
            <w:vAlign w:val="center"/>
          </w:tcPr>
          <w:p>
            <w:pPr>
              <w:pStyle w:val="63"/>
              <w:rPr>
                <w:rFonts w:eastAsia="宋体"/>
                <w:color w:val="000000"/>
                <w:sz w:val="22"/>
              </w:rPr>
            </w:pPr>
            <w:r>
              <w:rPr>
                <w:color w:val="000000"/>
                <w:sz w:val="22"/>
              </w:rPr>
              <w:t>0.000522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rPr>
            </w:pPr>
            <w:r>
              <w:rPr>
                <w:color w:val="000000"/>
              </w:rPr>
              <w:t>安置区</w:t>
            </w:r>
          </w:p>
        </w:tc>
        <w:tc>
          <w:tcPr>
            <w:tcW w:w="619" w:type="pct"/>
            <w:shd w:val="clear" w:color="auto" w:fill="auto"/>
            <w:noWrap/>
            <w:vAlign w:val="center"/>
          </w:tcPr>
          <w:p>
            <w:pPr>
              <w:pStyle w:val="63"/>
            </w:pPr>
            <w:r>
              <w:t>1小时</w:t>
            </w:r>
          </w:p>
        </w:tc>
        <w:tc>
          <w:tcPr>
            <w:tcW w:w="1022" w:type="pct"/>
            <w:shd w:val="clear" w:color="auto" w:fill="auto"/>
            <w:noWrap/>
            <w:vAlign w:val="center"/>
          </w:tcPr>
          <w:p>
            <w:pPr>
              <w:pStyle w:val="63"/>
              <w:rPr>
                <w:rFonts w:eastAsia="宋体"/>
                <w:color w:val="000000"/>
                <w:sz w:val="22"/>
              </w:rPr>
            </w:pPr>
            <w:r>
              <w:rPr>
                <w:color w:val="000000"/>
                <w:sz w:val="22"/>
              </w:rPr>
              <w:t>0.000128</w:t>
            </w:r>
          </w:p>
        </w:tc>
        <w:tc>
          <w:tcPr>
            <w:tcW w:w="1022" w:type="pct"/>
            <w:shd w:val="clear" w:color="auto" w:fill="auto"/>
            <w:noWrap/>
            <w:vAlign w:val="center"/>
          </w:tcPr>
          <w:p>
            <w:pPr>
              <w:pStyle w:val="63"/>
            </w:pPr>
            <w:r>
              <w:t>30.0</w:t>
            </w:r>
          </w:p>
        </w:tc>
        <w:tc>
          <w:tcPr>
            <w:tcW w:w="1349" w:type="pct"/>
            <w:shd w:val="clear" w:color="auto" w:fill="auto"/>
            <w:noWrap/>
            <w:vAlign w:val="center"/>
          </w:tcPr>
          <w:p>
            <w:pPr>
              <w:pStyle w:val="63"/>
              <w:rPr>
                <w:rFonts w:eastAsia="宋体"/>
                <w:color w:val="000000"/>
                <w:sz w:val="22"/>
              </w:rPr>
            </w:pPr>
            <w:r>
              <w:rPr>
                <w:color w:val="000000"/>
                <w:sz w:val="22"/>
              </w:rPr>
              <w:t>0.000428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rPr>
            </w:pPr>
            <w:r>
              <w:rPr>
                <w:color w:val="000000"/>
              </w:rPr>
              <w:t>爱国医院</w:t>
            </w:r>
          </w:p>
        </w:tc>
        <w:tc>
          <w:tcPr>
            <w:tcW w:w="619" w:type="pct"/>
            <w:shd w:val="clear" w:color="auto" w:fill="auto"/>
            <w:noWrap/>
            <w:vAlign w:val="center"/>
          </w:tcPr>
          <w:p>
            <w:pPr>
              <w:pStyle w:val="63"/>
            </w:pPr>
            <w:r>
              <w:t>1小时</w:t>
            </w:r>
          </w:p>
        </w:tc>
        <w:tc>
          <w:tcPr>
            <w:tcW w:w="1022" w:type="pct"/>
            <w:shd w:val="clear" w:color="auto" w:fill="auto"/>
            <w:noWrap/>
            <w:vAlign w:val="center"/>
          </w:tcPr>
          <w:p>
            <w:pPr>
              <w:pStyle w:val="63"/>
              <w:rPr>
                <w:rFonts w:eastAsia="宋体"/>
                <w:color w:val="000000"/>
                <w:sz w:val="22"/>
              </w:rPr>
            </w:pPr>
            <w:r>
              <w:rPr>
                <w:color w:val="000000"/>
                <w:sz w:val="22"/>
              </w:rPr>
              <w:t>0.000172</w:t>
            </w:r>
          </w:p>
        </w:tc>
        <w:tc>
          <w:tcPr>
            <w:tcW w:w="1022" w:type="pct"/>
            <w:shd w:val="clear" w:color="auto" w:fill="auto"/>
            <w:noWrap/>
            <w:vAlign w:val="center"/>
          </w:tcPr>
          <w:p>
            <w:pPr>
              <w:pStyle w:val="63"/>
            </w:pPr>
            <w:r>
              <w:t>30.0</w:t>
            </w:r>
          </w:p>
        </w:tc>
        <w:tc>
          <w:tcPr>
            <w:tcW w:w="1349" w:type="pct"/>
            <w:shd w:val="clear" w:color="auto" w:fill="auto"/>
            <w:noWrap/>
            <w:vAlign w:val="center"/>
          </w:tcPr>
          <w:p>
            <w:pPr>
              <w:pStyle w:val="63"/>
              <w:rPr>
                <w:rFonts w:eastAsia="宋体"/>
                <w:color w:val="000000"/>
                <w:sz w:val="22"/>
              </w:rPr>
            </w:pPr>
            <w:r>
              <w:rPr>
                <w:color w:val="000000"/>
                <w:sz w:val="22"/>
              </w:rPr>
              <w:t>0.000573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rPr>
            </w:pPr>
            <w:r>
              <w:rPr>
                <w:color w:val="000000"/>
              </w:rPr>
              <w:t>罗家老屋</w:t>
            </w:r>
          </w:p>
        </w:tc>
        <w:tc>
          <w:tcPr>
            <w:tcW w:w="619" w:type="pct"/>
            <w:shd w:val="clear" w:color="auto" w:fill="auto"/>
            <w:noWrap/>
            <w:vAlign w:val="center"/>
          </w:tcPr>
          <w:p>
            <w:pPr>
              <w:pStyle w:val="63"/>
            </w:pPr>
            <w:r>
              <w:t>1小时</w:t>
            </w:r>
          </w:p>
        </w:tc>
        <w:tc>
          <w:tcPr>
            <w:tcW w:w="1022" w:type="pct"/>
            <w:shd w:val="clear" w:color="auto" w:fill="auto"/>
            <w:noWrap/>
            <w:vAlign w:val="center"/>
          </w:tcPr>
          <w:p>
            <w:pPr>
              <w:pStyle w:val="63"/>
              <w:rPr>
                <w:rFonts w:eastAsia="宋体"/>
                <w:color w:val="000000"/>
                <w:sz w:val="22"/>
              </w:rPr>
            </w:pPr>
            <w:r>
              <w:rPr>
                <w:color w:val="000000"/>
                <w:sz w:val="22"/>
              </w:rPr>
              <w:t>0.00016</w:t>
            </w:r>
          </w:p>
        </w:tc>
        <w:tc>
          <w:tcPr>
            <w:tcW w:w="1022" w:type="pct"/>
            <w:shd w:val="clear" w:color="auto" w:fill="auto"/>
            <w:noWrap/>
            <w:vAlign w:val="center"/>
          </w:tcPr>
          <w:p>
            <w:pPr>
              <w:pStyle w:val="63"/>
            </w:pPr>
            <w:r>
              <w:t>30.0</w:t>
            </w:r>
          </w:p>
        </w:tc>
        <w:tc>
          <w:tcPr>
            <w:tcW w:w="1349" w:type="pct"/>
            <w:shd w:val="clear" w:color="auto" w:fill="auto"/>
            <w:noWrap/>
            <w:vAlign w:val="center"/>
          </w:tcPr>
          <w:p>
            <w:pPr>
              <w:pStyle w:val="63"/>
              <w:rPr>
                <w:rFonts w:eastAsia="宋体"/>
                <w:color w:val="000000"/>
                <w:sz w:val="22"/>
              </w:rPr>
            </w:pPr>
            <w:r>
              <w:rPr>
                <w:color w:val="000000"/>
                <w:sz w:val="22"/>
              </w:rPr>
              <w:t>0.000534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rPr>
            </w:pPr>
            <w:r>
              <w:rPr>
                <w:color w:val="000000"/>
              </w:rPr>
              <w:t>北头村</w:t>
            </w:r>
          </w:p>
        </w:tc>
        <w:tc>
          <w:tcPr>
            <w:tcW w:w="619" w:type="pct"/>
            <w:shd w:val="clear" w:color="auto" w:fill="auto"/>
            <w:noWrap/>
            <w:vAlign w:val="center"/>
          </w:tcPr>
          <w:p>
            <w:pPr>
              <w:pStyle w:val="63"/>
            </w:pPr>
            <w:r>
              <w:t>1小时</w:t>
            </w:r>
          </w:p>
        </w:tc>
        <w:tc>
          <w:tcPr>
            <w:tcW w:w="1022" w:type="pct"/>
            <w:shd w:val="clear" w:color="auto" w:fill="auto"/>
            <w:noWrap/>
            <w:vAlign w:val="center"/>
          </w:tcPr>
          <w:p>
            <w:pPr>
              <w:pStyle w:val="63"/>
              <w:rPr>
                <w:rFonts w:eastAsia="宋体"/>
                <w:color w:val="000000"/>
                <w:sz w:val="22"/>
              </w:rPr>
            </w:pPr>
            <w:r>
              <w:rPr>
                <w:color w:val="000000"/>
                <w:sz w:val="22"/>
              </w:rPr>
              <w:t>0.000319</w:t>
            </w:r>
          </w:p>
        </w:tc>
        <w:tc>
          <w:tcPr>
            <w:tcW w:w="1022" w:type="pct"/>
            <w:shd w:val="clear" w:color="auto" w:fill="auto"/>
            <w:noWrap/>
            <w:vAlign w:val="center"/>
          </w:tcPr>
          <w:p>
            <w:pPr>
              <w:pStyle w:val="63"/>
            </w:pPr>
            <w:r>
              <w:t>30.0</w:t>
            </w:r>
          </w:p>
        </w:tc>
        <w:tc>
          <w:tcPr>
            <w:tcW w:w="1349" w:type="pct"/>
            <w:shd w:val="clear" w:color="auto" w:fill="auto"/>
            <w:noWrap/>
            <w:vAlign w:val="center"/>
          </w:tcPr>
          <w:p>
            <w:pPr>
              <w:pStyle w:val="63"/>
              <w:rPr>
                <w:rFonts w:eastAsia="宋体"/>
                <w:color w:val="000000"/>
                <w:sz w:val="22"/>
              </w:rPr>
            </w:pPr>
            <w:r>
              <w:rPr>
                <w:color w:val="000000"/>
                <w:sz w:val="22"/>
              </w:rPr>
              <w:t>0.001064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rPr>
            </w:pPr>
            <w:r>
              <w:rPr>
                <w:color w:val="000000"/>
              </w:rPr>
              <w:t>龙家冲</w:t>
            </w:r>
          </w:p>
        </w:tc>
        <w:tc>
          <w:tcPr>
            <w:tcW w:w="619" w:type="pct"/>
            <w:shd w:val="clear" w:color="auto" w:fill="auto"/>
            <w:noWrap/>
            <w:vAlign w:val="center"/>
          </w:tcPr>
          <w:p>
            <w:pPr>
              <w:pStyle w:val="63"/>
            </w:pPr>
            <w:r>
              <w:t>1小时</w:t>
            </w:r>
          </w:p>
        </w:tc>
        <w:tc>
          <w:tcPr>
            <w:tcW w:w="1022" w:type="pct"/>
            <w:shd w:val="clear" w:color="auto" w:fill="auto"/>
            <w:noWrap/>
            <w:vAlign w:val="center"/>
          </w:tcPr>
          <w:p>
            <w:pPr>
              <w:pStyle w:val="63"/>
              <w:rPr>
                <w:rFonts w:eastAsia="宋体"/>
                <w:color w:val="000000"/>
                <w:sz w:val="22"/>
              </w:rPr>
            </w:pPr>
            <w:r>
              <w:rPr>
                <w:color w:val="000000"/>
                <w:sz w:val="22"/>
              </w:rPr>
              <w:t>0.000169</w:t>
            </w:r>
          </w:p>
        </w:tc>
        <w:tc>
          <w:tcPr>
            <w:tcW w:w="1022" w:type="pct"/>
            <w:shd w:val="clear" w:color="auto" w:fill="auto"/>
            <w:noWrap/>
            <w:vAlign w:val="center"/>
          </w:tcPr>
          <w:p>
            <w:pPr>
              <w:pStyle w:val="63"/>
            </w:pPr>
            <w:r>
              <w:t>30.0</w:t>
            </w:r>
          </w:p>
        </w:tc>
        <w:tc>
          <w:tcPr>
            <w:tcW w:w="1349" w:type="pct"/>
            <w:shd w:val="clear" w:color="auto" w:fill="auto"/>
            <w:noWrap/>
            <w:vAlign w:val="center"/>
          </w:tcPr>
          <w:p>
            <w:pPr>
              <w:pStyle w:val="63"/>
              <w:rPr>
                <w:rFonts w:eastAsia="宋体"/>
                <w:color w:val="000000"/>
                <w:sz w:val="22"/>
              </w:rPr>
            </w:pPr>
            <w:r>
              <w:rPr>
                <w:color w:val="000000"/>
                <w:sz w:val="22"/>
              </w:rPr>
              <w:t>0.000562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rPr>
            </w:pPr>
            <w:r>
              <w:rPr>
                <w:color w:val="000000"/>
              </w:rPr>
              <w:t>平田村</w:t>
            </w:r>
          </w:p>
        </w:tc>
        <w:tc>
          <w:tcPr>
            <w:tcW w:w="619" w:type="pct"/>
            <w:shd w:val="clear" w:color="auto" w:fill="auto"/>
            <w:noWrap/>
            <w:vAlign w:val="center"/>
          </w:tcPr>
          <w:p>
            <w:pPr>
              <w:pStyle w:val="63"/>
            </w:pPr>
            <w:r>
              <w:t>1小时</w:t>
            </w:r>
          </w:p>
        </w:tc>
        <w:tc>
          <w:tcPr>
            <w:tcW w:w="1022" w:type="pct"/>
            <w:shd w:val="clear" w:color="auto" w:fill="auto"/>
            <w:noWrap/>
            <w:vAlign w:val="center"/>
          </w:tcPr>
          <w:p>
            <w:pPr>
              <w:pStyle w:val="63"/>
              <w:rPr>
                <w:rFonts w:eastAsia="宋体"/>
                <w:color w:val="000000"/>
                <w:sz w:val="22"/>
              </w:rPr>
            </w:pPr>
            <w:r>
              <w:rPr>
                <w:color w:val="000000"/>
                <w:sz w:val="22"/>
              </w:rPr>
              <w:t>0.000153</w:t>
            </w:r>
          </w:p>
        </w:tc>
        <w:tc>
          <w:tcPr>
            <w:tcW w:w="1022" w:type="pct"/>
            <w:shd w:val="clear" w:color="auto" w:fill="auto"/>
            <w:noWrap/>
            <w:vAlign w:val="center"/>
          </w:tcPr>
          <w:p>
            <w:pPr>
              <w:pStyle w:val="63"/>
            </w:pPr>
            <w:r>
              <w:t>30.0</w:t>
            </w:r>
          </w:p>
        </w:tc>
        <w:tc>
          <w:tcPr>
            <w:tcW w:w="1349" w:type="pct"/>
            <w:shd w:val="clear" w:color="auto" w:fill="auto"/>
            <w:noWrap/>
            <w:vAlign w:val="center"/>
          </w:tcPr>
          <w:p>
            <w:pPr>
              <w:pStyle w:val="63"/>
              <w:rPr>
                <w:rFonts w:eastAsia="宋体"/>
                <w:color w:val="000000"/>
                <w:sz w:val="22"/>
              </w:rPr>
            </w:pPr>
            <w:r>
              <w:rPr>
                <w:color w:val="000000"/>
                <w:sz w:val="22"/>
              </w:rPr>
              <w:t>0.000511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pct"/>
            <w:shd w:val="clear" w:color="auto" w:fill="auto"/>
            <w:noWrap/>
            <w:vAlign w:val="center"/>
          </w:tcPr>
          <w:p>
            <w:pPr>
              <w:pStyle w:val="63"/>
              <w:rPr>
                <w:color w:val="000000"/>
              </w:rPr>
            </w:pPr>
            <w:r>
              <w:rPr>
                <w:color w:val="000000"/>
              </w:rPr>
              <w:t>彭家屋场</w:t>
            </w:r>
          </w:p>
        </w:tc>
        <w:tc>
          <w:tcPr>
            <w:tcW w:w="619" w:type="pct"/>
            <w:shd w:val="clear" w:color="auto" w:fill="auto"/>
            <w:noWrap/>
            <w:vAlign w:val="center"/>
          </w:tcPr>
          <w:p>
            <w:pPr>
              <w:pStyle w:val="63"/>
            </w:pPr>
            <w:r>
              <w:t>1小时</w:t>
            </w:r>
          </w:p>
        </w:tc>
        <w:tc>
          <w:tcPr>
            <w:tcW w:w="1022" w:type="pct"/>
            <w:shd w:val="clear" w:color="auto" w:fill="auto"/>
            <w:noWrap/>
            <w:vAlign w:val="center"/>
          </w:tcPr>
          <w:p>
            <w:pPr>
              <w:pStyle w:val="63"/>
              <w:rPr>
                <w:rFonts w:eastAsia="宋体"/>
                <w:color w:val="000000"/>
                <w:sz w:val="22"/>
              </w:rPr>
            </w:pPr>
            <w:r>
              <w:rPr>
                <w:color w:val="000000"/>
                <w:sz w:val="22"/>
              </w:rPr>
              <w:t>0.000264</w:t>
            </w:r>
          </w:p>
        </w:tc>
        <w:tc>
          <w:tcPr>
            <w:tcW w:w="1022" w:type="pct"/>
            <w:shd w:val="clear" w:color="auto" w:fill="auto"/>
            <w:noWrap/>
            <w:vAlign w:val="center"/>
          </w:tcPr>
          <w:p>
            <w:pPr>
              <w:pStyle w:val="63"/>
            </w:pPr>
            <w:r>
              <w:t>30.0</w:t>
            </w:r>
          </w:p>
        </w:tc>
        <w:tc>
          <w:tcPr>
            <w:tcW w:w="1349" w:type="pct"/>
            <w:shd w:val="clear" w:color="auto" w:fill="auto"/>
            <w:noWrap/>
            <w:vAlign w:val="center"/>
          </w:tcPr>
          <w:p>
            <w:pPr>
              <w:pStyle w:val="63"/>
              <w:rPr>
                <w:rFonts w:eastAsia="宋体"/>
                <w:color w:val="000000"/>
                <w:sz w:val="22"/>
              </w:rPr>
            </w:pPr>
            <w:r>
              <w:rPr>
                <w:color w:val="000000"/>
                <w:sz w:val="22"/>
              </w:rPr>
              <w:t>0.000881</w:t>
            </w:r>
          </w:p>
        </w:tc>
      </w:tr>
    </w:tbl>
    <w:p>
      <w:pPr>
        <w:spacing w:line="360" w:lineRule="auto"/>
        <w:ind w:firstLine="480" w:firstLineChars="200"/>
        <w:rPr>
          <w:rFonts w:ascii="Times New Roman" w:hAnsi="Times New Roman" w:cs="Times New Roman"/>
        </w:rPr>
      </w:pPr>
      <w:r>
        <w:rPr>
          <w:rFonts w:hint="eastAsia" w:ascii="Times New Roman" w:hAnsi="Times New Roman" w:cs="Times New Roman"/>
        </w:rPr>
        <w:t>f</w:t>
      </w:r>
      <w:r>
        <w:rPr>
          <w:rFonts w:ascii="Times New Roman" w:hAnsi="Times New Roman" w:cs="Times New Roman"/>
        </w:rPr>
        <w:t>.氟化物</w:t>
      </w:r>
    </w:p>
    <w:p>
      <w:pPr>
        <w:spacing w:line="360" w:lineRule="auto"/>
        <w:ind w:firstLine="480" w:firstLineChars="200"/>
        <w:rPr>
          <w:rFonts w:ascii="Times New Roman" w:hAnsi="Times New Roman" w:cs="Times New Roman"/>
        </w:rPr>
      </w:pPr>
      <w:r>
        <w:rPr>
          <w:rFonts w:ascii="Times New Roman" w:hAnsi="Times New Roman" w:cs="Times New Roman"/>
        </w:rPr>
        <w:t>评价范围内氟化物关心点预测结果</w:t>
      </w:r>
      <w:r>
        <w:rPr>
          <w:rFonts w:hint="eastAsia" w:ascii="Times New Roman" w:hAnsi="Times New Roman" w:cs="Times New Roman"/>
        </w:rPr>
        <w:t>见下表</w:t>
      </w:r>
      <w:r>
        <w:rPr>
          <w:rFonts w:ascii="Times New Roman" w:hAnsi="Times New Roman" w:cs="Times New Roman"/>
        </w:rPr>
        <w:t>所示。可以看出，本项目对评价区域的关心点氟化物的1小时平均、日平均以及月平均最大贡献值均满足《环境空气质量标准》（GB3095-2012）</w:t>
      </w:r>
      <w:r>
        <w:rPr>
          <w:rFonts w:hint="eastAsia" w:ascii="Times New Roman" w:hAnsi="Times New Roman" w:cs="Times New Roman"/>
        </w:rPr>
        <w:t>及修改单的二级标准</w:t>
      </w:r>
      <w:r>
        <w:rPr>
          <w:rFonts w:ascii="Times New Roman" w:hAnsi="Times New Roman" w:cs="Times New Roman"/>
        </w:rPr>
        <w:t>要求。</w:t>
      </w:r>
    </w:p>
    <w:p>
      <w:pPr>
        <w:pStyle w:val="6"/>
        <w:rPr>
          <w:rFonts w:ascii="Times New Roman" w:hAnsi="Times New Roman" w:cs="Times New Roman"/>
        </w:rPr>
      </w:pPr>
      <w:r>
        <w:rPr>
          <w:rFonts w:ascii="Times New Roman" w:hAnsi="Times New Roman" w:cs="Times New Roman"/>
        </w:rPr>
        <w:t>表6.2.1-</w:t>
      </w:r>
      <w:r>
        <w:rPr>
          <w:rFonts w:hint="eastAsia" w:ascii="Times New Roman" w:hAnsi="Times New Roman" w:cs="Times New Roman"/>
        </w:rPr>
        <w:t xml:space="preserve">22  </w:t>
      </w:r>
      <w:r>
        <w:rPr>
          <w:rFonts w:ascii="Times New Roman" w:hAnsi="Times New Roman" w:cs="Times New Roman"/>
        </w:rPr>
        <w:t>本项目排放氟化物大气环境影响关心点预测结果</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79"/>
        <w:gridCol w:w="1469"/>
        <w:gridCol w:w="1706"/>
        <w:gridCol w:w="1706"/>
        <w:gridCol w:w="146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277" w:type="pct"/>
            <w:shd w:val="clear" w:color="auto" w:fill="auto"/>
            <w:noWrap/>
            <w:vAlign w:val="center"/>
          </w:tcPr>
          <w:p>
            <w:pPr>
              <w:pStyle w:val="63"/>
            </w:pPr>
            <w:r>
              <w:t>敏感点点名称</w:t>
            </w:r>
          </w:p>
        </w:tc>
        <w:tc>
          <w:tcPr>
            <w:tcW w:w="861" w:type="pct"/>
            <w:shd w:val="clear" w:color="auto" w:fill="auto"/>
            <w:noWrap/>
            <w:vAlign w:val="center"/>
          </w:tcPr>
          <w:p>
            <w:pPr>
              <w:pStyle w:val="63"/>
            </w:pPr>
            <w:r>
              <w:t>浓度类型</w:t>
            </w:r>
          </w:p>
        </w:tc>
        <w:tc>
          <w:tcPr>
            <w:tcW w:w="1000" w:type="pct"/>
            <w:shd w:val="clear" w:color="auto" w:fill="auto"/>
            <w:noWrap/>
            <w:vAlign w:val="center"/>
          </w:tcPr>
          <w:p>
            <w:pPr>
              <w:pStyle w:val="63"/>
            </w:pPr>
            <w:r>
              <w:t>浓度增量(μg/m</w:t>
            </w:r>
            <w:r>
              <w:rPr>
                <w:vertAlign w:val="superscript"/>
              </w:rPr>
              <w:t>3</w:t>
            </w:r>
            <w:r>
              <w:t>)</w:t>
            </w:r>
          </w:p>
        </w:tc>
        <w:tc>
          <w:tcPr>
            <w:tcW w:w="1000" w:type="pct"/>
            <w:shd w:val="clear" w:color="auto" w:fill="auto"/>
            <w:noWrap/>
            <w:vAlign w:val="center"/>
          </w:tcPr>
          <w:p>
            <w:pPr>
              <w:pStyle w:val="63"/>
            </w:pPr>
            <w:r>
              <w:t>评价标准(μg/m</w:t>
            </w:r>
            <w:r>
              <w:rPr>
                <w:vertAlign w:val="superscript"/>
              </w:rPr>
              <w:t>3</w:t>
            </w:r>
            <w:r>
              <w:t>)</w:t>
            </w:r>
          </w:p>
        </w:tc>
        <w:tc>
          <w:tcPr>
            <w:tcW w:w="861" w:type="pct"/>
            <w:shd w:val="clear" w:color="auto" w:fill="auto"/>
            <w:noWrap/>
            <w:vAlign w:val="center"/>
          </w:tcPr>
          <w:p>
            <w:pPr>
              <w:pStyle w:val="63"/>
            </w:pPr>
            <w: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浦泉村</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t>0.56</w:t>
            </w:r>
          </w:p>
        </w:tc>
        <w:tc>
          <w:tcPr>
            <w:tcW w:w="1000" w:type="pct"/>
            <w:shd w:val="clear" w:color="auto" w:fill="auto"/>
            <w:noWrap/>
            <w:vAlign w:val="center"/>
          </w:tcPr>
          <w:p>
            <w:pPr>
              <w:pStyle w:val="63"/>
              <w:rPr>
                <w:szCs w:val="21"/>
              </w:rPr>
            </w:pPr>
            <w:r>
              <w:rPr>
                <w:szCs w:val="21"/>
              </w:rPr>
              <w:t>20.0</w:t>
            </w:r>
          </w:p>
        </w:tc>
        <w:tc>
          <w:tcPr>
            <w:tcW w:w="861" w:type="pct"/>
            <w:shd w:val="clear" w:color="auto" w:fill="auto"/>
            <w:noWrap/>
            <w:vAlign w:val="center"/>
          </w:tcPr>
          <w:p>
            <w:pPr>
              <w:pStyle w:val="63"/>
            </w:pPr>
            <w:r>
              <w:t>2.78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jc w:val="center"/>
              <w:rPr>
                <w:rFonts w:ascii="Times New Roman" w:hAnsi="Times New Roman" w:cs="Times New Roman"/>
              </w:rPr>
            </w:pPr>
            <w:r>
              <w:rPr>
                <w:rFonts w:ascii="Times New Roman" w:hAnsi="Times New Roman" w:cs="Times New Roman"/>
                <w:color w:val="000000"/>
                <w:sz w:val="22"/>
              </w:rPr>
              <w:t>0.07</w:t>
            </w:r>
          </w:p>
        </w:tc>
        <w:tc>
          <w:tcPr>
            <w:tcW w:w="1000" w:type="pct"/>
            <w:shd w:val="clear" w:color="auto" w:fill="auto"/>
            <w:noWrap/>
            <w:vAlign w:val="center"/>
          </w:tcPr>
          <w:p>
            <w:pPr>
              <w:pStyle w:val="63"/>
              <w:rPr>
                <w:szCs w:val="21"/>
              </w:rPr>
            </w:pPr>
            <w:r>
              <w:rPr>
                <w:szCs w:val="21"/>
              </w:rPr>
              <w:t>7.0</w:t>
            </w:r>
          </w:p>
        </w:tc>
        <w:tc>
          <w:tcPr>
            <w:tcW w:w="861" w:type="pct"/>
            <w:shd w:val="clear" w:color="auto" w:fill="auto"/>
            <w:noWrap/>
            <w:vAlign w:val="center"/>
          </w:tcPr>
          <w:p>
            <w:pPr>
              <w:jc w:val="center"/>
              <w:rPr>
                <w:rFonts w:ascii="Times New Roman" w:hAnsi="Times New Roman" w:cs="Times New Roman"/>
              </w:rPr>
            </w:pPr>
            <w:r>
              <w:rPr>
                <w:rFonts w:ascii="Times New Roman" w:hAnsi="Times New Roman" w:cs="Times New Roman"/>
                <w:color w:val="000000"/>
                <w:sz w:val="22"/>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三才村</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t>0.68</w:t>
            </w:r>
          </w:p>
        </w:tc>
        <w:tc>
          <w:tcPr>
            <w:tcW w:w="1000" w:type="pct"/>
            <w:shd w:val="clear" w:color="auto" w:fill="auto"/>
            <w:noWrap/>
            <w:vAlign w:val="center"/>
          </w:tcPr>
          <w:p>
            <w:pPr>
              <w:pStyle w:val="63"/>
              <w:rPr>
                <w:szCs w:val="21"/>
              </w:rPr>
            </w:pPr>
            <w:r>
              <w:rPr>
                <w:szCs w:val="21"/>
              </w:rPr>
              <w:t>20.0</w:t>
            </w:r>
          </w:p>
        </w:tc>
        <w:tc>
          <w:tcPr>
            <w:tcW w:w="861" w:type="pct"/>
            <w:shd w:val="clear" w:color="auto" w:fill="auto"/>
            <w:noWrap/>
            <w:vAlign w:val="center"/>
          </w:tcPr>
          <w:p>
            <w:pPr>
              <w:pStyle w:val="63"/>
            </w:pPr>
            <w:r>
              <w:t>3.38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jc w:val="center"/>
              <w:rPr>
                <w:rFonts w:ascii="Times New Roman" w:hAnsi="Times New Roman" w:eastAsia="宋体" w:cs="Times New Roman"/>
                <w:color w:val="000000"/>
                <w:sz w:val="22"/>
              </w:rPr>
            </w:pPr>
            <w:r>
              <w:rPr>
                <w:rFonts w:ascii="Times New Roman" w:hAnsi="Times New Roman" w:cs="Times New Roman"/>
                <w:color w:val="000000"/>
                <w:sz w:val="22"/>
              </w:rPr>
              <w:t>0.03</w:t>
            </w:r>
          </w:p>
        </w:tc>
        <w:tc>
          <w:tcPr>
            <w:tcW w:w="1000" w:type="pct"/>
            <w:shd w:val="clear" w:color="auto" w:fill="auto"/>
            <w:noWrap/>
            <w:vAlign w:val="center"/>
          </w:tcPr>
          <w:p>
            <w:pPr>
              <w:pStyle w:val="63"/>
              <w:rPr>
                <w:szCs w:val="21"/>
              </w:rPr>
            </w:pPr>
            <w:r>
              <w:rPr>
                <w:szCs w:val="21"/>
              </w:rPr>
              <w:t>7.0</w:t>
            </w:r>
          </w:p>
        </w:tc>
        <w:tc>
          <w:tcPr>
            <w:tcW w:w="861" w:type="pct"/>
            <w:shd w:val="clear" w:color="auto" w:fill="auto"/>
            <w:noWrap/>
            <w:vAlign w:val="center"/>
          </w:tcPr>
          <w:p>
            <w:pPr>
              <w:pStyle w:val="63"/>
            </w:pPr>
            <w:r>
              <w:t>0.43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新石桥村</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t>0.61</w:t>
            </w:r>
          </w:p>
        </w:tc>
        <w:tc>
          <w:tcPr>
            <w:tcW w:w="1000" w:type="pct"/>
            <w:shd w:val="clear" w:color="auto" w:fill="auto"/>
            <w:noWrap/>
            <w:vAlign w:val="center"/>
          </w:tcPr>
          <w:p>
            <w:pPr>
              <w:pStyle w:val="63"/>
              <w:rPr>
                <w:szCs w:val="21"/>
              </w:rPr>
            </w:pPr>
            <w:r>
              <w:rPr>
                <w:szCs w:val="21"/>
              </w:rPr>
              <w:t>20.0</w:t>
            </w:r>
          </w:p>
        </w:tc>
        <w:tc>
          <w:tcPr>
            <w:tcW w:w="861" w:type="pct"/>
            <w:shd w:val="clear" w:color="auto" w:fill="auto"/>
            <w:noWrap/>
            <w:vAlign w:val="center"/>
          </w:tcPr>
          <w:p>
            <w:pPr>
              <w:pStyle w:val="63"/>
            </w:pPr>
            <w:r>
              <w:t>3.07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jc w:val="center"/>
              <w:rPr>
                <w:rFonts w:ascii="Times New Roman" w:hAnsi="Times New Roman" w:eastAsia="宋体" w:cs="Times New Roman"/>
                <w:color w:val="000000"/>
                <w:sz w:val="22"/>
              </w:rPr>
            </w:pPr>
            <w:r>
              <w:rPr>
                <w:rFonts w:ascii="Times New Roman" w:hAnsi="Times New Roman" w:cs="Times New Roman"/>
                <w:color w:val="000000"/>
                <w:sz w:val="22"/>
              </w:rPr>
              <w:t>0.03</w:t>
            </w:r>
          </w:p>
        </w:tc>
        <w:tc>
          <w:tcPr>
            <w:tcW w:w="1000" w:type="pct"/>
            <w:shd w:val="clear" w:color="auto" w:fill="auto"/>
            <w:noWrap/>
            <w:vAlign w:val="center"/>
          </w:tcPr>
          <w:p>
            <w:pPr>
              <w:pStyle w:val="63"/>
              <w:rPr>
                <w:szCs w:val="21"/>
              </w:rPr>
            </w:pPr>
            <w:r>
              <w:rPr>
                <w:szCs w:val="21"/>
              </w:rPr>
              <w:t>7.0</w:t>
            </w:r>
          </w:p>
        </w:tc>
        <w:tc>
          <w:tcPr>
            <w:tcW w:w="861" w:type="pct"/>
            <w:shd w:val="clear" w:color="auto" w:fill="auto"/>
            <w:noWrap/>
            <w:vAlign w:val="center"/>
          </w:tcPr>
          <w:p>
            <w:pPr>
              <w:pStyle w:val="63"/>
            </w:pPr>
            <w:r>
              <w:t>0.43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大浦镇</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t>0.60</w:t>
            </w:r>
          </w:p>
        </w:tc>
        <w:tc>
          <w:tcPr>
            <w:tcW w:w="1000" w:type="pct"/>
            <w:shd w:val="clear" w:color="auto" w:fill="auto"/>
            <w:noWrap/>
            <w:vAlign w:val="center"/>
          </w:tcPr>
          <w:p>
            <w:pPr>
              <w:pStyle w:val="63"/>
              <w:rPr>
                <w:szCs w:val="21"/>
              </w:rPr>
            </w:pPr>
            <w:r>
              <w:rPr>
                <w:szCs w:val="21"/>
              </w:rPr>
              <w:t>20.0</w:t>
            </w:r>
          </w:p>
        </w:tc>
        <w:tc>
          <w:tcPr>
            <w:tcW w:w="861" w:type="pct"/>
            <w:shd w:val="clear" w:color="auto" w:fill="auto"/>
            <w:noWrap/>
            <w:vAlign w:val="center"/>
          </w:tcPr>
          <w:p>
            <w:pPr>
              <w:pStyle w:val="63"/>
            </w:pPr>
            <w: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pPr>
            <w:r>
              <w:t>0.06</w:t>
            </w:r>
          </w:p>
        </w:tc>
        <w:tc>
          <w:tcPr>
            <w:tcW w:w="1000" w:type="pct"/>
            <w:shd w:val="clear" w:color="auto" w:fill="auto"/>
            <w:noWrap/>
            <w:vAlign w:val="center"/>
          </w:tcPr>
          <w:p>
            <w:pPr>
              <w:pStyle w:val="63"/>
              <w:rPr>
                <w:szCs w:val="21"/>
              </w:rPr>
            </w:pPr>
            <w:r>
              <w:rPr>
                <w:szCs w:val="21"/>
              </w:rPr>
              <w:t>7.0</w:t>
            </w:r>
          </w:p>
        </w:tc>
        <w:tc>
          <w:tcPr>
            <w:tcW w:w="861" w:type="pct"/>
            <w:shd w:val="clear" w:color="auto" w:fill="auto"/>
            <w:noWrap/>
            <w:vAlign w:val="center"/>
          </w:tcPr>
          <w:p>
            <w:pPr>
              <w:pStyle w:val="63"/>
            </w:pPr>
            <w:r>
              <w:t>0.86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炉铺村</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t>0.51</w:t>
            </w:r>
          </w:p>
        </w:tc>
        <w:tc>
          <w:tcPr>
            <w:tcW w:w="1000" w:type="pct"/>
            <w:shd w:val="clear" w:color="auto" w:fill="auto"/>
            <w:noWrap/>
            <w:vAlign w:val="center"/>
          </w:tcPr>
          <w:p>
            <w:pPr>
              <w:pStyle w:val="63"/>
              <w:rPr>
                <w:szCs w:val="21"/>
              </w:rPr>
            </w:pPr>
            <w:r>
              <w:rPr>
                <w:szCs w:val="21"/>
              </w:rPr>
              <w:t>20.0</w:t>
            </w:r>
          </w:p>
        </w:tc>
        <w:tc>
          <w:tcPr>
            <w:tcW w:w="861" w:type="pct"/>
            <w:shd w:val="clear" w:color="auto" w:fill="auto"/>
            <w:noWrap/>
            <w:vAlign w:val="center"/>
          </w:tcPr>
          <w:p>
            <w:pPr>
              <w:pStyle w:val="63"/>
            </w:pPr>
            <w:r>
              <w:t>2.53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pPr>
            <w:r>
              <w:t>0.04</w:t>
            </w:r>
          </w:p>
        </w:tc>
        <w:tc>
          <w:tcPr>
            <w:tcW w:w="1000" w:type="pct"/>
            <w:shd w:val="clear" w:color="auto" w:fill="auto"/>
            <w:noWrap/>
            <w:vAlign w:val="center"/>
          </w:tcPr>
          <w:p>
            <w:pPr>
              <w:pStyle w:val="63"/>
              <w:rPr>
                <w:szCs w:val="21"/>
              </w:rPr>
            </w:pPr>
            <w:r>
              <w:rPr>
                <w:szCs w:val="21"/>
              </w:rPr>
              <w:t>7.0</w:t>
            </w:r>
          </w:p>
        </w:tc>
        <w:tc>
          <w:tcPr>
            <w:tcW w:w="861" w:type="pct"/>
            <w:shd w:val="clear" w:color="auto" w:fill="auto"/>
            <w:noWrap/>
            <w:vAlign w:val="center"/>
          </w:tcPr>
          <w:p>
            <w:pPr>
              <w:pStyle w:val="63"/>
            </w:pPr>
            <w:r>
              <w:t>0.57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堰桥村</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t>0.58</w:t>
            </w:r>
          </w:p>
        </w:tc>
        <w:tc>
          <w:tcPr>
            <w:tcW w:w="1000" w:type="pct"/>
            <w:shd w:val="clear" w:color="auto" w:fill="auto"/>
            <w:noWrap/>
            <w:vAlign w:val="center"/>
          </w:tcPr>
          <w:p>
            <w:pPr>
              <w:pStyle w:val="63"/>
              <w:rPr>
                <w:szCs w:val="21"/>
              </w:rPr>
            </w:pPr>
            <w:r>
              <w:rPr>
                <w:szCs w:val="21"/>
              </w:rPr>
              <w:t>20.0</w:t>
            </w:r>
          </w:p>
        </w:tc>
        <w:tc>
          <w:tcPr>
            <w:tcW w:w="861" w:type="pct"/>
            <w:shd w:val="clear" w:color="auto" w:fill="auto"/>
            <w:noWrap/>
            <w:vAlign w:val="center"/>
          </w:tcPr>
          <w:p>
            <w:pPr>
              <w:pStyle w:val="63"/>
            </w:pPr>
            <w:r>
              <w:t>2.91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pPr>
            <w:r>
              <w:t>0.06</w:t>
            </w:r>
          </w:p>
        </w:tc>
        <w:tc>
          <w:tcPr>
            <w:tcW w:w="1000" w:type="pct"/>
            <w:shd w:val="clear" w:color="auto" w:fill="auto"/>
            <w:noWrap/>
            <w:vAlign w:val="center"/>
          </w:tcPr>
          <w:p>
            <w:pPr>
              <w:pStyle w:val="63"/>
              <w:rPr>
                <w:szCs w:val="21"/>
              </w:rPr>
            </w:pPr>
            <w:r>
              <w:rPr>
                <w:szCs w:val="21"/>
              </w:rPr>
              <w:t>7.0</w:t>
            </w:r>
          </w:p>
        </w:tc>
        <w:tc>
          <w:tcPr>
            <w:tcW w:w="861" w:type="pct"/>
            <w:shd w:val="clear" w:color="auto" w:fill="auto"/>
            <w:noWrap/>
            <w:vAlign w:val="center"/>
          </w:tcPr>
          <w:p>
            <w:pPr>
              <w:pStyle w:val="63"/>
            </w:pPr>
            <w:r>
              <w:t>0.86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安置区</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t>0.48</w:t>
            </w:r>
          </w:p>
        </w:tc>
        <w:tc>
          <w:tcPr>
            <w:tcW w:w="1000" w:type="pct"/>
            <w:shd w:val="clear" w:color="auto" w:fill="auto"/>
            <w:noWrap/>
            <w:vAlign w:val="center"/>
          </w:tcPr>
          <w:p>
            <w:pPr>
              <w:pStyle w:val="63"/>
              <w:rPr>
                <w:szCs w:val="21"/>
              </w:rPr>
            </w:pPr>
            <w:r>
              <w:rPr>
                <w:szCs w:val="21"/>
              </w:rPr>
              <w:t>20.0</w:t>
            </w:r>
          </w:p>
        </w:tc>
        <w:tc>
          <w:tcPr>
            <w:tcW w:w="861" w:type="pct"/>
            <w:shd w:val="clear" w:color="auto" w:fill="auto"/>
            <w:noWrap/>
            <w:vAlign w:val="center"/>
          </w:tcPr>
          <w:p>
            <w:pPr>
              <w:pStyle w:val="63"/>
            </w:pPr>
            <w:r>
              <w:t>2.38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pPr>
            <w:r>
              <w:t>0.06</w:t>
            </w:r>
          </w:p>
        </w:tc>
        <w:tc>
          <w:tcPr>
            <w:tcW w:w="1000" w:type="pct"/>
            <w:shd w:val="clear" w:color="auto" w:fill="auto"/>
            <w:noWrap/>
            <w:vAlign w:val="center"/>
          </w:tcPr>
          <w:p>
            <w:pPr>
              <w:pStyle w:val="63"/>
              <w:rPr>
                <w:szCs w:val="21"/>
              </w:rPr>
            </w:pPr>
            <w:r>
              <w:rPr>
                <w:szCs w:val="21"/>
              </w:rPr>
              <w:t>7.0</w:t>
            </w:r>
          </w:p>
        </w:tc>
        <w:tc>
          <w:tcPr>
            <w:tcW w:w="861" w:type="pct"/>
            <w:shd w:val="clear" w:color="auto" w:fill="auto"/>
            <w:noWrap/>
            <w:vAlign w:val="center"/>
          </w:tcPr>
          <w:p>
            <w:pPr>
              <w:pStyle w:val="63"/>
            </w:pPr>
            <w:r>
              <w:t>0.86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爱国医院</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t>0.64</w:t>
            </w:r>
          </w:p>
        </w:tc>
        <w:tc>
          <w:tcPr>
            <w:tcW w:w="1000" w:type="pct"/>
            <w:shd w:val="clear" w:color="auto" w:fill="auto"/>
            <w:noWrap/>
            <w:vAlign w:val="center"/>
          </w:tcPr>
          <w:p>
            <w:pPr>
              <w:pStyle w:val="63"/>
              <w:rPr>
                <w:szCs w:val="21"/>
              </w:rPr>
            </w:pPr>
            <w:r>
              <w:rPr>
                <w:szCs w:val="21"/>
              </w:rPr>
              <w:t>20.0</w:t>
            </w:r>
          </w:p>
        </w:tc>
        <w:tc>
          <w:tcPr>
            <w:tcW w:w="861" w:type="pct"/>
            <w:shd w:val="clear" w:color="auto" w:fill="auto"/>
            <w:noWrap/>
            <w:vAlign w:val="center"/>
          </w:tcPr>
          <w:p>
            <w:pPr>
              <w:pStyle w:val="63"/>
            </w:pPr>
            <w:r>
              <w:t>3.19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pPr>
            <w:r>
              <w:t>0.04</w:t>
            </w:r>
          </w:p>
        </w:tc>
        <w:tc>
          <w:tcPr>
            <w:tcW w:w="1000" w:type="pct"/>
            <w:shd w:val="clear" w:color="auto" w:fill="auto"/>
            <w:noWrap/>
            <w:vAlign w:val="center"/>
          </w:tcPr>
          <w:p>
            <w:pPr>
              <w:pStyle w:val="63"/>
              <w:rPr>
                <w:szCs w:val="21"/>
              </w:rPr>
            </w:pPr>
            <w:r>
              <w:rPr>
                <w:szCs w:val="21"/>
              </w:rPr>
              <w:t>7.0</w:t>
            </w:r>
          </w:p>
        </w:tc>
        <w:tc>
          <w:tcPr>
            <w:tcW w:w="861" w:type="pct"/>
            <w:shd w:val="clear" w:color="auto" w:fill="auto"/>
            <w:noWrap/>
            <w:vAlign w:val="center"/>
          </w:tcPr>
          <w:p>
            <w:pPr>
              <w:pStyle w:val="63"/>
            </w:pPr>
            <w:r>
              <w:t>0.57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罗家老屋</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t>0.60</w:t>
            </w:r>
          </w:p>
        </w:tc>
        <w:tc>
          <w:tcPr>
            <w:tcW w:w="1000" w:type="pct"/>
            <w:shd w:val="clear" w:color="auto" w:fill="auto"/>
            <w:noWrap/>
            <w:vAlign w:val="center"/>
          </w:tcPr>
          <w:p>
            <w:pPr>
              <w:pStyle w:val="63"/>
              <w:rPr>
                <w:szCs w:val="21"/>
              </w:rPr>
            </w:pPr>
            <w:r>
              <w:rPr>
                <w:szCs w:val="21"/>
              </w:rPr>
              <w:t>20.0</w:t>
            </w:r>
          </w:p>
        </w:tc>
        <w:tc>
          <w:tcPr>
            <w:tcW w:w="861" w:type="pct"/>
            <w:shd w:val="clear" w:color="auto" w:fill="auto"/>
            <w:noWrap/>
            <w:vAlign w:val="center"/>
          </w:tcPr>
          <w:p>
            <w:pPr>
              <w:pStyle w:val="63"/>
            </w:pPr>
            <w:r>
              <w:t>2.98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pPr>
            <w:r>
              <w:t>0.08</w:t>
            </w:r>
          </w:p>
        </w:tc>
        <w:tc>
          <w:tcPr>
            <w:tcW w:w="1000" w:type="pct"/>
            <w:shd w:val="clear" w:color="auto" w:fill="auto"/>
            <w:noWrap/>
            <w:vAlign w:val="center"/>
          </w:tcPr>
          <w:p>
            <w:pPr>
              <w:pStyle w:val="63"/>
              <w:rPr>
                <w:szCs w:val="21"/>
              </w:rPr>
            </w:pPr>
            <w:r>
              <w:rPr>
                <w:szCs w:val="21"/>
              </w:rPr>
              <w:t>7.0</w:t>
            </w:r>
          </w:p>
        </w:tc>
        <w:tc>
          <w:tcPr>
            <w:tcW w:w="861" w:type="pct"/>
            <w:shd w:val="clear" w:color="auto" w:fill="auto"/>
            <w:noWrap/>
            <w:vAlign w:val="center"/>
          </w:tcPr>
          <w:p>
            <w:pPr>
              <w:pStyle w:val="63"/>
            </w:pPr>
            <w:r>
              <w:t>1.14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北头村</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t>1.19</w:t>
            </w:r>
          </w:p>
        </w:tc>
        <w:tc>
          <w:tcPr>
            <w:tcW w:w="1000" w:type="pct"/>
            <w:shd w:val="clear" w:color="auto" w:fill="auto"/>
            <w:noWrap/>
            <w:vAlign w:val="center"/>
          </w:tcPr>
          <w:p>
            <w:pPr>
              <w:pStyle w:val="63"/>
              <w:rPr>
                <w:szCs w:val="21"/>
              </w:rPr>
            </w:pPr>
            <w:r>
              <w:rPr>
                <w:szCs w:val="21"/>
              </w:rPr>
              <w:t>20.0</w:t>
            </w:r>
          </w:p>
        </w:tc>
        <w:tc>
          <w:tcPr>
            <w:tcW w:w="861" w:type="pct"/>
            <w:shd w:val="clear" w:color="auto" w:fill="auto"/>
            <w:noWrap/>
            <w:vAlign w:val="center"/>
          </w:tcPr>
          <w:p>
            <w:pPr>
              <w:pStyle w:val="63"/>
            </w:pPr>
            <w:r>
              <w:t>5.93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pPr>
            <w:r>
              <w:t>0.08</w:t>
            </w:r>
          </w:p>
        </w:tc>
        <w:tc>
          <w:tcPr>
            <w:tcW w:w="1000" w:type="pct"/>
            <w:shd w:val="clear" w:color="auto" w:fill="auto"/>
            <w:noWrap/>
            <w:vAlign w:val="center"/>
          </w:tcPr>
          <w:p>
            <w:pPr>
              <w:pStyle w:val="63"/>
              <w:rPr>
                <w:szCs w:val="21"/>
              </w:rPr>
            </w:pPr>
            <w:r>
              <w:rPr>
                <w:szCs w:val="21"/>
              </w:rPr>
              <w:t>7.0</w:t>
            </w:r>
          </w:p>
        </w:tc>
        <w:tc>
          <w:tcPr>
            <w:tcW w:w="861" w:type="pct"/>
            <w:shd w:val="clear" w:color="auto" w:fill="auto"/>
            <w:noWrap/>
            <w:vAlign w:val="center"/>
          </w:tcPr>
          <w:p>
            <w:pPr>
              <w:pStyle w:val="63"/>
            </w:pPr>
            <w:r>
              <w:t>1.14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龙家冲</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t>0.63</w:t>
            </w:r>
          </w:p>
        </w:tc>
        <w:tc>
          <w:tcPr>
            <w:tcW w:w="1000" w:type="pct"/>
            <w:shd w:val="clear" w:color="auto" w:fill="auto"/>
            <w:noWrap/>
            <w:vAlign w:val="center"/>
          </w:tcPr>
          <w:p>
            <w:pPr>
              <w:pStyle w:val="63"/>
              <w:rPr>
                <w:szCs w:val="21"/>
              </w:rPr>
            </w:pPr>
            <w:r>
              <w:rPr>
                <w:szCs w:val="21"/>
              </w:rPr>
              <w:t>20.0</w:t>
            </w:r>
          </w:p>
        </w:tc>
        <w:tc>
          <w:tcPr>
            <w:tcW w:w="861" w:type="pct"/>
            <w:shd w:val="clear" w:color="auto" w:fill="auto"/>
            <w:noWrap/>
            <w:vAlign w:val="center"/>
          </w:tcPr>
          <w:p>
            <w:pPr>
              <w:pStyle w:val="63"/>
            </w:pPr>
            <w:r>
              <w:t>3.13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pPr>
            <w:r>
              <w:t>0.04</w:t>
            </w:r>
          </w:p>
        </w:tc>
        <w:tc>
          <w:tcPr>
            <w:tcW w:w="1000" w:type="pct"/>
            <w:shd w:val="clear" w:color="auto" w:fill="auto"/>
            <w:noWrap/>
            <w:vAlign w:val="center"/>
          </w:tcPr>
          <w:p>
            <w:pPr>
              <w:pStyle w:val="63"/>
              <w:rPr>
                <w:szCs w:val="21"/>
              </w:rPr>
            </w:pPr>
            <w:r>
              <w:rPr>
                <w:szCs w:val="21"/>
              </w:rPr>
              <w:t>7.0</w:t>
            </w:r>
          </w:p>
        </w:tc>
        <w:tc>
          <w:tcPr>
            <w:tcW w:w="861" w:type="pct"/>
            <w:shd w:val="clear" w:color="auto" w:fill="auto"/>
            <w:noWrap/>
            <w:vAlign w:val="center"/>
          </w:tcPr>
          <w:p>
            <w:pPr>
              <w:pStyle w:val="63"/>
            </w:pPr>
            <w:r>
              <w:t>0.57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平田村</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t>0.57</w:t>
            </w:r>
          </w:p>
        </w:tc>
        <w:tc>
          <w:tcPr>
            <w:tcW w:w="1000" w:type="pct"/>
            <w:shd w:val="clear" w:color="auto" w:fill="auto"/>
            <w:noWrap/>
            <w:vAlign w:val="center"/>
          </w:tcPr>
          <w:p>
            <w:pPr>
              <w:pStyle w:val="63"/>
              <w:rPr>
                <w:szCs w:val="21"/>
              </w:rPr>
            </w:pPr>
            <w:r>
              <w:rPr>
                <w:szCs w:val="21"/>
              </w:rPr>
              <w:t>20.0</w:t>
            </w:r>
          </w:p>
        </w:tc>
        <w:tc>
          <w:tcPr>
            <w:tcW w:w="861" w:type="pct"/>
            <w:shd w:val="clear" w:color="auto" w:fill="auto"/>
            <w:noWrap/>
            <w:vAlign w:val="center"/>
          </w:tcPr>
          <w:p>
            <w:pPr>
              <w:pStyle w:val="63"/>
            </w:pPr>
            <w:r>
              <w:t>2.85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pPr>
            <w:r>
              <w:t>0.08</w:t>
            </w:r>
          </w:p>
        </w:tc>
        <w:tc>
          <w:tcPr>
            <w:tcW w:w="1000" w:type="pct"/>
            <w:shd w:val="clear" w:color="auto" w:fill="auto"/>
            <w:noWrap/>
            <w:vAlign w:val="center"/>
          </w:tcPr>
          <w:p>
            <w:pPr>
              <w:pStyle w:val="63"/>
              <w:rPr>
                <w:szCs w:val="21"/>
              </w:rPr>
            </w:pPr>
            <w:r>
              <w:rPr>
                <w:szCs w:val="21"/>
              </w:rPr>
              <w:t>7.0</w:t>
            </w:r>
          </w:p>
        </w:tc>
        <w:tc>
          <w:tcPr>
            <w:tcW w:w="861" w:type="pct"/>
            <w:shd w:val="clear" w:color="auto" w:fill="auto"/>
            <w:noWrap/>
            <w:vAlign w:val="center"/>
          </w:tcPr>
          <w:p>
            <w:pPr>
              <w:pStyle w:val="63"/>
            </w:pPr>
            <w:r>
              <w:t>1.14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彭家屋场</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t>0.98</w:t>
            </w:r>
          </w:p>
        </w:tc>
        <w:tc>
          <w:tcPr>
            <w:tcW w:w="1000" w:type="pct"/>
            <w:shd w:val="clear" w:color="auto" w:fill="auto"/>
            <w:noWrap/>
            <w:vAlign w:val="center"/>
          </w:tcPr>
          <w:p>
            <w:pPr>
              <w:pStyle w:val="63"/>
              <w:rPr>
                <w:szCs w:val="21"/>
              </w:rPr>
            </w:pPr>
            <w:r>
              <w:rPr>
                <w:szCs w:val="21"/>
              </w:rPr>
              <w:t>20.0</w:t>
            </w:r>
          </w:p>
        </w:tc>
        <w:tc>
          <w:tcPr>
            <w:tcW w:w="861" w:type="pct"/>
            <w:shd w:val="clear" w:color="auto" w:fill="auto"/>
            <w:noWrap/>
            <w:vAlign w:val="center"/>
          </w:tcPr>
          <w:p>
            <w:pPr>
              <w:pStyle w:val="63"/>
            </w:pPr>
            <w:r>
              <w:t>4.91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pPr>
            <w:r>
              <w:t>0.09</w:t>
            </w:r>
          </w:p>
        </w:tc>
        <w:tc>
          <w:tcPr>
            <w:tcW w:w="1000" w:type="pct"/>
            <w:shd w:val="clear" w:color="auto" w:fill="auto"/>
            <w:noWrap/>
            <w:vAlign w:val="center"/>
          </w:tcPr>
          <w:p>
            <w:pPr>
              <w:pStyle w:val="63"/>
              <w:rPr>
                <w:szCs w:val="21"/>
              </w:rPr>
            </w:pPr>
            <w:r>
              <w:rPr>
                <w:szCs w:val="21"/>
              </w:rPr>
              <w:t>7.0</w:t>
            </w:r>
          </w:p>
        </w:tc>
        <w:tc>
          <w:tcPr>
            <w:tcW w:w="861" w:type="pct"/>
            <w:shd w:val="clear" w:color="auto" w:fill="auto"/>
            <w:noWrap/>
            <w:vAlign w:val="center"/>
          </w:tcPr>
          <w:p>
            <w:pPr>
              <w:pStyle w:val="63"/>
            </w:pPr>
            <w:r>
              <w:t>1.29</w:t>
            </w:r>
          </w:p>
        </w:tc>
      </w:tr>
    </w:tbl>
    <w:p>
      <w:pPr>
        <w:spacing w:line="360" w:lineRule="auto"/>
        <w:ind w:firstLine="480" w:firstLineChars="200"/>
        <w:rPr>
          <w:rFonts w:ascii="Times New Roman" w:hAnsi="Times New Roman" w:cs="Times New Roman"/>
        </w:rPr>
      </w:pPr>
      <w:r>
        <w:rPr>
          <w:rFonts w:hint="eastAsia" w:ascii="Times New Roman" w:hAnsi="Times New Roman" w:cs="Times New Roman"/>
        </w:rPr>
        <w:t>g</w:t>
      </w:r>
      <w:r>
        <w:rPr>
          <w:rFonts w:ascii="Times New Roman" w:hAnsi="Times New Roman" w:cs="Times New Roman"/>
        </w:rPr>
        <w:t>.硫酸雾</w:t>
      </w:r>
    </w:p>
    <w:p>
      <w:pPr>
        <w:spacing w:line="360" w:lineRule="auto"/>
        <w:ind w:firstLine="480" w:firstLineChars="200"/>
        <w:rPr>
          <w:rFonts w:ascii="Times New Roman" w:hAnsi="Times New Roman" w:cs="Times New Roman"/>
        </w:rPr>
      </w:pPr>
      <w:r>
        <w:rPr>
          <w:rFonts w:ascii="Times New Roman" w:hAnsi="Times New Roman" w:cs="Times New Roman"/>
        </w:rPr>
        <w:t>评价范围内硫酸雾关心点预测结果</w:t>
      </w:r>
      <w:r>
        <w:rPr>
          <w:rFonts w:hint="eastAsia" w:ascii="Times New Roman" w:hAnsi="Times New Roman" w:cs="Times New Roman"/>
        </w:rPr>
        <w:t>见下表</w:t>
      </w:r>
      <w:r>
        <w:rPr>
          <w:rFonts w:ascii="Times New Roman" w:hAnsi="Times New Roman" w:cs="Times New Roman"/>
        </w:rPr>
        <w:t>所示。可以看出，本项目对评价区域的关心点硫酸雾的1小时平均、日平均最大贡献值均满足《环境影响评价技术导则  大气环境》（HJ2.2-2018）标准要求。</w:t>
      </w:r>
    </w:p>
    <w:p>
      <w:pPr>
        <w:pStyle w:val="6"/>
        <w:rPr>
          <w:rFonts w:ascii="Times New Roman" w:hAnsi="Times New Roman" w:cs="Times New Roman"/>
        </w:rPr>
      </w:pPr>
      <w:r>
        <w:rPr>
          <w:rFonts w:ascii="Times New Roman" w:hAnsi="Times New Roman" w:cs="Times New Roman"/>
        </w:rPr>
        <w:t>表6.2.1-</w:t>
      </w:r>
      <w:r>
        <w:rPr>
          <w:rFonts w:hint="eastAsia" w:ascii="Times New Roman" w:hAnsi="Times New Roman" w:cs="Times New Roman"/>
        </w:rPr>
        <w:t xml:space="preserve">23  </w:t>
      </w:r>
      <w:r>
        <w:rPr>
          <w:rFonts w:ascii="Times New Roman" w:hAnsi="Times New Roman" w:cs="Times New Roman"/>
        </w:rPr>
        <w:t>本项目排放硫酸雾大气环境影响关心点预测结果</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79"/>
        <w:gridCol w:w="1469"/>
        <w:gridCol w:w="1706"/>
        <w:gridCol w:w="1706"/>
        <w:gridCol w:w="146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277" w:type="pct"/>
            <w:shd w:val="clear" w:color="auto" w:fill="auto"/>
            <w:noWrap/>
            <w:vAlign w:val="center"/>
          </w:tcPr>
          <w:p>
            <w:pPr>
              <w:pStyle w:val="63"/>
            </w:pPr>
            <w:r>
              <w:t>敏感点点名称</w:t>
            </w:r>
          </w:p>
        </w:tc>
        <w:tc>
          <w:tcPr>
            <w:tcW w:w="861" w:type="pct"/>
            <w:shd w:val="clear" w:color="auto" w:fill="auto"/>
            <w:noWrap/>
            <w:vAlign w:val="center"/>
          </w:tcPr>
          <w:p>
            <w:pPr>
              <w:pStyle w:val="63"/>
            </w:pPr>
            <w:r>
              <w:t>浓度类型</w:t>
            </w:r>
          </w:p>
        </w:tc>
        <w:tc>
          <w:tcPr>
            <w:tcW w:w="1000" w:type="pct"/>
            <w:shd w:val="clear" w:color="auto" w:fill="auto"/>
            <w:noWrap/>
            <w:vAlign w:val="center"/>
          </w:tcPr>
          <w:p>
            <w:pPr>
              <w:pStyle w:val="63"/>
            </w:pPr>
            <w:r>
              <w:t>浓度增量(μg/m</w:t>
            </w:r>
            <w:r>
              <w:rPr>
                <w:vertAlign w:val="superscript"/>
              </w:rPr>
              <w:t>3</w:t>
            </w:r>
            <w:r>
              <w:t>)</w:t>
            </w:r>
          </w:p>
        </w:tc>
        <w:tc>
          <w:tcPr>
            <w:tcW w:w="1000" w:type="pct"/>
            <w:shd w:val="clear" w:color="auto" w:fill="auto"/>
            <w:noWrap/>
            <w:vAlign w:val="center"/>
          </w:tcPr>
          <w:p>
            <w:pPr>
              <w:pStyle w:val="63"/>
            </w:pPr>
            <w:r>
              <w:t>评价标准(μg/m</w:t>
            </w:r>
            <w:r>
              <w:rPr>
                <w:vertAlign w:val="superscript"/>
              </w:rPr>
              <w:t>3</w:t>
            </w:r>
            <w:r>
              <w:t>)</w:t>
            </w:r>
          </w:p>
        </w:tc>
        <w:tc>
          <w:tcPr>
            <w:tcW w:w="861" w:type="pct"/>
            <w:shd w:val="clear" w:color="auto" w:fill="auto"/>
            <w:noWrap/>
            <w:vAlign w:val="center"/>
          </w:tcPr>
          <w:p>
            <w:pPr>
              <w:pStyle w:val="63"/>
            </w:pPr>
            <w: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浦泉村</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t>3.72</w:t>
            </w:r>
          </w:p>
        </w:tc>
        <w:tc>
          <w:tcPr>
            <w:tcW w:w="1000" w:type="pct"/>
            <w:shd w:val="clear" w:color="auto" w:fill="auto"/>
            <w:noWrap/>
            <w:vAlign w:val="center"/>
          </w:tcPr>
          <w:p>
            <w:pPr>
              <w:pStyle w:val="63"/>
              <w:rPr>
                <w:szCs w:val="21"/>
              </w:rPr>
            </w:pPr>
            <w:r>
              <w:rPr>
                <w:szCs w:val="21"/>
              </w:rPr>
              <w:t>300.0</w:t>
            </w:r>
          </w:p>
        </w:tc>
        <w:tc>
          <w:tcPr>
            <w:tcW w:w="861" w:type="pct"/>
            <w:shd w:val="clear" w:color="auto" w:fill="auto"/>
            <w:noWrap/>
            <w:vAlign w:val="center"/>
          </w:tcPr>
          <w:p>
            <w:pPr>
              <w:pStyle w:val="63"/>
            </w:pPr>
            <w:r>
              <w:rPr>
                <w:rFonts w:hint="eastAsia"/>
              </w:rPr>
              <w:t>1.24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pPr>
            <w:r>
              <w:t>0.49</w:t>
            </w:r>
          </w:p>
        </w:tc>
        <w:tc>
          <w:tcPr>
            <w:tcW w:w="1000" w:type="pct"/>
            <w:shd w:val="clear" w:color="auto" w:fill="auto"/>
            <w:noWrap/>
            <w:vAlign w:val="center"/>
          </w:tcPr>
          <w:p>
            <w:pPr>
              <w:pStyle w:val="63"/>
              <w:rPr>
                <w:szCs w:val="21"/>
              </w:rPr>
            </w:pPr>
            <w:r>
              <w:rPr>
                <w:szCs w:val="21"/>
              </w:rPr>
              <w:t>100.0</w:t>
            </w:r>
          </w:p>
        </w:tc>
        <w:tc>
          <w:tcPr>
            <w:tcW w:w="861" w:type="pct"/>
            <w:shd w:val="clear" w:color="auto" w:fill="auto"/>
            <w:noWrap/>
            <w:vAlign w:val="center"/>
          </w:tcPr>
          <w:p>
            <w:pPr>
              <w:pStyle w:val="63"/>
            </w:pPr>
            <w:r>
              <w:t>0.49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三才村</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t>8.41</w:t>
            </w:r>
          </w:p>
        </w:tc>
        <w:tc>
          <w:tcPr>
            <w:tcW w:w="1000" w:type="pct"/>
            <w:shd w:val="clear" w:color="auto" w:fill="auto"/>
            <w:noWrap/>
            <w:vAlign w:val="center"/>
          </w:tcPr>
          <w:p>
            <w:pPr>
              <w:pStyle w:val="63"/>
              <w:rPr>
                <w:szCs w:val="21"/>
              </w:rPr>
            </w:pPr>
            <w:r>
              <w:rPr>
                <w:szCs w:val="21"/>
              </w:rPr>
              <w:t>300.0</w:t>
            </w:r>
          </w:p>
        </w:tc>
        <w:tc>
          <w:tcPr>
            <w:tcW w:w="861" w:type="pct"/>
            <w:shd w:val="clear" w:color="auto" w:fill="auto"/>
            <w:noWrap/>
            <w:vAlign w:val="center"/>
          </w:tcPr>
          <w:p>
            <w:pPr>
              <w:pStyle w:val="63"/>
            </w:pPr>
            <w:r>
              <w:rPr>
                <w:rFonts w:hint="eastAsia"/>
              </w:rPr>
              <w:t>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rPr>
                <w:rFonts w:eastAsia="宋体"/>
                <w:color w:val="000000"/>
                <w:sz w:val="22"/>
              </w:rPr>
            </w:pPr>
            <w:r>
              <w:rPr>
                <w:rFonts w:hint="eastAsia"/>
                <w:color w:val="000000"/>
                <w:sz w:val="22"/>
              </w:rPr>
              <w:t>0.72</w:t>
            </w:r>
          </w:p>
        </w:tc>
        <w:tc>
          <w:tcPr>
            <w:tcW w:w="1000" w:type="pct"/>
            <w:shd w:val="clear" w:color="auto" w:fill="auto"/>
            <w:noWrap/>
            <w:vAlign w:val="center"/>
          </w:tcPr>
          <w:p>
            <w:pPr>
              <w:pStyle w:val="63"/>
              <w:rPr>
                <w:szCs w:val="21"/>
              </w:rPr>
            </w:pPr>
            <w:r>
              <w:rPr>
                <w:szCs w:val="21"/>
              </w:rPr>
              <w:t>100.0</w:t>
            </w:r>
          </w:p>
        </w:tc>
        <w:tc>
          <w:tcPr>
            <w:tcW w:w="861" w:type="pct"/>
            <w:shd w:val="clear" w:color="auto" w:fill="auto"/>
            <w:noWrap/>
            <w:vAlign w:val="center"/>
          </w:tcPr>
          <w:p>
            <w:pPr>
              <w:pStyle w:val="63"/>
            </w:pPr>
            <w:r>
              <w:rPr>
                <w:rFonts w:hint="eastAsia"/>
                <w:color w:val="000000"/>
                <w:sz w:val="22"/>
              </w:rPr>
              <w:t>0.72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新石桥村</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t>7.31</w:t>
            </w:r>
          </w:p>
        </w:tc>
        <w:tc>
          <w:tcPr>
            <w:tcW w:w="1000" w:type="pct"/>
            <w:shd w:val="clear" w:color="auto" w:fill="auto"/>
            <w:noWrap/>
            <w:vAlign w:val="center"/>
          </w:tcPr>
          <w:p>
            <w:pPr>
              <w:pStyle w:val="63"/>
              <w:rPr>
                <w:szCs w:val="21"/>
              </w:rPr>
            </w:pPr>
            <w:r>
              <w:rPr>
                <w:szCs w:val="21"/>
              </w:rPr>
              <w:t>300.0</w:t>
            </w:r>
          </w:p>
        </w:tc>
        <w:tc>
          <w:tcPr>
            <w:tcW w:w="861" w:type="pct"/>
            <w:shd w:val="clear" w:color="auto" w:fill="auto"/>
            <w:noWrap/>
            <w:vAlign w:val="center"/>
          </w:tcPr>
          <w:p>
            <w:pPr>
              <w:pStyle w:val="63"/>
            </w:pPr>
            <w:r>
              <w:t>2.44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rPr>
                <w:rFonts w:eastAsia="宋体"/>
                <w:color w:val="000000"/>
                <w:sz w:val="22"/>
              </w:rPr>
            </w:pPr>
            <w:r>
              <w:rPr>
                <w:rFonts w:eastAsia="宋体"/>
                <w:color w:val="000000"/>
                <w:sz w:val="22"/>
              </w:rPr>
              <w:t>0.73</w:t>
            </w:r>
          </w:p>
        </w:tc>
        <w:tc>
          <w:tcPr>
            <w:tcW w:w="1000" w:type="pct"/>
            <w:shd w:val="clear" w:color="auto" w:fill="auto"/>
            <w:noWrap/>
            <w:vAlign w:val="center"/>
          </w:tcPr>
          <w:p>
            <w:pPr>
              <w:pStyle w:val="63"/>
              <w:rPr>
                <w:szCs w:val="21"/>
              </w:rPr>
            </w:pPr>
            <w:r>
              <w:rPr>
                <w:szCs w:val="21"/>
              </w:rPr>
              <w:t>100.0</w:t>
            </w:r>
          </w:p>
        </w:tc>
        <w:tc>
          <w:tcPr>
            <w:tcW w:w="861" w:type="pct"/>
            <w:shd w:val="clear" w:color="auto" w:fill="auto"/>
            <w:noWrap/>
            <w:vAlign w:val="center"/>
          </w:tcPr>
          <w:p>
            <w:pPr>
              <w:pStyle w:val="63"/>
            </w:pPr>
            <w:r>
              <w:t>0.73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大浦镇</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t>4.32</w:t>
            </w:r>
          </w:p>
        </w:tc>
        <w:tc>
          <w:tcPr>
            <w:tcW w:w="1000" w:type="pct"/>
            <w:shd w:val="clear" w:color="auto" w:fill="auto"/>
            <w:noWrap/>
            <w:vAlign w:val="center"/>
          </w:tcPr>
          <w:p>
            <w:pPr>
              <w:pStyle w:val="63"/>
              <w:rPr>
                <w:szCs w:val="21"/>
              </w:rPr>
            </w:pPr>
            <w:r>
              <w:rPr>
                <w:szCs w:val="21"/>
              </w:rPr>
              <w:t>300.0</w:t>
            </w:r>
          </w:p>
        </w:tc>
        <w:tc>
          <w:tcPr>
            <w:tcW w:w="861" w:type="pct"/>
            <w:shd w:val="clear" w:color="auto" w:fill="auto"/>
            <w:noWrap/>
            <w:vAlign w:val="center"/>
          </w:tcPr>
          <w:p>
            <w:pPr>
              <w:pStyle w:val="63"/>
            </w:pPr>
            <w:r>
              <w:t>1.44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pPr>
            <w:r>
              <w:t>0.32</w:t>
            </w:r>
          </w:p>
        </w:tc>
        <w:tc>
          <w:tcPr>
            <w:tcW w:w="1000" w:type="pct"/>
            <w:shd w:val="clear" w:color="auto" w:fill="auto"/>
            <w:noWrap/>
            <w:vAlign w:val="center"/>
          </w:tcPr>
          <w:p>
            <w:pPr>
              <w:pStyle w:val="63"/>
              <w:rPr>
                <w:szCs w:val="21"/>
              </w:rPr>
            </w:pPr>
            <w:r>
              <w:rPr>
                <w:szCs w:val="21"/>
              </w:rPr>
              <w:t>100.0</w:t>
            </w:r>
          </w:p>
        </w:tc>
        <w:tc>
          <w:tcPr>
            <w:tcW w:w="861" w:type="pct"/>
            <w:shd w:val="clear" w:color="auto" w:fill="auto"/>
            <w:noWrap/>
            <w:vAlign w:val="center"/>
          </w:tcPr>
          <w:p>
            <w:pPr>
              <w:pStyle w:val="63"/>
            </w:pPr>
            <w:r>
              <w:t>0.32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炉铺村</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t>5.92</w:t>
            </w:r>
          </w:p>
        </w:tc>
        <w:tc>
          <w:tcPr>
            <w:tcW w:w="1000" w:type="pct"/>
            <w:shd w:val="clear" w:color="auto" w:fill="auto"/>
            <w:noWrap/>
            <w:vAlign w:val="center"/>
          </w:tcPr>
          <w:p>
            <w:pPr>
              <w:pStyle w:val="63"/>
              <w:rPr>
                <w:szCs w:val="21"/>
              </w:rPr>
            </w:pPr>
            <w:r>
              <w:rPr>
                <w:szCs w:val="21"/>
              </w:rPr>
              <w:t>300.0</w:t>
            </w:r>
          </w:p>
        </w:tc>
        <w:tc>
          <w:tcPr>
            <w:tcW w:w="861" w:type="pct"/>
            <w:shd w:val="clear" w:color="auto" w:fill="auto"/>
            <w:noWrap/>
            <w:vAlign w:val="center"/>
          </w:tcPr>
          <w:p>
            <w:pPr>
              <w:pStyle w:val="63"/>
            </w:pPr>
            <w:r>
              <w:t>1.97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pPr>
            <w:r>
              <w:t>0.45</w:t>
            </w:r>
          </w:p>
        </w:tc>
        <w:tc>
          <w:tcPr>
            <w:tcW w:w="1000" w:type="pct"/>
            <w:shd w:val="clear" w:color="auto" w:fill="auto"/>
            <w:noWrap/>
            <w:vAlign w:val="center"/>
          </w:tcPr>
          <w:p>
            <w:pPr>
              <w:pStyle w:val="63"/>
              <w:rPr>
                <w:szCs w:val="21"/>
              </w:rPr>
            </w:pPr>
            <w:r>
              <w:rPr>
                <w:szCs w:val="21"/>
              </w:rPr>
              <w:t>100.0</w:t>
            </w:r>
          </w:p>
        </w:tc>
        <w:tc>
          <w:tcPr>
            <w:tcW w:w="861" w:type="pct"/>
            <w:shd w:val="clear" w:color="auto" w:fill="auto"/>
            <w:noWrap/>
            <w:vAlign w:val="center"/>
          </w:tcPr>
          <w:p>
            <w:pPr>
              <w:pStyle w:val="63"/>
            </w:pPr>
            <w:r>
              <w:t>0.45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堰桥村</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t>4.89</w:t>
            </w:r>
          </w:p>
        </w:tc>
        <w:tc>
          <w:tcPr>
            <w:tcW w:w="1000" w:type="pct"/>
            <w:shd w:val="clear" w:color="auto" w:fill="auto"/>
            <w:noWrap/>
            <w:vAlign w:val="center"/>
          </w:tcPr>
          <w:p>
            <w:pPr>
              <w:pStyle w:val="63"/>
            </w:pPr>
            <w:r>
              <w:t>300.0</w:t>
            </w:r>
          </w:p>
        </w:tc>
        <w:tc>
          <w:tcPr>
            <w:tcW w:w="861" w:type="pct"/>
            <w:shd w:val="clear" w:color="auto" w:fill="auto"/>
            <w:noWrap/>
            <w:vAlign w:val="center"/>
          </w:tcPr>
          <w:p>
            <w:pPr>
              <w:pStyle w:val="63"/>
            </w:pPr>
            <w:r>
              <w:t>1.63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pPr>
            <w:r>
              <w:t>0.47</w:t>
            </w:r>
          </w:p>
        </w:tc>
        <w:tc>
          <w:tcPr>
            <w:tcW w:w="1000" w:type="pct"/>
            <w:shd w:val="clear" w:color="auto" w:fill="auto"/>
            <w:noWrap/>
            <w:vAlign w:val="center"/>
          </w:tcPr>
          <w:p>
            <w:pPr>
              <w:pStyle w:val="63"/>
            </w:pPr>
            <w:r>
              <w:t>100.0</w:t>
            </w:r>
          </w:p>
        </w:tc>
        <w:tc>
          <w:tcPr>
            <w:tcW w:w="861" w:type="pct"/>
            <w:shd w:val="clear" w:color="auto" w:fill="auto"/>
            <w:noWrap/>
            <w:vAlign w:val="center"/>
          </w:tcPr>
          <w:p>
            <w:pPr>
              <w:pStyle w:val="63"/>
            </w:pPr>
            <w:r>
              <w:t>0.47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安置区</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rPr>
                <w:rFonts w:hint="eastAsia"/>
              </w:rPr>
              <w:t>6.35</w:t>
            </w:r>
          </w:p>
        </w:tc>
        <w:tc>
          <w:tcPr>
            <w:tcW w:w="1000" w:type="pct"/>
            <w:shd w:val="clear" w:color="auto" w:fill="auto"/>
            <w:noWrap/>
            <w:vAlign w:val="center"/>
          </w:tcPr>
          <w:p>
            <w:pPr>
              <w:pStyle w:val="63"/>
            </w:pPr>
            <w:r>
              <w:t>300.0</w:t>
            </w:r>
          </w:p>
        </w:tc>
        <w:tc>
          <w:tcPr>
            <w:tcW w:w="861" w:type="pct"/>
            <w:shd w:val="clear" w:color="auto" w:fill="auto"/>
            <w:noWrap/>
            <w:vAlign w:val="center"/>
          </w:tcPr>
          <w:p>
            <w:pPr>
              <w:pStyle w:val="63"/>
            </w:pPr>
            <w:r>
              <w:rPr>
                <w:rFonts w:hint="eastAsia"/>
              </w:rPr>
              <w:t>2.12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jc w:val="center"/>
            </w:pPr>
            <w:r>
              <w:rPr>
                <w:rFonts w:hint="eastAsia"/>
                <w:color w:val="000000"/>
                <w:sz w:val="22"/>
              </w:rPr>
              <w:t>0.71</w:t>
            </w:r>
          </w:p>
        </w:tc>
        <w:tc>
          <w:tcPr>
            <w:tcW w:w="1000" w:type="pct"/>
            <w:shd w:val="clear" w:color="auto" w:fill="auto"/>
            <w:noWrap/>
            <w:vAlign w:val="center"/>
          </w:tcPr>
          <w:p>
            <w:pPr>
              <w:pStyle w:val="63"/>
            </w:pPr>
            <w:r>
              <w:t>100.0</w:t>
            </w:r>
          </w:p>
        </w:tc>
        <w:tc>
          <w:tcPr>
            <w:tcW w:w="861" w:type="pct"/>
            <w:shd w:val="clear" w:color="auto" w:fill="auto"/>
            <w:noWrap/>
            <w:vAlign w:val="center"/>
          </w:tcPr>
          <w:p>
            <w:pPr>
              <w:jc w:val="center"/>
            </w:pPr>
            <w:r>
              <w:rPr>
                <w:rFonts w:hint="eastAsia"/>
                <w:color w:val="000000"/>
                <w:sz w:val="22"/>
              </w:rPr>
              <w:t>0.71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爱国医院</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rPr>
                <w:rFonts w:hint="eastAsia"/>
              </w:rPr>
              <w:t>9.06</w:t>
            </w:r>
          </w:p>
        </w:tc>
        <w:tc>
          <w:tcPr>
            <w:tcW w:w="1000" w:type="pct"/>
            <w:shd w:val="clear" w:color="auto" w:fill="auto"/>
            <w:noWrap/>
            <w:vAlign w:val="center"/>
          </w:tcPr>
          <w:p>
            <w:pPr>
              <w:pStyle w:val="63"/>
            </w:pPr>
            <w:r>
              <w:t>300.0</w:t>
            </w:r>
          </w:p>
        </w:tc>
        <w:tc>
          <w:tcPr>
            <w:tcW w:w="861" w:type="pct"/>
            <w:shd w:val="clear" w:color="auto" w:fill="auto"/>
            <w:noWrap/>
            <w:vAlign w:val="center"/>
          </w:tcPr>
          <w:p>
            <w:pPr>
              <w:pStyle w:val="63"/>
            </w:pPr>
            <w:r>
              <w:rPr>
                <w:rFonts w:hint="eastAsia"/>
              </w:rPr>
              <w:t>3.02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jc w:val="center"/>
            </w:pPr>
            <w:r>
              <w:rPr>
                <w:rFonts w:hint="eastAsia"/>
                <w:color w:val="000000"/>
                <w:sz w:val="22"/>
              </w:rPr>
              <w:t>0.85</w:t>
            </w:r>
          </w:p>
        </w:tc>
        <w:tc>
          <w:tcPr>
            <w:tcW w:w="1000" w:type="pct"/>
            <w:shd w:val="clear" w:color="auto" w:fill="auto"/>
            <w:noWrap/>
            <w:vAlign w:val="center"/>
          </w:tcPr>
          <w:p>
            <w:pPr>
              <w:pStyle w:val="63"/>
            </w:pPr>
            <w:r>
              <w:t>100.0</w:t>
            </w:r>
          </w:p>
        </w:tc>
        <w:tc>
          <w:tcPr>
            <w:tcW w:w="861" w:type="pct"/>
            <w:shd w:val="clear" w:color="auto" w:fill="auto"/>
            <w:noWrap/>
            <w:vAlign w:val="center"/>
          </w:tcPr>
          <w:p>
            <w:pPr>
              <w:jc w:val="center"/>
            </w:pPr>
            <w:r>
              <w:rPr>
                <w:rFonts w:hint="eastAsia"/>
                <w:color w:val="000000"/>
                <w:sz w:val="22"/>
              </w:rPr>
              <w:t>0.85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罗家老屋</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rPr>
                <w:rFonts w:hint="eastAsia"/>
              </w:rPr>
              <w:t>6.53</w:t>
            </w:r>
          </w:p>
        </w:tc>
        <w:tc>
          <w:tcPr>
            <w:tcW w:w="1000" w:type="pct"/>
            <w:shd w:val="clear" w:color="auto" w:fill="auto"/>
            <w:noWrap/>
            <w:vAlign w:val="center"/>
          </w:tcPr>
          <w:p>
            <w:pPr>
              <w:pStyle w:val="63"/>
            </w:pPr>
            <w:r>
              <w:t>300.0</w:t>
            </w:r>
          </w:p>
        </w:tc>
        <w:tc>
          <w:tcPr>
            <w:tcW w:w="861" w:type="pct"/>
            <w:shd w:val="clear" w:color="auto" w:fill="auto"/>
            <w:noWrap/>
            <w:vAlign w:val="center"/>
          </w:tcPr>
          <w:p>
            <w:pPr>
              <w:pStyle w:val="63"/>
            </w:pPr>
            <w:r>
              <w:rPr>
                <w:rFonts w:hint="eastAsia"/>
              </w:rPr>
              <w:t>2.18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pPr>
            <w:r>
              <w:t>0.63</w:t>
            </w:r>
          </w:p>
        </w:tc>
        <w:tc>
          <w:tcPr>
            <w:tcW w:w="1000" w:type="pct"/>
            <w:shd w:val="clear" w:color="auto" w:fill="auto"/>
            <w:noWrap/>
            <w:vAlign w:val="center"/>
          </w:tcPr>
          <w:p>
            <w:pPr>
              <w:pStyle w:val="63"/>
            </w:pPr>
            <w:r>
              <w:t>100.0</w:t>
            </w:r>
          </w:p>
        </w:tc>
        <w:tc>
          <w:tcPr>
            <w:tcW w:w="861" w:type="pct"/>
            <w:shd w:val="clear" w:color="auto" w:fill="auto"/>
            <w:noWrap/>
            <w:vAlign w:val="center"/>
          </w:tcPr>
          <w:p>
            <w:pPr>
              <w:pStyle w:val="63"/>
            </w:pPr>
            <w:r>
              <w:t>0.63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北头村</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rPr>
                <w:rFonts w:hint="eastAsia"/>
              </w:rPr>
              <w:t>13.12</w:t>
            </w:r>
          </w:p>
        </w:tc>
        <w:tc>
          <w:tcPr>
            <w:tcW w:w="1000" w:type="pct"/>
            <w:shd w:val="clear" w:color="auto" w:fill="auto"/>
            <w:noWrap/>
            <w:vAlign w:val="center"/>
          </w:tcPr>
          <w:p>
            <w:pPr>
              <w:pStyle w:val="63"/>
            </w:pPr>
            <w:r>
              <w:t>300.0</w:t>
            </w:r>
          </w:p>
        </w:tc>
        <w:tc>
          <w:tcPr>
            <w:tcW w:w="861" w:type="pct"/>
            <w:shd w:val="clear" w:color="auto" w:fill="auto"/>
            <w:noWrap/>
            <w:vAlign w:val="center"/>
          </w:tcPr>
          <w:p>
            <w:pPr>
              <w:pStyle w:val="63"/>
            </w:pPr>
            <w:r>
              <w:rPr>
                <w:rFonts w:hint="eastAsia"/>
              </w:rPr>
              <w:t>4.37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pPr>
            <w:r>
              <w:t>1.96</w:t>
            </w:r>
          </w:p>
        </w:tc>
        <w:tc>
          <w:tcPr>
            <w:tcW w:w="1000" w:type="pct"/>
            <w:shd w:val="clear" w:color="auto" w:fill="auto"/>
            <w:noWrap/>
            <w:vAlign w:val="center"/>
          </w:tcPr>
          <w:p>
            <w:pPr>
              <w:pStyle w:val="63"/>
            </w:pPr>
            <w:r>
              <w:t>100.0</w:t>
            </w:r>
          </w:p>
        </w:tc>
        <w:tc>
          <w:tcPr>
            <w:tcW w:w="861" w:type="pct"/>
            <w:shd w:val="clear" w:color="auto" w:fill="auto"/>
            <w:noWrap/>
            <w:vAlign w:val="center"/>
          </w:tcPr>
          <w:p>
            <w:pPr>
              <w:pStyle w:val="63"/>
            </w:pPr>
            <w:r>
              <w:t>1.96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龙家冲</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rPr>
                <w:rFonts w:hint="eastAsia"/>
              </w:rPr>
              <w:t>5.46</w:t>
            </w:r>
          </w:p>
        </w:tc>
        <w:tc>
          <w:tcPr>
            <w:tcW w:w="1000" w:type="pct"/>
            <w:shd w:val="clear" w:color="auto" w:fill="auto"/>
            <w:noWrap/>
            <w:vAlign w:val="center"/>
          </w:tcPr>
          <w:p>
            <w:pPr>
              <w:pStyle w:val="63"/>
            </w:pPr>
            <w:r>
              <w:t>300.0</w:t>
            </w:r>
          </w:p>
        </w:tc>
        <w:tc>
          <w:tcPr>
            <w:tcW w:w="861" w:type="pct"/>
            <w:shd w:val="clear" w:color="auto" w:fill="auto"/>
            <w:noWrap/>
            <w:vAlign w:val="center"/>
          </w:tcPr>
          <w:p>
            <w:pPr>
              <w:pStyle w:val="63"/>
            </w:pPr>
            <w:r>
              <w:rPr>
                <w:rFonts w:hint="eastAsia"/>
              </w:rPr>
              <w:t>1.82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pPr>
            <w:r>
              <w:t>0.3</w:t>
            </w:r>
          </w:p>
        </w:tc>
        <w:tc>
          <w:tcPr>
            <w:tcW w:w="1000" w:type="pct"/>
            <w:shd w:val="clear" w:color="auto" w:fill="auto"/>
            <w:noWrap/>
            <w:vAlign w:val="center"/>
          </w:tcPr>
          <w:p>
            <w:pPr>
              <w:pStyle w:val="63"/>
            </w:pPr>
            <w:r>
              <w:t>100.0</w:t>
            </w:r>
          </w:p>
        </w:tc>
        <w:tc>
          <w:tcPr>
            <w:tcW w:w="861" w:type="pct"/>
            <w:shd w:val="clear" w:color="auto" w:fill="auto"/>
            <w:noWrap/>
            <w:vAlign w:val="center"/>
          </w:tcPr>
          <w:p>
            <w:pPr>
              <w:pStyle w:val="63"/>
            </w:pPr>
            <w: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平田村</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rPr>
                <w:rFonts w:hint="eastAsia"/>
              </w:rPr>
              <w:t>5.02</w:t>
            </w:r>
          </w:p>
        </w:tc>
        <w:tc>
          <w:tcPr>
            <w:tcW w:w="1000" w:type="pct"/>
            <w:shd w:val="clear" w:color="auto" w:fill="auto"/>
            <w:noWrap/>
            <w:vAlign w:val="center"/>
          </w:tcPr>
          <w:p>
            <w:pPr>
              <w:pStyle w:val="63"/>
            </w:pPr>
            <w:r>
              <w:t>300.0</w:t>
            </w:r>
          </w:p>
        </w:tc>
        <w:tc>
          <w:tcPr>
            <w:tcW w:w="861" w:type="pct"/>
            <w:shd w:val="clear" w:color="auto" w:fill="auto"/>
            <w:noWrap/>
            <w:vAlign w:val="center"/>
          </w:tcPr>
          <w:p>
            <w:pPr>
              <w:pStyle w:val="63"/>
            </w:pPr>
            <w:r>
              <w:rPr>
                <w:rFonts w:hint="eastAsia"/>
              </w:rPr>
              <w:t>1.67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pPr>
            <w:r>
              <w:t>0.56</w:t>
            </w:r>
          </w:p>
        </w:tc>
        <w:tc>
          <w:tcPr>
            <w:tcW w:w="1000" w:type="pct"/>
            <w:shd w:val="clear" w:color="auto" w:fill="auto"/>
            <w:noWrap/>
            <w:vAlign w:val="center"/>
          </w:tcPr>
          <w:p>
            <w:pPr>
              <w:pStyle w:val="63"/>
            </w:pPr>
            <w:r>
              <w:t>100.0</w:t>
            </w:r>
          </w:p>
        </w:tc>
        <w:tc>
          <w:tcPr>
            <w:tcW w:w="861" w:type="pct"/>
            <w:shd w:val="clear" w:color="auto" w:fill="auto"/>
            <w:noWrap/>
            <w:vAlign w:val="center"/>
          </w:tcPr>
          <w:p>
            <w:pPr>
              <w:pStyle w:val="63"/>
            </w:pPr>
            <w:r>
              <w:t>0.56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restart"/>
            <w:shd w:val="clear" w:color="auto" w:fill="auto"/>
            <w:noWrap/>
            <w:vAlign w:val="center"/>
          </w:tcPr>
          <w:p>
            <w:pPr>
              <w:pStyle w:val="63"/>
            </w:pPr>
            <w:r>
              <w:t>彭家屋场</w:t>
            </w:r>
          </w:p>
        </w:tc>
        <w:tc>
          <w:tcPr>
            <w:tcW w:w="861" w:type="pct"/>
            <w:shd w:val="clear" w:color="auto" w:fill="auto"/>
            <w:noWrap/>
            <w:vAlign w:val="center"/>
          </w:tcPr>
          <w:p>
            <w:pPr>
              <w:pStyle w:val="63"/>
            </w:pPr>
            <w:r>
              <w:t>1小时</w:t>
            </w:r>
          </w:p>
        </w:tc>
        <w:tc>
          <w:tcPr>
            <w:tcW w:w="1000" w:type="pct"/>
            <w:shd w:val="clear" w:color="auto" w:fill="auto"/>
            <w:noWrap/>
            <w:vAlign w:val="center"/>
          </w:tcPr>
          <w:p>
            <w:pPr>
              <w:pStyle w:val="63"/>
            </w:pPr>
            <w:r>
              <w:rPr>
                <w:rFonts w:hint="eastAsia"/>
              </w:rPr>
              <w:t>30.46</w:t>
            </w:r>
          </w:p>
        </w:tc>
        <w:tc>
          <w:tcPr>
            <w:tcW w:w="1000" w:type="pct"/>
            <w:shd w:val="clear" w:color="auto" w:fill="auto"/>
            <w:noWrap/>
            <w:vAlign w:val="center"/>
          </w:tcPr>
          <w:p>
            <w:pPr>
              <w:pStyle w:val="63"/>
            </w:pPr>
            <w:r>
              <w:t>300.0</w:t>
            </w:r>
          </w:p>
        </w:tc>
        <w:tc>
          <w:tcPr>
            <w:tcW w:w="861" w:type="pct"/>
            <w:shd w:val="clear" w:color="auto" w:fill="auto"/>
            <w:noWrap/>
            <w:vAlign w:val="center"/>
          </w:tcPr>
          <w:p>
            <w:pPr>
              <w:pStyle w:val="63"/>
            </w:pPr>
            <w:r>
              <w:rPr>
                <w:rFonts w:hint="eastAsia"/>
              </w:rPr>
              <w:t>10.15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7" w:type="pct"/>
            <w:vMerge w:val="continue"/>
            <w:shd w:val="clear" w:color="auto" w:fill="auto"/>
            <w:noWrap/>
            <w:vAlign w:val="center"/>
          </w:tcPr>
          <w:p>
            <w:pPr>
              <w:pStyle w:val="63"/>
            </w:pPr>
          </w:p>
        </w:tc>
        <w:tc>
          <w:tcPr>
            <w:tcW w:w="861" w:type="pct"/>
            <w:shd w:val="clear" w:color="auto" w:fill="auto"/>
            <w:noWrap/>
            <w:vAlign w:val="center"/>
          </w:tcPr>
          <w:p>
            <w:pPr>
              <w:pStyle w:val="63"/>
            </w:pPr>
            <w:r>
              <w:t>日平均</w:t>
            </w:r>
          </w:p>
        </w:tc>
        <w:tc>
          <w:tcPr>
            <w:tcW w:w="1000" w:type="pct"/>
            <w:shd w:val="clear" w:color="auto" w:fill="auto"/>
            <w:noWrap/>
            <w:vAlign w:val="center"/>
          </w:tcPr>
          <w:p>
            <w:pPr>
              <w:pStyle w:val="63"/>
            </w:pPr>
            <w:r>
              <w:t>2.13</w:t>
            </w:r>
          </w:p>
        </w:tc>
        <w:tc>
          <w:tcPr>
            <w:tcW w:w="1000" w:type="pct"/>
            <w:shd w:val="clear" w:color="auto" w:fill="auto"/>
            <w:noWrap/>
            <w:vAlign w:val="center"/>
          </w:tcPr>
          <w:p>
            <w:pPr>
              <w:pStyle w:val="63"/>
            </w:pPr>
            <w:r>
              <w:t>100.0</w:t>
            </w:r>
          </w:p>
        </w:tc>
        <w:tc>
          <w:tcPr>
            <w:tcW w:w="861" w:type="pct"/>
            <w:shd w:val="clear" w:color="auto" w:fill="auto"/>
            <w:noWrap/>
            <w:vAlign w:val="center"/>
          </w:tcPr>
          <w:p>
            <w:pPr>
              <w:pStyle w:val="63"/>
            </w:pPr>
            <w:r>
              <w:t>2.13</w:t>
            </w:r>
          </w:p>
        </w:tc>
      </w:tr>
    </w:tbl>
    <w:p>
      <w:pPr>
        <w:pStyle w:val="5"/>
        <w:ind w:firstLine="482"/>
        <w:rPr>
          <w:rFonts w:ascii="Times New Roman" w:hAnsi="Times New Roman" w:cs="Times New Roman" w:eastAsiaTheme="minorEastAsia"/>
          <w:u w:val="single"/>
        </w:rPr>
      </w:pPr>
      <w:r>
        <w:rPr>
          <w:rFonts w:ascii="Times New Roman" w:hAnsi="Times New Roman" w:cs="Times New Roman" w:eastAsiaTheme="minorEastAsia"/>
          <w:u w:val="single"/>
        </w:rPr>
        <w:t>6.2.1.7.2 情景2预测结果（叠加分析）</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按照《环境影响评价技术导则大气环境》（HJ2.2-2018）中第8.7.1.2条，项目正常排放条件下，预测叠加区域污染源和环境空气质量现状浓度后，环境空气保护目标和网格点主要污染物保证率日平均质量浓度和年平均质量浓度的达标情况。因硫酸雾、非甲烷总烃、镍及其化合物、氟化物只有短期浓度，因此以短期浓度预测结果作为其评价结果。</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（一）本项目在评价区域叠加其他污染源的影响以及背景浓度后对应小时浓度、保证率日平均质量浓度和年平均质量浓度的占标率</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本情景中各污染物因子贡献值最大地面浓度如</w:t>
      </w:r>
      <w:r>
        <w:rPr>
          <w:rFonts w:hint="eastAsia" w:ascii="Times New Roman" w:hAnsi="Times New Roman" w:cs="Times New Roman"/>
          <w:u w:val="single"/>
        </w:rPr>
        <w:t>见下表</w:t>
      </w:r>
      <w:r>
        <w:rPr>
          <w:rFonts w:ascii="Times New Roman" w:hAnsi="Times New Roman" w:cs="Times New Roman"/>
          <w:u w:val="single"/>
        </w:rPr>
        <w:t>所示。</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根据调查，项目所在区域无区域削减源，在考虑区域在建拟建源贡献浓度和环境空气质量现状浓度的情况下，SO</w:t>
      </w:r>
      <w:r>
        <w:rPr>
          <w:rFonts w:ascii="Times New Roman" w:hAnsi="Times New Roman" w:cs="Times New Roman"/>
          <w:u w:val="single"/>
          <w:vertAlign w:val="subscript"/>
        </w:rPr>
        <w:t>2</w:t>
      </w:r>
      <w:r>
        <w:rPr>
          <w:rFonts w:ascii="Times New Roman" w:hAnsi="Times New Roman" w:cs="Times New Roman"/>
          <w:u w:val="single"/>
        </w:rPr>
        <w:t>、PM10对应的保证率日平均浓度和年均浓度均满足《环境空气质量标准》（GB3095-2012）</w:t>
      </w:r>
      <w:r>
        <w:rPr>
          <w:rFonts w:hint="eastAsia" w:ascii="Times New Roman" w:hAnsi="Times New Roman" w:cs="Times New Roman"/>
          <w:u w:val="single"/>
        </w:rPr>
        <w:t>及修改单的二级标准</w:t>
      </w:r>
      <w:r>
        <w:rPr>
          <w:rFonts w:ascii="Times New Roman" w:hAnsi="Times New Roman" w:cs="Times New Roman"/>
          <w:u w:val="single"/>
        </w:rPr>
        <w:t>要求；NOx的平均浓度（包括1小时平均浓度、24小时平均浓度和年平均浓度）NOx的平均浓度（包括1小时平均浓度、24小时平均浓度和月平均浓度）均满足《环境空气质量标准》（GB3095-2012）</w:t>
      </w:r>
      <w:r>
        <w:rPr>
          <w:rFonts w:hint="eastAsia" w:ascii="Times New Roman" w:hAnsi="Times New Roman" w:cs="Times New Roman"/>
          <w:u w:val="single"/>
        </w:rPr>
        <w:t>及修改单的二级标准</w:t>
      </w:r>
      <w:r>
        <w:rPr>
          <w:rFonts w:ascii="Times New Roman" w:hAnsi="Times New Roman" w:cs="Times New Roman"/>
          <w:u w:val="single"/>
        </w:rPr>
        <w:t>要求；硫酸雾的平均浓度（1小时和24小时平均浓度）叠加值满足《环境影响评价技术导则大气环境》（HJ2.2-2018）附录D的要求；镍及其化合物的24小时平均浓度、非甲烷总烃的1小时平均叠加浓度能够满足《大气污染物综合排放标准详解》。</w:t>
      </w:r>
    </w:p>
    <w:p>
      <w:pPr>
        <w:spacing w:line="360" w:lineRule="auto"/>
        <w:ind w:firstLine="480" w:firstLineChars="200"/>
        <w:rPr>
          <w:rFonts w:ascii="Times New Roman" w:hAnsi="Times New Roman" w:cs="Times New Roman"/>
          <w:u w:val="single"/>
        </w:rPr>
        <w:sectPr>
          <w:pgSz w:w="11907" w:h="16840"/>
          <w:pgMar w:top="1440" w:right="1797" w:bottom="1440" w:left="1797" w:header="964" w:footer="851" w:gutter="0"/>
          <w:cols w:space="720" w:num="1"/>
          <w:docGrid w:linePitch="311" w:charSpace="0"/>
        </w:sectPr>
      </w:pPr>
    </w:p>
    <w:p>
      <w:pPr>
        <w:pStyle w:val="6"/>
        <w:rPr>
          <w:rFonts w:ascii="Times New Roman" w:hAnsi="Times New Roman" w:cs="Times New Roman"/>
          <w:u w:val="single"/>
        </w:rPr>
      </w:pPr>
      <w:r>
        <w:rPr>
          <w:rFonts w:ascii="Times New Roman" w:hAnsi="Times New Roman" w:cs="Times New Roman"/>
          <w:u w:val="single"/>
        </w:rPr>
        <w:t>表6.2.1-</w:t>
      </w:r>
      <w:r>
        <w:rPr>
          <w:rFonts w:hint="eastAsia" w:ascii="Times New Roman" w:hAnsi="Times New Roman" w:cs="Times New Roman"/>
          <w:u w:val="single"/>
        </w:rPr>
        <w:t xml:space="preserve">24  </w:t>
      </w:r>
      <w:r>
        <w:rPr>
          <w:rFonts w:ascii="Times New Roman" w:hAnsi="Times New Roman" w:cs="Times New Roman"/>
          <w:u w:val="single"/>
        </w:rPr>
        <w:t>本项目排放的不同因子贡献值区域最大地面浓度预测结果</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007"/>
        <w:gridCol w:w="1158"/>
        <w:gridCol w:w="1684"/>
        <w:gridCol w:w="1046"/>
        <w:gridCol w:w="1046"/>
        <w:gridCol w:w="1055"/>
        <w:gridCol w:w="1399"/>
        <w:gridCol w:w="1399"/>
        <w:gridCol w:w="1399"/>
        <w:gridCol w:w="1400"/>
        <w:gridCol w:w="139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60" w:type="pct"/>
            <w:shd w:val="clear" w:color="auto" w:fill="auto"/>
            <w:vAlign w:val="center"/>
          </w:tcPr>
          <w:p>
            <w:pPr>
              <w:pStyle w:val="63"/>
              <w:rPr>
                <w:u w:val="single"/>
              </w:rPr>
            </w:pPr>
            <w:r>
              <w:rPr>
                <w:u w:val="single"/>
              </w:rPr>
              <w:t>因子</w:t>
            </w:r>
          </w:p>
        </w:tc>
        <w:tc>
          <w:tcPr>
            <w:tcW w:w="414" w:type="pct"/>
            <w:shd w:val="clear" w:color="auto" w:fill="auto"/>
            <w:vAlign w:val="center"/>
          </w:tcPr>
          <w:p>
            <w:pPr>
              <w:pStyle w:val="63"/>
              <w:rPr>
                <w:u w:val="single"/>
              </w:rPr>
            </w:pPr>
            <w:r>
              <w:rPr>
                <w:u w:val="single"/>
              </w:rPr>
              <w:t>平均时间</w:t>
            </w:r>
          </w:p>
        </w:tc>
        <w:tc>
          <w:tcPr>
            <w:tcW w:w="602" w:type="pct"/>
            <w:shd w:val="clear" w:color="auto" w:fill="auto"/>
            <w:vAlign w:val="center"/>
          </w:tcPr>
          <w:p>
            <w:pPr>
              <w:pStyle w:val="63"/>
              <w:rPr>
                <w:u w:val="single"/>
              </w:rPr>
            </w:pPr>
            <w:r>
              <w:rPr>
                <w:rFonts w:eastAsia="宋体"/>
                <w:u w:val="single"/>
              </w:rPr>
              <w:t>本项目+区域污染源贡献值[μg/m³]</w:t>
            </w:r>
          </w:p>
        </w:tc>
        <w:tc>
          <w:tcPr>
            <w:tcW w:w="1125" w:type="pct"/>
            <w:gridSpan w:val="3"/>
            <w:shd w:val="clear" w:color="auto" w:fill="auto"/>
            <w:vAlign w:val="center"/>
          </w:tcPr>
          <w:p>
            <w:pPr>
              <w:pStyle w:val="63"/>
              <w:rPr>
                <w:u w:val="single"/>
              </w:rPr>
            </w:pPr>
            <w:r>
              <w:rPr>
                <w:u w:val="single"/>
              </w:rPr>
              <w:t>落地坐标[x，y，z]</w:t>
            </w:r>
          </w:p>
        </w:tc>
        <w:tc>
          <w:tcPr>
            <w:tcW w:w="500" w:type="pct"/>
            <w:shd w:val="clear" w:color="auto" w:fill="auto"/>
            <w:vAlign w:val="center"/>
          </w:tcPr>
          <w:p>
            <w:pPr>
              <w:pStyle w:val="63"/>
              <w:rPr>
                <w:u w:val="single"/>
              </w:rPr>
            </w:pPr>
            <w:r>
              <w:rPr>
                <w:u w:val="single"/>
              </w:rPr>
              <w:t>出现时刻</w:t>
            </w:r>
          </w:p>
        </w:tc>
        <w:tc>
          <w:tcPr>
            <w:tcW w:w="500" w:type="pct"/>
            <w:vAlign w:val="center"/>
          </w:tcPr>
          <w:p>
            <w:pPr>
              <w:pStyle w:val="63"/>
              <w:rPr>
                <w:u w:val="single"/>
              </w:rPr>
            </w:pPr>
            <w:r>
              <w:rPr>
                <w:rFonts w:eastAsia="宋体"/>
                <w:u w:val="single"/>
              </w:rPr>
              <w:t>背景值[μg/m³]</w:t>
            </w:r>
          </w:p>
        </w:tc>
        <w:tc>
          <w:tcPr>
            <w:tcW w:w="500" w:type="pct"/>
            <w:vAlign w:val="center"/>
          </w:tcPr>
          <w:p>
            <w:pPr>
              <w:pStyle w:val="63"/>
              <w:rPr>
                <w:u w:val="single"/>
              </w:rPr>
            </w:pPr>
            <w:r>
              <w:rPr>
                <w:rFonts w:eastAsia="宋体"/>
                <w:u w:val="single"/>
              </w:rPr>
              <w:t>预测值[μg/m³]</w:t>
            </w:r>
          </w:p>
        </w:tc>
        <w:tc>
          <w:tcPr>
            <w:tcW w:w="500" w:type="pct"/>
            <w:shd w:val="clear" w:color="auto" w:fill="auto"/>
            <w:vAlign w:val="center"/>
          </w:tcPr>
          <w:p>
            <w:pPr>
              <w:pStyle w:val="63"/>
              <w:rPr>
                <w:u w:val="single"/>
              </w:rPr>
            </w:pPr>
            <w:r>
              <w:rPr>
                <w:u w:val="single"/>
              </w:rPr>
              <w:t>标准值[μg/m</w:t>
            </w:r>
            <w:r>
              <w:rPr>
                <w:u w:val="single"/>
                <w:vertAlign w:val="superscript"/>
              </w:rPr>
              <w:t>3</w:t>
            </w:r>
            <w:r>
              <w:rPr>
                <w:u w:val="single"/>
              </w:rPr>
              <w:t>]</w:t>
            </w:r>
          </w:p>
        </w:tc>
        <w:tc>
          <w:tcPr>
            <w:tcW w:w="499" w:type="pct"/>
            <w:shd w:val="clear" w:color="auto" w:fill="auto"/>
            <w:vAlign w:val="center"/>
          </w:tcPr>
          <w:p>
            <w:pPr>
              <w:pStyle w:val="63"/>
              <w:rPr>
                <w:u w:val="single"/>
              </w:rPr>
            </w:pPr>
            <w:r>
              <w:rPr>
                <w:u w:val="single"/>
              </w:rPr>
              <w:t>占标率[%]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60" w:type="pct"/>
            <w:vMerge w:val="restart"/>
            <w:shd w:val="clear" w:color="auto" w:fill="auto"/>
            <w:vAlign w:val="center"/>
          </w:tcPr>
          <w:p>
            <w:pPr>
              <w:pStyle w:val="63"/>
              <w:rPr>
                <w:u w:val="single"/>
              </w:rPr>
            </w:pPr>
            <w:r>
              <w:rPr>
                <w:u w:val="single"/>
              </w:rPr>
              <w:t>SO</w:t>
            </w:r>
            <w:r>
              <w:rPr>
                <w:u w:val="single"/>
                <w:vertAlign w:val="subscript"/>
              </w:rPr>
              <w:t>2</w:t>
            </w:r>
          </w:p>
        </w:tc>
        <w:tc>
          <w:tcPr>
            <w:tcW w:w="414" w:type="pct"/>
            <w:shd w:val="clear" w:color="auto" w:fill="auto"/>
            <w:vAlign w:val="center"/>
          </w:tcPr>
          <w:p>
            <w:pPr>
              <w:pStyle w:val="63"/>
              <w:rPr>
                <w:rFonts w:eastAsia="宋体"/>
                <w:szCs w:val="21"/>
                <w:u w:val="single"/>
              </w:rPr>
            </w:pPr>
            <w:r>
              <w:rPr>
                <w:rFonts w:eastAsia="宋体"/>
                <w:szCs w:val="21"/>
                <w:u w:val="single"/>
              </w:rPr>
              <w:t>24h（98%保证率）</w:t>
            </w:r>
          </w:p>
        </w:tc>
        <w:tc>
          <w:tcPr>
            <w:tcW w:w="602" w:type="pct"/>
            <w:shd w:val="clear" w:color="auto" w:fill="auto"/>
            <w:vAlign w:val="center"/>
          </w:tcPr>
          <w:p>
            <w:pPr>
              <w:pStyle w:val="63"/>
              <w:rPr>
                <w:u w:val="single"/>
              </w:rPr>
            </w:pPr>
            <w:r>
              <w:rPr>
                <w:u w:val="single"/>
              </w:rPr>
              <w:t>0.08</w:t>
            </w:r>
          </w:p>
        </w:tc>
        <w:tc>
          <w:tcPr>
            <w:tcW w:w="374" w:type="pct"/>
            <w:shd w:val="clear" w:color="auto" w:fill="auto"/>
            <w:vAlign w:val="center"/>
          </w:tcPr>
          <w:p>
            <w:pPr>
              <w:pStyle w:val="63"/>
              <w:rPr>
                <w:u w:val="single"/>
              </w:rPr>
            </w:pPr>
            <w:r>
              <w:rPr>
                <w:u w:val="single"/>
              </w:rPr>
              <w:t>381127</w:t>
            </w:r>
          </w:p>
        </w:tc>
        <w:tc>
          <w:tcPr>
            <w:tcW w:w="374" w:type="pct"/>
            <w:vAlign w:val="center"/>
          </w:tcPr>
          <w:p>
            <w:pPr>
              <w:pStyle w:val="63"/>
              <w:rPr>
                <w:u w:val="single"/>
              </w:rPr>
            </w:pPr>
            <w:r>
              <w:rPr>
                <w:u w:val="single"/>
              </w:rPr>
              <w:t>2989520</w:t>
            </w:r>
          </w:p>
        </w:tc>
        <w:tc>
          <w:tcPr>
            <w:tcW w:w="377" w:type="pct"/>
            <w:vAlign w:val="center"/>
          </w:tcPr>
          <w:p>
            <w:pPr>
              <w:pStyle w:val="63"/>
              <w:rPr>
                <w:u w:val="single"/>
              </w:rPr>
            </w:pPr>
            <w:r>
              <w:rPr>
                <w:u w:val="single"/>
              </w:rPr>
              <w:t>993.7</w:t>
            </w:r>
          </w:p>
        </w:tc>
        <w:tc>
          <w:tcPr>
            <w:tcW w:w="500" w:type="pct"/>
            <w:shd w:val="clear" w:color="auto" w:fill="auto"/>
            <w:vAlign w:val="center"/>
          </w:tcPr>
          <w:p>
            <w:pPr>
              <w:pStyle w:val="63"/>
              <w:rPr>
                <w:u w:val="single"/>
              </w:rPr>
            </w:pPr>
            <w:r>
              <w:rPr>
                <w:u w:val="single"/>
              </w:rPr>
              <w:t>2022-11-08</w:t>
            </w:r>
          </w:p>
        </w:tc>
        <w:tc>
          <w:tcPr>
            <w:tcW w:w="500" w:type="pct"/>
            <w:vAlign w:val="center"/>
          </w:tcPr>
          <w:p>
            <w:pPr>
              <w:pStyle w:val="63"/>
              <w:rPr>
                <w:u w:val="single"/>
              </w:rPr>
            </w:pPr>
            <w:r>
              <w:rPr>
                <w:u w:val="single"/>
              </w:rPr>
              <w:t>24</w:t>
            </w:r>
          </w:p>
        </w:tc>
        <w:tc>
          <w:tcPr>
            <w:tcW w:w="500" w:type="pct"/>
            <w:vAlign w:val="center"/>
          </w:tcPr>
          <w:p>
            <w:pPr>
              <w:pStyle w:val="63"/>
              <w:rPr>
                <w:u w:val="single"/>
              </w:rPr>
            </w:pPr>
            <w:r>
              <w:rPr>
                <w:u w:val="single"/>
              </w:rPr>
              <w:t>24.08</w:t>
            </w:r>
          </w:p>
        </w:tc>
        <w:tc>
          <w:tcPr>
            <w:tcW w:w="500" w:type="pct"/>
            <w:shd w:val="clear" w:color="auto" w:fill="auto"/>
            <w:vAlign w:val="center"/>
          </w:tcPr>
          <w:p>
            <w:pPr>
              <w:pStyle w:val="63"/>
              <w:rPr>
                <w:u w:val="single"/>
              </w:rPr>
            </w:pPr>
            <w:r>
              <w:rPr>
                <w:u w:val="single"/>
              </w:rPr>
              <w:t>150</w:t>
            </w:r>
          </w:p>
        </w:tc>
        <w:tc>
          <w:tcPr>
            <w:tcW w:w="499" w:type="pct"/>
            <w:shd w:val="clear" w:color="auto" w:fill="auto"/>
            <w:vAlign w:val="center"/>
          </w:tcPr>
          <w:p>
            <w:pPr>
              <w:pStyle w:val="63"/>
              <w:rPr>
                <w:rFonts w:eastAsia="宋体"/>
                <w:u w:val="single"/>
              </w:rPr>
            </w:pPr>
            <w:r>
              <w:rPr>
                <w:u w:val="single"/>
              </w:rPr>
              <w:t>16.05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60" w:type="pct"/>
            <w:vMerge w:val="continue"/>
            <w:shd w:val="clear" w:color="auto" w:fill="auto"/>
            <w:vAlign w:val="center"/>
          </w:tcPr>
          <w:p>
            <w:pPr>
              <w:pStyle w:val="63"/>
              <w:rPr>
                <w:u w:val="single"/>
              </w:rPr>
            </w:pPr>
          </w:p>
        </w:tc>
        <w:tc>
          <w:tcPr>
            <w:tcW w:w="414" w:type="pct"/>
            <w:shd w:val="clear" w:color="auto" w:fill="auto"/>
            <w:vAlign w:val="center"/>
          </w:tcPr>
          <w:p>
            <w:pPr>
              <w:pStyle w:val="63"/>
              <w:rPr>
                <w:rFonts w:eastAsia="宋体"/>
                <w:szCs w:val="21"/>
                <w:u w:val="single"/>
              </w:rPr>
            </w:pPr>
            <w:r>
              <w:rPr>
                <w:rFonts w:eastAsia="宋体"/>
                <w:szCs w:val="21"/>
                <w:u w:val="single"/>
              </w:rPr>
              <w:t>期间平均</w:t>
            </w:r>
          </w:p>
        </w:tc>
        <w:tc>
          <w:tcPr>
            <w:tcW w:w="602" w:type="pct"/>
            <w:shd w:val="clear" w:color="auto" w:fill="auto"/>
            <w:vAlign w:val="center"/>
          </w:tcPr>
          <w:p>
            <w:pPr>
              <w:pStyle w:val="63"/>
              <w:rPr>
                <w:u w:val="single"/>
              </w:rPr>
            </w:pPr>
            <w:r>
              <w:rPr>
                <w:u w:val="single"/>
              </w:rPr>
              <w:t>0.06</w:t>
            </w:r>
          </w:p>
        </w:tc>
        <w:tc>
          <w:tcPr>
            <w:tcW w:w="374" w:type="pct"/>
            <w:shd w:val="clear" w:color="auto" w:fill="auto"/>
            <w:vAlign w:val="center"/>
          </w:tcPr>
          <w:p>
            <w:pPr>
              <w:pStyle w:val="63"/>
              <w:rPr>
                <w:u w:val="single"/>
              </w:rPr>
            </w:pPr>
            <w:r>
              <w:rPr>
                <w:u w:val="single"/>
              </w:rPr>
              <w:t>381127</w:t>
            </w:r>
          </w:p>
        </w:tc>
        <w:tc>
          <w:tcPr>
            <w:tcW w:w="374" w:type="pct"/>
            <w:vAlign w:val="center"/>
          </w:tcPr>
          <w:p>
            <w:pPr>
              <w:pStyle w:val="63"/>
              <w:rPr>
                <w:u w:val="single"/>
              </w:rPr>
            </w:pPr>
            <w:r>
              <w:rPr>
                <w:u w:val="single"/>
              </w:rPr>
              <w:t>2989520</w:t>
            </w:r>
          </w:p>
        </w:tc>
        <w:tc>
          <w:tcPr>
            <w:tcW w:w="377" w:type="pct"/>
            <w:vAlign w:val="center"/>
          </w:tcPr>
          <w:p>
            <w:pPr>
              <w:pStyle w:val="63"/>
              <w:rPr>
                <w:u w:val="single"/>
              </w:rPr>
            </w:pPr>
            <w:r>
              <w:rPr>
                <w:u w:val="single"/>
              </w:rPr>
              <w:t>993.7</w:t>
            </w:r>
          </w:p>
        </w:tc>
        <w:tc>
          <w:tcPr>
            <w:tcW w:w="500" w:type="pct"/>
            <w:shd w:val="clear" w:color="auto" w:fill="auto"/>
            <w:vAlign w:val="center"/>
          </w:tcPr>
          <w:p>
            <w:pPr>
              <w:pStyle w:val="63"/>
              <w:rPr>
                <w:u w:val="single"/>
              </w:rPr>
            </w:pPr>
            <w:r>
              <w:rPr>
                <w:u w:val="single"/>
              </w:rPr>
              <w:t>—</w:t>
            </w:r>
          </w:p>
        </w:tc>
        <w:tc>
          <w:tcPr>
            <w:tcW w:w="500" w:type="pct"/>
            <w:vAlign w:val="center"/>
          </w:tcPr>
          <w:p>
            <w:pPr>
              <w:pStyle w:val="63"/>
              <w:rPr>
                <w:u w:val="single"/>
              </w:rPr>
            </w:pPr>
            <w:r>
              <w:rPr>
                <w:u w:val="single"/>
              </w:rPr>
              <w:t>10</w:t>
            </w:r>
          </w:p>
        </w:tc>
        <w:tc>
          <w:tcPr>
            <w:tcW w:w="500" w:type="pct"/>
            <w:vAlign w:val="center"/>
          </w:tcPr>
          <w:p>
            <w:pPr>
              <w:pStyle w:val="63"/>
              <w:rPr>
                <w:u w:val="single"/>
              </w:rPr>
            </w:pPr>
            <w:r>
              <w:rPr>
                <w:u w:val="single"/>
              </w:rPr>
              <w:t>10.06</w:t>
            </w:r>
          </w:p>
        </w:tc>
        <w:tc>
          <w:tcPr>
            <w:tcW w:w="500" w:type="pct"/>
            <w:shd w:val="clear" w:color="auto" w:fill="auto"/>
            <w:vAlign w:val="center"/>
          </w:tcPr>
          <w:p>
            <w:pPr>
              <w:pStyle w:val="63"/>
              <w:rPr>
                <w:u w:val="single"/>
              </w:rPr>
            </w:pPr>
            <w:r>
              <w:rPr>
                <w:u w:val="single"/>
              </w:rPr>
              <w:t>60</w:t>
            </w:r>
          </w:p>
        </w:tc>
        <w:tc>
          <w:tcPr>
            <w:tcW w:w="499" w:type="pct"/>
            <w:shd w:val="clear" w:color="auto" w:fill="auto"/>
            <w:vAlign w:val="center"/>
          </w:tcPr>
          <w:p>
            <w:pPr>
              <w:pStyle w:val="63"/>
              <w:rPr>
                <w:rFonts w:eastAsia="宋体"/>
                <w:u w:val="single"/>
              </w:rPr>
            </w:pPr>
            <w:r>
              <w:rPr>
                <w:u w:val="single"/>
              </w:rPr>
              <w:t>16.77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60" w:type="pct"/>
            <w:vMerge w:val="restart"/>
            <w:shd w:val="clear" w:color="auto" w:fill="auto"/>
            <w:vAlign w:val="center"/>
          </w:tcPr>
          <w:p>
            <w:pPr>
              <w:pStyle w:val="63"/>
              <w:rPr>
                <w:u w:val="single"/>
              </w:rPr>
            </w:pPr>
            <w:r>
              <w:rPr>
                <w:u w:val="single"/>
              </w:rPr>
              <w:t>PM</w:t>
            </w:r>
            <w:r>
              <w:rPr>
                <w:u w:val="single"/>
                <w:vertAlign w:val="subscript"/>
              </w:rPr>
              <w:t>10</w:t>
            </w:r>
          </w:p>
        </w:tc>
        <w:tc>
          <w:tcPr>
            <w:tcW w:w="414" w:type="pct"/>
            <w:shd w:val="clear" w:color="auto" w:fill="auto"/>
            <w:vAlign w:val="center"/>
          </w:tcPr>
          <w:p>
            <w:pPr>
              <w:pStyle w:val="63"/>
              <w:rPr>
                <w:rFonts w:eastAsia="宋体"/>
                <w:szCs w:val="21"/>
                <w:u w:val="single"/>
              </w:rPr>
            </w:pPr>
            <w:r>
              <w:rPr>
                <w:rFonts w:eastAsia="宋体"/>
                <w:szCs w:val="21"/>
                <w:u w:val="single"/>
              </w:rPr>
              <w:t>24h（95%保证率）</w:t>
            </w:r>
          </w:p>
        </w:tc>
        <w:tc>
          <w:tcPr>
            <w:tcW w:w="602" w:type="pct"/>
            <w:shd w:val="clear" w:color="auto" w:fill="auto"/>
            <w:vAlign w:val="center"/>
          </w:tcPr>
          <w:p>
            <w:pPr>
              <w:pStyle w:val="63"/>
              <w:rPr>
                <w:u w:val="single"/>
              </w:rPr>
            </w:pPr>
            <w:r>
              <w:rPr>
                <w:u w:val="single"/>
              </w:rPr>
              <w:t>0.04</w:t>
            </w:r>
          </w:p>
        </w:tc>
        <w:tc>
          <w:tcPr>
            <w:tcW w:w="374" w:type="pct"/>
            <w:shd w:val="clear" w:color="auto" w:fill="auto"/>
            <w:vAlign w:val="center"/>
          </w:tcPr>
          <w:p>
            <w:pPr>
              <w:pStyle w:val="63"/>
              <w:rPr>
                <w:u w:val="single"/>
              </w:rPr>
            </w:pPr>
            <w:r>
              <w:rPr>
                <w:u w:val="single"/>
              </w:rPr>
              <w:t>381427</w:t>
            </w:r>
          </w:p>
        </w:tc>
        <w:tc>
          <w:tcPr>
            <w:tcW w:w="374" w:type="pct"/>
            <w:vAlign w:val="center"/>
          </w:tcPr>
          <w:p>
            <w:pPr>
              <w:pStyle w:val="63"/>
              <w:rPr>
                <w:u w:val="single"/>
              </w:rPr>
            </w:pPr>
            <w:r>
              <w:rPr>
                <w:u w:val="single"/>
              </w:rPr>
              <w:t>2989570</w:t>
            </w:r>
          </w:p>
        </w:tc>
        <w:tc>
          <w:tcPr>
            <w:tcW w:w="377" w:type="pct"/>
            <w:vAlign w:val="center"/>
          </w:tcPr>
          <w:p>
            <w:pPr>
              <w:pStyle w:val="63"/>
              <w:rPr>
                <w:u w:val="single"/>
              </w:rPr>
            </w:pPr>
            <w:r>
              <w:rPr>
                <w:u w:val="single"/>
              </w:rPr>
              <w:t>1012.6</w:t>
            </w:r>
          </w:p>
        </w:tc>
        <w:tc>
          <w:tcPr>
            <w:tcW w:w="500" w:type="pct"/>
            <w:shd w:val="clear" w:color="auto" w:fill="auto"/>
            <w:vAlign w:val="center"/>
          </w:tcPr>
          <w:p>
            <w:pPr>
              <w:pStyle w:val="63"/>
              <w:rPr>
                <w:u w:val="single"/>
              </w:rPr>
            </w:pPr>
            <w:r>
              <w:rPr>
                <w:u w:val="single"/>
              </w:rPr>
              <w:t>2022-12-28</w:t>
            </w:r>
          </w:p>
        </w:tc>
        <w:tc>
          <w:tcPr>
            <w:tcW w:w="500" w:type="pct"/>
            <w:vAlign w:val="center"/>
          </w:tcPr>
          <w:p>
            <w:pPr>
              <w:pStyle w:val="63"/>
              <w:rPr>
                <w:u w:val="single"/>
              </w:rPr>
            </w:pPr>
            <w:r>
              <w:rPr>
                <w:u w:val="single"/>
              </w:rPr>
              <w:t>92</w:t>
            </w:r>
          </w:p>
        </w:tc>
        <w:tc>
          <w:tcPr>
            <w:tcW w:w="500" w:type="pct"/>
            <w:vAlign w:val="center"/>
          </w:tcPr>
          <w:p>
            <w:pPr>
              <w:pStyle w:val="63"/>
              <w:rPr>
                <w:u w:val="single"/>
              </w:rPr>
            </w:pPr>
            <w:r>
              <w:rPr>
                <w:u w:val="single"/>
              </w:rPr>
              <w:t>92.04</w:t>
            </w:r>
          </w:p>
        </w:tc>
        <w:tc>
          <w:tcPr>
            <w:tcW w:w="500" w:type="pct"/>
            <w:shd w:val="clear" w:color="auto" w:fill="auto"/>
            <w:vAlign w:val="center"/>
          </w:tcPr>
          <w:p>
            <w:pPr>
              <w:pStyle w:val="63"/>
              <w:rPr>
                <w:u w:val="single"/>
              </w:rPr>
            </w:pPr>
            <w:r>
              <w:rPr>
                <w:u w:val="single"/>
              </w:rPr>
              <w:t>150</w:t>
            </w:r>
          </w:p>
        </w:tc>
        <w:tc>
          <w:tcPr>
            <w:tcW w:w="499" w:type="pct"/>
            <w:shd w:val="clear" w:color="auto" w:fill="auto"/>
            <w:vAlign w:val="center"/>
          </w:tcPr>
          <w:p>
            <w:pPr>
              <w:pStyle w:val="63"/>
              <w:rPr>
                <w:rFonts w:eastAsia="宋体"/>
                <w:u w:val="single"/>
              </w:rPr>
            </w:pPr>
            <w:r>
              <w:rPr>
                <w:u w:val="single"/>
              </w:rPr>
              <w:t>61.36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60" w:type="pct"/>
            <w:vMerge w:val="continue"/>
            <w:shd w:val="clear" w:color="auto" w:fill="auto"/>
            <w:vAlign w:val="center"/>
          </w:tcPr>
          <w:p>
            <w:pPr>
              <w:pStyle w:val="63"/>
              <w:rPr>
                <w:u w:val="single"/>
              </w:rPr>
            </w:pPr>
          </w:p>
        </w:tc>
        <w:tc>
          <w:tcPr>
            <w:tcW w:w="414" w:type="pct"/>
            <w:shd w:val="clear" w:color="auto" w:fill="auto"/>
            <w:vAlign w:val="center"/>
          </w:tcPr>
          <w:p>
            <w:pPr>
              <w:pStyle w:val="63"/>
              <w:rPr>
                <w:rFonts w:eastAsia="宋体"/>
                <w:szCs w:val="21"/>
                <w:u w:val="single"/>
              </w:rPr>
            </w:pPr>
            <w:r>
              <w:rPr>
                <w:rFonts w:eastAsia="宋体"/>
                <w:szCs w:val="21"/>
                <w:u w:val="single"/>
              </w:rPr>
              <w:t>期间平均</w:t>
            </w:r>
          </w:p>
        </w:tc>
        <w:tc>
          <w:tcPr>
            <w:tcW w:w="602" w:type="pct"/>
            <w:shd w:val="clear" w:color="auto" w:fill="auto"/>
            <w:vAlign w:val="center"/>
          </w:tcPr>
          <w:p>
            <w:pPr>
              <w:pStyle w:val="63"/>
              <w:rPr>
                <w:u w:val="single"/>
              </w:rPr>
            </w:pPr>
            <w:r>
              <w:rPr>
                <w:u w:val="single"/>
              </w:rPr>
              <w:t>0.03</w:t>
            </w:r>
          </w:p>
        </w:tc>
        <w:tc>
          <w:tcPr>
            <w:tcW w:w="374" w:type="pct"/>
            <w:shd w:val="clear" w:color="auto" w:fill="auto"/>
            <w:vAlign w:val="center"/>
          </w:tcPr>
          <w:p>
            <w:pPr>
              <w:pStyle w:val="63"/>
              <w:rPr>
                <w:u w:val="single"/>
              </w:rPr>
            </w:pPr>
            <w:r>
              <w:rPr>
                <w:u w:val="single"/>
              </w:rPr>
              <w:t>381127</w:t>
            </w:r>
          </w:p>
        </w:tc>
        <w:tc>
          <w:tcPr>
            <w:tcW w:w="374" w:type="pct"/>
            <w:vAlign w:val="center"/>
          </w:tcPr>
          <w:p>
            <w:pPr>
              <w:pStyle w:val="63"/>
              <w:rPr>
                <w:u w:val="single"/>
              </w:rPr>
            </w:pPr>
            <w:r>
              <w:rPr>
                <w:u w:val="single"/>
              </w:rPr>
              <w:t>2989520</w:t>
            </w:r>
          </w:p>
        </w:tc>
        <w:tc>
          <w:tcPr>
            <w:tcW w:w="377" w:type="pct"/>
            <w:vAlign w:val="center"/>
          </w:tcPr>
          <w:p>
            <w:pPr>
              <w:pStyle w:val="63"/>
              <w:rPr>
                <w:u w:val="single"/>
              </w:rPr>
            </w:pPr>
            <w:r>
              <w:rPr>
                <w:u w:val="single"/>
              </w:rPr>
              <w:t>993.7</w:t>
            </w:r>
          </w:p>
        </w:tc>
        <w:tc>
          <w:tcPr>
            <w:tcW w:w="500" w:type="pct"/>
            <w:shd w:val="clear" w:color="auto" w:fill="auto"/>
            <w:vAlign w:val="center"/>
          </w:tcPr>
          <w:p>
            <w:pPr>
              <w:pStyle w:val="63"/>
              <w:rPr>
                <w:u w:val="single"/>
              </w:rPr>
            </w:pPr>
            <w:r>
              <w:rPr>
                <w:u w:val="single"/>
              </w:rPr>
              <w:t>—</w:t>
            </w:r>
          </w:p>
        </w:tc>
        <w:tc>
          <w:tcPr>
            <w:tcW w:w="500" w:type="pct"/>
            <w:vAlign w:val="center"/>
          </w:tcPr>
          <w:p>
            <w:pPr>
              <w:pStyle w:val="63"/>
              <w:rPr>
                <w:u w:val="single"/>
              </w:rPr>
            </w:pPr>
            <w:r>
              <w:rPr>
                <w:u w:val="single"/>
              </w:rPr>
              <w:t>42</w:t>
            </w:r>
          </w:p>
        </w:tc>
        <w:tc>
          <w:tcPr>
            <w:tcW w:w="500" w:type="pct"/>
            <w:vAlign w:val="center"/>
          </w:tcPr>
          <w:p>
            <w:pPr>
              <w:pStyle w:val="63"/>
              <w:rPr>
                <w:u w:val="single"/>
              </w:rPr>
            </w:pPr>
            <w:r>
              <w:rPr>
                <w:u w:val="single"/>
              </w:rPr>
              <w:t>42.03</w:t>
            </w:r>
          </w:p>
        </w:tc>
        <w:tc>
          <w:tcPr>
            <w:tcW w:w="500" w:type="pct"/>
            <w:shd w:val="clear" w:color="auto" w:fill="auto"/>
            <w:vAlign w:val="center"/>
          </w:tcPr>
          <w:p>
            <w:pPr>
              <w:pStyle w:val="63"/>
              <w:rPr>
                <w:u w:val="single"/>
              </w:rPr>
            </w:pPr>
            <w:r>
              <w:rPr>
                <w:u w:val="single"/>
              </w:rPr>
              <w:t>70</w:t>
            </w:r>
          </w:p>
        </w:tc>
        <w:tc>
          <w:tcPr>
            <w:tcW w:w="499" w:type="pct"/>
            <w:shd w:val="clear" w:color="auto" w:fill="auto"/>
            <w:vAlign w:val="center"/>
          </w:tcPr>
          <w:p>
            <w:pPr>
              <w:pStyle w:val="63"/>
              <w:rPr>
                <w:rFonts w:eastAsia="宋体"/>
                <w:u w:val="single"/>
              </w:rPr>
            </w:pPr>
            <w:r>
              <w:rPr>
                <w:u w:val="single"/>
              </w:rPr>
              <w:t>60.04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60" w:type="pct"/>
            <w:vMerge w:val="restart"/>
            <w:shd w:val="clear" w:color="auto" w:fill="auto"/>
            <w:vAlign w:val="center"/>
          </w:tcPr>
          <w:p>
            <w:pPr>
              <w:pStyle w:val="63"/>
              <w:rPr>
                <w:u w:val="single"/>
              </w:rPr>
            </w:pPr>
            <w:r>
              <w:rPr>
                <w:u w:val="single"/>
              </w:rPr>
              <w:t>NOx</w:t>
            </w:r>
          </w:p>
        </w:tc>
        <w:tc>
          <w:tcPr>
            <w:tcW w:w="414" w:type="pct"/>
            <w:shd w:val="clear" w:color="auto" w:fill="auto"/>
            <w:vAlign w:val="center"/>
          </w:tcPr>
          <w:p>
            <w:pPr>
              <w:pStyle w:val="63"/>
              <w:rPr>
                <w:u w:val="single"/>
              </w:rPr>
            </w:pPr>
            <w:r>
              <w:rPr>
                <w:u w:val="single"/>
              </w:rPr>
              <w:t>24h</w:t>
            </w:r>
            <w:r>
              <w:rPr>
                <w:rFonts w:eastAsia="宋体"/>
                <w:u w:val="single"/>
              </w:rPr>
              <w:t>（98%保证率）</w:t>
            </w:r>
          </w:p>
        </w:tc>
        <w:tc>
          <w:tcPr>
            <w:tcW w:w="602" w:type="pct"/>
            <w:shd w:val="clear" w:color="auto" w:fill="auto"/>
            <w:vAlign w:val="center"/>
          </w:tcPr>
          <w:p>
            <w:pPr>
              <w:pStyle w:val="63"/>
              <w:rPr>
                <w:u w:val="single"/>
              </w:rPr>
            </w:pPr>
            <w:r>
              <w:rPr>
                <w:u w:val="single"/>
              </w:rPr>
              <w:t>1.06</w:t>
            </w:r>
          </w:p>
        </w:tc>
        <w:tc>
          <w:tcPr>
            <w:tcW w:w="374" w:type="pct"/>
            <w:shd w:val="clear" w:color="auto" w:fill="auto"/>
            <w:vAlign w:val="center"/>
          </w:tcPr>
          <w:p>
            <w:pPr>
              <w:pStyle w:val="63"/>
              <w:rPr>
                <w:u w:val="single"/>
              </w:rPr>
            </w:pPr>
            <w:r>
              <w:rPr>
                <w:u w:val="single"/>
              </w:rPr>
              <w:t>381427</w:t>
            </w:r>
          </w:p>
        </w:tc>
        <w:tc>
          <w:tcPr>
            <w:tcW w:w="374" w:type="pct"/>
            <w:vAlign w:val="center"/>
          </w:tcPr>
          <w:p>
            <w:pPr>
              <w:pStyle w:val="63"/>
              <w:rPr>
                <w:u w:val="single"/>
              </w:rPr>
            </w:pPr>
            <w:r>
              <w:rPr>
                <w:u w:val="single"/>
              </w:rPr>
              <w:t>2989570</w:t>
            </w:r>
          </w:p>
        </w:tc>
        <w:tc>
          <w:tcPr>
            <w:tcW w:w="377" w:type="pct"/>
            <w:vAlign w:val="center"/>
          </w:tcPr>
          <w:p>
            <w:pPr>
              <w:pStyle w:val="63"/>
              <w:rPr>
                <w:u w:val="single"/>
              </w:rPr>
            </w:pPr>
            <w:r>
              <w:rPr>
                <w:u w:val="single"/>
              </w:rPr>
              <w:t>1012.6</w:t>
            </w:r>
          </w:p>
        </w:tc>
        <w:tc>
          <w:tcPr>
            <w:tcW w:w="500" w:type="pct"/>
            <w:shd w:val="clear" w:color="auto" w:fill="auto"/>
            <w:vAlign w:val="center"/>
          </w:tcPr>
          <w:p>
            <w:pPr>
              <w:pStyle w:val="63"/>
              <w:rPr>
                <w:u w:val="single"/>
              </w:rPr>
            </w:pPr>
            <w:r>
              <w:rPr>
                <w:u w:val="single"/>
              </w:rPr>
              <w:t>2022-12-28</w:t>
            </w:r>
          </w:p>
        </w:tc>
        <w:tc>
          <w:tcPr>
            <w:tcW w:w="500" w:type="pct"/>
            <w:vAlign w:val="center"/>
          </w:tcPr>
          <w:p>
            <w:pPr>
              <w:pStyle w:val="63"/>
              <w:rPr>
                <w:u w:val="single"/>
              </w:rPr>
            </w:pPr>
            <w:r>
              <w:rPr>
                <w:u w:val="single"/>
              </w:rPr>
              <w:t>52</w:t>
            </w:r>
          </w:p>
        </w:tc>
        <w:tc>
          <w:tcPr>
            <w:tcW w:w="500" w:type="pct"/>
            <w:vAlign w:val="center"/>
          </w:tcPr>
          <w:p>
            <w:pPr>
              <w:pStyle w:val="63"/>
              <w:rPr>
                <w:u w:val="single"/>
              </w:rPr>
            </w:pPr>
            <w:r>
              <w:rPr>
                <w:u w:val="single"/>
              </w:rPr>
              <w:t>53.06</w:t>
            </w:r>
          </w:p>
        </w:tc>
        <w:tc>
          <w:tcPr>
            <w:tcW w:w="500" w:type="pct"/>
            <w:shd w:val="clear" w:color="auto" w:fill="auto"/>
            <w:vAlign w:val="center"/>
          </w:tcPr>
          <w:p>
            <w:pPr>
              <w:pStyle w:val="63"/>
              <w:rPr>
                <w:u w:val="single"/>
              </w:rPr>
            </w:pPr>
            <w:r>
              <w:rPr>
                <w:rFonts w:eastAsia="宋体"/>
                <w:u w:val="single"/>
              </w:rPr>
              <w:t>80</w:t>
            </w:r>
          </w:p>
        </w:tc>
        <w:tc>
          <w:tcPr>
            <w:tcW w:w="499" w:type="pct"/>
            <w:shd w:val="clear" w:color="auto" w:fill="auto"/>
            <w:vAlign w:val="center"/>
          </w:tcPr>
          <w:p>
            <w:pPr>
              <w:pStyle w:val="63"/>
              <w:rPr>
                <w:rFonts w:eastAsia="宋体"/>
                <w:u w:val="single"/>
              </w:rPr>
            </w:pPr>
            <w:r>
              <w:rPr>
                <w:u w:val="single"/>
              </w:rPr>
              <w:t>66.33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60" w:type="pct"/>
            <w:vMerge w:val="continue"/>
            <w:shd w:val="clear" w:color="auto" w:fill="auto"/>
            <w:vAlign w:val="center"/>
          </w:tcPr>
          <w:p>
            <w:pPr>
              <w:pStyle w:val="63"/>
              <w:rPr>
                <w:u w:val="single"/>
              </w:rPr>
            </w:pPr>
          </w:p>
        </w:tc>
        <w:tc>
          <w:tcPr>
            <w:tcW w:w="414" w:type="pct"/>
            <w:shd w:val="clear" w:color="auto" w:fill="auto"/>
            <w:vAlign w:val="center"/>
          </w:tcPr>
          <w:p>
            <w:pPr>
              <w:pStyle w:val="63"/>
              <w:rPr>
                <w:u w:val="single"/>
              </w:rPr>
            </w:pPr>
            <w:r>
              <w:rPr>
                <w:u w:val="single"/>
              </w:rPr>
              <w:t>期间平均</w:t>
            </w:r>
          </w:p>
        </w:tc>
        <w:tc>
          <w:tcPr>
            <w:tcW w:w="602" w:type="pct"/>
            <w:shd w:val="clear" w:color="auto" w:fill="auto"/>
            <w:vAlign w:val="center"/>
          </w:tcPr>
          <w:p>
            <w:pPr>
              <w:pStyle w:val="63"/>
              <w:rPr>
                <w:u w:val="single"/>
              </w:rPr>
            </w:pPr>
            <w:r>
              <w:rPr>
                <w:u w:val="single"/>
              </w:rPr>
              <w:t>0.83</w:t>
            </w:r>
          </w:p>
        </w:tc>
        <w:tc>
          <w:tcPr>
            <w:tcW w:w="374" w:type="pct"/>
            <w:shd w:val="clear" w:color="auto" w:fill="auto"/>
            <w:vAlign w:val="center"/>
          </w:tcPr>
          <w:p>
            <w:pPr>
              <w:pStyle w:val="63"/>
              <w:rPr>
                <w:u w:val="single"/>
              </w:rPr>
            </w:pPr>
            <w:r>
              <w:rPr>
                <w:u w:val="single"/>
              </w:rPr>
              <w:t>381127</w:t>
            </w:r>
          </w:p>
        </w:tc>
        <w:tc>
          <w:tcPr>
            <w:tcW w:w="374" w:type="pct"/>
            <w:vAlign w:val="center"/>
          </w:tcPr>
          <w:p>
            <w:pPr>
              <w:pStyle w:val="63"/>
              <w:rPr>
                <w:u w:val="single"/>
              </w:rPr>
            </w:pPr>
            <w:r>
              <w:rPr>
                <w:u w:val="single"/>
              </w:rPr>
              <w:t>2989520</w:t>
            </w:r>
          </w:p>
        </w:tc>
        <w:tc>
          <w:tcPr>
            <w:tcW w:w="377" w:type="pct"/>
            <w:vAlign w:val="center"/>
          </w:tcPr>
          <w:p>
            <w:pPr>
              <w:pStyle w:val="63"/>
              <w:rPr>
                <w:u w:val="single"/>
              </w:rPr>
            </w:pPr>
            <w:r>
              <w:rPr>
                <w:u w:val="single"/>
              </w:rPr>
              <w:t>993.7</w:t>
            </w:r>
          </w:p>
        </w:tc>
        <w:tc>
          <w:tcPr>
            <w:tcW w:w="500" w:type="pct"/>
            <w:shd w:val="clear" w:color="auto" w:fill="auto"/>
            <w:vAlign w:val="center"/>
          </w:tcPr>
          <w:p>
            <w:pPr>
              <w:pStyle w:val="63"/>
              <w:rPr>
                <w:u w:val="single"/>
              </w:rPr>
            </w:pPr>
            <w:r>
              <w:rPr>
                <w:u w:val="single"/>
              </w:rPr>
              <w:t>—</w:t>
            </w:r>
          </w:p>
        </w:tc>
        <w:tc>
          <w:tcPr>
            <w:tcW w:w="500" w:type="pct"/>
            <w:vAlign w:val="center"/>
          </w:tcPr>
          <w:p>
            <w:pPr>
              <w:pStyle w:val="63"/>
              <w:rPr>
                <w:u w:val="single"/>
              </w:rPr>
            </w:pPr>
            <w:r>
              <w:rPr>
                <w:u w:val="single"/>
              </w:rPr>
              <w:t>11</w:t>
            </w:r>
          </w:p>
        </w:tc>
        <w:tc>
          <w:tcPr>
            <w:tcW w:w="500" w:type="pct"/>
            <w:vAlign w:val="center"/>
          </w:tcPr>
          <w:p>
            <w:pPr>
              <w:pStyle w:val="63"/>
              <w:rPr>
                <w:u w:val="single"/>
              </w:rPr>
            </w:pPr>
            <w:r>
              <w:rPr>
                <w:u w:val="single"/>
              </w:rPr>
              <w:t>11.83</w:t>
            </w:r>
          </w:p>
        </w:tc>
        <w:tc>
          <w:tcPr>
            <w:tcW w:w="500" w:type="pct"/>
            <w:shd w:val="clear" w:color="auto" w:fill="auto"/>
            <w:vAlign w:val="center"/>
          </w:tcPr>
          <w:p>
            <w:pPr>
              <w:pStyle w:val="63"/>
              <w:rPr>
                <w:u w:val="single"/>
              </w:rPr>
            </w:pPr>
            <w:r>
              <w:rPr>
                <w:u w:val="single"/>
              </w:rPr>
              <w:t>40</w:t>
            </w:r>
          </w:p>
        </w:tc>
        <w:tc>
          <w:tcPr>
            <w:tcW w:w="499" w:type="pct"/>
            <w:shd w:val="clear" w:color="auto" w:fill="auto"/>
            <w:vAlign w:val="center"/>
          </w:tcPr>
          <w:p>
            <w:pPr>
              <w:pStyle w:val="63"/>
              <w:rPr>
                <w:rFonts w:eastAsia="宋体"/>
                <w:u w:val="single"/>
              </w:rPr>
            </w:pPr>
            <w:r>
              <w:rPr>
                <w:u w:val="single"/>
              </w:rPr>
              <w:t>29.58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60" w:type="pct"/>
            <w:shd w:val="clear" w:color="auto" w:fill="auto"/>
            <w:vAlign w:val="center"/>
          </w:tcPr>
          <w:p>
            <w:pPr>
              <w:pStyle w:val="63"/>
              <w:rPr>
                <w:u w:val="single"/>
              </w:rPr>
            </w:pPr>
            <w:r>
              <w:rPr>
                <w:u w:val="single"/>
              </w:rPr>
              <w:t>非甲烷总烃</w:t>
            </w:r>
          </w:p>
        </w:tc>
        <w:tc>
          <w:tcPr>
            <w:tcW w:w="414" w:type="pct"/>
            <w:shd w:val="clear" w:color="auto" w:fill="auto"/>
            <w:vAlign w:val="center"/>
          </w:tcPr>
          <w:p>
            <w:pPr>
              <w:pStyle w:val="63"/>
              <w:rPr>
                <w:u w:val="single"/>
              </w:rPr>
            </w:pPr>
            <w:r>
              <w:rPr>
                <w:u w:val="single"/>
              </w:rPr>
              <w:t>1h</w:t>
            </w:r>
          </w:p>
        </w:tc>
        <w:tc>
          <w:tcPr>
            <w:tcW w:w="602" w:type="pct"/>
            <w:shd w:val="clear" w:color="auto" w:fill="auto"/>
            <w:vAlign w:val="center"/>
          </w:tcPr>
          <w:p>
            <w:pPr>
              <w:pStyle w:val="63"/>
              <w:rPr>
                <w:u w:val="single"/>
              </w:rPr>
            </w:pPr>
            <w:r>
              <w:rPr>
                <w:u w:val="single"/>
              </w:rPr>
              <w:t>209.63</w:t>
            </w:r>
          </w:p>
        </w:tc>
        <w:tc>
          <w:tcPr>
            <w:tcW w:w="374" w:type="pct"/>
            <w:shd w:val="clear" w:color="auto" w:fill="auto"/>
            <w:vAlign w:val="center"/>
          </w:tcPr>
          <w:p>
            <w:pPr>
              <w:pStyle w:val="63"/>
              <w:rPr>
                <w:u w:val="single"/>
              </w:rPr>
            </w:pPr>
            <w:r>
              <w:rPr>
                <w:u w:val="single"/>
              </w:rPr>
              <w:t>381527</w:t>
            </w:r>
          </w:p>
        </w:tc>
        <w:tc>
          <w:tcPr>
            <w:tcW w:w="374" w:type="pct"/>
            <w:vAlign w:val="center"/>
          </w:tcPr>
          <w:p>
            <w:pPr>
              <w:pStyle w:val="63"/>
              <w:rPr>
                <w:u w:val="single"/>
              </w:rPr>
            </w:pPr>
            <w:r>
              <w:rPr>
                <w:u w:val="single"/>
              </w:rPr>
              <w:t>2989820</w:t>
            </w:r>
          </w:p>
        </w:tc>
        <w:tc>
          <w:tcPr>
            <w:tcW w:w="377" w:type="pct"/>
            <w:vAlign w:val="center"/>
          </w:tcPr>
          <w:p>
            <w:pPr>
              <w:pStyle w:val="63"/>
              <w:rPr>
                <w:u w:val="single"/>
              </w:rPr>
            </w:pPr>
            <w:r>
              <w:rPr>
                <w:u w:val="single"/>
              </w:rPr>
              <w:t>997.2</w:t>
            </w:r>
          </w:p>
        </w:tc>
        <w:tc>
          <w:tcPr>
            <w:tcW w:w="500" w:type="pct"/>
            <w:shd w:val="clear" w:color="auto" w:fill="auto"/>
            <w:vAlign w:val="center"/>
          </w:tcPr>
          <w:p>
            <w:pPr>
              <w:pStyle w:val="63"/>
              <w:rPr>
                <w:u w:val="single"/>
              </w:rPr>
            </w:pPr>
            <w:r>
              <w:rPr>
                <w:u w:val="single"/>
              </w:rPr>
              <w:t>2022/9/14 3:00:00</w:t>
            </w:r>
          </w:p>
        </w:tc>
        <w:tc>
          <w:tcPr>
            <w:tcW w:w="500" w:type="pct"/>
            <w:vAlign w:val="center"/>
          </w:tcPr>
          <w:p>
            <w:pPr>
              <w:pStyle w:val="63"/>
              <w:rPr>
                <w:u w:val="single"/>
              </w:rPr>
            </w:pPr>
            <w:r>
              <w:rPr>
                <w:u w:val="single"/>
              </w:rPr>
              <w:t>0</w:t>
            </w:r>
          </w:p>
        </w:tc>
        <w:tc>
          <w:tcPr>
            <w:tcW w:w="500" w:type="pct"/>
            <w:vAlign w:val="center"/>
          </w:tcPr>
          <w:p>
            <w:pPr>
              <w:pStyle w:val="63"/>
              <w:rPr>
                <w:u w:val="single"/>
              </w:rPr>
            </w:pPr>
            <w:r>
              <w:rPr>
                <w:u w:val="single"/>
              </w:rPr>
              <w:t>209.63</w:t>
            </w:r>
          </w:p>
        </w:tc>
        <w:tc>
          <w:tcPr>
            <w:tcW w:w="500" w:type="pct"/>
            <w:shd w:val="clear" w:color="auto" w:fill="auto"/>
            <w:vAlign w:val="center"/>
          </w:tcPr>
          <w:p>
            <w:pPr>
              <w:pStyle w:val="63"/>
              <w:rPr>
                <w:u w:val="single"/>
              </w:rPr>
            </w:pPr>
            <w:r>
              <w:rPr>
                <w:u w:val="single"/>
              </w:rPr>
              <w:t>2000</w:t>
            </w:r>
          </w:p>
        </w:tc>
        <w:tc>
          <w:tcPr>
            <w:tcW w:w="499" w:type="pct"/>
            <w:shd w:val="clear" w:color="auto" w:fill="auto"/>
            <w:vAlign w:val="center"/>
          </w:tcPr>
          <w:p>
            <w:pPr>
              <w:pStyle w:val="63"/>
              <w:rPr>
                <w:rFonts w:eastAsia="宋体"/>
                <w:u w:val="single"/>
              </w:rPr>
            </w:pPr>
            <w:r>
              <w:rPr>
                <w:u w:val="single"/>
              </w:rPr>
              <w:t>10.48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60" w:type="pct"/>
            <w:vMerge w:val="restart"/>
            <w:shd w:val="clear" w:color="auto" w:fill="auto"/>
            <w:vAlign w:val="center"/>
          </w:tcPr>
          <w:p>
            <w:pPr>
              <w:pStyle w:val="63"/>
              <w:rPr>
                <w:u w:val="single"/>
              </w:rPr>
            </w:pPr>
            <w:r>
              <w:rPr>
                <w:u w:val="single"/>
              </w:rPr>
              <w:t>氟化物</w:t>
            </w:r>
          </w:p>
        </w:tc>
        <w:tc>
          <w:tcPr>
            <w:tcW w:w="414" w:type="pct"/>
            <w:shd w:val="clear" w:color="auto" w:fill="auto"/>
            <w:vAlign w:val="center"/>
          </w:tcPr>
          <w:p>
            <w:pPr>
              <w:pStyle w:val="63"/>
              <w:rPr>
                <w:u w:val="single"/>
              </w:rPr>
            </w:pPr>
            <w:r>
              <w:rPr>
                <w:u w:val="single"/>
              </w:rPr>
              <w:t>1h</w:t>
            </w:r>
          </w:p>
        </w:tc>
        <w:tc>
          <w:tcPr>
            <w:tcW w:w="602" w:type="pct"/>
            <w:shd w:val="clear" w:color="auto" w:fill="auto"/>
            <w:vAlign w:val="center"/>
          </w:tcPr>
          <w:p>
            <w:pPr>
              <w:pStyle w:val="63"/>
              <w:rPr>
                <w:u w:val="single"/>
              </w:rPr>
            </w:pPr>
            <w:r>
              <w:rPr>
                <w:u w:val="single"/>
              </w:rPr>
              <w:t>0.0010</w:t>
            </w:r>
          </w:p>
        </w:tc>
        <w:tc>
          <w:tcPr>
            <w:tcW w:w="374" w:type="pct"/>
            <w:shd w:val="clear" w:color="auto" w:fill="auto"/>
            <w:vAlign w:val="center"/>
          </w:tcPr>
          <w:p>
            <w:pPr>
              <w:pStyle w:val="63"/>
              <w:rPr>
                <w:u w:val="single"/>
              </w:rPr>
            </w:pPr>
            <w:r>
              <w:rPr>
                <w:u w:val="single"/>
              </w:rPr>
              <w:t>378927</w:t>
            </w:r>
          </w:p>
        </w:tc>
        <w:tc>
          <w:tcPr>
            <w:tcW w:w="374" w:type="pct"/>
            <w:vAlign w:val="center"/>
          </w:tcPr>
          <w:p>
            <w:pPr>
              <w:pStyle w:val="63"/>
              <w:rPr>
                <w:u w:val="single"/>
              </w:rPr>
            </w:pPr>
            <w:r>
              <w:rPr>
                <w:u w:val="single"/>
              </w:rPr>
              <w:t>2989570</w:t>
            </w:r>
          </w:p>
        </w:tc>
        <w:tc>
          <w:tcPr>
            <w:tcW w:w="377" w:type="pct"/>
            <w:vAlign w:val="center"/>
          </w:tcPr>
          <w:p>
            <w:pPr>
              <w:pStyle w:val="63"/>
              <w:rPr>
                <w:u w:val="single"/>
              </w:rPr>
            </w:pPr>
            <w:r>
              <w:rPr>
                <w:u w:val="single"/>
              </w:rPr>
              <w:t>1031.2</w:t>
            </w:r>
          </w:p>
        </w:tc>
        <w:tc>
          <w:tcPr>
            <w:tcW w:w="500" w:type="pct"/>
            <w:shd w:val="clear" w:color="auto" w:fill="auto"/>
            <w:vAlign w:val="center"/>
          </w:tcPr>
          <w:p>
            <w:pPr>
              <w:pStyle w:val="63"/>
              <w:rPr>
                <w:u w:val="single"/>
              </w:rPr>
            </w:pPr>
            <w:r>
              <w:rPr>
                <w:u w:val="single"/>
              </w:rPr>
              <w:t>2022/8/16 21:00:00</w:t>
            </w:r>
          </w:p>
        </w:tc>
        <w:tc>
          <w:tcPr>
            <w:tcW w:w="500" w:type="pct"/>
            <w:vAlign w:val="center"/>
          </w:tcPr>
          <w:p>
            <w:pPr>
              <w:pStyle w:val="63"/>
              <w:rPr>
                <w:u w:val="single"/>
              </w:rPr>
            </w:pPr>
            <w:r>
              <w:rPr>
                <w:u w:val="single"/>
              </w:rPr>
              <w:t>0.00018</w:t>
            </w:r>
          </w:p>
        </w:tc>
        <w:tc>
          <w:tcPr>
            <w:tcW w:w="500" w:type="pct"/>
            <w:vAlign w:val="center"/>
          </w:tcPr>
          <w:p>
            <w:pPr>
              <w:pStyle w:val="63"/>
              <w:rPr>
                <w:u w:val="single"/>
              </w:rPr>
            </w:pPr>
            <w:r>
              <w:rPr>
                <w:u w:val="single"/>
              </w:rPr>
              <w:t>0.0012</w:t>
            </w:r>
          </w:p>
        </w:tc>
        <w:tc>
          <w:tcPr>
            <w:tcW w:w="500" w:type="pct"/>
            <w:shd w:val="clear" w:color="auto" w:fill="auto"/>
            <w:vAlign w:val="center"/>
          </w:tcPr>
          <w:p>
            <w:pPr>
              <w:pStyle w:val="63"/>
              <w:rPr>
                <w:u w:val="single"/>
              </w:rPr>
            </w:pPr>
            <w:r>
              <w:rPr>
                <w:u w:val="single"/>
              </w:rPr>
              <w:t>20</w:t>
            </w:r>
          </w:p>
        </w:tc>
        <w:tc>
          <w:tcPr>
            <w:tcW w:w="499" w:type="pct"/>
            <w:shd w:val="clear" w:color="auto" w:fill="auto"/>
            <w:vAlign w:val="center"/>
          </w:tcPr>
          <w:p>
            <w:pPr>
              <w:pStyle w:val="63"/>
              <w:rPr>
                <w:rFonts w:eastAsia="宋体"/>
                <w:u w:val="single"/>
              </w:rPr>
            </w:pPr>
            <w:r>
              <w:rPr>
                <w:u w:val="single"/>
              </w:rPr>
              <w:t>0.0060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60" w:type="pct"/>
            <w:vMerge w:val="continue"/>
            <w:shd w:val="clear" w:color="auto" w:fill="auto"/>
            <w:vAlign w:val="center"/>
          </w:tcPr>
          <w:p>
            <w:pPr>
              <w:pStyle w:val="63"/>
              <w:rPr>
                <w:u w:val="single"/>
              </w:rPr>
            </w:pPr>
          </w:p>
        </w:tc>
        <w:tc>
          <w:tcPr>
            <w:tcW w:w="414" w:type="pct"/>
            <w:shd w:val="clear" w:color="auto" w:fill="auto"/>
            <w:vAlign w:val="center"/>
          </w:tcPr>
          <w:p>
            <w:pPr>
              <w:pStyle w:val="63"/>
              <w:rPr>
                <w:u w:val="single"/>
              </w:rPr>
            </w:pPr>
            <w:r>
              <w:rPr>
                <w:u w:val="single"/>
              </w:rPr>
              <w:t>24h</w:t>
            </w:r>
          </w:p>
        </w:tc>
        <w:tc>
          <w:tcPr>
            <w:tcW w:w="602" w:type="pct"/>
            <w:shd w:val="clear" w:color="auto" w:fill="auto"/>
            <w:vAlign w:val="center"/>
          </w:tcPr>
          <w:p>
            <w:pPr>
              <w:pStyle w:val="63"/>
              <w:rPr>
                <w:u w:val="single"/>
              </w:rPr>
            </w:pPr>
            <w:r>
              <w:rPr>
                <w:u w:val="single"/>
              </w:rPr>
              <w:t>0.0001</w:t>
            </w:r>
          </w:p>
        </w:tc>
        <w:tc>
          <w:tcPr>
            <w:tcW w:w="374" w:type="pct"/>
            <w:shd w:val="clear" w:color="auto" w:fill="auto"/>
            <w:vAlign w:val="center"/>
          </w:tcPr>
          <w:p>
            <w:pPr>
              <w:pStyle w:val="63"/>
              <w:rPr>
                <w:u w:val="single"/>
              </w:rPr>
            </w:pPr>
            <w:r>
              <w:rPr>
                <w:u w:val="single"/>
              </w:rPr>
              <w:t>381127</w:t>
            </w:r>
          </w:p>
        </w:tc>
        <w:tc>
          <w:tcPr>
            <w:tcW w:w="374" w:type="pct"/>
            <w:vAlign w:val="center"/>
          </w:tcPr>
          <w:p>
            <w:pPr>
              <w:pStyle w:val="63"/>
              <w:rPr>
                <w:u w:val="single"/>
              </w:rPr>
            </w:pPr>
            <w:r>
              <w:rPr>
                <w:u w:val="single"/>
              </w:rPr>
              <w:t>2989470</w:t>
            </w:r>
          </w:p>
        </w:tc>
        <w:tc>
          <w:tcPr>
            <w:tcW w:w="377" w:type="pct"/>
            <w:vAlign w:val="center"/>
          </w:tcPr>
          <w:p>
            <w:pPr>
              <w:pStyle w:val="63"/>
              <w:rPr>
                <w:u w:val="single"/>
              </w:rPr>
            </w:pPr>
            <w:r>
              <w:rPr>
                <w:u w:val="single"/>
              </w:rPr>
              <w:t>999.6</w:t>
            </w:r>
          </w:p>
        </w:tc>
        <w:tc>
          <w:tcPr>
            <w:tcW w:w="500" w:type="pct"/>
            <w:shd w:val="clear" w:color="auto" w:fill="auto"/>
            <w:vAlign w:val="center"/>
          </w:tcPr>
          <w:p>
            <w:pPr>
              <w:pStyle w:val="63"/>
              <w:rPr>
                <w:u w:val="single"/>
              </w:rPr>
            </w:pPr>
            <w:r>
              <w:rPr>
                <w:u w:val="single"/>
              </w:rPr>
              <w:t>2022-09-07</w:t>
            </w:r>
          </w:p>
        </w:tc>
        <w:tc>
          <w:tcPr>
            <w:tcW w:w="500" w:type="pct"/>
            <w:vAlign w:val="center"/>
          </w:tcPr>
          <w:p>
            <w:pPr>
              <w:pStyle w:val="63"/>
              <w:rPr>
                <w:u w:val="single"/>
              </w:rPr>
            </w:pPr>
            <w:r>
              <w:rPr>
                <w:u w:val="single"/>
              </w:rPr>
              <w:t>0</w:t>
            </w:r>
          </w:p>
        </w:tc>
        <w:tc>
          <w:tcPr>
            <w:tcW w:w="500" w:type="pct"/>
            <w:vAlign w:val="center"/>
          </w:tcPr>
          <w:p>
            <w:pPr>
              <w:pStyle w:val="63"/>
              <w:rPr>
                <w:u w:val="single"/>
              </w:rPr>
            </w:pPr>
            <w:r>
              <w:rPr>
                <w:u w:val="single"/>
              </w:rPr>
              <w:t>0.0001</w:t>
            </w:r>
          </w:p>
        </w:tc>
        <w:tc>
          <w:tcPr>
            <w:tcW w:w="500" w:type="pct"/>
            <w:shd w:val="clear" w:color="auto" w:fill="auto"/>
            <w:vAlign w:val="center"/>
          </w:tcPr>
          <w:p>
            <w:pPr>
              <w:pStyle w:val="63"/>
              <w:rPr>
                <w:u w:val="single"/>
              </w:rPr>
            </w:pPr>
            <w:r>
              <w:rPr>
                <w:u w:val="single"/>
              </w:rPr>
              <w:t>7</w:t>
            </w:r>
          </w:p>
        </w:tc>
        <w:tc>
          <w:tcPr>
            <w:tcW w:w="499" w:type="pct"/>
            <w:shd w:val="clear" w:color="auto" w:fill="auto"/>
            <w:vAlign w:val="center"/>
          </w:tcPr>
          <w:p>
            <w:pPr>
              <w:pStyle w:val="63"/>
              <w:rPr>
                <w:rFonts w:eastAsia="宋体"/>
                <w:u w:val="single"/>
              </w:rPr>
            </w:pPr>
            <w:r>
              <w:rPr>
                <w:u w:val="single"/>
              </w:rPr>
              <w:t>0.0014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60" w:type="pct"/>
            <w:shd w:val="clear" w:color="auto" w:fill="auto"/>
            <w:vAlign w:val="center"/>
          </w:tcPr>
          <w:p>
            <w:pPr>
              <w:pStyle w:val="63"/>
              <w:rPr>
                <w:u w:val="single"/>
              </w:rPr>
            </w:pPr>
            <w:r>
              <w:rPr>
                <w:u w:val="single"/>
              </w:rPr>
              <w:t>镍及其化合物</w:t>
            </w:r>
          </w:p>
        </w:tc>
        <w:tc>
          <w:tcPr>
            <w:tcW w:w="414" w:type="pct"/>
            <w:shd w:val="clear" w:color="auto" w:fill="auto"/>
            <w:vAlign w:val="center"/>
          </w:tcPr>
          <w:p>
            <w:pPr>
              <w:pStyle w:val="63"/>
              <w:rPr>
                <w:u w:val="single"/>
              </w:rPr>
            </w:pPr>
            <w:r>
              <w:rPr>
                <w:u w:val="single"/>
              </w:rPr>
              <w:t>24h</w:t>
            </w:r>
          </w:p>
        </w:tc>
        <w:tc>
          <w:tcPr>
            <w:tcW w:w="602" w:type="pct"/>
            <w:shd w:val="clear" w:color="auto" w:fill="auto"/>
            <w:vAlign w:val="center"/>
          </w:tcPr>
          <w:p>
            <w:pPr>
              <w:pStyle w:val="63"/>
              <w:rPr>
                <w:u w:val="single"/>
              </w:rPr>
            </w:pPr>
            <w:r>
              <w:rPr>
                <w:u w:val="single"/>
              </w:rPr>
              <w:t>0.0002</w:t>
            </w:r>
          </w:p>
        </w:tc>
        <w:tc>
          <w:tcPr>
            <w:tcW w:w="374" w:type="pct"/>
            <w:shd w:val="clear" w:color="auto" w:fill="auto"/>
            <w:vAlign w:val="center"/>
          </w:tcPr>
          <w:p>
            <w:pPr>
              <w:pStyle w:val="63"/>
              <w:rPr>
                <w:u w:val="single"/>
              </w:rPr>
            </w:pPr>
            <w:r>
              <w:rPr>
                <w:u w:val="single"/>
              </w:rPr>
              <w:t>378927</w:t>
            </w:r>
          </w:p>
        </w:tc>
        <w:tc>
          <w:tcPr>
            <w:tcW w:w="374" w:type="pct"/>
            <w:vAlign w:val="center"/>
          </w:tcPr>
          <w:p>
            <w:pPr>
              <w:pStyle w:val="63"/>
              <w:rPr>
                <w:u w:val="single"/>
              </w:rPr>
            </w:pPr>
            <w:r>
              <w:rPr>
                <w:u w:val="single"/>
              </w:rPr>
              <w:t>2989570</w:t>
            </w:r>
          </w:p>
        </w:tc>
        <w:tc>
          <w:tcPr>
            <w:tcW w:w="377" w:type="pct"/>
            <w:vAlign w:val="center"/>
          </w:tcPr>
          <w:p>
            <w:pPr>
              <w:pStyle w:val="63"/>
              <w:rPr>
                <w:u w:val="single"/>
              </w:rPr>
            </w:pPr>
            <w:r>
              <w:rPr>
                <w:u w:val="single"/>
              </w:rPr>
              <w:t>1031.2</w:t>
            </w:r>
          </w:p>
        </w:tc>
        <w:tc>
          <w:tcPr>
            <w:tcW w:w="500" w:type="pct"/>
            <w:shd w:val="clear" w:color="auto" w:fill="auto"/>
            <w:vAlign w:val="center"/>
          </w:tcPr>
          <w:p>
            <w:pPr>
              <w:pStyle w:val="63"/>
              <w:rPr>
                <w:u w:val="single"/>
              </w:rPr>
            </w:pPr>
            <w:r>
              <w:rPr>
                <w:u w:val="single"/>
              </w:rPr>
              <w:t>2022/8/16 21:00:00</w:t>
            </w:r>
          </w:p>
        </w:tc>
        <w:tc>
          <w:tcPr>
            <w:tcW w:w="500" w:type="pct"/>
            <w:vAlign w:val="center"/>
          </w:tcPr>
          <w:p>
            <w:pPr>
              <w:pStyle w:val="63"/>
              <w:rPr>
                <w:u w:val="single"/>
              </w:rPr>
            </w:pPr>
            <w:r>
              <w:rPr>
                <w:u w:val="single"/>
              </w:rPr>
              <w:t>0</w:t>
            </w:r>
          </w:p>
        </w:tc>
        <w:tc>
          <w:tcPr>
            <w:tcW w:w="500" w:type="pct"/>
            <w:vAlign w:val="center"/>
          </w:tcPr>
          <w:p>
            <w:pPr>
              <w:pStyle w:val="63"/>
              <w:rPr>
                <w:u w:val="single"/>
              </w:rPr>
            </w:pPr>
            <w:r>
              <w:rPr>
                <w:u w:val="single"/>
              </w:rPr>
              <w:t>0.0002</w:t>
            </w:r>
          </w:p>
        </w:tc>
        <w:tc>
          <w:tcPr>
            <w:tcW w:w="500" w:type="pct"/>
            <w:shd w:val="clear" w:color="auto" w:fill="auto"/>
            <w:vAlign w:val="center"/>
          </w:tcPr>
          <w:p>
            <w:pPr>
              <w:pStyle w:val="63"/>
              <w:rPr>
                <w:u w:val="single"/>
              </w:rPr>
            </w:pPr>
            <w:r>
              <w:rPr>
                <w:u w:val="single"/>
              </w:rPr>
              <w:t>30</w:t>
            </w:r>
          </w:p>
        </w:tc>
        <w:tc>
          <w:tcPr>
            <w:tcW w:w="499" w:type="pct"/>
            <w:shd w:val="clear" w:color="auto" w:fill="auto"/>
            <w:vAlign w:val="center"/>
          </w:tcPr>
          <w:p>
            <w:pPr>
              <w:pStyle w:val="63"/>
              <w:rPr>
                <w:rFonts w:eastAsia="宋体"/>
                <w:u w:val="single"/>
              </w:rPr>
            </w:pPr>
            <w:r>
              <w:rPr>
                <w:u w:val="single"/>
              </w:rPr>
              <w:t>0.0007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60" w:type="pct"/>
            <w:vMerge w:val="restart"/>
            <w:shd w:val="clear" w:color="auto" w:fill="auto"/>
            <w:vAlign w:val="center"/>
          </w:tcPr>
          <w:p>
            <w:pPr>
              <w:pStyle w:val="63"/>
              <w:rPr>
                <w:u w:val="single"/>
              </w:rPr>
            </w:pPr>
            <w:r>
              <w:rPr>
                <w:u w:val="single"/>
              </w:rPr>
              <w:t>硫酸雾</w:t>
            </w:r>
          </w:p>
        </w:tc>
        <w:tc>
          <w:tcPr>
            <w:tcW w:w="414" w:type="pct"/>
            <w:shd w:val="clear" w:color="auto" w:fill="auto"/>
            <w:vAlign w:val="center"/>
          </w:tcPr>
          <w:p>
            <w:pPr>
              <w:pStyle w:val="63"/>
              <w:rPr>
                <w:u w:val="single"/>
              </w:rPr>
            </w:pPr>
            <w:r>
              <w:rPr>
                <w:u w:val="single"/>
              </w:rPr>
              <w:t>1h</w:t>
            </w:r>
          </w:p>
        </w:tc>
        <w:tc>
          <w:tcPr>
            <w:tcW w:w="602" w:type="pct"/>
            <w:shd w:val="clear" w:color="auto" w:fill="auto"/>
            <w:vAlign w:val="center"/>
          </w:tcPr>
          <w:p>
            <w:pPr>
              <w:pStyle w:val="63"/>
              <w:rPr>
                <w:u w:val="single"/>
              </w:rPr>
            </w:pPr>
            <w:r>
              <w:rPr>
                <w:u w:val="single"/>
              </w:rPr>
              <w:t>61.98</w:t>
            </w:r>
          </w:p>
        </w:tc>
        <w:tc>
          <w:tcPr>
            <w:tcW w:w="374" w:type="pct"/>
            <w:shd w:val="clear" w:color="auto" w:fill="auto"/>
            <w:vAlign w:val="center"/>
          </w:tcPr>
          <w:p>
            <w:pPr>
              <w:pStyle w:val="63"/>
              <w:rPr>
                <w:u w:val="single"/>
              </w:rPr>
            </w:pPr>
            <w:r>
              <w:rPr>
                <w:u w:val="single"/>
              </w:rPr>
              <w:t>381527</w:t>
            </w:r>
          </w:p>
        </w:tc>
        <w:tc>
          <w:tcPr>
            <w:tcW w:w="374" w:type="pct"/>
            <w:vAlign w:val="center"/>
          </w:tcPr>
          <w:p>
            <w:pPr>
              <w:pStyle w:val="63"/>
              <w:rPr>
                <w:u w:val="single"/>
              </w:rPr>
            </w:pPr>
            <w:r>
              <w:rPr>
                <w:u w:val="single"/>
              </w:rPr>
              <w:t>2989820</w:t>
            </w:r>
          </w:p>
        </w:tc>
        <w:tc>
          <w:tcPr>
            <w:tcW w:w="377" w:type="pct"/>
            <w:vAlign w:val="center"/>
          </w:tcPr>
          <w:p>
            <w:pPr>
              <w:pStyle w:val="63"/>
              <w:rPr>
                <w:u w:val="single"/>
              </w:rPr>
            </w:pPr>
            <w:r>
              <w:rPr>
                <w:u w:val="single"/>
              </w:rPr>
              <w:t>997.2</w:t>
            </w:r>
          </w:p>
        </w:tc>
        <w:tc>
          <w:tcPr>
            <w:tcW w:w="500" w:type="pct"/>
            <w:shd w:val="clear" w:color="auto" w:fill="auto"/>
            <w:vAlign w:val="center"/>
          </w:tcPr>
          <w:p>
            <w:pPr>
              <w:pStyle w:val="63"/>
              <w:rPr>
                <w:u w:val="single"/>
              </w:rPr>
            </w:pPr>
            <w:r>
              <w:rPr>
                <w:u w:val="single"/>
              </w:rPr>
              <w:t>2022/9/14 3:00:00</w:t>
            </w:r>
          </w:p>
        </w:tc>
        <w:tc>
          <w:tcPr>
            <w:tcW w:w="500" w:type="pct"/>
            <w:vAlign w:val="center"/>
          </w:tcPr>
          <w:p>
            <w:pPr>
              <w:pStyle w:val="63"/>
              <w:rPr>
                <w:u w:val="single"/>
              </w:rPr>
            </w:pPr>
            <w:r>
              <w:rPr>
                <w:u w:val="single"/>
              </w:rPr>
              <w:t>0.161</w:t>
            </w:r>
          </w:p>
        </w:tc>
        <w:tc>
          <w:tcPr>
            <w:tcW w:w="500" w:type="pct"/>
            <w:vAlign w:val="center"/>
          </w:tcPr>
          <w:p>
            <w:pPr>
              <w:pStyle w:val="63"/>
              <w:rPr>
                <w:u w:val="single"/>
              </w:rPr>
            </w:pPr>
            <w:r>
              <w:rPr>
                <w:u w:val="single"/>
              </w:rPr>
              <w:t>62.14</w:t>
            </w:r>
          </w:p>
        </w:tc>
        <w:tc>
          <w:tcPr>
            <w:tcW w:w="500" w:type="pct"/>
            <w:shd w:val="clear" w:color="auto" w:fill="auto"/>
            <w:vAlign w:val="center"/>
          </w:tcPr>
          <w:p>
            <w:pPr>
              <w:pStyle w:val="63"/>
              <w:rPr>
                <w:u w:val="single"/>
              </w:rPr>
            </w:pPr>
            <w:r>
              <w:rPr>
                <w:u w:val="single"/>
              </w:rPr>
              <w:t>300</w:t>
            </w:r>
          </w:p>
        </w:tc>
        <w:tc>
          <w:tcPr>
            <w:tcW w:w="499" w:type="pct"/>
            <w:shd w:val="clear" w:color="auto" w:fill="auto"/>
            <w:vAlign w:val="center"/>
          </w:tcPr>
          <w:p>
            <w:pPr>
              <w:pStyle w:val="63"/>
              <w:rPr>
                <w:u w:val="single"/>
              </w:rPr>
            </w:pPr>
            <w:r>
              <w:rPr>
                <w:u w:val="single"/>
              </w:rPr>
              <w:t>20.71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60" w:type="pct"/>
            <w:vMerge w:val="continue"/>
            <w:shd w:val="clear" w:color="auto" w:fill="auto"/>
            <w:vAlign w:val="center"/>
          </w:tcPr>
          <w:p>
            <w:pPr>
              <w:pStyle w:val="63"/>
              <w:rPr>
                <w:u w:val="single"/>
              </w:rPr>
            </w:pPr>
          </w:p>
        </w:tc>
        <w:tc>
          <w:tcPr>
            <w:tcW w:w="414" w:type="pct"/>
            <w:shd w:val="clear" w:color="auto" w:fill="auto"/>
            <w:vAlign w:val="center"/>
          </w:tcPr>
          <w:p>
            <w:pPr>
              <w:pStyle w:val="63"/>
              <w:rPr>
                <w:u w:val="single"/>
              </w:rPr>
            </w:pPr>
            <w:r>
              <w:rPr>
                <w:u w:val="single"/>
              </w:rPr>
              <w:t>24h</w:t>
            </w:r>
          </w:p>
        </w:tc>
        <w:tc>
          <w:tcPr>
            <w:tcW w:w="602" w:type="pct"/>
            <w:shd w:val="clear" w:color="auto" w:fill="auto"/>
            <w:vAlign w:val="center"/>
          </w:tcPr>
          <w:p>
            <w:pPr>
              <w:pStyle w:val="63"/>
              <w:rPr>
                <w:u w:val="single"/>
              </w:rPr>
            </w:pPr>
            <w:r>
              <w:rPr>
                <w:u w:val="single"/>
              </w:rPr>
              <w:t>3.19</w:t>
            </w:r>
          </w:p>
        </w:tc>
        <w:tc>
          <w:tcPr>
            <w:tcW w:w="374" w:type="pct"/>
            <w:shd w:val="clear" w:color="auto" w:fill="auto"/>
            <w:vAlign w:val="center"/>
          </w:tcPr>
          <w:p>
            <w:pPr>
              <w:pStyle w:val="63"/>
              <w:rPr>
                <w:u w:val="single"/>
              </w:rPr>
            </w:pPr>
            <w:r>
              <w:rPr>
                <w:u w:val="single"/>
              </w:rPr>
              <w:t>381377</w:t>
            </w:r>
          </w:p>
        </w:tc>
        <w:tc>
          <w:tcPr>
            <w:tcW w:w="374" w:type="pct"/>
            <w:vAlign w:val="center"/>
          </w:tcPr>
          <w:p>
            <w:pPr>
              <w:pStyle w:val="63"/>
              <w:rPr>
                <w:u w:val="single"/>
              </w:rPr>
            </w:pPr>
            <w:r>
              <w:rPr>
                <w:u w:val="single"/>
              </w:rPr>
              <w:t>2989920</w:t>
            </w:r>
          </w:p>
        </w:tc>
        <w:tc>
          <w:tcPr>
            <w:tcW w:w="377" w:type="pct"/>
            <w:vAlign w:val="center"/>
          </w:tcPr>
          <w:p>
            <w:pPr>
              <w:pStyle w:val="63"/>
              <w:rPr>
                <w:u w:val="single"/>
              </w:rPr>
            </w:pPr>
            <w:r>
              <w:rPr>
                <w:u w:val="single"/>
              </w:rPr>
              <w:t>978.6</w:t>
            </w:r>
          </w:p>
        </w:tc>
        <w:tc>
          <w:tcPr>
            <w:tcW w:w="500" w:type="pct"/>
            <w:shd w:val="clear" w:color="auto" w:fill="auto"/>
            <w:vAlign w:val="center"/>
          </w:tcPr>
          <w:p>
            <w:pPr>
              <w:pStyle w:val="63"/>
              <w:rPr>
                <w:u w:val="single"/>
              </w:rPr>
            </w:pPr>
            <w:r>
              <w:rPr>
                <w:u w:val="single"/>
              </w:rPr>
              <w:t>2022-02-27</w:t>
            </w:r>
          </w:p>
        </w:tc>
        <w:tc>
          <w:tcPr>
            <w:tcW w:w="500" w:type="pct"/>
            <w:vAlign w:val="center"/>
          </w:tcPr>
          <w:p>
            <w:pPr>
              <w:pStyle w:val="63"/>
              <w:rPr>
                <w:u w:val="single"/>
              </w:rPr>
            </w:pPr>
            <w:r>
              <w:rPr>
                <w:rFonts w:hint="eastAsia"/>
                <w:u w:val="single"/>
              </w:rPr>
              <w:t>0</w:t>
            </w:r>
          </w:p>
        </w:tc>
        <w:tc>
          <w:tcPr>
            <w:tcW w:w="500" w:type="pct"/>
            <w:vAlign w:val="center"/>
          </w:tcPr>
          <w:p>
            <w:pPr>
              <w:pStyle w:val="63"/>
              <w:rPr>
                <w:u w:val="single"/>
              </w:rPr>
            </w:pPr>
            <w:r>
              <w:rPr>
                <w:u w:val="single"/>
              </w:rPr>
              <w:t>3.19</w:t>
            </w:r>
          </w:p>
        </w:tc>
        <w:tc>
          <w:tcPr>
            <w:tcW w:w="500" w:type="pct"/>
            <w:shd w:val="clear" w:color="auto" w:fill="auto"/>
            <w:vAlign w:val="center"/>
          </w:tcPr>
          <w:p>
            <w:pPr>
              <w:pStyle w:val="63"/>
              <w:rPr>
                <w:u w:val="single"/>
              </w:rPr>
            </w:pPr>
            <w:r>
              <w:rPr>
                <w:u w:val="single"/>
              </w:rPr>
              <w:t>100</w:t>
            </w:r>
          </w:p>
        </w:tc>
        <w:tc>
          <w:tcPr>
            <w:tcW w:w="499" w:type="pct"/>
            <w:shd w:val="clear" w:color="auto" w:fill="auto"/>
            <w:vAlign w:val="center"/>
          </w:tcPr>
          <w:p>
            <w:pPr>
              <w:pStyle w:val="63"/>
              <w:rPr>
                <w:u w:val="single"/>
              </w:rPr>
            </w:pPr>
            <w:r>
              <w:rPr>
                <w:u w:val="single"/>
              </w:rPr>
              <w:t>3.19</w:t>
            </w:r>
          </w:p>
        </w:tc>
      </w:tr>
    </w:tbl>
    <w:p>
      <w:pPr>
        <w:spacing w:line="360" w:lineRule="auto"/>
        <w:ind w:firstLine="480" w:firstLineChars="200"/>
        <w:rPr>
          <w:rFonts w:ascii="Times New Roman" w:hAnsi="Times New Roman" w:cs="Times New Roman"/>
          <w:u w:val="single"/>
        </w:rPr>
        <w:sectPr>
          <w:pgSz w:w="16840" w:h="11907" w:orient="landscape"/>
          <w:pgMar w:top="1797" w:right="1440" w:bottom="1797" w:left="1440" w:header="964" w:footer="851" w:gutter="0"/>
          <w:cols w:space="720" w:num="1"/>
          <w:docGrid w:linePitch="326" w:charSpace="0"/>
        </w:sectPr>
      </w:pPr>
    </w:p>
    <w:p>
      <w:pPr>
        <w:spacing w:line="360" w:lineRule="auto"/>
        <w:rPr>
          <w:rFonts w:ascii="Times New Roman" w:hAnsi="Times New Roman" w:cs="Times New Roman"/>
          <w:u w:val="single"/>
        </w:rPr>
      </w:pPr>
      <w:r>
        <w:rPr>
          <w:rFonts w:ascii="Times New Roman" w:hAnsi="Times New Roman" w:cs="Times New Roman"/>
          <w:u w:val="single"/>
        </w:rPr>
        <w:drawing>
          <wp:inline distT="0" distB="0" distL="0" distR="0">
            <wp:extent cx="5278755" cy="4006850"/>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88"/>
                    <a:stretch>
                      <a:fillRect/>
                    </a:stretch>
                  </pic:blipFill>
                  <pic:spPr>
                    <a:xfrm>
                      <a:off x="0" y="0"/>
                      <a:ext cx="5278755" cy="4007333"/>
                    </a:xfrm>
                    <a:prstGeom prst="rect">
                      <a:avLst/>
                    </a:prstGeom>
                  </pic:spPr>
                </pic:pic>
              </a:graphicData>
            </a:graphic>
          </wp:inline>
        </w:drawing>
      </w:r>
    </w:p>
    <w:p>
      <w:pPr>
        <w:pStyle w:val="6"/>
        <w:rPr>
          <w:rFonts w:ascii="Times New Roman" w:hAnsi="Times New Roman" w:cs="Times New Roman"/>
          <w:u w:val="single"/>
        </w:rPr>
      </w:pPr>
      <w:r>
        <w:rPr>
          <w:rFonts w:ascii="Times New Roman" w:hAnsi="Times New Roman" w:cs="Times New Roman"/>
          <w:u w:val="single"/>
        </w:rPr>
        <w:t>图6.2.1-</w:t>
      </w:r>
      <w:r>
        <w:rPr>
          <w:rFonts w:hint="eastAsia" w:ascii="Times New Roman" w:hAnsi="Times New Roman" w:cs="Times New Roman"/>
          <w:u w:val="single"/>
        </w:rPr>
        <w:t>27</w:t>
      </w:r>
      <w:r>
        <w:rPr>
          <w:rFonts w:ascii="Times New Roman" w:hAnsi="Times New Roman" w:cs="Times New Roman"/>
          <w:u w:val="single"/>
        </w:rPr>
        <w:t xml:space="preserve">  本项目SO</w:t>
      </w:r>
      <w:r>
        <w:rPr>
          <w:rFonts w:ascii="Times New Roman" w:hAnsi="Times New Roman" w:cs="Times New Roman"/>
          <w:u w:val="single"/>
          <w:vertAlign w:val="subscript"/>
        </w:rPr>
        <w:t>2</w:t>
      </w:r>
      <w:r>
        <w:rPr>
          <w:rFonts w:ascii="Times New Roman" w:hAnsi="Times New Roman" w:cs="Times New Roman"/>
          <w:u w:val="single"/>
        </w:rPr>
        <w:t>日均浓度影响（μg/m</w:t>
      </w:r>
      <w:r>
        <w:rPr>
          <w:rFonts w:ascii="Times New Roman" w:hAnsi="Times New Roman" w:cs="Times New Roman"/>
          <w:u w:val="single"/>
          <w:vertAlign w:val="superscript"/>
        </w:rPr>
        <w:t>3</w:t>
      </w:r>
      <w:r>
        <w:rPr>
          <w:rFonts w:ascii="Times New Roman" w:hAnsi="Times New Roman" w:cs="Times New Roman"/>
          <w:u w:val="single"/>
        </w:rPr>
        <w:t>）</w:t>
      </w:r>
    </w:p>
    <w:p>
      <w:pPr>
        <w:rPr>
          <w:rFonts w:ascii="Times New Roman" w:hAnsi="Times New Roman" w:cs="Times New Roman"/>
          <w:u w:val="single"/>
        </w:rPr>
      </w:pPr>
      <w:r>
        <w:rPr>
          <w:rFonts w:ascii="Times New Roman" w:hAnsi="Times New Roman" w:cs="Times New Roman"/>
          <w:u w:val="single"/>
        </w:rPr>
        <w:drawing>
          <wp:inline distT="0" distB="0" distL="0" distR="0">
            <wp:extent cx="5278755" cy="3911600"/>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89"/>
                    <a:stretch>
                      <a:fillRect/>
                    </a:stretch>
                  </pic:blipFill>
                  <pic:spPr>
                    <a:xfrm>
                      <a:off x="0" y="0"/>
                      <a:ext cx="5278755" cy="3912022"/>
                    </a:xfrm>
                    <a:prstGeom prst="rect">
                      <a:avLst/>
                    </a:prstGeom>
                  </pic:spPr>
                </pic:pic>
              </a:graphicData>
            </a:graphic>
          </wp:inline>
        </w:drawing>
      </w:r>
    </w:p>
    <w:p>
      <w:pPr>
        <w:pStyle w:val="6"/>
        <w:rPr>
          <w:rFonts w:ascii="Times New Roman" w:hAnsi="Times New Roman" w:cs="Times New Roman"/>
          <w:u w:val="single"/>
        </w:rPr>
      </w:pPr>
      <w:r>
        <w:rPr>
          <w:rFonts w:ascii="Times New Roman" w:hAnsi="Times New Roman" w:cs="Times New Roman"/>
          <w:u w:val="single"/>
        </w:rPr>
        <w:t>图6.2.1-</w:t>
      </w:r>
      <w:r>
        <w:rPr>
          <w:rFonts w:hint="eastAsia" w:ascii="Times New Roman" w:hAnsi="Times New Roman" w:cs="Times New Roman"/>
          <w:u w:val="single"/>
        </w:rPr>
        <w:t xml:space="preserve">28  </w:t>
      </w:r>
      <w:r>
        <w:rPr>
          <w:rFonts w:ascii="Times New Roman" w:hAnsi="Times New Roman" w:cs="Times New Roman"/>
          <w:u w:val="single"/>
        </w:rPr>
        <w:t>本项目SO</w:t>
      </w:r>
      <w:r>
        <w:rPr>
          <w:rFonts w:ascii="Times New Roman" w:hAnsi="Times New Roman" w:cs="Times New Roman"/>
          <w:u w:val="single"/>
          <w:vertAlign w:val="subscript"/>
        </w:rPr>
        <w:t>2</w:t>
      </w:r>
      <w:r>
        <w:rPr>
          <w:rFonts w:ascii="Times New Roman" w:hAnsi="Times New Roman" w:cs="Times New Roman"/>
          <w:u w:val="single"/>
        </w:rPr>
        <w:t>年平均浓度分布情况（ug/m</w:t>
      </w:r>
      <w:r>
        <w:rPr>
          <w:rFonts w:ascii="Times New Roman" w:hAnsi="Times New Roman" w:cs="Times New Roman"/>
          <w:u w:val="single"/>
          <w:vertAlign w:val="superscript"/>
        </w:rPr>
        <w:t>3</w:t>
      </w:r>
      <w:r>
        <w:rPr>
          <w:rFonts w:ascii="Times New Roman" w:hAnsi="Times New Roman" w:cs="Times New Roman"/>
          <w:u w:val="single"/>
        </w:rPr>
        <w:t>）</w:t>
      </w:r>
    </w:p>
    <w:p>
      <w:pPr>
        <w:rPr>
          <w:rFonts w:ascii="Times New Roman" w:hAnsi="Times New Roman" w:cs="Times New Roman"/>
          <w:u w:val="single"/>
        </w:rPr>
      </w:pPr>
      <w:r>
        <w:rPr>
          <w:rFonts w:ascii="Times New Roman" w:hAnsi="Times New Roman" w:cs="Times New Roman"/>
          <w:u w:val="single"/>
        </w:rPr>
        <w:drawing>
          <wp:inline distT="0" distB="0" distL="0" distR="0">
            <wp:extent cx="5191125" cy="3787140"/>
            <wp:effectExtent l="0" t="0" r="0" b="381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90"/>
                    <a:srcRect r="1625"/>
                    <a:stretch>
                      <a:fillRect/>
                    </a:stretch>
                  </pic:blipFill>
                  <pic:spPr>
                    <a:xfrm>
                      <a:off x="0" y="0"/>
                      <a:ext cx="5192999" cy="3788606"/>
                    </a:xfrm>
                    <a:prstGeom prst="rect">
                      <a:avLst/>
                    </a:prstGeom>
                    <a:ln>
                      <a:noFill/>
                    </a:ln>
                  </pic:spPr>
                </pic:pic>
              </a:graphicData>
            </a:graphic>
          </wp:inline>
        </w:drawing>
      </w:r>
    </w:p>
    <w:p>
      <w:pPr>
        <w:pStyle w:val="6"/>
        <w:rPr>
          <w:rFonts w:ascii="Times New Roman" w:hAnsi="Times New Roman" w:cs="Times New Roman"/>
          <w:u w:val="single"/>
        </w:rPr>
      </w:pPr>
      <w:r>
        <w:rPr>
          <w:rFonts w:ascii="Times New Roman" w:hAnsi="Times New Roman" w:cs="Times New Roman"/>
          <w:u w:val="single"/>
        </w:rPr>
        <w:t>图6.2.1-</w:t>
      </w:r>
      <w:r>
        <w:rPr>
          <w:rFonts w:hint="eastAsia" w:ascii="Times New Roman" w:hAnsi="Times New Roman" w:cs="Times New Roman"/>
          <w:u w:val="single"/>
        </w:rPr>
        <w:t xml:space="preserve">29  </w:t>
      </w:r>
      <w:r>
        <w:rPr>
          <w:rFonts w:ascii="Times New Roman" w:hAnsi="Times New Roman" w:cs="Times New Roman"/>
          <w:u w:val="single"/>
        </w:rPr>
        <w:t>本项目PM</w:t>
      </w:r>
      <w:r>
        <w:rPr>
          <w:rFonts w:ascii="Times New Roman" w:hAnsi="Times New Roman" w:cs="Times New Roman"/>
          <w:u w:val="single"/>
          <w:vertAlign w:val="subscript"/>
        </w:rPr>
        <w:t>10</w:t>
      </w:r>
      <w:r>
        <w:rPr>
          <w:rFonts w:ascii="Times New Roman" w:hAnsi="Times New Roman" w:cs="Times New Roman"/>
          <w:u w:val="single"/>
        </w:rPr>
        <w:t>最大24小时分布情况（ug/m</w:t>
      </w:r>
      <w:r>
        <w:rPr>
          <w:rFonts w:ascii="Times New Roman" w:hAnsi="Times New Roman" w:cs="Times New Roman"/>
          <w:u w:val="single"/>
          <w:vertAlign w:val="superscript"/>
        </w:rPr>
        <w:t>3</w:t>
      </w:r>
      <w:r>
        <w:rPr>
          <w:rFonts w:ascii="Times New Roman" w:hAnsi="Times New Roman" w:cs="Times New Roman"/>
          <w:u w:val="single"/>
        </w:rPr>
        <w:t>）</w:t>
      </w:r>
    </w:p>
    <w:p>
      <w:pPr>
        <w:rPr>
          <w:rFonts w:ascii="Times New Roman" w:hAnsi="Times New Roman" w:cs="Times New Roman"/>
          <w:u w:val="single"/>
        </w:rPr>
      </w:pPr>
      <w:r>
        <w:rPr>
          <w:rFonts w:ascii="Times New Roman" w:hAnsi="Times New Roman" w:cs="Times New Roman"/>
          <w:u w:val="single"/>
        </w:rPr>
        <w:drawing>
          <wp:inline distT="0" distB="0" distL="0" distR="0">
            <wp:extent cx="5278755" cy="3763010"/>
            <wp:effectExtent l="0" t="0" r="0" b="889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91"/>
                    <a:stretch>
                      <a:fillRect/>
                    </a:stretch>
                  </pic:blipFill>
                  <pic:spPr>
                    <a:xfrm>
                      <a:off x="0" y="0"/>
                      <a:ext cx="5278755" cy="3763557"/>
                    </a:xfrm>
                    <a:prstGeom prst="rect">
                      <a:avLst/>
                    </a:prstGeom>
                  </pic:spPr>
                </pic:pic>
              </a:graphicData>
            </a:graphic>
          </wp:inline>
        </w:drawing>
      </w:r>
    </w:p>
    <w:p>
      <w:pPr>
        <w:pStyle w:val="6"/>
        <w:rPr>
          <w:rFonts w:ascii="Times New Roman" w:hAnsi="Times New Roman" w:cs="Times New Roman"/>
          <w:u w:val="single"/>
        </w:rPr>
      </w:pPr>
      <w:r>
        <w:rPr>
          <w:rFonts w:ascii="Times New Roman" w:hAnsi="Times New Roman" w:cs="Times New Roman"/>
          <w:u w:val="single"/>
        </w:rPr>
        <w:t>图6.2.1-</w:t>
      </w:r>
      <w:r>
        <w:rPr>
          <w:rFonts w:hint="eastAsia" w:ascii="Times New Roman" w:hAnsi="Times New Roman" w:cs="Times New Roman"/>
          <w:u w:val="single"/>
        </w:rPr>
        <w:t xml:space="preserve">30  </w:t>
      </w:r>
      <w:r>
        <w:rPr>
          <w:rFonts w:ascii="Times New Roman" w:hAnsi="Times New Roman" w:cs="Times New Roman"/>
          <w:u w:val="single"/>
        </w:rPr>
        <w:t>本项目PM</w:t>
      </w:r>
      <w:r>
        <w:rPr>
          <w:rFonts w:ascii="Times New Roman" w:hAnsi="Times New Roman" w:cs="Times New Roman"/>
          <w:u w:val="single"/>
          <w:vertAlign w:val="subscript"/>
        </w:rPr>
        <w:t>10</w:t>
      </w:r>
      <w:r>
        <w:rPr>
          <w:rFonts w:ascii="Times New Roman" w:hAnsi="Times New Roman" w:cs="Times New Roman"/>
          <w:u w:val="single"/>
        </w:rPr>
        <w:t>最大年平均浓度分布情况（ug/m</w:t>
      </w:r>
      <w:r>
        <w:rPr>
          <w:rFonts w:ascii="Times New Roman" w:hAnsi="Times New Roman" w:cs="Times New Roman"/>
          <w:u w:val="single"/>
          <w:vertAlign w:val="superscript"/>
        </w:rPr>
        <w:t>3</w:t>
      </w:r>
      <w:r>
        <w:rPr>
          <w:rFonts w:ascii="Times New Roman" w:hAnsi="Times New Roman" w:cs="Times New Roman"/>
          <w:u w:val="single"/>
        </w:rPr>
        <w:t>）</w:t>
      </w:r>
    </w:p>
    <w:p>
      <w:pPr>
        <w:spacing w:line="360" w:lineRule="auto"/>
        <w:rPr>
          <w:rFonts w:ascii="Times New Roman" w:hAnsi="Times New Roman" w:cs="Times New Roman"/>
          <w:u w:val="single"/>
        </w:rPr>
      </w:pPr>
      <w:r>
        <w:rPr>
          <w:rFonts w:ascii="Times New Roman" w:hAnsi="Times New Roman" w:cs="Times New Roman"/>
          <w:u w:val="single"/>
        </w:rPr>
        <w:drawing>
          <wp:inline distT="0" distB="0" distL="0" distR="0">
            <wp:extent cx="5278755" cy="3867785"/>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92"/>
                    <a:stretch>
                      <a:fillRect/>
                    </a:stretch>
                  </pic:blipFill>
                  <pic:spPr>
                    <a:xfrm>
                      <a:off x="0" y="0"/>
                      <a:ext cx="5278755" cy="3868032"/>
                    </a:xfrm>
                    <a:prstGeom prst="rect">
                      <a:avLst/>
                    </a:prstGeom>
                  </pic:spPr>
                </pic:pic>
              </a:graphicData>
            </a:graphic>
          </wp:inline>
        </w:drawing>
      </w:r>
    </w:p>
    <w:p>
      <w:pPr>
        <w:pStyle w:val="6"/>
        <w:rPr>
          <w:rFonts w:ascii="Times New Roman" w:hAnsi="Times New Roman" w:cs="Times New Roman"/>
          <w:u w:val="single"/>
        </w:rPr>
      </w:pPr>
      <w:r>
        <w:rPr>
          <w:rFonts w:ascii="Times New Roman" w:hAnsi="Times New Roman" w:cs="Times New Roman"/>
          <w:u w:val="single"/>
        </w:rPr>
        <w:t>图6.2.1-</w:t>
      </w:r>
      <w:r>
        <w:rPr>
          <w:rFonts w:hint="eastAsia" w:ascii="Times New Roman" w:hAnsi="Times New Roman" w:cs="Times New Roman"/>
          <w:u w:val="single"/>
        </w:rPr>
        <w:t xml:space="preserve">31  </w:t>
      </w:r>
      <w:r>
        <w:rPr>
          <w:rFonts w:ascii="Times New Roman" w:hAnsi="Times New Roman" w:cs="Times New Roman"/>
          <w:u w:val="single"/>
        </w:rPr>
        <w:t>本项目NOx最大24h平均浓度分布情况（ug/m</w:t>
      </w:r>
      <w:r>
        <w:rPr>
          <w:rFonts w:ascii="Times New Roman" w:hAnsi="Times New Roman" w:cs="Times New Roman"/>
          <w:u w:val="single"/>
          <w:vertAlign w:val="superscript"/>
        </w:rPr>
        <w:t>3</w:t>
      </w:r>
      <w:r>
        <w:rPr>
          <w:rFonts w:ascii="Times New Roman" w:hAnsi="Times New Roman" w:cs="Times New Roman"/>
          <w:u w:val="single"/>
        </w:rPr>
        <w:t>）</w:t>
      </w:r>
    </w:p>
    <w:p>
      <w:pPr>
        <w:rPr>
          <w:rFonts w:ascii="Times New Roman" w:hAnsi="Times New Roman" w:cs="Times New Roman"/>
          <w:u w:val="single"/>
        </w:rPr>
      </w:pPr>
      <w:r>
        <w:rPr>
          <w:rFonts w:ascii="Times New Roman" w:hAnsi="Times New Roman" w:cs="Times New Roman"/>
          <w:u w:val="single"/>
        </w:rPr>
        <w:drawing>
          <wp:inline distT="0" distB="0" distL="0" distR="0">
            <wp:extent cx="5278755" cy="3767455"/>
            <wp:effectExtent l="0" t="0" r="0" b="444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93"/>
                    <a:stretch>
                      <a:fillRect/>
                    </a:stretch>
                  </pic:blipFill>
                  <pic:spPr>
                    <a:xfrm>
                      <a:off x="0" y="0"/>
                      <a:ext cx="5278755" cy="3767834"/>
                    </a:xfrm>
                    <a:prstGeom prst="rect">
                      <a:avLst/>
                    </a:prstGeom>
                  </pic:spPr>
                </pic:pic>
              </a:graphicData>
            </a:graphic>
          </wp:inline>
        </w:drawing>
      </w:r>
    </w:p>
    <w:p>
      <w:pPr>
        <w:pStyle w:val="6"/>
        <w:rPr>
          <w:rFonts w:ascii="Times New Roman" w:hAnsi="Times New Roman" w:cs="Times New Roman"/>
          <w:sz w:val="21"/>
          <w:u w:val="single"/>
        </w:rPr>
      </w:pPr>
      <w:r>
        <w:rPr>
          <w:rFonts w:ascii="Times New Roman" w:hAnsi="Times New Roman" w:cs="Times New Roman"/>
          <w:u w:val="single"/>
        </w:rPr>
        <w:t>图6.2.1-</w:t>
      </w:r>
      <w:r>
        <w:rPr>
          <w:rFonts w:hint="eastAsia" w:ascii="Times New Roman" w:hAnsi="Times New Roman" w:cs="Times New Roman"/>
          <w:u w:val="single"/>
        </w:rPr>
        <w:t xml:space="preserve">32  </w:t>
      </w:r>
      <w:r>
        <w:rPr>
          <w:rFonts w:ascii="Times New Roman" w:hAnsi="Times New Roman" w:cs="Times New Roman"/>
          <w:u w:val="single"/>
        </w:rPr>
        <w:t>本项目NOx最大年平均浓度分布情况（ug/m</w:t>
      </w:r>
      <w:r>
        <w:rPr>
          <w:rFonts w:ascii="Times New Roman" w:hAnsi="Times New Roman" w:cs="Times New Roman"/>
          <w:u w:val="single"/>
          <w:vertAlign w:val="superscript"/>
        </w:rPr>
        <w:t>3</w:t>
      </w:r>
      <w:r>
        <w:rPr>
          <w:rFonts w:ascii="Times New Roman" w:hAnsi="Times New Roman" w:cs="Times New Roman"/>
          <w:u w:val="single"/>
        </w:rPr>
        <w:t>）</w:t>
      </w:r>
    </w:p>
    <w:p>
      <w:pPr>
        <w:spacing w:line="360" w:lineRule="auto"/>
        <w:rPr>
          <w:rFonts w:ascii="Times New Roman" w:hAnsi="Times New Roman" w:cs="Times New Roman"/>
          <w:u w:val="single"/>
        </w:rPr>
      </w:pPr>
      <w:r>
        <w:rPr>
          <w:rFonts w:ascii="Times New Roman" w:hAnsi="Times New Roman" w:cs="Times New Roman"/>
          <w:u w:val="single"/>
        </w:rPr>
        <w:drawing>
          <wp:inline distT="0" distB="0" distL="0" distR="0">
            <wp:extent cx="5278755" cy="3841750"/>
            <wp:effectExtent l="0" t="0" r="0" b="635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94"/>
                    <a:stretch>
                      <a:fillRect/>
                    </a:stretch>
                  </pic:blipFill>
                  <pic:spPr>
                    <a:xfrm>
                      <a:off x="0" y="0"/>
                      <a:ext cx="5278755" cy="3842372"/>
                    </a:xfrm>
                    <a:prstGeom prst="rect">
                      <a:avLst/>
                    </a:prstGeom>
                  </pic:spPr>
                </pic:pic>
              </a:graphicData>
            </a:graphic>
          </wp:inline>
        </w:drawing>
      </w:r>
    </w:p>
    <w:p>
      <w:pPr>
        <w:pStyle w:val="6"/>
        <w:rPr>
          <w:rFonts w:ascii="Times New Roman" w:hAnsi="Times New Roman" w:cs="Times New Roman"/>
          <w:u w:val="single"/>
        </w:rPr>
      </w:pPr>
      <w:r>
        <w:rPr>
          <w:rFonts w:ascii="Times New Roman" w:hAnsi="Times New Roman" w:cs="Times New Roman"/>
          <w:u w:val="single"/>
        </w:rPr>
        <w:t>图6.2.1-</w:t>
      </w:r>
      <w:r>
        <w:rPr>
          <w:rFonts w:hint="eastAsia" w:ascii="Times New Roman" w:hAnsi="Times New Roman" w:cs="Times New Roman"/>
          <w:u w:val="single"/>
        </w:rPr>
        <w:t xml:space="preserve">33  </w:t>
      </w:r>
      <w:r>
        <w:rPr>
          <w:rFonts w:ascii="Times New Roman" w:hAnsi="Times New Roman" w:cs="Times New Roman"/>
          <w:u w:val="single"/>
        </w:rPr>
        <w:t>本项目非甲烷总烃最大1小时浓度分布情况（ug/m</w:t>
      </w:r>
      <w:r>
        <w:rPr>
          <w:rFonts w:ascii="Times New Roman" w:hAnsi="Times New Roman" w:cs="Times New Roman"/>
          <w:u w:val="single"/>
          <w:vertAlign w:val="superscript"/>
        </w:rPr>
        <w:t>3</w:t>
      </w:r>
      <w:r>
        <w:rPr>
          <w:rFonts w:ascii="Times New Roman" w:hAnsi="Times New Roman" w:cs="Times New Roman"/>
          <w:u w:val="single"/>
        </w:rPr>
        <w:t>）</w:t>
      </w:r>
    </w:p>
    <w:p>
      <w:pPr>
        <w:rPr>
          <w:rFonts w:ascii="Times New Roman" w:hAnsi="Times New Roman" w:cs="Times New Roman"/>
          <w:u w:val="single"/>
        </w:rPr>
      </w:pPr>
      <w:r>
        <w:rPr>
          <w:rFonts w:ascii="Times New Roman" w:hAnsi="Times New Roman" w:cs="Times New Roman"/>
          <w:u w:val="single"/>
        </w:rPr>
        <w:drawing>
          <wp:inline distT="0" distB="0" distL="0" distR="0">
            <wp:extent cx="5278755" cy="3711575"/>
            <wp:effectExtent l="0" t="0" r="0" b="3175"/>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95"/>
                    <a:stretch>
                      <a:fillRect/>
                    </a:stretch>
                  </pic:blipFill>
                  <pic:spPr>
                    <a:xfrm>
                      <a:off x="0" y="0"/>
                      <a:ext cx="5278755" cy="3711625"/>
                    </a:xfrm>
                    <a:prstGeom prst="rect">
                      <a:avLst/>
                    </a:prstGeom>
                  </pic:spPr>
                </pic:pic>
              </a:graphicData>
            </a:graphic>
          </wp:inline>
        </w:drawing>
      </w:r>
    </w:p>
    <w:p>
      <w:pPr>
        <w:pStyle w:val="6"/>
        <w:rPr>
          <w:rFonts w:ascii="Times New Roman" w:hAnsi="Times New Roman" w:cs="Times New Roman"/>
          <w:u w:val="single"/>
        </w:rPr>
      </w:pPr>
      <w:r>
        <w:rPr>
          <w:rFonts w:ascii="Times New Roman" w:hAnsi="Times New Roman" w:cs="Times New Roman"/>
          <w:u w:val="single"/>
        </w:rPr>
        <w:t>图6.2.1-</w:t>
      </w:r>
      <w:r>
        <w:rPr>
          <w:rFonts w:hint="eastAsia" w:ascii="Times New Roman" w:hAnsi="Times New Roman" w:cs="Times New Roman"/>
          <w:u w:val="single"/>
        </w:rPr>
        <w:t xml:space="preserve">34  </w:t>
      </w:r>
      <w:r>
        <w:rPr>
          <w:rFonts w:ascii="Times New Roman" w:hAnsi="Times New Roman" w:cs="Times New Roman"/>
          <w:u w:val="single"/>
        </w:rPr>
        <w:t>本项目氟化物最大1小时平均浓度分布情况（ug/m</w:t>
      </w:r>
      <w:r>
        <w:rPr>
          <w:rFonts w:ascii="Times New Roman" w:hAnsi="Times New Roman" w:cs="Times New Roman"/>
          <w:u w:val="single"/>
          <w:vertAlign w:val="superscript"/>
        </w:rPr>
        <w:t>3</w:t>
      </w:r>
      <w:r>
        <w:rPr>
          <w:rFonts w:ascii="Times New Roman" w:hAnsi="Times New Roman" w:cs="Times New Roman"/>
          <w:u w:val="single"/>
        </w:rPr>
        <w:t>）</w:t>
      </w:r>
    </w:p>
    <w:p>
      <w:pPr>
        <w:rPr>
          <w:rFonts w:ascii="Times New Roman" w:hAnsi="Times New Roman" w:cs="Times New Roman"/>
          <w:u w:val="single"/>
        </w:rPr>
      </w:pPr>
      <w:r>
        <w:rPr>
          <w:rFonts w:ascii="Times New Roman" w:hAnsi="Times New Roman" w:cs="Times New Roman"/>
          <w:u w:val="single"/>
        </w:rPr>
        <w:drawing>
          <wp:inline distT="0" distB="0" distL="0" distR="0">
            <wp:extent cx="5278755" cy="378079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96"/>
                    <a:stretch>
                      <a:fillRect/>
                    </a:stretch>
                  </pic:blipFill>
                  <pic:spPr>
                    <a:xfrm>
                      <a:off x="0" y="0"/>
                      <a:ext cx="5278755" cy="3781275"/>
                    </a:xfrm>
                    <a:prstGeom prst="rect">
                      <a:avLst/>
                    </a:prstGeom>
                  </pic:spPr>
                </pic:pic>
              </a:graphicData>
            </a:graphic>
          </wp:inline>
        </w:drawing>
      </w:r>
    </w:p>
    <w:p>
      <w:pPr>
        <w:pStyle w:val="6"/>
        <w:rPr>
          <w:rFonts w:ascii="Times New Roman" w:hAnsi="Times New Roman" w:cs="Times New Roman"/>
          <w:u w:val="single"/>
        </w:rPr>
      </w:pPr>
      <w:r>
        <w:rPr>
          <w:rFonts w:ascii="Times New Roman" w:hAnsi="Times New Roman" w:cs="Times New Roman"/>
          <w:u w:val="single"/>
        </w:rPr>
        <w:t>图6.2.1-</w:t>
      </w:r>
      <w:r>
        <w:rPr>
          <w:rFonts w:hint="eastAsia" w:ascii="Times New Roman" w:hAnsi="Times New Roman" w:cs="Times New Roman"/>
          <w:u w:val="single"/>
        </w:rPr>
        <w:t xml:space="preserve">35  </w:t>
      </w:r>
      <w:r>
        <w:rPr>
          <w:rFonts w:ascii="Times New Roman" w:hAnsi="Times New Roman" w:cs="Times New Roman"/>
          <w:u w:val="single"/>
        </w:rPr>
        <w:t>本项目氟化物最大24小时平均浓度分布情况（ug/m</w:t>
      </w:r>
      <w:r>
        <w:rPr>
          <w:rFonts w:ascii="Times New Roman" w:hAnsi="Times New Roman" w:cs="Times New Roman"/>
          <w:u w:val="single"/>
          <w:vertAlign w:val="superscript"/>
        </w:rPr>
        <w:t>3</w:t>
      </w:r>
      <w:r>
        <w:rPr>
          <w:rFonts w:ascii="Times New Roman" w:hAnsi="Times New Roman" w:cs="Times New Roman"/>
          <w:u w:val="single"/>
        </w:rPr>
        <w:t>）</w:t>
      </w:r>
    </w:p>
    <w:p>
      <w:pPr>
        <w:rPr>
          <w:rFonts w:ascii="Times New Roman" w:hAnsi="Times New Roman" w:cs="Times New Roman"/>
          <w:u w:val="single"/>
        </w:rPr>
      </w:pPr>
      <w:r>
        <w:rPr>
          <w:rFonts w:ascii="Times New Roman" w:hAnsi="Times New Roman" w:cs="Times New Roman"/>
          <w:u w:val="single"/>
        </w:rPr>
        <w:drawing>
          <wp:inline distT="0" distB="0" distL="0" distR="0">
            <wp:extent cx="5278755" cy="3735705"/>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97"/>
                    <a:stretch>
                      <a:fillRect/>
                    </a:stretch>
                  </pic:blipFill>
                  <pic:spPr>
                    <a:xfrm>
                      <a:off x="0" y="0"/>
                      <a:ext cx="5278755" cy="3736063"/>
                    </a:xfrm>
                    <a:prstGeom prst="rect">
                      <a:avLst/>
                    </a:prstGeom>
                  </pic:spPr>
                </pic:pic>
              </a:graphicData>
            </a:graphic>
          </wp:inline>
        </w:drawing>
      </w:r>
    </w:p>
    <w:p>
      <w:pPr>
        <w:pStyle w:val="6"/>
        <w:rPr>
          <w:rFonts w:ascii="Times New Roman" w:hAnsi="Times New Roman" w:cs="Times New Roman"/>
          <w:u w:val="single"/>
        </w:rPr>
      </w:pPr>
      <w:r>
        <w:rPr>
          <w:rFonts w:ascii="Times New Roman" w:hAnsi="Times New Roman" w:cs="Times New Roman"/>
          <w:u w:val="single"/>
        </w:rPr>
        <w:t>图6.2.1-</w:t>
      </w:r>
      <w:r>
        <w:rPr>
          <w:rFonts w:hint="eastAsia" w:ascii="Times New Roman" w:hAnsi="Times New Roman" w:cs="Times New Roman"/>
          <w:u w:val="single"/>
        </w:rPr>
        <w:t xml:space="preserve">36  </w:t>
      </w:r>
      <w:r>
        <w:rPr>
          <w:rFonts w:ascii="Times New Roman" w:hAnsi="Times New Roman" w:cs="Times New Roman"/>
          <w:u w:val="single"/>
        </w:rPr>
        <w:t>本项目镍及其化合物最大24小时浓度分布情况（ug/m</w:t>
      </w:r>
      <w:r>
        <w:rPr>
          <w:rFonts w:ascii="Times New Roman" w:hAnsi="Times New Roman" w:cs="Times New Roman"/>
          <w:u w:val="single"/>
          <w:vertAlign w:val="superscript"/>
        </w:rPr>
        <w:t>3</w:t>
      </w:r>
      <w:r>
        <w:rPr>
          <w:rFonts w:ascii="Times New Roman" w:hAnsi="Times New Roman" w:cs="Times New Roman"/>
          <w:u w:val="single"/>
        </w:rPr>
        <w:t>）</w:t>
      </w:r>
    </w:p>
    <w:p>
      <w:pPr>
        <w:spacing w:line="360" w:lineRule="auto"/>
        <w:ind w:firstLine="482" w:firstLineChars="200"/>
        <w:rPr>
          <w:rFonts w:ascii="Times New Roman" w:hAnsi="Times New Roman" w:cs="Times New Roman"/>
          <w:b/>
          <w:u w:val="single"/>
        </w:rPr>
      </w:pPr>
      <w:r>
        <w:rPr>
          <w:rFonts w:ascii="Times New Roman" w:hAnsi="Times New Roman" w:cs="Times New Roman"/>
          <w:b/>
          <w:u w:val="single"/>
        </w:rPr>
        <w:t>（二）各敏感点叠加环境空气质量现状浓度后对应保证率的最大影响程度</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因硫酸雾、非甲烷总烃、镍及其化合物、氟化物仅有短期浓度值，因此本部分仅考虑其短期浓度叠加情况。</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a.SO</w:t>
      </w:r>
      <w:r>
        <w:rPr>
          <w:rFonts w:ascii="Times New Roman" w:hAnsi="Times New Roman" w:cs="Times New Roman"/>
          <w:u w:val="single"/>
          <w:vertAlign w:val="subscript"/>
        </w:rPr>
        <w:t>2</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SO2：评价范围内SO</w:t>
      </w:r>
      <w:r>
        <w:rPr>
          <w:rFonts w:ascii="Times New Roman" w:hAnsi="Times New Roman" w:cs="Times New Roman"/>
          <w:u w:val="single"/>
          <w:vertAlign w:val="subscript"/>
        </w:rPr>
        <w:t>2</w:t>
      </w:r>
      <w:r>
        <w:rPr>
          <w:rFonts w:ascii="Times New Roman" w:hAnsi="Times New Roman" w:cs="Times New Roman"/>
          <w:u w:val="single"/>
        </w:rPr>
        <w:t>对关心点预测结果见下表所示。拟建项目SO</w:t>
      </w:r>
      <w:r>
        <w:rPr>
          <w:rFonts w:ascii="Times New Roman" w:hAnsi="Times New Roman" w:cs="Times New Roman"/>
          <w:u w:val="single"/>
          <w:vertAlign w:val="subscript"/>
        </w:rPr>
        <w:t>2</w:t>
      </w:r>
      <w:r>
        <w:rPr>
          <w:rFonts w:ascii="Times New Roman" w:hAnsi="Times New Roman" w:cs="Times New Roman"/>
          <w:u w:val="single"/>
        </w:rPr>
        <w:t>日均浓度98%保证率的叠加预测值和年均浓度预测值对各关心点的影响满足《环境空气质量标准》（GB3095-2012）相应标准要求。</w:t>
      </w:r>
    </w:p>
    <w:p>
      <w:pPr>
        <w:pStyle w:val="6"/>
        <w:rPr>
          <w:rFonts w:ascii="Times New Roman" w:hAnsi="Times New Roman" w:cs="Times New Roman"/>
          <w:u w:val="single"/>
        </w:rPr>
      </w:pPr>
      <w:r>
        <w:rPr>
          <w:rFonts w:ascii="Times New Roman" w:hAnsi="Times New Roman" w:cs="Times New Roman"/>
          <w:u w:val="single"/>
        </w:rPr>
        <w:t>表6.2.1-</w:t>
      </w:r>
      <w:r>
        <w:rPr>
          <w:rFonts w:hint="eastAsia" w:ascii="Times New Roman" w:hAnsi="Times New Roman" w:cs="Times New Roman"/>
          <w:u w:val="single"/>
        </w:rPr>
        <w:t xml:space="preserve">25  </w:t>
      </w:r>
      <w:r>
        <w:rPr>
          <w:rFonts w:ascii="Times New Roman" w:hAnsi="Times New Roman" w:cs="Times New Roman"/>
          <w:u w:val="single"/>
        </w:rPr>
        <w:t>本项目正常排放下各敏感点SO</w:t>
      </w:r>
      <w:r>
        <w:rPr>
          <w:rFonts w:ascii="Times New Roman" w:hAnsi="Times New Roman" w:cs="Times New Roman"/>
          <w:u w:val="single"/>
          <w:vertAlign w:val="subscript"/>
        </w:rPr>
        <w:t>2</w:t>
      </w:r>
      <w:r>
        <w:rPr>
          <w:rFonts w:ascii="Times New Roman" w:hAnsi="Times New Roman" w:cs="Times New Roman"/>
          <w:u w:val="single"/>
        </w:rPr>
        <w:t>日均叠加浓度预测结果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28"/>
        <w:gridCol w:w="865"/>
        <w:gridCol w:w="1559"/>
        <w:gridCol w:w="1276"/>
        <w:gridCol w:w="959"/>
        <w:gridCol w:w="1651"/>
        <w:gridCol w:w="9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szCs w:val="21"/>
                <w:u w:val="single"/>
              </w:rPr>
            </w:pPr>
            <w:r>
              <w:rPr>
                <w:szCs w:val="21"/>
                <w:u w:val="single"/>
              </w:rPr>
              <w:t>敏感点名称</w:t>
            </w:r>
          </w:p>
        </w:tc>
        <w:tc>
          <w:tcPr>
            <w:tcW w:w="507" w:type="pct"/>
            <w:shd w:val="clear" w:color="auto" w:fill="auto"/>
            <w:noWrap/>
            <w:vAlign w:val="center"/>
          </w:tcPr>
          <w:p>
            <w:pPr>
              <w:pStyle w:val="63"/>
              <w:rPr>
                <w:szCs w:val="21"/>
                <w:u w:val="single"/>
              </w:rPr>
            </w:pPr>
            <w:r>
              <w:rPr>
                <w:szCs w:val="21"/>
                <w:u w:val="single"/>
              </w:rPr>
              <w:t>浓度类型</w:t>
            </w:r>
          </w:p>
        </w:tc>
        <w:tc>
          <w:tcPr>
            <w:tcW w:w="914" w:type="pct"/>
            <w:shd w:val="clear" w:color="auto" w:fill="auto"/>
            <w:noWrap/>
            <w:vAlign w:val="center"/>
          </w:tcPr>
          <w:p>
            <w:pPr>
              <w:pStyle w:val="63"/>
              <w:rPr>
                <w:szCs w:val="21"/>
                <w:u w:val="single"/>
              </w:rPr>
            </w:pPr>
            <w:r>
              <w:rPr>
                <w:rFonts w:eastAsia="宋体"/>
                <w:szCs w:val="21"/>
                <w:u w:val="single"/>
              </w:rPr>
              <w:t>本项目+区域污染源ug/m</w:t>
            </w:r>
            <w:r>
              <w:rPr>
                <w:rFonts w:eastAsia="宋体"/>
                <w:szCs w:val="21"/>
                <w:u w:val="single"/>
                <w:vertAlign w:val="superscript"/>
              </w:rPr>
              <w:t>3</w:t>
            </w:r>
          </w:p>
        </w:tc>
        <w:tc>
          <w:tcPr>
            <w:tcW w:w="748" w:type="pct"/>
            <w:vAlign w:val="center"/>
          </w:tcPr>
          <w:p>
            <w:pPr>
              <w:pStyle w:val="63"/>
              <w:rPr>
                <w:szCs w:val="21"/>
                <w:u w:val="single"/>
              </w:rPr>
            </w:pPr>
            <w:r>
              <w:rPr>
                <w:szCs w:val="21"/>
                <w:u w:val="single"/>
              </w:rPr>
              <w:t>背景值(μg/m</w:t>
            </w:r>
            <w:r>
              <w:rPr>
                <w:szCs w:val="21"/>
                <w:u w:val="single"/>
                <w:vertAlign w:val="superscript"/>
              </w:rPr>
              <w:t>3</w:t>
            </w:r>
            <w:r>
              <w:rPr>
                <w:szCs w:val="21"/>
                <w:u w:val="single"/>
              </w:rPr>
              <w:t>)</w:t>
            </w:r>
          </w:p>
        </w:tc>
        <w:tc>
          <w:tcPr>
            <w:tcW w:w="562" w:type="pct"/>
            <w:vAlign w:val="center"/>
          </w:tcPr>
          <w:p>
            <w:pPr>
              <w:pStyle w:val="63"/>
              <w:rPr>
                <w:rFonts w:eastAsia="宋体"/>
                <w:szCs w:val="21"/>
                <w:u w:val="single"/>
              </w:rPr>
            </w:pPr>
            <w:r>
              <w:rPr>
                <w:rFonts w:eastAsia="宋体"/>
                <w:szCs w:val="21"/>
                <w:u w:val="single"/>
              </w:rPr>
              <w:t>叠加后</w:t>
            </w:r>
          </w:p>
          <w:p>
            <w:pPr>
              <w:pStyle w:val="63"/>
              <w:rPr>
                <w:rFonts w:eastAsia="宋体"/>
                <w:szCs w:val="21"/>
                <w:u w:val="single"/>
              </w:rPr>
            </w:pPr>
            <w:r>
              <w:rPr>
                <w:rFonts w:eastAsia="宋体"/>
                <w:szCs w:val="21"/>
                <w:u w:val="single"/>
              </w:rPr>
              <w:t>ug/m</w:t>
            </w:r>
            <w:r>
              <w:rPr>
                <w:rFonts w:eastAsia="宋体"/>
                <w:szCs w:val="21"/>
                <w:u w:val="single"/>
                <w:vertAlign w:val="superscript"/>
              </w:rPr>
              <w:t>3</w:t>
            </w:r>
          </w:p>
        </w:tc>
        <w:tc>
          <w:tcPr>
            <w:tcW w:w="968" w:type="pct"/>
            <w:shd w:val="clear" w:color="auto" w:fill="auto"/>
            <w:noWrap/>
            <w:vAlign w:val="center"/>
          </w:tcPr>
          <w:p>
            <w:pPr>
              <w:pStyle w:val="63"/>
              <w:rPr>
                <w:szCs w:val="21"/>
                <w:u w:val="single"/>
              </w:rPr>
            </w:pPr>
            <w:r>
              <w:rPr>
                <w:szCs w:val="21"/>
                <w:u w:val="single"/>
              </w:rPr>
              <w:t>评价标准(μg/m</w:t>
            </w:r>
            <w:r>
              <w:rPr>
                <w:szCs w:val="21"/>
                <w:u w:val="single"/>
                <w:vertAlign w:val="superscript"/>
              </w:rPr>
              <w:t>3</w:t>
            </w:r>
            <w:r>
              <w:rPr>
                <w:szCs w:val="21"/>
                <w:u w:val="single"/>
              </w:rPr>
              <w:t>)</w:t>
            </w:r>
          </w:p>
        </w:tc>
        <w:tc>
          <w:tcPr>
            <w:tcW w:w="581" w:type="pct"/>
            <w:shd w:val="clear" w:color="auto" w:fill="auto"/>
            <w:noWrap/>
            <w:vAlign w:val="center"/>
          </w:tcPr>
          <w:p>
            <w:pPr>
              <w:pStyle w:val="63"/>
              <w:rPr>
                <w:szCs w:val="21"/>
                <w:u w:val="single"/>
              </w:rPr>
            </w:pPr>
            <w:r>
              <w:rPr>
                <w:szCs w:val="21"/>
                <w:u w:val="single"/>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浦泉村</w:t>
            </w:r>
          </w:p>
        </w:tc>
        <w:tc>
          <w:tcPr>
            <w:tcW w:w="507" w:type="pct"/>
            <w:vMerge w:val="restart"/>
            <w:shd w:val="clear" w:color="auto" w:fill="auto"/>
            <w:noWrap/>
            <w:vAlign w:val="center"/>
          </w:tcPr>
          <w:p>
            <w:pPr>
              <w:pStyle w:val="63"/>
              <w:rPr>
                <w:rFonts w:eastAsia="宋体"/>
                <w:szCs w:val="21"/>
                <w:u w:val="single"/>
              </w:rPr>
            </w:pPr>
            <w:r>
              <w:rPr>
                <w:rFonts w:eastAsia="宋体"/>
                <w:szCs w:val="21"/>
                <w:u w:val="single"/>
              </w:rPr>
              <w:t>日平均</w:t>
            </w:r>
          </w:p>
          <w:p>
            <w:pPr>
              <w:pStyle w:val="63"/>
              <w:rPr>
                <w:rFonts w:eastAsia="宋体"/>
                <w:szCs w:val="21"/>
                <w:u w:val="single"/>
              </w:rPr>
            </w:pPr>
            <w:r>
              <w:rPr>
                <w:rFonts w:eastAsia="宋体"/>
                <w:szCs w:val="21"/>
                <w:u w:val="single"/>
              </w:rPr>
              <w:t>（98%</w:t>
            </w:r>
          </w:p>
          <w:p>
            <w:pPr>
              <w:pStyle w:val="63"/>
              <w:rPr>
                <w:szCs w:val="21"/>
                <w:u w:val="single"/>
              </w:rPr>
            </w:pPr>
            <w:r>
              <w:rPr>
                <w:rFonts w:eastAsia="宋体"/>
                <w:szCs w:val="21"/>
                <w:u w:val="single"/>
              </w:rPr>
              <w:t>保证率</w:t>
            </w:r>
          </w:p>
        </w:tc>
        <w:tc>
          <w:tcPr>
            <w:tcW w:w="914" w:type="pct"/>
            <w:shd w:val="clear" w:color="auto" w:fill="auto"/>
            <w:noWrap/>
            <w:vAlign w:val="center"/>
          </w:tcPr>
          <w:p>
            <w:pPr>
              <w:pStyle w:val="63"/>
              <w:rPr>
                <w:rFonts w:eastAsia="宋体"/>
                <w:color w:val="000000"/>
                <w:szCs w:val="21"/>
                <w:u w:val="single"/>
              </w:rPr>
            </w:pPr>
            <w:r>
              <w:rPr>
                <w:color w:val="000000"/>
                <w:szCs w:val="21"/>
                <w:u w:val="single"/>
              </w:rPr>
              <w:t>0.016</w:t>
            </w:r>
          </w:p>
        </w:tc>
        <w:tc>
          <w:tcPr>
            <w:tcW w:w="748" w:type="pct"/>
            <w:vMerge w:val="restart"/>
            <w:vAlign w:val="center"/>
          </w:tcPr>
          <w:p>
            <w:pPr>
              <w:pStyle w:val="63"/>
              <w:rPr>
                <w:szCs w:val="21"/>
                <w:u w:val="single"/>
              </w:rPr>
            </w:pPr>
            <w:r>
              <w:rPr>
                <w:szCs w:val="21"/>
                <w:u w:val="single"/>
              </w:rPr>
              <w:t>24</w:t>
            </w:r>
          </w:p>
        </w:tc>
        <w:tc>
          <w:tcPr>
            <w:tcW w:w="562" w:type="pct"/>
            <w:vAlign w:val="center"/>
          </w:tcPr>
          <w:p>
            <w:pPr>
              <w:pStyle w:val="63"/>
              <w:rPr>
                <w:rFonts w:eastAsia="宋体"/>
                <w:color w:val="000000"/>
                <w:szCs w:val="21"/>
                <w:u w:val="single"/>
              </w:rPr>
            </w:pPr>
            <w:r>
              <w:rPr>
                <w:color w:val="000000"/>
                <w:szCs w:val="21"/>
                <w:u w:val="single"/>
              </w:rPr>
              <w:t>24.02</w:t>
            </w:r>
          </w:p>
        </w:tc>
        <w:tc>
          <w:tcPr>
            <w:tcW w:w="968" w:type="pct"/>
            <w:shd w:val="clear" w:color="auto" w:fill="auto"/>
            <w:noWrap/>
            <w:vAlign w:val="center"/>
          </w:tcPr>
          <w:p>
            <w:pPr>
              <w:pStyle w:val="63"/>
              <w:rPr>
                <w:szCs w:val="21"/>
                <w:u w:val="single"/>
              </w:rPr>
            </w:pPr>
            <w:r>
              <w:rPr>
                <w:rFonts w:eastAsia="宋体"/>
                <w:szCs w:val="21"/>
                <w:u w:val="single"/>
              </w:rPr>
              <w:t>150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三才村</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0.001</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24.00</w:t>
            </w:r>
          </w:p>
        </w:tc>
        <w:tc>
          <w:tcPr>
            <w:tcW w:w="968" w:type="pct"/>
            <w:shd w:val="clear" w:color="auto" w:fill="auto"/>
            <w:noWrap/>
            <w:vAlign w:val="center"/>
          </w:tcPr>
          <w:p>
            <w:pPr>
              <w:pStyle w:val="63"/>
              <w:rPr>
                <w:szCs w:val="21"/>
                <w:u w:val="single"/>
              </w:rPr>
            </w:pPr>
            <w:r>
              <w:rPr>
                <w:rFonts w:eastAsia="宋体"/>
                <w:szCs w:val="21"/>
                <w:u w:val="single"/>
              </w:rPr>
              <w:t>150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新石桥村</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0.001</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24.00</w:t>
            </w:r>
          </w:p>
        </w:tc>
        <w:tc>
          <w:tcPr>
            <w:tcW w:w="968" w:type="pct"/>
            <w:shd w:val="clear" w:color="auto" w:fill="auto"/>
            <w:noWrap/>
            <w:vAlign w:val="center"/>
          </w:tcPr>
          <w:p>
            <w:pPr>
              <w:pStyle w:val="63"/>
              <w:rPr>
                <w:szCs w:val="21"/>
                <w:u w:val="single"/>
              </w:rPr>
            </w:pPr>
            <w:r>
              <w:rPr>
                <w:rFonts w:eastAsia="宋体"/>
                <w:szCs w:val="21"/>
                <w:u w:val="single"/>
              </w:rPr>
              <w:t>150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大浦镇</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0.007</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24.01</w:t>
            </w:r>
          </w:p>
        </w:tc>
        <w:tc>
          <w:tcPr>
            <w:tcW w:w="968" w:type="pct"/>
            <w:shd w:val="clear" w:color="auto" w:fill="auto"/>
            <w:noWrap/>
            <w:vAlign w:val="center"/>
          </w:tcPr>
          <w:p>
            <w:pPr>
              <w:pStyle w:val="63"/>
              <w:rPr>
                <w:szCs w:val="21"/>
                <w:u w:val="single"/>
              </w:rPr>
            </w:pPr>
            <w:r>
              <w:rPr>
                <w:rFonts w:eastAsia="宋体"/>
                <w:szCs w:val="21"/>
                <w:u w:val="single"/>
              </w:rPr>
              <w:t>150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炉铺村</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0.002</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24.00</w:t>
            </w:r>
          </w:p>
        </w:tc>
        <w:tc>
          <w:tcPr>
            <w:tcW w:w="968" w:type="pct"/>
            <w:shd w:val="clear" w:color="auto" w:fill="auto"/>
            <w:noWrap/>
            <w:vAlign w:val="center"/>
          </w:tcPr>
          <w:p>
            <w:pPr>
              <w:pStyle w:val="63"/>
              <w:rPr>
                <w:szCs w:val="21"/>
                <w:u w:val="single"/>
              </w:rPr>
            </w:pPr>
            <w:r>
              <w:rPr>
                <w:rFonts w:eastAsia="宋体"/>
                <w:szCs w:val="21"/>
                <w:u w:val="single"/>
              </w:rPr>
              <w:t>150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堰桥村</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0.000</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24.00</w:t>
            </w:r>
          </w:p>
        </w:tc>
        <w:tc>
          <w:tcPr>
            <w:tcW w:w="968" w:type="pct"/>
            <w:shd w:val="clear" w:color="auto" w:fill="auto"/>
            <w:noWrap/>
            <w:vAlign w:val="center"/>
          </w:tcPr>
          <w:p>
            <w:pPr>
              <w:pStyle w:val="63"/>
              <w:rPr>
                <w:szCs w:val="21"/>
                <w:u w:val="single"/>
              </w:rPr>
            </w:pPr>
            <w:r>
              <w:rPr>
                <w:rFonts w:eastAsia="宋体"/>
                <w:szCs w:val="21"/>
                <w:u w:val="single"/>
              </w:rPr>
              <w:t>150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安置区</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0.001</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24.00</w:t>
            </w:r>
          </w:p>
        </w:tc>
        <w:tc>
          <w:tcPr>
            <w:tcW w:w="968" w:type="pct"/>
            <w:shd w:val="clear" w:color="auto" w:fill="auto"/>
            <w:noWrap/>
            <w:vAlign w:val="center"/>
          </w:tcPr>
          <w:p>
            <w:pPr>
              <w:pStyle w:val="63"/>
              <w:rPr>
                <w:szCs w:val="21"/>
                <w:u w:val="single"/>
              </w:rPr>
            </w:pPr>
            <w:r>
              <w:rPr>
                <w:rFonts w:eastAsia="宋体"/>
                <w:szCs w:val="21"/>
                <w:u w:val="single"/>
              </w:rPr>
              <w:t>150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爱国医院</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0.001</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24.00</w:t>
            </w:r>
          </w:p>
        </w:tc>
        <w:tc>
          <w:tcPr>
            <w:tcW w:w="968" w:type="pct"/>
            <w:shd w:val="clear" w:color="auto" w:fill="auto"/>
            <w:noWrap/>
            <w:vAlign w:val="center"/>
          </w:tcPr>
          <w:p>
            <w:pPr>
              <w:pStyle w:val="63"/>
              <w:rPr>
                <w:szCs w:val="21"/>
                <w:u w:val="single"/>
              </w:rPr>
            </w:pPr>
            <w:r>
              <w:rPr>
                <w:rFonts w:eastAsia="宋体"/>
                <w:szCs w:val="21"/>
                <w:u w:val="single"/>
              </w:rPr>
              <w:t>150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罗家老屋</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0.000</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24.00</w:t>
            </w:r>
          </w:p>
        </w:tc>
        <w:tc>
          <w:tcPr>
            <w:tcW w:w="968" w:type="pct"/>
            <w:shd w:val="clear" w:color="auto" w:fill="auto"/>
            <w:noWrap/>
            <w:vAlign w:val="center"/>
          </w:tcPr>
          <w:p>
            <w:pPr>
              <w:pStyle w:val="63"/>
              <w:rPr>
                <w:szCs w:val="21"/>
                <w:u w:val="single"/>
              </w:rPr>
            </w:pPr>
            <w:r>
              <w:rPr>
                <w:rFonts w:eastAsia="宋体"/>
                <w:szCs w:val="21"/>
                <w:u w:val="single"/>
              </w:rPr>
              <w:t>150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北头村</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0.002</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24.00</w:t>
            </w:r>
          </w:p>
        </w:tc>
        <w:tc>
          <w:tcPr>
            <w:tcW w:w="968" w:type="pct"/>
            <w:shd w:val="clear" w:color="auto" w:fill="auto"/>
            <w:noWrap/>
            <w:vAlign w:val="center"/>
          </w:tcPr>
          <w:p>
            <w:pPr>
              <w:pStyle w:val="63"/>
              <w:rPr>
                <w:szCs w:val="21"/>
                <w:u w:val="single"/>
              </w:rPr>
            </w:pPr>
            <w:r>
              <w:rPr>
                <w:rFonts w:eastAsia="宋体"/>
                <w:szCs w:val="21"/>
                <w:u w:val="single"/>
              </w:rPr>
              <w:t>150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龙家冲</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0.000</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24.00</w:t>
            </w:r>
          </w:p>
        </w:tc>
        <w:tc>
          <w:tcPr>
            <w:tcW w:w="968" w:type="pct"/>
            <w:shd w:val="clear" w:color="auto" w:fill="auto"/>
            <w:noWrap/>
            <w:vAlign w:val="center"/>
          </w:tcPr>
          <w:p>
            <w:pPr>
              <w:pStyle w:val="63"/>
              <w:rPr>
                <w:szCs w:val="21"/>
                <w:u w:val="single"/>
              </w:rPr>
            </w:pPr>
            <w:r>
              <w:rPr>
                <w:rFonts w:eastAsia="宋体"/>
                <w:szCs w:val="21"/>
                <w:u w:val="single"/>
              </w:rPr>
              <w:t>150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平田村</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0.000</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24.00</w:t>
            </w:r>
          </w:p>
        </w:tc>
        <w:tc>
          <w:tcPr>
            <w:tcW w:w="968" w:type="pct"/>
            <w:shd w:val="clear" w:color="auto" w:fill="auto"/>
            <w:noWrap/>
            <w:vAlign w:val="center"/>
          </w:tcPr>
          <w:p>
            <w:pPr>
              <w:pStyle w:val="63"/>
              <w:rPr>
                <w:szCs w:val="21"/>
                <w:u w:val="single"/>
              </w:rPr>
            </w:pPr>
            <w:r>
              <w:rPr>
                <w:rFonts w:eastAsia="宋体"/>
                <w:szCs w:val="21"/>
                <w:u w:val="single"/>
              </w:rPr>
              <w:t>150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彭家屋场</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0.004</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24.00</w:t>
            </w:r>
          </w:p>
        </w:tc>
        <w:tc>
          <w:tcPr>
            <w:tcW w:w="968" w:type="pct"/>
            <w:shd w:val="clear" w:color="auto" w:fill="auto"/>
            <w:noWrap/>
            <w:vAlign w:val="center"/>
          </w:tcPr>
          <w:p>
            <w:pPr>
              <w:pStyle w:val="63"/>
              <w:rPr>
                <w:szCs w:val="21"/>
                <w:u w:val="single"/>
              </w:rPr>
            </w:pPr>
            <w:r>
              <w:rPr>
                <w:rFonts w:eastAsia="宋体"/>
                <w:szCs w:val="21"/>
                <w:u w:val="single"/>
              </w:rPr>
              <w:t>150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16.00</w:t>
            </w:r>
          </w:p>
        </w:tc>
      </w:tr>
    </w:tbl>
    <w:p>
      <w:pPr>
        <w:pStyle w:val="6"/>
        <w:rPr>
          <w:rFonts w:ascii="Times New Roman" w:hAnsi="Times New Roman" w:cs="Times New Roman"/>
          <w:u w:val="single"/>
        </w:rPr>
      </w:pPr>
      <w:r>
        <w:rPr>
          <w:rFonts w:ascii="Times New Roman" w:hAnsi="Times New Roman" w:cs="Times New Roman"/>
          <w:u w:val="single"/>
        </w:rPr>
        <w:t>表6.2.1-</w:t>
      </w:r>
      <w:r>
        <w:rPr>
          <w:rFonts w:hint="eastAsia" w:ascii="Times New Roman" w:hAnsi="Times New Roman" w:cs="Times New Roman"/>
          <w:u w:val="single"/>
        </w:rPr>
        <w:t xml:space="preserve">26  </w:t>
      </w:r>
      <w:r>
        <w:rPr>
          <w:rFonts w:ascii="Times New Roman" w:hAnsi="Times New Roman" w:cs="Times New Roman"/>
          <w:u w:val="single"/>
        </w:rPr>
        <w:t>本项目正常排放下各敏感点SO</w:t>
      </w:r>
      <w:r>
        <w:rPr>
          <w:rFonts w:ascii="Times New Roman" w:hAnsi="Times New Roman" w:cs="Times New Roman"/>
          <w:u w:val="single"/>
          <w:vertAlign w:val="subscript"/>
        </w:rPr>
        <w:t>2</w:t>
      </w:r>
      <w:r>
        <w:rPr>
          <w:rFonts w:ascii="Times New Roman" w:hAnsi="Times New Roman" w:cs="Times New Roman"/>
          <w:u w:val="single"/>
        </w:rPr>
        <w:t>年平均叠加浓度预测结果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28"/>
        <w:gridCol w:w="865"/>
        <w:gridCol w:w="1559"/>
        <w:gridCol w:w="1276"/>
        <w:gridCol w:w="959"/>
        <w:gridCol w:w="1651"/>
        <w:gridCol w:w="9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szCs w:val="21"/>
                <w:u w:val="single"/>
              </w:rPr>
            </w:pPr>
            <w:r>
              <w:rPr>
                <w:szCs w:val="21"/>
                <w:u w:val="single"/>
              </w:rPr>
              <w:t>敏感点名称</w:t>
            </w:r>
          </w:p>
        </w:tc>
        <w:tc>
          <w:tcPr>
            <w:tcW w:w="507" w:type="pct"/>
            <w:shd w:val="clear" w:color="auto" w:fill="auto"/>
            <w:noWrap/>
            <w:vAlign w:val="center"/>
          </w:tcPr>
          <w:p>
            <w:pPr>
              <w:pStyle w:val="63"/>
              <w:rPr>
                <w:szCs w:val="21"/>
                <w:u w:val="single"/>
              </w:rPr>
            </w:pPr>
            <w:r>
              <w:rPr>
                <w:szCs w:val="21"/>
                <w:u w:val="single"/>
              </w:rPr>
              <w:t>浓度类型</w:t>
            </w:r>
          </w:p>
        </w:tc>
        <w:tc>
          <w:tcPr>
            <w:tcW w:w="914" w:type="pct"/>
            <w:shd w:val="clear" w:color="auto" w:fill="auto"/>
            <w:noWrap/>
            <w:vAlign w:val="center"/>
          </w:tcPr>
          <w:p>
            <w:pPr>
              <w:pStyle w:val="63"/>
              <w:rPr>
                <w:szCs w:val="21"/>
                <w:u w:val="single"/>
              </w:rPr>
            </w:pPr>
            <w:r>
              <w:rPr>
                <w:rFonts w:eastAsia="宋体"/>
                <w:szCs w:val="21"/>
                <w:u w:val="single"/>
              </w:rPr>
              <w:t>本项目+区域污染源ug/m</w:t>
            </w:r>
            <w:r>
              <w:rPr>
                <w:rFonts w:eastAsia="宋体"/>
                <w:szCs w:val="21"/>
                <w:u w:val="single"/>
                <w:vertAlign w:val="superscript"/>
              </w:rPr>
              <w:t>3</w:t>
            </w:r>
          </w:p>
        </w:tc>
        <w:tc>
          <w:tcPr>
            <w:tcW w:w="748" w:type="pct"/>
            <w:vAlign w:val="center"/>
          </w:tcPr>
          <w:p>
            <w:pPr>
              <w:pStyle w:val="63"/>
              <w:rPr>
                <w:szCs w:val="21"/>
                <w:u w:val="single"/>
              </w:rPr>
            </w:pPr>
            <w:r>
              <w:rPr>
                <w:szCs w:val="21"/>
                <w:u w:val="single"/>
              </w:rPr>
              <w:t>背景值(μg/m</w:t>
            </w:r>
            <w:r>
              <w:rPr>
                <w:szCs w:val="21"/>
                <w:u w:val="single"/>
                <w:vertAlign w:val="superscript"/>
              </w:rPr>
              <w:t>3</w:t>
            </w:r>
            <w:r>
              <w:rPr>
                <w:szCs w:val="21"/>
                <w:u w:val="single"/>
              </w:rPr>
              <w:t>)</w:t>
            </w:r>
          </w:p>
        </w:tc>
        <w:tc>
          <w:tcPr>
            <w:tcW w:w="562" w:type="pct"/>
            <w:vAlign w:val="center"/>
          </w:tcPr>
          <w:p>
            <w:pPr>
              <w:pStyle w:val="63"/>
              <w:rPr>
                <w:rFonts w:eastAsia="宋体"/>
                <w:szCs w:val="21"/>
                <w:u w:val="single"/>
              </w:rPr>
            </w:pPr>
            <w:r>
              <w:rPr>
                <w:rFonts w:eastAsia="宋体"/>
                <w:szCs w:val="21"/>
                <w:u w:val="single"/>
              </w:rPr>
              <w:t>叠加后</w:t>
            </w:r>
          </w:p>
          <w:p>
            <w:pPr>
              <w:pStyle w:val="63"/>
              <w:rPr>
                <w:rFonts w:eastAsia="宋体"/>
                <w:szCs w:val="21"/>
                <w:u w:val="single"/>
              </w:rPr>
            </w:pPr>
            <w:r>
              <w:rPr>
                <w:rFonts w:eastAsia="宋体"/>
                <w:szCs w:val="21"/>
                <w:u w:val="single"/>
              </w:rPr>
              <w:t>ug/m</w:t>
            </w:r>
            <w:r>
              <w:rPr>
                <w:rFonts w:eastAsia="宋体"/>
                <w:szCs w:val="21"/>
                <w:u w:val="single"/>
                <w:vertAlign w:val="superscript"/>
              </w:rPr>
              <w:t>3</w:t>
            </w:r>
          </w:p>
        </w:tc>
        <w:tc>
          <w:tcPr>
            <w:tcW w:w="968" w:type="pct"/>
            <w:shd w:val="clear" w:color="auto" w:fill="auto"/>
            <w:noWrap/>
            <w:vAlign w:val="center"/>
          </w:tcPr>
          <w:p>
            <w:pPr>
              <w:pStyle w:val="63"/>
              <w:rPr>
                <w:szCs w:val="21"/>
                <w:u w:val="single"/>
              </w:rPr>
            </w:pPr>
            <w:r>
              <w:rPr>
                <w:szCs w:val="21"/>
                <w:u w:val="single"/>
              </w:rPr>
              <w:t>评价标准(μg/m</w:t>
            </w:r>
            <w:r>
              <w:rPr>
                <w:szCs w:val="21"/>
                <w:u w:val="single"/>
                <w:vertAlign w:val="superscript"/>
              </w:rPr>
              <w:t>3</w:t>
            </w:r>
            <w:r>
              <w:rPr>
                <w:szCs w:val="21"/>
                <w:u w:val="single"/>
              </w:rPr>
              <w:t>)</w:t>
            </w:r>
          </w:p>
        </w:tc>
        <w:tc>
          <w:tcPr>
            <w:tcW w:w="581" w:type="pct"/>
            <w:shd w:val="clear" w:color="auto" w:fill="auto"/>
            <w:noWrap/>
            <w:vAlign w:val="center"/>
          </w:tcPr>
          <w:p>
            <w:pPr>
              <w:pStyle w:val="63"/>
              <w:rPr>
                <w:szCs w:val="21"/>
                <w:u w:val="single"/>
              </w:rPr>
            </w:pPr>
            <w:r>
              <w:rPr>
                <w:szCs w:val="21"/>
                <w:u w:val="single"/>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浦泉村</w:t>
            </w:r>
          </w:p>
        </w:tc>
        <w:tc>
          <w:tcPr>
            <w:tcW w:w="507" w:type="pct"/>
            <w:vMerge w:val="restart"/>
            <w:shd w:val="clear" w:color="auto" w:fill="auto"/>
            <w:noWrap/>
            <w:vAlign w:val="center"/>
          </w:tcPr>
          <w:p>
            <w:pPr>
              <w:pStyle w:val="63"/>
              <w:rPr>
                <w:rFonts w:eastAsia="宋体"/>
                <w:szCs w:val="21"/>
                <w:u w:val="single"/>
              </w:rPr>
            </w:pPr>
            <w:r>
              <w:rPr>
                <w:rFonts w:eastAsia="宋体"/>
                <w:szCs w:val="21"/>
                <w:u w:val="single"/>
              </w:rPr>
              <w:t>年平均</w:t>
            </w:r>
          </w:p>
        </w:tc>
        <w:tc>
          <w:tcPr>
            <w:tcW w:w="914" w:type="pct"/>
            <w:shd w:val="clear" w:color="auto" w:fill="auto"/>
            <w:noWrap/>
            <w:vAlign w:val="center"/>
          </w:tcPr>
          <w:p>
            <w:pPr>
              <w:pStyle w:val="63"/>
              <w:rPr>
                <w:rFonts w:eastAsia="宋体"/>
                <w:color w:val="000000"/>
                <w:szCs w:val="21"/>
                <w:u w:val="single"/>
              </w:rPr>
            </w:pPr>
            <w:r>
              <w:rPr>
                <w:color w:val="000000"/>
                <w:szCs w:val="21"/>
                <w:u w:val="single"/>
              </w:rPr>
              <w:t>0.0040</w:t>
            </w:r>
          </w:p>
        </w:tc>
        <w:tc>
          <w:tcPr>
            <w:tcW w:w="748" w:type="pct"/>
            <w:vMerge w:val="restart"/>
            <w:vAlign w:val="center"/>
          </w:tcPr>
          <w:p>
            <w:pPr>
              <w:pStyle w:val="63"/>
              <w:rPr>
                <w:szCs w:val="21"/>
                <w:u w:val="single"/>
              </w:rPr>
            </w:pPr>
            <w:r>
              <w:rPr>
                <w:szCs w:val="21"/>
                <w:u w:val="single"/>
              </w:rPr>
              <w:t>10</w:t>
            </w:r>
          </w:p>
        </w:tc>
        <w:tc>
          <w:tcPr>
            <w:tcW w:w="562" w:type="pct"/>
            <w:vAlign w:val="center"/>
          </w:tcPr>
          <w:p>
            <w:pPr>
              <w:pStyle w:val="63"/>
              <w:rPr>
                <w:rFonts w:eastAsia="宋体"/>
                <w:color w:val="000000"/>
                <w:szCs w:val="21"/>
                <w:u w:val="single"/>
              </w:rPr>
            </w:pPr>
            <w:r>
              <w:rPr>
                <w:color w:val="000000"/>
                <w:szCs w:val="21"/>
                <w:u w:val="single"/>
              </w:rPr>
              <w:t>10.004</w:t>
            </w:r>
          </w:p>
        </w:tc>
        <w:tc>
          <w:tcPr>
            <w:tcW w:w="968" w:type="pct"/>
            <w:shd w:val="clear" w:color="auto" w:fill="auto"/>
            <w:noWrap/>
            <w:vAlign w:val="center"/>
          </w:tcPr>
          <w:p>
            <w:pPr>
              <w:pStyle w:val="63"/>
              <w:rPr>
                <w:szCs w:val="21"/>
                <w:u w:val="single"/>
              </w:rPr>
            </w:pPr>
            <w:r>
              <w:rPr>
                <w:szCs w:val="21"/>
                <w:u w:val="single"/>
              </w:rPr>
              <w:t>60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三才村</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0.0010</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10.001</w:t>
            </w:r>
          </w:p>
        </w:tc>
        <w:tc>
          <w:tcPr>
            <w:tcW w:w="968" w:type="pct"/>
            <w:shd w:val="clear" w:color="auto" w:fill="auto"/>
            <w:noWrap/>
            <w:vAlign w:val="center"/>
          </w:tcPr>
          <w:p>
            <w:pPr>
              <w:pStyle w:val="63"/>
              <w:rPr>
                <w:szCs w:val="21"/>
                <w:u w:val="single"/>
              </w:rPr>
            </w:pPr>
            <w:r>
              <w:rPr>
                <w:szCs w:val="21"/>
                <w:u w:val="single"/>
              </w:rPr>
              <w:t>60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新石桥村</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0.0020</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10.002</w:t>
            </w:r>
          </w:p>
        </w:tc>
        <w:tc>
          <w:tcPr>
            <w:tcW w:w="968" w:type="pct"/>
            <w:shd w:val="clear" w:color="auto" w:fill="auto"/>
            <w:noWrap/>
            <w:vAlign w:val="center"/>
          </w:tcPr>
          <w:p>
            <w:pPr>
              <w:pStyle w:val="63"/>
              <w:rPr>
                <w:szCs w:val="21"/>
                <w:u w:val="single"/>
              </w:rPr>
            </w:pPr>
            <w:r>
              <w:rPr>
                <w:szCs w:val="21"/>
                <w:u w:val="single"/>
              </w:rPr>
              <w:t>60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大浦镇</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0.0050</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10.005</w:t>
            </w:r>
          </w:p>
        </w:tc>
        <w:tc>
          <w:tcPr>
            <w:tcW w:w="968" w:type="pct"/>
            <w:shd w:val="clear" w:color="auto" w:fill="auto"/>
            <w:noWrap/>
            <w:vAlign w:val="center"/>
          </w:tcPr>
          <w:p>
            <w:pPr>
              <w:pStyle w:val="63"/>
              <w:rPr>
                <w:szCs w:val="21"/>
                <w:u w:val="single"/>
              </w:rPr>
            </w:pPr>
            <w:r>
              <w:rPr>
                <w:szCs w:val="21"/>
                <w:u w:val="single"/>
              </w:rPr>
              <w:t>60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炉铺村</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0.0040</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10.004</w:t>
            </w:r>
          </w:p>
        </w:tc>
        <w:tc>
          <w:tcPr>
            <w:tcW w:w="968" w:type="pct"/>
            <w:shd w:val="clear" w:color="auto" w:fill="auto"/>
            <w:noWrap/>
            <w:vAlign w:val="center"/>
          </w:tcPr>
          <w:p>
            <w:pPr>
              <w:pStyle w:val="63"/>
              <w:rPr>
                <w:szCs w:val="21"/>
                <w:u w:val="single"/>
              </w:rPr>
            </w:pPr>
            <w:r>
              <w:rPr>
                <w:szCs w:val="21"/>
                <w:u w:val="single"/>
              </w:rPr>
              <w:t>60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堰桥村</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0.0020</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10.002</w:t>
            </w:r>
          </w:p>
        </w:tc>
        <w:tc>
          <w:tcPr>
            <w:tcW w:w="968" w:type="pct"/>
            <w:shd w:val="clear" w:color="auto" w:fill="auto"/>
            <w:noWrap/>
            <w:vAlign w:val="center"/>
          </w:tcPr>
          <w:p>
            <w:pPr>
              <w:pStyle w:val="63"/>
              <w:rPr>
                <w:szCs w:val="21"/>
                <w:u w:val="single"/>
              </w:rPr>
            </w:pPr>
            <w:r>
              <w:rPr>
                <w:szCs w:val="21"/>
                <w:u w:val="single"/>
              </w:rPr>
              <w:t>60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安置区</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0.0040</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10.004</w:t>
            </w:r>
          </w:p>
        </w:tc>
        <w:tc>
          <w:tcPr>
            <w:tcW w:w="968" w:type="pct"/>
            <w:shd w:val="clear" w:color="auto" w:fill="auto"/>
            <w:noWrap/>
            <w:vAlign w:val="center"/>
          </w:tcPr>
          <w:p>
            <w:pPr>
              <w:pStyle w:val="63"/>
              <w:rPr>
                <w:szCs w:val="21"/>
                <w:u w:val="single"/>
              </w:rPr>
            </w:pPr>
            <w:r>
              <w:rPr>
                <w:szCs w:val="21"/>
                <w:u w:val="single"/>
              </w:rPr>
              <w:t>60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爱国医院</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0.0040</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10.004</w:t>
            </w:r>
          </w:p>
        </w:tc>
        <w:tc>
          <w:tcPr>
            <w:tcW w:w="968" w:type="pct"/>
            <w:shd w:val="clear" w:color="auto" w:fill="auto"/>
            <w:noWrap/>
            <w:vAlign w:val="center"/>
          </w:tcPr>
          <w:p>
            <w:pPr>
              <w:pStyle w:val="63"/>
              <w:rPr>
                <w:szCs w:val="21"/>
                <w:u w:val="single"/>
              </w:rPr>
            </w:pPr>
            <w:r>
              <w:rPr>
                <w:szCs w:val="21"/>
                <w:u w:val="single"/>
              </w:rPr>
              <w:t>60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罗家老屋</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0.0010</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10.001</w:t>
            </w:r>
          </w:p>
        </w:tc>
        <w:tc>
          <w:tcPr>
            <w:tcW w:w="968" w:type="pct"/>
            <w:shd w:val="clear" w:color="auto" w:fill="auto"/>
            <w:noWrap/>
            <w:vAlign w:val="center"/>
          </w:tcPr>
          <w:p>
            <w:pPr>
              <w:pStyle w:val="63"/>
              <w:rPr>
                <w:szCs w:val="21"/>
                <w:u w:val="single"/>
              </w:rPr>
            </w:pPr>
            <w:r>
              <w:rPr>
                <w:szCs w:val="21"/>
                <w:u w:val="single"/>
              </w:rPr>
              <w:t>60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北头村</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0.0040</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10.004</w:t>
            </w:r>
          </w:p>
        </w:tc>
        <w:tc>
          <w:tcPr>
            <w:tcW w:w="968" w:type="pct"/>
            <w:shd w:val="clear" w:color="auto" w:fill="auto"/>
            <w:noWrap/>
            <w:vAlign w:val="center"/>
          </w:tcPr>
          <w:p>
            <w:pPr>
              <w:pStyle w:val="63"/>
              <w:rPr>
                <w:szCs w:val="21"/>
                <w:u w:val="single"/>
              </w:rPr>
            </w:pPr>
            <w:r>
              <w:rPr>
                <w:szCs w:val="21"/>
                <w:u w:val="single"/>
              </w:rPr>
              <w:t>60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龙家冲</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0.0020</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10.002</w:t>
            </w:r>
          </w:p>
        </w:tc>
        <w:tc>
          <w:tcPr>
            <w:tcW w:w="968" w:type="pct"/>
            <w:shd w:val="clear" w:color="auto" w:fill="auto"/>
            <w:noWrap/>
            <w:vAlign w:val="center"/>
          </w:tcPr>
          <w:p>
            <w:pPr>
              <w:pStyle w:val="63"/>
              <w:rPr>
                <w:szCs w:val="21"/>
                <w:u w:val="single"/>
              </w:rPr>
            </w:pPr>
            <w:r>
              <w:rPr>
                <w:szCs w:val="21"/>
                <w:u w:val="single"/>
              </w:rPr>
              <w:t>60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平田村</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0.0010</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10.001</w:t>
            </w:r>
          </w:p>
        </w:tc>
        <w:tc>
          <w:tcPr>
            <w:tcW w:w="968" w:type="pct"/>
            <w:shd w:val="clear" w:color="auto" w:fill="auto"/>
            <w:noWrap/>
            <w:vAlign w:val="center"/>
          </w:tcPr>
          <w:p>
            <w:pPr>
              <w:pStyle w:val="63"/>
              <w:rPr>
                <w:szCs w:val="21"/>
                <w:u w:val="single"/>
              </w:rPr>
            </w:pPr>
            <w:r>
              <w:rPr>
                <w:szCs w:val="21"/>
                <w:u w:val="single"/>
              </w:rPr>
              <w:t>60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彭家屋场</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eastAsia="宋体"/>
                <w:color w:val="000000"/>
                <w:szCs w:val="21"/>
                <w:u w:val="single"/>
              </w:rPr>
            </w:pPr>
            <w:r>
              <w:rPr>
                <w:color w:val="000000"/>
                <w:szCs w:val="21"/>
                <w:u w:val="single"/>
              </w:rPr>
              <w:t>0.0050</w:t>
            </w:r>
          </w:p>
        </w:tc>
        <w:tc>
          <w:tcPr>
            <w:tcW w:w="748" w:type="pct"/>
            <w:vMerge w:val="continue"/>
            <w:vAlign w:val="center"/>
          </w:tcPr>
          <w:p>
            <w:pPr>
              <w:pStyle w:val="63"/>
              <w:rPr>
                <w:szCs w:val="21"/>
                <w:u w:val="single"/>
              </w:rPr>
            </w:pPr>
          </w:p>
        </w:tc>
        <w:tc>
          <w:tcPr>
            <w:tcW w:w="562" w:type="pct"/>
            <w:vAlign w:val="center"/>
          </w:tcPr>
          <w:p>
            <w:pPr>
              <w:pStyle w:val="63"/>
              <w:rPr>
                <w:rFonts w:eastAsia="宋体"/>
                <w:color w:val="000000"/>
                <w:szCs w:val="21"/>
                <w:u w:val="single"/>
              </w:rPr>
            </w:pPr>
            <w:r>
              <w:rPr>
                <w:color w:val="000000"/>
                <w:szCs w:val="21"/>
                <w:u w:val="single"/>
              </w:rPr>
              <w:t>10.005</w:t>
            </w:r>
          </w:p>
        </w:tc>
        <w:tc>
          <w:tcPr>
            <w:tcW w:w="968" w:type="pct"/>
            <w:shd w:val="clear" w:color="auto" w:fill="auto"/>
            <w:noWrap/>
            <w:vAlign w:val="center"/>
          </w:tcPr>
          <w:p>
            <w:pPr>
              <w:pStyle w:val="63"/>
              <w:rPr>
                <w:szCs w:val="21"/>
                <w:u w:val="single"/>
              </w:rPr>
            </w:pPr>
            <w:r>
              <w:rPr>
                <w:szCs w:val="21"/>
                <w:u w:val="single"/>
              </w:rPr>
              <w:t>60</w:t>
            </w:r>
          </w:p>
        </w:tc>
        <w:tc>
          <w:tcPr>
            <w:tcW w:w="581" w:type="pct"/>
            <w:shd w:val="clear" w:color="auto" w:fill="auto"/>
            <w:noWrap/>
            <w:vAlign w:val="center"/>
          </w:tcPr>
          <w:p>
            <w:pPr>
              <w:pStyle w:val="63"/>
              <w:rPr>
                <w:rFonts w:eastAsia="宋体"/>
                <w:color w:val="000000"/>
                <w:szCs w:val="21"/>
                <w:u w:val="single"/>
              </w:rPr>
            </w:pPr>
            <w:r>
              <w:rPr>
                <w:color w:val="000000"/>
                <w:szCs w:val="21"/>
                <w:u w:val="single"/>
              </w:rPr>
              <w:t>16.68</w:t>
            </w:r>
          </w:p>
        </w:tc>
      </w:tr>
    </w:tbl>
    <w:p>
      <w:pPr>
        <w:spacing w:line="360" w:lineRule="auto"/>
        <w:ind w:firstLine="480" w:firstLineChars="200"/>
        <w:rPr>
          <w:rFonts w:ascii="Times New Roman" w:hAnsi="Times New Roman" w:cs="Times New Roman"/>
          <w:u w:val="single"/>
        </w:rPr>
      </w:pPr>
      <w:r>
        <w:rPr>
          <w:rFonts w:ascii="Times New Roman" w:hAnsi="Times New Roman" w:cs="Times New Roman"/>
          <w:u w:val="single"/>
        </w:rPr>
        <w:t>b.PM</w:t>
      </w:r>
      <w:r>
        <w:rPr>
          <w:rFonts w:ascii="Times New Roman" w:hAnsi="Times New Roman" w:cs="Times New Roman"/>
          <w:u w:val="single"/>
          <w:vertAlign w:val="subscript"/>
        </w:rPr>
        <w:t>10</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评价范围内PM</w:t>
      </w:r>
      <w:r>
        <w:rPr>
          <w:rFonts w:ascii="Times New Roman" w:hAnsi="Times New Roman" w:cs="Times New Roman"/>
          <w:u w:val="single"/>
          <w:vertAlign w:val="subscript"/>
        </w:rPr>
        <w:t>10</w:t>
      </w:r>
      <w:r>
        <w:rPr>
          <w:rFonts w:ascii="Times New Roman" w:hAnsi="Times New Roman" w:cs="Times New Roman"/>
          <w:u w:val="single"/>
        </w:rPr>
        <w:t>对关心点预测结果见下表，拟建项目PM</w:t>
      </w:r>
      <w:r>
        <w:rPr>
          <w:rFonts w:ascii="Times New Roman" w:hAnsi="Times New Roman" w:cs="Times New Roman"/>
          <w:u w:val="single"/>
          <w:vertAlign w:val="subscript"/>
        </w:rPr>
        <w:t>10</w:t>
      </w:r>
      <w:r>
        <w:rPr>
          <w:rFonts w:ascii="Times New Roman" w:hAnsi="Times New Roman" w:cs="Times New Roman"/>
          <w:u w:val="single"/>
        </w:rPr>
        <w:t>日均浓度95%保证率的叠加预测值和年均浓度预测值对各关心点的影响满足《环境空气质量标准》（GB3095-2012）相应标准要求。</w:t>
      </w:r>
    </w:p>
    <w:p>
      <w:pPr>
        <w:pStyle w:val="6"/>
        <w:rPr>
          <w:rFonts w:ascii="Times New Roman" w:hAnsi="Times New Roman" w:cs="Times New Roman"/>
          <w:u w:val="single"/>
        </w:rPr>
      </w:pPr>
      <w:r>
        <w:rPr>
          <w:rFonts w:ascii="Times New Roman" w:hAnsi="Times New Roman" w:cs="Times New Roman"/>
          <w:u w:val="single"/>
        </w:rPr>
        <w:t>表6.2.1-</w:t>
      </w:r>
      <w:r>
        <w:rPr>
          <w:rFonts w:hint="eastAsia" w:ascii="Times New Roman" w:hAnsi="Times New Roman" w:cs="Times New Roman"/>
          <w:u w:val="single"/>
        </w:rPr>
        <w:t xml:space="preserve">27  </w:t>
      </w:r>
      <w:r>
        <w:rPr>
          <w:rFonts w:ascii="Times New Roman" w:hAnsi="Times New Roman" w:cs="Times New Roman"/>
          <w:u w:val="single"/>
        </w:rPr>
        <w:t>本项目正常排放下各敏感点PM</w:t>
      </w:r>
      <w:r>
        <w:rPr>
          <w:rFonts w:ascii="Times New Roman" w:hAnsi="Times New Roman" w:cs="Times New Roman"/>
          <w:u w:val="single"/>
          <w:vertAlign w:val="subscript"/>
        </w:rPr>
        <w:t>10</w:t>
      </w:r>
      <w:r>
        <w:rPr>
          <w:rFonts w:ascii="Times New Roman" w:hAnsi="Times New Roman" w:cs="Times New Roman"/>
          <w:u w:val="single"/>
        </w:rPr>
        <w:t>日均叠加浓度预测结果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28"/>
        <w:gridCol w:w="865"/>
        <w:gridCol w:w="1559"/>
        <w:gridCol w:w="1276"/>
        <w:gridCol w:w="959"/>
        <w:gridCol w:w="1651"/>
        <w:gridCol w:w="9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u w:val="single"/>
              </w:rPr>
            </w:pPr>
            <w:r>
              <w:rPr>
                <w:u w:val="single"/>
              </w:rPr>
              <w:t>敏感点名称</w:t>
            </w:r>
          </w:p>
        </w:tc>
        <w:tc>
          <w:tcPr>
            <w:tcW w:w="507" w:type="pct"/>
            <w:shd w:val="clear" w:color="auto" w:fill="auto"/>
            <w:noWrap/>
            <w:vAlign w:val="center"/>
          </w:tcPr>
          <w:p>
            <w:pPr>
              <w:pStyle w:val="63"/>
              <w:rPr>
                <w:u w:val="single"/>
              </w:rPr>
            </w:pPr>
            <w:r>
              <w:rPr>
                <w:u w:val="single"/>
              </w:rPr>
              <w:t>浓度类型</w:t>
            </w:r>
          </w:p>
        </w:tc>
        <w:tc>
          <w:tcPr>
            <w:tcW w:w="914" w:type="pct"/>
            <w:shd w:val="clear" w:color="auto" w:fill="auto"/>
            <w:noWrap/>
            <w:vAlign w:val="center"/>
          </w:tcPr>
          <w:p>
            <w:pPr>
              <w:pStyle w:val="63"/>
              <w:rPr>
                <w:u w:val="single"/>
              </w:rPr>
            </w:pPr>
            <w:r>
              <w:rPr>
                <w:rFonts w:eastAsia="宋体"/>
                <w:u w:val="single"/>
              </w:rPr>
              <w:t>本项目+区域污染源ug/m</w:t>
            </w:r>
            <w:r>
              <w:rPr>
                <w:rFonts w:eastAsia="宋体"/>
                <w:u w:val="single"/>
                <w:vertAlign w:val="superscript"/>
              </w:rPr>
              <w:t>3</w:t>
            </w:r>
          </w:p>
        </w:tc>
        <w:tc>
          <w:tcPr>
            <w:tcW w:w="748" w:type="pct"/>
            <w:vAlign w:val="center"/>
          </w:tcPr>
          <w:p>
            <w:pPr>
              <w:pStyle w:val="63"/>
              <w:rPr>
                <w:u w:val="single"/>
              </w:rPr>
            </w:pPr>
            <w:r>
              <w:rPr>
                <w:u w:val="single"/>
              </w:rPr>
              <w:t>背景值(μg/m</w:t>
            </w:r>
            <w:r>
              <w:rPr>
                <w:u w:val="single"/>
                <w:vertAlign w:val="superscript"/>
              </w:rPr>
              <w:t>3</w:t>
            </w:r>
            <w:r>
              <w:rPr>
                <w:u w:val="single"/>
              </w:rPr>
              <w:t>)</w:t>
            </w:r>
          </w:p>
        </w:tc>
        <w:tc>
          <w:tcPr>
            <w:tcW w:w="562" w:type="pct"/>
            <w:vAlign w:val="center"/>
          </w:tcPr>
          <w:p>
            <w:pPr>
              <w:pStyle w:val="63"/>
              <w:rPr>
                <w:rFonts w:eastAsia="宋体"/>
                <w:u w:val="single"/>
              </w:rPr>
            </w:pPr>
            <w:r>
              <w:rPr>
                <w:rFonts w:eastAsia="宋体"/>
                <w:u w:val="single"/>
              </w:rPr>
              <w:t>叠加后</w:t>
            </w:r>
          </w:p>
          <w:p>
            <w:pPr>
              <w:pStyle w:val="63"/>
              <w:rPr>
                <w:rFonts w:eastAsia="宋体"/>
                <w:u w:val="single"/>
              </w:rPr>
            </w:pPr>
            <w:r>
              <w:rPr>
                <w:rFonts w:eastAsia="宋体"/>
                <w:u w:val="single"/>
              </w:rPr>
              <w:t>ug/m</w:t>
            </w:r>
            <w:r>
              <w:rPr>
                <w:rFonts w:eastAsia="宋体"/>
                <w:u w:val="single"/>
                <w:vertAlign w:val="superscript"/>
              </w:rPr>
              <w:t>3</w:t>
            </w:r>
          </w:p>
        </w:tc>
        <w:tc>
          <w:tcPr>
            <w:tcW w:w="968" w:type="pct"/>
            <w:shd w:val="clear" w:color="auto" w:fill="auto"/>
            <w:noWrap/>
            <w:vAlign w:val="center"/>
          </w:tcPr>
          <w:p>
            <w:pPr>
              <w:pStyle w:val="63"/>
              <w:rPr>
                <w:u w:val="single"/>
              </w:rPr>
            </w:pPr>
            <w:r>
              <w:rPr>
                <w:u w:val="single"/>
              </w:rPr>
              <w:t>评价标准(μg/m</w:t>
            </w:r>
            <w:r>
              <w:rPr>
                <w:u w:val="single"/>
                <w:vertAlign w:val="superscript"/>
              </w:rPr>
              <w:t>3</w:t>
            </w:r>
            <w:r>
              <w:rPr>
                <w:u w:val="single"/>
              </w:rPr>
              <w:t>)</w:t>
            </w:r>
          </w:p>
        </w:tc>
        <w:tc>
          <w:tcPr>
            <w:tcW w:w="581" w:type="pct"/>
            <w:shd w:val="clear" w:color="auto" w:fill="auto"/>
            <w:noWrap/>
            <w:vAlign w:val="center"/>
          </w:tcPr>
          <w:p>
            <w:pPr>
              <w:pStyle w:val="63"/>
              <w:rPr>
                <w:u w:val="single"/>
              </w:rPr>
            </w:pPr>
            <w:r>
              <w:rPr>
                <w:u w:val="single"/>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浦泉村</w:t>
            </w:r>
          </w:p>
        </w:tc>
        <w:tc>
          <w:tcPr>
            <w:tcW w:w="507" w:type="pct"/>
            <w:vMerge w:val="restart"/>
            <w:shd w:val="clear" w:color="auto" w:fill="auto"/>
            <w:noWrap/>
            <w:vAlign w:val="center"/>
          </w:tcPr>
          <w:p>
            <w:pPr>
              <w:pStyle w:val="63"/>
              <w:rPr>
                <w:u w:val="single"/>
              </w:rPr>
            </w:pPr>
            <w:r>
              <w:rPr>
                <w:rFonts w:eastAsia="宋体"/>
                <w:u w:val="single"/>
              </w:rPr>
              <w:t>24h（95%保证率）</w:t>
            </w:r>
          </w:p>
        </w:tc>
        <w:tc>
          <w:tcPr>
            <w:tcW w:w="914" w:type="pct"/>
            <w:shd w:val="clear" w:color="auto" w:fill="auto"/>
            <w:noWrap/>
            <w:vAlign w:val="center"/>
          </w:tcPr>
          <w:p>
            <w:pPr>
              <w:pStyle w:val="63"/>
              <w:rPr>
                <w:rFonts w:eastAsia="宋体"/>
                <w:color w:val="000000"/>
                <w:sz w:val="22"/>
                <w:u w:val="single"/>
              </w:rPr>
            </w:pPr>
            <w:r>
              <w:rPr>
                <w:color w:val="000000"/>
                <w:sz w:val="22"/>
                <w:u w:val="single"/>
              </w:rPr>
              <w:t>0.0023</w:t>
            </w:r>
          </w:p>
        </w:tc>
        <w:tc>
          <w:tcPr>
            <w:tcW w:w="748" w:type="pct"/>
            <w:vMerge w:val="restart"/>
            <w:vAlign w:val="center"/>
          </w:tcPr>
          <w:p>
            <w:pPr>
              <w:pStyle w:val="63"/>
              <w:rPr>
                <w:u w:val="single"/>
              </w:rPr>
            </w:pPr>
            <w:r>
              <w:rPr>
                <w:u w:val="single"/>
              </w:rPr>
              <w:t>92</w:t>
            </w:r>
          </w:p>
        </w:tc>
        <w:tc>
          <w:tcPr>
            <w:tcW w:w="562" w:type="pct"/>
            <w:vAlign w:val="center"/>
          </w:tcPr>
          <w:p>
            <w:pPr>
              <w:pStyle w:val="63"/>
              <w:rPr>
                <w:rFonts w:eastAsia="宋体"/>
                <w:color w:val="000000"/>
                <w:sz w:val="22"/>
                <w:u w:val="single"/>
              </w:rPr>
            </w:pPr>
            <w:r>
              <w:rPr>
                <w:color w:val="000000"/>
                <w:sz w:val="22"/>
                <w:u w:val="single"/>
              </w:rPr>
              <w:t>92.0023</w:t>
            </w:r>
          </w:p>
        </w:tc>
        <w:tc>
          <w:tcPr>
            <w:tcW w:w="968" w:type="pct"/>
            <w:shd w:val="clear" w:color="auto" w:fill="auto"/>
            <w:noWrap/>
            <w:vAlign w:val="center"/>
          </w:tcPr>
          <w:p>
            <w:pPr>
              <w:pStyle w:val="63"/>
              <w:rPr>
                <w:u w:val="single"/>
              </w:rPr>
            </w:pPr>
            <w:r>
              <w:rPr>
                <w:rFonts w:eastAsia="宋体"/>
                <w:u w:val="single"/>
              </w:rPr>
              <w:t>150</w:t>
            </w:r>
          </w:p>
        </w:tc>
        <w:tc>
          <w:tcPr>
            <w:tcW w:w="581" w:type="pct"/>
            <w:shd w:val="clear" w:color="auto" w:fill="auto"/>
            <w:noWrap/>
            <w:vAlign w:val="center"/>
          </w:tcPr>
          <w:p>
            <w:pPr>
              <w:pStyle w:val="63"/>
              <w:rPr>
                <w:rFonts w:eastAsia="宋体"/>
                <w:color w:val="000000"/>
                <w:sz w:val="22"/>
                <w:u w:val="single"/>
              </w:rPr>
            </w:pPr>
            <w:r>
              <w:rPr>
                <w:color w:val="000000"/>
                <w:sz w:val="22"/>
                <w:u w:val="single"/>
              </w:rPr>
              <w:t>61.33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三才村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0.0009</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92.0009</w:t>
            </w:r>
          </w:p>
        </w:tc>
        <w:tc>
          <w:tcPr>
            <w:tcW w:w="968" w:type="pct"/>
            <w:shd w:val="clear" w:color="auto" w:fill="auto"/>
            <w:noWrap/>
            <w:vAlign w:val="center"/>
          </w:tcPr>
          <w:p>
            <w:pPr>
              <w:pStyle w:val="63"/>
              <w:rPr>
                <w:u w:val="single"/>
              </w:rPr>
            </w:pPr>
            <w:r>
              <w:rPr>
                <w:rFonts w:eastAsia="宋体"/>
                <w:u w:val="single"/>
              </w:rPr>
              <w:t>150</w:t>
            </w:r>
          </w:p>
        </w:tc>
        <w:tc>
          <w:tcPr>
            <w:tcW w:w="581" w:type="pct"/>
            <w:shd w:val="clear" w:color="auto" w:fill="auto"/>
            <w:noWrap/>
            <w:vAlign w:val="center"/>
          </w:tcPr>
          <w:p>
            <w:pPr>
              <w:pStyle w:val="63"/>
              <w:rPr>
                <w:rFonts w:eastAsia="宋体"/>
                <w:color w:val="000000"/>
                <w:sz w:val="22"/>
                <w:u w:val="single"/>
              </w:rPr>
            </w:pPr>
            <w:r>
              <w:rPr>
                <w:color w:val="000000"/>
                <w:sz w:val="22"/>
                <w:u w:val="single"/>
              </w:rPr>
              <w:t>61.33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新石桥村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0.0003</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92.0003</w:t>
            </w:r>
          </w:p>
        </w:tc>
        <w:tc>
          <w:tcPr>
            <w:tcW w:w="968" w:type="pct"/>
            <w:shd w:val="clear" w:color="auto" w:fill="auto"/>
            <w:noWrap/>
            <w:vAlign w:val="center"/>
          </w:tcPr>
          <w:p>
            <w:pPr>
              <w:pStyle w:val="63"/>
              <w:rPr>
                <w:u w:val="single"/>
              </w:rPr>
            </w:pPr>
            <w:r>
              <w:rPr>
                <w:rFonts w:eastAsia="宋体"/>
                <w:u w:val="single"/>
              </w:rPr>
              <w:t>150</w:t>
            </w:r>
          </w:p>
        </w:tc>
        <w:tc>
          <w:tcPr>
            <w:tcW w:w="581" w:type="pct"/>
            <w:shd w:val="clear" w:color="auto" w:fill="auto"/>
            <w:noWrap/>
            <w:vAlign w:val="center"/>
          </w:tcPr>
          <w:p>
            <w:pPr>
              <w:pStyle w:val="63"/>
              <w:rPr>
                <w:rFonts w:eastAsia="宋体"/>
                <w:color w:val="000000"/>
                <w:sz w:val="22"/>
                <w:u w:val="single"/>
              </w:rPr>
            </w:pPr>
            <w:r>
              <w:rPr>
                <w:color w:val="000000"/>
                <w:sz w:val="22"/>
                <w:u w:val="single"/>
              </w:rPr>
              <w:t>61.33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大浦镇</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0.0018</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92.0018</w:t>
            </w:r>
          </w:p>
        </w:tc>
        <w:tc>
          <w:tcPr>
            <w:tcW w:w="968" w:type="pct"/>
            <w:shd w:val="clear" w:color="auto" w:fill="auto"/>
            <w:noWrap/>
            <w:vAlign w:val="center"/>
          </w:tcPr>
          <w:p>
            <w:pPr>
              <w:pStyle w:val="63"/>
              <w:rPr>
                <w:u w:val="single"/>
              </w:rPr>
            </w:pPr>
            <w:r>
              <w:rPr>
                <w:rFonts w:eastAsia="宋体"/>
                <w:u w:val="single"/>
              </w:rPr>
              <w:t>150</w:t>
            </w:r>
          </w:p>
        </w:tc>
        <w:tc>
          <w:tcPr>
            <w:tcW w:w="581" w:type="pct"/>
            <w:shd w:val="clear" w:color="auto" w:fill="auto"/>
            <w:noWrap/>
            <w:vAlign w:val="center"/>
          </w:tcPr>
          <w:p>
            <w:pPr>
              <w:pStyle w:val="63"/>
              <w:rPr>
                <w:rFonts w:eastAsia="宋体"/>
                <w:color w:val="000000"/>
                <w:sz w:val="22"/>
                <w:u w:val="single"/>
              </w:rPr>
            </w:pPr>
            <w:r>
              <w:rPr>
                <w:color w:val="000000"/>
                <w:sz w:val="22"/>
                <w:u w:val="single"/>
              </w:rPr>
              <w:t>61.33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炉铺村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0.0037</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92.0037</w:t>
            </w:r>
          </w:p>
        </w:tc>
        <w:tc>
          <w:tcPr>
            <w:tcW w:w="968" w:type="pct"/>
            <w:shd w:val="clear" w:color="auto" w:fill="auto"/>
            <w:noWrap/>
            <w:vAlign w:val="center"/>
          </w:tcPr>
          <w:p>
            <w:pPr>
              <w:pStyle w:val="63"/>
              <w:rPr>
                <w:u w:val="single"/>
              </w:rPr>
            </w:pPr>
            <w:r>
              <w:rPr>
                <w:rFonts w:eastAsia="宋体"/>
                <w:u w:val="single"/>
              </w:rPr>
              <w:t>150</w:t>
            </w:r>
          </w:p>
        </w:tc>
        <w:tc>
          <w:tcPr>
            <w:tcW w:w="581" w:type="pct"/>
            <w:shd w:val="clear" w:color="auto" w:fill="auto"/>
            <w:noWrap/>
            <w:vAlign w:val="center"/>
          </w:tcPr>
          <w:p>
            <w:pPr>
              <w:pStyle w:val="63"/>
              <w:rPr>
                <w:rFonts w:eastAsia="宋体"/>
                <w:color w:val="000000"/>
                <w:sz w:val="22"/>
                <w:u w:val="single"/>
              </w:rPr>
            </w:pPr>
            <w:r>
              <w:rPr>
                <w:color w:val="000000"/>
                <w:sz w:val="22"/>
                <w:u w:val="single"/>
              </w:rPr>
              <w:t>61.34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堰桥村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0.0061</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92.0061</w:t>
            </w:r>
          </w:p>
        </w:tc>
        <w:tc>
          <w:tcPr>
            <w:tcW w:w="968" w:type="pct"/>
            <w:shd w:val="clear" w:color="auto" w:fill="auto"/>
            <w:noWrap/>
            <w:vAlign w:val="center"/>
          </w:tcPr>
          <w:p>
            <w:pPr>
              <w:pStyle w:val="63"/>
              <w:rPr>
                <w:u w:val="single"/>
              </w:rPr>
            </w:pPr>
            <w:r>
              <w:rPr>
                <w:rFonts w:eastAsia="宋体"/>
                <w:u w:val="single"/>
              </w:rPr>
              <w:t>150</w:t>
            </w:r>
          </w:p>
        </w:tc>
        <w:tc>
          <w:tcPr>
            <w:tcW w:w="581" w:type="pct"/>
            <w:shd w:val="clear" w:color="auto" w:fill="auto"/>
            <w:noWrap/>
            <w:vAlign w:val="center"/>
          </w:tcPr>
          <w:p>
            <w:pPr>
              <w:pStyle w:val="63"/>
              <w:rPr>
                <w:rFonts w:eastAsia="宋体"/>
                <w:color w:val="000000"/>
                <w:sz w:val="22"/>
                <w:u w:val="single"/>
              </w:rPr>
            </w:pPr>
            <w:r>
              <w:rPr>
                <w:color w:val="000000"/>
                <w:sz w:val="22"/>
                <w:u w:val="single"/>
              </w:rPr>
              <w:t>61.34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安置区</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0.0021</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92.0021</w:t>
            </w:r>
          </w:p>
        </w:tc>
        <w:tc>
          <w:tcPr>
            <w:tcW w:w="968" w:type="pct"/>
            <w:shd w:val="clear" w:color="auto" w:fill="auto"/>
            <w:noWrap/>
            <w:vAlign w:val="center"/>
          </w:tcPr>
          <w:p>
            <w:pPr>
              <w:pStyle w:val="63"/>
              <w:rPr>
                <w:u w:val="single"/>
              </w:rPr>
            </w:pPr>
            <w:r>
              <w:rPr>
                <w:rFonts w:eastAsia="宋体"/>
                <w:u w:val="single"/>
              </w:rPr>
              <w:t>150</w:t>
            </w:r>
          </w:p>
        </w:tc>
        <w:tc>
          <w:tcPr>
            <w:tcW w:w="581" w:type="pct"/>
            <w:shd w:val="clear" w:color="auto" w:fill="auto"/>
            <w:noWrap/>
            <w:vAlign w:val="center"/>
          </w:tcPr>
          <w:p>
            <w:pPr>
              <w:pStyle w:val="63"/>
              <w:rPr>
                <w:rFonts w:eastAsia="宋体"/>
                <w:color w:val="000000"/>
                <w:sz w:val="22"/>
                <w:u w:val="single"/>
              </w:rPr>
            </w:pPr>
            <w:r>
              <w:rPr>
                <w:color w:val="000000"/>
                <w:sz w:val="22"/>
                <w:u w:val="single"/>
              </w:rPr>
              <w:t>61.33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爱国医院</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0.0067</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92.0067</w:t>
            </w:r>
          </w:p>
        </w:tc>
        <w:tc>
          <w:tcPr>
            <w:tcW w:w="968" w:type="pct"/>
            <w:shd w:val="clear" w:color="auto" w:fill="auto"/>
            <w:noWrap/>
            <w:vAlign w:val="center"/>
          </w:tcPr>
          <w:p>
            <w:pPr>
              <w:pStyle w:val="63"/>
              <w:rPr>
                <w:u w:val="single"/>
              </w:rPr>
            </w:pPr>
            <w:r>
              <w:rPr>
                <w:rFonts w:eastAsia="宋体"/>
                <w:u w:val="single"/>
              </w:rPr>
              <w:t>150</w:t>
            </w:r>
          </w:p>
        </w:tc>
        <w:tc>
          <w:tcPr>
            <w:tcW w:w="581" w:type="pct"/>
            <w:shd w:val="clear" w:color="auto" w:fill="auto"/>
            <w:noWrap/>
            <w:vAlign w:val="center"/>
          </w:tcPr>
          <w:p>
            <w:pPr>
              <w:pStyle w:val="63"/>
              <w:rPr>
                <w:rFonts w:eastAsia="宋体"/>
                <w:color w:val="000000"/>
                <w:sz w:val="22"/>
                <w:u w:val="single"/>
              </w:rPr>
            </w:pPr>
            <w:r>
              <w:rPr>
                <w:color w:val="000000"/>
                <w:sz w:val="22"/>
                <w:u w:val="single"/>
              </w:rPr>
              <w:t>61.34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罗家老屋</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0.0001</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92.0001</w:t>
            </w:r>
          </w:p>
        </w:tc>
        <w:tc>
          <w:tcPr>
            <w:tcW w:w="968" w:type="pct"/>
            <w:shd w:val="clear" w:color="auto" w:fill="auto"/>
            <w:noWrap/>
            <w:vAlign w:val="center"/>
          </w:tcPr>
          <w:p>
            <w:pPr>
              <w:pStyle w:val="63"/>
              <w:rPr>
                <w:u w:val="single"/>
              </w:rPr>
            </w:pPr>
            <w:r>
              <w:rPr>
                <w:rFonts w:eastAsia="宋体"/>
                <w:u w:val="single"/>
              </w:rPr>
              <w:t>150</w:t>
            </w:r>
          </w:p>
        </w:tc>
        <w:tc>
          <w:tcPr>
            <w:tcW w:w="581" w:type="pct"/>
            <w:shd w:val="clear" w:color="auto" w:fill="auto"/>
            <w:noWrap/>
            <w:vAlign w:val="center"/>
          </w:tcPr>
          <w:p>
            <w:pPr>
              <w:pStyle w:val="63"/>
              <w:rPr>
                <w:rFonts w:eastAsia="宋体"/>
                <w:color w:val="000000"/>
                <w:sz w:val="22"/>
                <w:u w:val="single"/>
              </w:rPr>
            </w:pPr>
            <w:r>
              <w:rPr>
                <w:color w:val="000000"/>
                <w:sz w:val="22"/>
                <w:u w:val="single"/>
              </w:rPr>
              <w:t>61.33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北头村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0.0003</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92.0003</w:t>
            </w:r>
          </w:p>
        </w:tc>
        <w:tc>
          <w:tcPr>
            <w:tcW w:w="968" w:type="pct"/>
            <w:shd w:val="clear" w:color="auto" w:fill="auto"/>
            <w:noWrap/>
            <w:vAlign w:val="center"/>
          </w:tcPr>
          <w:p>
            <w:pPr>
              <w:pStyle w:val="63"/>
              <w:rPr>
                <w:u w:val="single"/>
              </w:rPr>
            </w:pPr>
            <w:r>
              <w:rPr>
                <w:rFonts w:eastAsia="宋体"/>
                <w:u w:val="single"/>
              </w:rPr>
              <w:t>150</w:t>
            </w:r>
          </w:p>
        </w:tc>
        <w:tc>
          <w:tcPr>
            <w:tcW w:w="581" w:type="pct"/>
            <w:shd w:val="clear" w:color="auto" w:fill="auto"/>
            <w:noWrap/>
            <w:vAlign w:val="center"/>
          </w:tcPr>
          <w:p>
            <w:pPr>
              <w:pStyle w:val="63"/>
              <w:rPr>
                <w:rFonts w:eastAsia="宋体"/>
                <w:color w:val="000000"/>
                <w:sz w:val="22"/>
                <w:u w:val="single"/>
              </w:rPr>
            </w:pPr>
            <w:r>
              <w:rPr>
                <w:color w:val="000000"/>
                <w:sz w:val="22"/>
                <w:u w:val="single"/>
              </w:rPr>
              <w:t>61.33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龙家冲</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0.0001</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92.0001</w:t>
            </w:r>
          </w:p>
        </w:tc>
        <w:tc>
          <w:tcPr>
            <w:tcW w:w="968" w:type="pct"/>
            <w:shd w:val="clear" w:color="auto" w:fill="auto"/>
            <w:noWrap/>
            <w:vAlign w:val="center"/>
          </w:tcPr>
          <w:p>
            <w:pPr>
              <w:pStyle w:val="63"/>
              <w:rPr>
                <w:u w:val="single"/>
              </w:rPr>
            </w:pPr>
            <w:r>
              <w:rPr>
                <w:rFonts w:eastAsia="宋体"/>
                <w:u w:val="single"/>
              </w:rPr>
              <w:t>150</w:t>
            </w:r>
          </w:p>
        </w:tc>
        <w:tc>
          <w:tcPr>
            <w:tcW w:w="581" w:type="pct"/>
            <w:shd w:val="clear" w:color="auto" w:fill="auto"/>
            <w:noWrap/>
            <w:vAlign w:val="center"/>
          </w:tcPr>
          <w:p>
            <w:pPr>
              <w:pStyle w:val="63"/>
              <w:rPr>
                <w:rFonts w:eastAsia="宋体"/>
                <w:color w:val="000000"/>
                <w:sz w:val="22"/>
                <w:u w:val="single"/>
              </w:rPr>
            </w:pPr>
            <w:r>
              <w:rPr>
                <w:color w:val="000000"/>
                <w:sz w:val="22"/>
                <w:u w:val="single"/>
              </w:rPr>
              <w:t>61.33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平田村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0.0001</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92.0001</w:t>
            </w:r>
          </w:p>
        </w:tc>
        <w:tc>
          <w:tcPr>
            <w:tcW w:w="968" w:type="pct"/>
            <w:shd w:val="clear" w:color="auto" w:fill="auto"/>
            <w:noWrap/>
            <w:vAlign w:val="center"/>
          </w:tcPr>
          <w:p>
            <w:pPr>
              <w:pStyle w:val="63"/>
              <w:rPr>
                <w:u w:val="single"/>
              </w:rPr>
            </w:pPr>
            <w:r>
              <w:rPr>
                <w:rFonts w:eastAsia="宋体"/>
                <w:u w:val="single"/>
              </w:rPr>
              <w:t>150</w:t>
            </w:r>
          </w:p>
        </w:tc>
        <w:tc>
          <w:tcPr>
            <w:tcW w:w="581" w:type="pct"/>
            <w:shd w:val="clear" w:color="auto" w:fill="auto"/>
            <w:noWrap/>
            <w:vAlign w:val="center"/>
          </w:tcPr>
          <w:p>
            <w:pPr>
              <w:pStyle w:val="63"/>
              <w:rPr>
                <w:rFonts w:eastAsia="宋体"/>
                <w:color w:val="000000"/>
                <w:sz w:val="22"/>
                <w:u w:val="single"/>
              </w:rPr>
            </w:pPr>
            <w:r>
              <w:rPr>
                <w:color w:val="000000"/>
                <w:sz w:val="22"/>
                <w:u w:val="single"/>
              </w:rPr>
              <w:t>61.33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彭家屋场</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0.0010</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92.0010</w:t>
            </w:r>
          </w:p>
        </w:tc>
        <w:tc>
          <w:tcPr>
            <w:tcW w:w="968" w:type="pct"/>
            <w:shd w:val="clear" w:color="auto" w:fill="auto"/>
            <w:noWrap/>
            <w:vAlign w:val="center"/>
          </w:tcPr>
          <w:p>
            <w:pPr>
              <w:pStyle w:val="63"/>
              <w:rPr>
                <w:u w:val="single"/>
              </w:rPr>
            </w:pPr>
            <w:r>
              <w:rPr>
                <w:rFonts w:eastAsia="宋体"/>
                <w:u w:val="single"/>
              </w:rPr>
              <w:t>150</w:t>
            </w:r>
          </w:p>
        </w:tc>
        <w:tc>
          <w:tcPr>
            <w:tcW w:w="581" w:type="pct"/>
            <w:shd w:val="clear" w:color="auto" w:fill="auto"/>
            <w:noWrap/>
            <w:vAlign w:val="center"/>
          </w:tcPr>
          <w:p>
            <w:pPr>
              <w:pStyle w:val="63"/>
              <w:rPr>
                <w:rFonts w:eastAsia="宋体"/>
                <w:color w:val="000000"/>
                <w:sz w:val="22"/>
                <w:u w:val="single"/>
              </w:rPr>
            </w:pPr>
            <w:r>
              <w:rPr>
                <w:color w:val="000000"/>
                <w:sz w:val="22"/>
                <w:u w:val="single"/>
              </w:rPr>
              <w:t>61.33</w:t>
            </w:r>
          </w:p>
        </w:tc>
      </w:tr>
    </w:tbl>
    <w:p>
      <w:pPr>
        <w:pStyle w:val="6"/>
        <w:rPr>
          <w:rFonts w:ascii="Times New Roman" w:hAnsi="Times New Roman" w:cs="Times New Roman"/>
          <w:u w:val="single"/>
        </w:rPr>
      </w:pPr>
      <w:r>
        <w:rPr>
          <w:rFonts w:ascii="Times New Roman" w:hAnsi="Times New Roman" w:cs="Times New Roman"/>
          <w:u w:val="single"/>
        </w:rPr>
        <w:t>表6.2.1-</w:t>
      </w:r>
      <w:r>
        <w:rPr>
          <w:rFonts w:hint="eastAsia" w:ascii="Times New Roman" w:hAnsi="Times New Roman" w:cs="Times New Roman"/>
          <w:u w:val="single"/>
        </w:rPr>
        <w:t xml:space="preserve">28  </w:t>
      </w:r>
      <w:r>
        <w:rPr>
          <w:rFonts w:ascii="Times New Roman" w:hAnsi="Times New Roman" w:cs="Times New Roman"/>
          <w:u w:val="single"/>
        </w:rPr>
        <w:t>本项目正常排放下各敏感点PM</w:t>
      </w:r>
      <w:r>
        <w:rPr>
          <w:rFonts w:ascii="Times New Roman" w:hAnsi="Times New Roman" w:cs="Times New Roman"/>
          <w:u w:val="single"/>
          <w:vertAlign w:val="subscript"/>
        </w:rPr>
        <w:t>10</w:t>
      </w:r>
      <w:r>
        <w:rPr>
          <w:rFonts w:ascii="Times New Roman" w:hAnsi="Times New Roman" w:cs="Times New Roman"/>
          <w:u w:val="single"/>
        </w:rPr>
        <w:t>年平均叠加浓度预测结果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28"/>
        <w:gridCol w:w="865"/>
        <w:gridCol w:w="1559"/>
        <w:gridCol w:w="1276"/>
        <w:gridCol w:w="959"/>
        <w:gridCol w:w="1651"/>
        <w:gridCol w:w="9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u w:val="single"/>
              </w:rPr>
            </w:pPr>
            <w:r>
              <w:rPr>
                <w:u w:val="single"/>
              </w:rPr>
              <w:t>敏感点名称</w:t>
            </w:r>
          </w:p>
        </w:tc>
        <w:tc>
          <w:tcPr>
            <w:tcW w:w="507" w:type="pct"/>
            <w:shd w:val="clear" w:color="auto" w:fill="auto"/>
            <w:noWrap/>
            <w:vAlign w:val="center"/>
          </w:tcPr>
          <w:p>
            <w:pPr>
              <w:pStyle w:val="63"/>
              <w:rPr>
                <w:u w:val="single"/>
              </w:rPr>
            </w:pPr>
            <w:r>
              <w:rPr>
                <w:u w:val="single"/>
              </w:rPr>
              <w:t>浓度类型</w:t>
            </w:r>
          </w:p>
        </w:tc>
        <w:tc>
          <w:tcPr>
            <w:tcW w:w="914" w:type="pct"/>
            <w:shd w:val="clear" w:color="auto" w:fill="auto"/>
            <w:noWrap/>
            <w:vAlign w:val="center"/>
          </w:tcPr>
          <w:p>
            <w:pPr>
              <w:pStyle w:val="63"/>
              <w:rPr>
                <w:u w:val="single"/>
              </w:rPr>
            </w:pPr>
            <w:r>
              <w:rPr>
                <w:rFonts w:eastAsia="宋体"/>
                <w:u w:val="single"/>
              </w:rPr>
              <w:t>本项目+区域污染源ug/m</w:t>
            </w:r>
            <w:r>
              <w:rPr>
                <w:rFonts w:eastAsia="宋体"/>
                <w:u w:val="single"/>
                <w:vertAlign w:val="superscript"/>
              </w:rPr>
              <w:t>3</w:t>
            </w:r>
          </w:p>
        </w:tc>
        <w:tc>
          <w:tcPr>
            <w:tcW w:w="748" w:type="pct"/>
            <w:vAlign w:val="center"/>
          </w:tcPr>
          <w:p>
            <w:pPr>
              <w:pStyle w:val="63"/>
              <w:rPr>
                <w:u w:val="single"/>
              </w:rPr>
            </w:pPr>
            <w:r>
              <w:rPr>
                <w:u w:val="single"/>
              </w:rPr>
              <w:t>背景值(μg/m</w:t>
            </w:r>
            <w:r>
              <w:rPr>
                <w:u w:val="single"/>
                <w:vertAlign w:val="superscript"/>
              </w:rPr>
              <w:t>3</w:t>
            </w:r>
            <w:r>
              <w:rPr>
                <w:u w:val="single"/>
              </w:rPr>
              <w:t>)</w:t>
            </w:r>
          </w:p>
        </w:tc>
        <w:tc>
          <w:tcPr>
            <w:tcW w:w="562" w:type="pct"/>
            <w:vAlign w:val="center"/>
          </w:tcPr>
          <w:p>
            <w:pPr>
              <w:pStyle w:val="63"/>
              <w:rPr>
                <w:rFonts w:eastAsia="宋体"/>
                <w:u w:val="single"/>
              </w:rPr>
            </w:pPr>
            <w:r>
              <w:rPr>
                <w:rFonts w:eastAsia="宋体"/>
                <w:u w:val="single"/>
              </w:rPr>
              <w:t>叠加后</w:t>
            </w:r>
          </w:p>
          <w:p>
            <w:pPr>
              <w:pStyle w:val="63"/>
              <w:rPr>
                <w:rFonts w:eastAsia="宋体"/>
                <w:u w:val="single"/>
              </w:rPr>
            </w:pPr>
            <w:r>
              <w:rPr>
                <w:rFonts w:eastAsia="宋体"/>
                <w:u w:val="single"/>
              </w:rPr>
              <w:t>ug/m</w:t>
            </w:r>
            <w:r>
              <w:rPr>
                <w:rFonts w:eastAsia="宋体"/>
                <w:u w:val="single"/>
                <w:vertAlign w:val="superscript"/>
              </w:rPr>
              <w:t>3</w:t>
            </w:r>
          </w:p>
        </w:tc>
        <w:tc>
          <w:tcPr>
            <w:tcW w:w="968" w:type="pct"/>
            <w:shd w:val="clear" w:color="auto" w:fill="auto"/>
            <w:noWrap/>
            <w:vAlign w:val="center"/>
          </w:tcPr>
          <w:p>
            <w:pPr>
              <w:pStyle w:val="63"/>
              <w:rPr>
                <w:u w:val="single"/>
              </w:rPr>
            </w:pPr>
            <w:r>
              <w:rPr>
                <w:u w:val="single"/>
              </w:rPr>
              <w:t>评价标准(μg/m</w:t>
            </w:r>
            <w:r>
              <w:rPr>
                <w:u w:val="single"/>
                <w:vertAlign w:val="superscript"/>
              </w:rPr>
              <w:t>3</w:t>
            </w:r>
            <w:r>
              <w:rPr>
                <w:u w:val="single"/>
              </w:rPr>
              <w:t>)</w:t>
            </w:r>
          </w:p>
        </w:tc>
        <w:tc>
          <w:tcPr>
            <w:tcW w:w="581" w:type="pct"/>
            <w:shd w:val="clear" w:color="auto" w:fill="auto"/>
            <w:noWrap/>
            <w:vAlign w:val="center"/>
          </w:tcPr>
          <w:p>
            <w:pPr>
              <w:pStyle w:val="63"/>
              <w:rPr>
                <w:u w:val="single"/>
              </w:rPr>
            </w:pPr>
            <w:r>
              <w:rPr>
                <w:u w:val="single"/>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浦泉村</w:t>
            </w:r>
          </w:p>
        </w:tc>
        <w:tc>
          <w:tcPr>
            <w:tcW w:w="507" w:type="pct"/>
            <w:vMerge w:val="restart"/>
            <w:shd w:val="clear" w:color="auto" w:fill="auto"/>
            <w:noWrap/>
            <w:vAlign w:val="center"/>
          </w:tcPr>
          <w:p>
            <w:pPr>
              <w:pStyle w:val="63"/>
              <w:rPr>
                <w:rFonts w:eastAsia="宋体"/>
                <w:u w:val="single"/>
              </w:rPr>
            </w:pPr>
            <w:r>
              <w:rPr>
                <w:rFonts w:eastAsia="宋体"/>
                <w:u w:val="single"/>
              </w:rPr>
              <w:t>年平均</w:t>
            </w:r>
          </w:p>
        </w:tc>
        <w:tc>
          <w:tcPr>
            <w:tcW w:w="914" w:type="pct"/>
            <w:shd w:val="clear" w:color="auto" w:fill="auto"/>
            <w:noWrap/>
            <w:vAlign w:val="center"/>
          </w:tcPr>
          <w:p>
            <w:pPr>
              <w:pStyle w:val="63"/>
              <w:rPr>
                <w:rFonts w:eastAsia="宋体"/>
                <w:color w:val="000000"/>
                <w:sz w:val="22"/>
                <w:u w:val="single"/>
              </w:rPr>
            </w:pPr>
            <w:r>
              <w:rPr>
                <w:color w:val="000000"/>
                <w:sz w:val="22"/>
                <w:u w:val="single"/>
              </w:rPr>
              <w:t>0.0022</w:t>
            </w:r>
          </w:p>
        </w:tc>
        <w:tc>
          <w:tcPr>
            <w:tcW w:w="748" w:type="pct"/>
            <w:vMerge w:val="restart"/>
            <w:vAlign w:val="center"/>
          </w:tcPr>
          <w:p>
            <w:pPr>
              <w:pStyle w:val="63"/>
              <w:rPr>
                <w:u w:val="single"/>
              </w:rPr>
            </w:pPr>
            <w:r>
              <w:rPr>
                <w:u w:val="single"/>
              </w:rPr>
              <w:t>42</w:t>
            </w:r>
          </w:p>
        </w:tc>
        <w:tc>
          <w:tcPr>
            <w:tcW w:w="562" w:type="pct"/>
            <w:vAlign w:val="center"/>
          </w:tcPr>
          <w:p>
            <w:pPr>
              <w:pStyle w:val="63"/>
              <w:rPr>
                <w:rFonts w:eastAsia="宋体"/>
                <w:color w:val="000000"/>
                <w:sz w:val="22"/>
                <w:u w:val="single"/>
              </w:rPr>
            </w:pPr>
            <w:r>
              <w:rPr>
                <w:color w:val="000000"/>
                <w:sz w:val="22"/>
                <w:u w:val="single"/>
              </w:rPr>
              <w:t>42.0022</w:t>
            </w:r>
          </w:p>
        </w:tc>
        <w:tc>
          <w:tcPr>
            <w:tcW w:w="968" w:type="pct"/>
            <w:shd w:val="clear" w:color="auto" w:fill="auto"/>
            <w:noWrap/>
            <w:vAlign w:val="center"/>
          </w:tcPr>
          <w:p>
            <w:pPr>
              <w:pStyle w:val="63"/>
              <w:rPr>
                <w:u w:val="single"/>
              </w:rPr>
            </w:pPr>
            <w:r>
              <w:rPr>
                <w:u w:val="single"/>
              </w:rPr>
              <w:t>70</w:t>
            </w:r>
          </w:p>
        </w:tc>
        <w:tc>
          <w:tcPr>
            <w:tcW w:w="581" w:type="pct"/>
            <w:shd w:val="clear" w:color="auto" w:fill="auto"/>
            <w:noWrap/>
            <w:vAlign w:val="center"/>
          </w:tcPr>
          <w:p>
            <w:pPr>
              <w:pStyle w:val="63"/>
              <w:rPr>
                <w:rFonts w:eastAsia="宋体"/>
                <w:color w:val="000000"/>
                <w:sz w:val="22"/>
                <w:u w:val="single"/>
              </w:rPr>
            </w:pPr>
            <w:r>
              <w:rPr>
                <w:color w:val="000000"/>
                <w:sz w:val="22"/>
                <w:u w:val="single"/>
              </w:rPr>
              <w:t>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三才村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0.0006</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42.0006</w:t>
            </w:r>
          </w:p>
        </w:tc>
        <w:tc>
          <w:tcPr>
            <w:tcW w:w="968" w:type="pct"/>
            <w:shd w:val="clear" w:color="auto" w:fill="auto"/>
            <w:noWrap/>
            <w:vAlign w:val="center"/>
          </w:tcPr>
          <w:p>
            <w:pPr>
              <w:pStyle w:val="63"/>
              <w:rPr>
                <w:u w:val="single"/>
              </w:rPr>
            </w:pPr>
            <w:r>
              <w:rPr>
                <w:u w:val="single"/>
              </w:rPr>
              <w:t>70</w:t>
            </w:r>
          </w:p>
        </w:tc>
        <w:tc>
          <w:tcPr>
            <w:tcW w:w="581" w:type="pct"/>
            <w:shd w:val="clear" w:color="auto" w:fill="auto"/>
            <w:noWrap/>
            <w:vAlign w:val="center"/>
          </w:tcPr>
          <w:p>
            <w:pPr>
              <w:pStyle w:val="63"/>
              <w:rPr>
                <w:rFonts w:eastAsia="宋体"/>
                <w:color w:val="000000"/>
                <w:sz w:val="22"/>
                <w:u w:val="single"/>
              </w:rPr>
            </w:pPr>
            <w:r>
              <w:rPr>
                <w:color w:val="000000"/>
                <w:sz w:val="22"/>
                <w:u w:val="single"/>
              </w:rPr>
              <w:t>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新石桥村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0.0007</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42.0007</w:t>
            </w:r>
          </w:p>
        </w:tc>
        <w:tc>
          <w:tcPr>
            <w:tcW w:w="968" w:type="pct"/>
            <w:shd w:val="clear" w:color="auto" w:fill="auto"/>
            <w:noWrap/>
            <w:vAlign w:val="center"/>
          </w:tcPr>
          <w:p>
            <w:pPr>
              <w:pStyle w:val="63"/>
              <w:rPr>
                <w:u w:val="single"/>
              </w:rPr>
            </w:pPr>
            <w:r>
              <w:rPr>
                <w:u w:val="single"/>
              </w:rPr>
              <w:t>70</w:t>
            </w:r>
          </w:p>
        </w:tc>
        <w:tc>
          <w:tcPr>
            <w:tcW w:w="581" w:type="pct"/>
            <w:shd w:val="clear" w:color="auto" w:fill="auto"/>
            <w:noWrap/>
            <w:vAlign w:val="center"/>
          </w:tcPr>
          <w:p>
            <w:pPr>
              <w:pStyle w:val="63"/>
              <w:rPr>
                <w:rFonts w:eastAsia="宋体"/>
                <w:color w:val="000000"/>
                <w:sz w:val="22"/>
                <w:u w:val="single"/>
              </w:rPr>
            </w:pPr>
            <w:r>
              <w:rPr>
                <w:color w:val="000000"/>
                <w:sz w:val="22"/>
                <w:u w:val="single"/>
              </w:rPr>
              <w:t>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大浦镇</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0.0024</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42.0024</w:t>
            </w:r>
          </w:p>
        </w:tc>
        <w:tc>
          <w:tcPr>
            <w:tcW w:w="968" w:type="pct"/>
            <w:shd w:val="clear" w:color="auto" w:fill="auto"/>
            <w:noWrap/>
            <w:vAlign w:val="center"/>
          </w:tcPr>
          <w:p>
            <w:pPr>
              <w:pStyle w:val="63"/>
              <w:rPr>
                <w:u w:val="single"/>
              </w:rPr>
            </w:pPr>
            <w:r>
              <w:rPr>
                <w:u w:val="single"/>
              </w:rPr>
              <w:t>70</w:t>
            </w:r>
          </w:p>
        </w:tc>
        <w:tc>
          <w:tcPr>
            <w:tcW w:w="581" w:type="pct"/>
            <w:shd w:val="clear" w:color="auto" w:fill="auto"/>
            <w:noWrap/>
            <w:vAlign w:val="center"/>
          </w:tcPr>
          <w:p>
            <w:pPr>
              <w:pStyle w:val="63"/>
              <w:rPr>
                <w:rFonts w:eastAsia="宋体"/>
                <w:color w:val="000000"/>
                <w:sz w:val="22"/>
                <w:u w:val="single"/>
              </w:rPr>
            </w:pPr>
            <w:r>
              <w:rPr>
                <w:color w:val="000000"/>
                <w:sz w:val="22"/>
                <w:u w:val="single"/>
              </w:rPr>
              <w:t>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炉铺村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0.0022</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42.0022</w:t>
            </w:r>
          </w:p>
        </w:tc>
        <w:tc>
          <w:tcPr>
            <w:tcW w:w="968" w:type="pct"/>
            <w:shd w:val="clear" w:color="auto" w:fill="auto"/>
            <w:noWrap/>
            <w:vAlign w:val="center"/>
          </w:tcPr>
          <w:p>
            <w:pPr>
              <w:pStyle w:val="63"/>
              <w:rPr>
                <w:u w:val="single"/>
              </w:rPr>
            </w:pPr>
            <w:r>
              <w:rPr>
                <w:u w:val="single"/>
              </w:rPr>
              <w:t>70</w:t>
            </w:r>
          </w:p>
        </w:tc>
        <w:tc>
          <w:tcPr>
            <w:tcW w:w="581" w:type="pct"/>
            <w:shd w:val="clear" w:color="auto" w:fill="auto"/>
            <w:noWrap/>
            <w:vAlign w:val="center"/>
          </w:tcPr>
          <w:p>
            <w:pPr>
              <w:pStyle w:val="63"/>
              <w:rPr>
                <w:rFonts w:eastAsia="宋体"/>
                <w:color w:val="000000"/>
                <w:sz w:val="22"/>
                <w:u w:val="single"/>
              </w:rPr>
            </w:pPr>
            <w:r>
              <w:rPr>
                <w:color w:val="000000"/>
                <w:sz w:val="22"/>
                <w:u w:val="single"/>
              </w:rPr>
              <w:t>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堰桥村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0.0008</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42.0008</w:t>
            </w:r>
          </w:p>
        </w:tc>
        <w:tc>
          <w:tcPr>
            <w:tcW w:w="968" w:type="pct"/>
            <w:shd w:val="clear" w:color="auto" w:fill="auto"/>
            <w:noWrap/>
            <w:vAlign w:val="center"/>
          </w:tcPr>
          <w:p>
            <w:pPr>
              <w:pStyle w:val="63"/>
              <w:rPr>
                <w:u w:val="single"/>
              </w:rPr>
            </w:pPr>
            <w:r>
              <w:rPr>
                <w:u w:val="single"/>
              </w:rPr>
              <w:t>70</w:t>
            </w:r>
          </w:p>
        </w:tc>
        <w:tc>
          <w:tcPr>
            <w:tcW w:w="581" w:type="pct"/>
            <w:shd w:val="clear" w:color="auto" w:fill="auto"/>
            <w:noWrap/>
            <w:vAlign w:val="center"/>
          </w:tcPr>
          <w:p>
            <w:pPr>
              <w:pStyle w:val="63"/>
              <w:rPr>
                <w:rFonts w:eastAsia="宋体"/>
                <w:color w:val="000000"/>
                <w:sz w:val="22"/>
                <w:u w:val="single"/>
              </w:rPr>
            </w:pPr>
            <w:r>
              <w:rPr>
                <w:color w:val="000000"/>
                <w:sz w:val="22"/>
                <w:u w:val="single"/>
              </w:rPr>
              <w:t>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安置区</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0.0020</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42.0020</w:t>
            </w:r>
          </w:p>
        </w:tc>
        <w:tc>
          <w:tcPr>
            <w:tcW w:w="968" w:type="pct"/>
            <w:shd w:val="clear" w:color="auto" w:fill="auto"/>
            <w:noWrap/>
            <w:vAlign w:val="center"/>
          </w:tcPr>
          <w:p>
            <w:pPr>
              <w:pStyle w:val="63"/>
              <w:rPr>
                <w:u w:val="single"/>
              </w:rPr>
            </w:pPr>
            <w:r>
              <w:rPr>
                <w:u w:val="single"/>
              </w:rPr>
              <w:t>70</w:t>
            </w:r>
          </w:p>
        </w:tc>
        <w:tc>
          <w:tcPr>
            <w:tcW w:w="581" w:type="pct"/>
            <w:shd w:val="clear" w:color="auto" w:fill="auto"/>
            <w:noWrap/>
            <w:vAlign w:val="center"/>
          </w:tcPr>
          <w:p>
            <w:pPr>
              <w:pStyle w:val="63"/>
              <w:rPr>
                <w:rFonts w:eastAsia="宋体"/>
                <w:color w:val="000000"/>
                <w:sz w:val="22"/>
                <w:u w:val="single"/>
              </w:rPr>
            </w:pPr>
            <w:r>
              <w:rPr>
                <w:color w:val="000000"/>
                <w:sz w:val="22"/>
                <w:u w:val="single"/>
              </w:rPr>
              <w:t>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爱国医院</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0.0018</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42.0018</w:t>
            </w:r>
          </w:p>
        </w:tc>
        <w:tc>
          <w:tcPr>
            <w:tcW w:w="968" w:type="pct"/>
            <w:shd w:val="clear" w:color="auto" w:fill="auto"/>
            <w:noWrap/>
            <w:vAlign w:val="center"/>
          </w:tcPr>
          <w:p>
            <w:pPr>
              <w:pStyle w:val="63"/>
              <w:rPr>
                <w:u w:val="single"/>
              </w:rPr>
            </w:pPr>
            <w:r>
              <w:rPr>
                <w:u w:val="single"/>
              </w:rPr>
              <w:t>70</w:t>
            </w:r>
          </w:p>
        </w:tc>
        <w:tc>
          <w:tcPr>
            <w:tcW w:w="581" w:type="pct"/>
            <w:shd w:val="clear" w:color="auto" w:fill="auto"/>
            <w:noWrap/>
            <w:vAlign w:val="center"/>
          </w:tcPr>
          <w:p>
            <w:pPr>
              <w:pStyle w:val="63"/>
              <w:rPr>
                <w:rFonts w:eastAsia="宋体"/>
                <w:color w:val="000000"/>
                <w:sz w:val="22"/>
                <w:u w:val="single"/>
              </w:rPr>
            </w:pPr>
            <w:r>
              <w:rPr>
                <w:color w:val="000000"/>
                <w:sz w:val="22"/>
                <w:u w:val="single"/>
              </w:rPr>
              <w:t>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罗家老屋</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0.0005</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42.0005</w:t>
            </w:r>
          </w:p>
        </w:tc>
        <w:tc>
          <w:tcPr>
            <w:tcW w:w="968" w:type="pct"/>
            <w:shd w:val="clear" w:color="auto" w:fill="auto"/>
            <w:noWrap/>
            <w:vAlign w:val="center"/>
          </w:tcPr>
          <w:p>
            <w:pPr>
              <w:pStyle w:val="63"/>
              <w:rPr>
                <w:u w:val="single"/>
              </w:rPr>
            </w:pPr>
            <w:r>
              <w:rPr>
                <w:u w:val="single"/>
              </w:rPr>
              <w:t>70</w:t>
            </w:r>
          </w:p>
        </w:tc>
        <w:tc>
          <w:tcPr>
            <w:tcW w:w="581" w:type="pct"/>
            <w:shd w:val="clear" w:color="auto" w:fill="auto"/>
            <w:noWrap/>
            <w:vAlign w:val="center"/>
          </w:tcPr>
          <w:p>
            <w:pPr>
              <w:pStyle w:val="63"/>
              <w:rPr>
                <w:rFonts w:eastAsia="宋体"/>
                <w:color w:val="000000"/>
                <w:sz w:val="22"/>
                <w:u w:val="single"/>
              </w:rPr>
            </w:pPr>
            <w:r>
              <w:rPr>
                <w:color w:val="000000"/>
                <w:sz w:val="22"/>
                <w:u w:val="single"/>
              </w:rPr>
              <w:t>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北头村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0.0022</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42.0022</w:t>
            </w:r>
          </w:p>
        </w:tc>
        <w:tc>
          <w:tcPr>
            <w:tcW w:w="968" w:type="pct"/>
            <w:shd w:val="clear" w:color="auto" w:fill="auto"/>
            <w:noWrap/>
            <w:vAlign w:val="center"/>
          </w:tcPr>
          <w:p>
            <w:pPr>
              <w:pStyle w:val="63"/>
              <w:rPr>
                <w:u w:val="single"/>
              </w:rPr>
            </w:pPr>
            <w:r>
              <w:rPr>
                <w:u w:val="single"/>
              </w:rPr>
              <w:t>70</w:t>
            </w:r>
          </w:p>
        </w:tc>
        <w:tc>
          <w:tcPr>
            <w:tcW w:w="581" w:type="pct"/>
            <w:shd w:val="clear" w:color="auto" w:fill="auto"/>
            <w:noWrap/>
            <w:vAlign w:val="center"/>
          </w:tcPr>
          <w:p>
            <w:pPr>
              <w:pStyle w:val="63"/>
              <w:rPr>
                <w:rFonts w:eastAsia="宋体"/>
                <w:color w:val="000000"/>
                <w:sz w:val="22"/>
                <w:u w:val="single"/>
              </w:rPr>
            </w:pPr>
            <w:r>
              <w:rPr>
                <w:color w:val="000000"/>
                <w:sz w:val="22"/>
                <w:u w:val="single"/>
              </w:rPr>
              <w:t>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龙家冲</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0.0008</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42.0008</w:t>
            </w:r>
          </w:p>
        </w:tc>
        <w:tc>
          <w:tcPr>
            <w:tcW w:w="968" w:type="pct"/>
            <w:shd w:val="clear" w:color="auto" w:fill="auto"/>
            <w:noWrap/>
            <w:vAlign w:val="center"/>
          </w:tcPr>
          <w:p>
            <w:pPr>
              <w:pStyle w:val="63"/>
              <w:rPr>
                <w:u w:val="single"/>
              </w:rPr>
            </w:pPr>
            <w:r>
              <w:rPr>
                <w:u w:val="single"/>
              </w:rPr>
              <w:t>70</w:t>
            </w:r>
          </w:p>
        </w:tc>
        <w:tc>
          <w:tcPr>
            <w:tcW w:w="581" w:type="pct"/>
            <w:shd w:val="clear" w:color="auto" w:fill="auto"/>
            <w:noWrap/>
            <w:vAlign w:val="center"/>
          </w:tcPr>
          <w:p>
            <w:pPr>
              <w:pStyle w:val="63"/>
              <w:rPr>
                <w:rFonts w:eastAsia="宋体"/>
                <w:color w:val="000000"/>
                <w:sz w:val="22"/>
                <w:u w:val="single"/>
              </w:rPr>
            </w:pPr>
            <w:r>
              <w:rPr>
                <w:color w:val="000000"/>
                <w:sz w:val="22"/>
                <w:u w:val="single"/>
              </w:rPr>
              <w:t>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平田村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0.0006</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42.0006</w:t>
            </w:r>
          </w:p>
        </w:tc>
        <w:tc>
          <w:tcPr>
            <w:tcW w:w="968" w:type="pct"/>
            <w:shd w:val="clear" w:color="auto" w:fill="auto"/>
            <w:noWrap/>
            <w:vAlign w:val="center"/>
          </w:tcPr>
          <w:p>
            <w:pPr>
              <w:pStyle w:val="63"/>
              <w:rPr>
                <w:u w:val="single"/>
              </w:rPr>
            </w:pPr>
            <w:r>
              <w:rPr>
                <w:u w:val="single"/>
              </w:rPr>
              <w:t>70</w:t>
            </w:r>
          </w:p>
        </w:tc>
        <w:tc>
          <w:tcPr>
            <w:tcW w:w="581" w:type="pct"/>
            <w:shd w:val="clear" w:color="auto" w:fill="auto"/>
            <w:noWrap/>
            <w:vAlign w:val="center"/>
          </w:tcPr>
          <w:p>
            <w:pPr>
              <w:pStyle w:val="63"/>
              <w:rPr>
                <w:rFonts w:eastAsia="宋体"/>
                <w:color w:val="000000"/>
                <w:sz w:val="22"/>
                <w:u w:val="single"/>
              </w:rPr>
            </w:pPr>
            <w:r>
              <w:rPr>
                <w:color w:val="000000"/>
                <w:sz w:val="22"/>
                <w:u w:val="single"/>
              </w:rPr>
              <w:t>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彭家屋场</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0.0026</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42.0026</w:t>
            </w:r>
          </w:p>
        </w:tc>
        <w:tc>
          <w:tcPr>
            <w:tcW w:w="968" w:type="pct"/>
            <w:shd w:val="clear" w:color="auto" w:fill="auto"/>
            <w:noWrap/>
            <w:vAlign w:val="center"/>
          </w:tcPr>
          <w:p>
            <w:pPr>
              <w:pStyle w:val="63"/>
              <w:rPr>
                <w:u w:val="single"/>
              </w:rPr>
            </w:pPr>
            <w:r>
              <w:rPr>
                <w:u w:val="single"/>
              </w:rPr>
              <w:t>70</w:t>
            </w:r>
          </w:p>
        </w:tc>
        <w:tc>
          <w:tcPr>
            <w:tcW w:w="581" w:type="pct"/>
            <w:shd w:val="clear" w:color="auto" w:fill="auto"/>
            <w:noWrap/>
            <w:vAlign w:val="center"/>
          </w:tcPr>
          <w:p>
            <w:pPr>
              <w:pStyle w:val="63"/>
              <w:rPr>
                <w:rFonts w:eastAsia="宋体"/>
                <w:color w:val="000000"/>
                <w:sz w:val="22"/>
                <w:u w:val="single"/>
              </w:rPr>
            </w:pPr>
            <w:r>
              <w:rPr>
                <w:color w:val="000000"/>
                <w:sz w:val="22"/>
                <w:u w:val="single"/>
              </w:rPr>
              <w:t>60.00</w:t>
            </w:r>
          </w:p>
        </w:tc>
      </w:tr>
    </w:tbl>
    <w:p>
      <w:pPr>
        <w:spacing w:line="360" w:lineRule="auto"/>
        <w:ind w:firstLine="480" w:firstLineChars="200"/>
        <w:rPr>
          <w:rFonts w:ascii="Times New Roman" w:hAnsi="Times New Roman" w:cs="Times New Roman"/>
          <w:u w:val="single"/>
        </w:rPr>
      </w:pPr>
      <w:r>
        <w:rPr>
          <w:rFonts w:ascii="Times New Roman" w:hAnsi="Times New Roman" w:cs="Times New Roman"/>
          <w:u w:val="single"/>
        </w:rPr>
        <w:t>c.NOx</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NOx：评价范围内NOx 对关心点预测结果</w:t>
      </w:r>
      <w:r>
        <w:rPr>
          <w:rFonts w:hint="eastAsia" w:ascii="Times New Roman" w:hAnsi="Times New Roman" w:cs="Times New Roman"/>
          <w:u w:val="single"/>
        </w:rPr>
        <w:t>见下表</w:t>
      </w:r>
      <w:r>
        <w:rPr>
          <w:rFonts w:ascii="Times New Roman" w:hAnsi="Times New Roman" w:cs="Times New Roman"/>
          <w:u w:val="single"/>
        </w:rPr>
        <w:t>。拟建项目NOx的1小时平均浓度和24小时平均均浓度对各关心点的影响满足《环境空气质量标准》（GB3095-2012）相应标准要求。</w:t>
      </w:r>
    </w:p>
    <w:p>
      <w:pPr>
        <w:pStyle w:val="6"/>
        <w:rPr>
          <w:rFonts w:ascii="Times New Roman" w:hAnsi="Times New Roman" w:cs="Times New Roman"/>
          <w:u w:val="single"/>
        </w:rPr>
      </w:pPr>
      <w:r>
        <w:rPr>
          <w:rFonts w:ascii="Times New Roman" w:hAnsi="Times New Roman" w:cs="Times New Roman"/>
          <w:u w:val="single"/>
        </w:rPr>
        <w:t>表6.2.1-</w:t>
      </w:r>
      <w:r>
        <w:rPr>
          <w:rFonts w:hint="eastAsia" w:ascii="Times New Roman" w:hAnsi="Times New Roman" w:cs="Times New Roman"/>
          <w:u w:val="single"/>
        </w:rPr>
        <w:t xml:space="preserve">29  </w:t>
      </w:r>
      <w:r>
        <w:rPr>
          <w:rFonts w:ascii="Times New Roman" w:hAnsi="Times New Roman" w:cs="Times New Roman"/>
          <w:u w:val="single"/>
        </w:rPr>
        <w:t>本项目正常排放下各敏感点NOx1小时平均叠加浓度预测结果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28"/>
        <w:gridCol w:w="865"/>
        <w:gridCol w:w="1559"/>
        <w:gridCol w:w="1276"/>
        <w:gridCol w:w="959"/>
        <w:gridCol w:w="1651"/>
        <w:gridCol w:w="9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u w:val="single"/>
              </w:rPr>
            </w:pPr>
            <w:r>
              <w:rPr>
                <w:u w:val="single"/>
              </w:rPr>
              <w:t>敏感点名称</w:t>
            </w:r>
          </w:p>
        </w:tc>
        <w:tc>
          <w:tcPr>
            <w:tcW w:w="507" w:type="pct"/>
            <w:shd w:val="clear" w:color="auto" w:fill="auto"/>
            <w:noWrap/>
            <w:vAlign w:val="center"/>
          </w:tcPr>
          <w:p>
            <w:pPr>
              <w:pStyle w:val="63"/>
              <w:rPr>
                <w:u w:val="single"/>
              </w:rPr>
            </w:pPr>
            <w:r>
              <w:rPr>
                <w:u w:val="single"/>
              </w:rPr>
              <w:t>浓度类型</w:t>
            </w:r>
          </w:p>
        </w:tc>
        <w:tc>
          <w:tcPr>
            <w:tcW w:w="914" w:type="pct"/>
            <w:shd w:val="clear" w:color="auto" w:fill="auto"/>
            <w:noWrap/>
            <w:vAlign w:val="center"/>
          </w:tcPr>
          <w:p>
            <w:pPr>
              <w:pStyle w:val="63"/>
              <w:rPr>
                <w:u w:val="single"/>
              </w:rPr>
            </w:pPr>
            <w:r>
              <w:rPr>
                <w:rFonts w:eastAsia="宋体"/>
                <w:u w:val="single"/>
              </w:rPr>
              <w:t>本项目+区域污染源ug/m</w:t>
            </w:r>
            <w:r>
              <w:rPr>
                <w:rFonts w:eastAsia="宋体"/>
                <w:u w:val="single"/>
                <w:vertAlign w:val="superscript"/>
              </w:rPr>
              <w:t>3</w:t>
            </w:r>
          </w:p>
        </w:tc>
        <w:tc>
          <w:tcPr>
            <w:tcW w:w="748" w:type="pct"/>
            <w:vAlign w:val="center"/>
          </w:tcPr>
          <w:p>
            <w:pPr>
              <w:pStyle w:val="63"/>
              <w:rPr>
                <w:u w:val="single"/>
              </w:rPr>
            </w:pPr>
            <w:r>
              <w:rPr>
                <w:u w:val="single"/>
              </w:rPr>
              <w:t>背景值(μg/m</w:t>
            </w:r>
            <w:r>
              <w:rPr>
                <w:u w:val="single"/>
                <w:vertAlign w:val="superscript"/>
              </w:rPr>
              <w:t>3</w:t>
            </w:r>
            <w:r>
              <w:rPr>
                <w:u w:val="single"/>
              </w:rPr>
              <w:t>)</w:t>
            </w:r>
          </w:p>
        </w:tc>
        <w:tc>
          <w:tcPr>
            <w:tcW w:w="562" w:type="pct"/>
            <w:vAlign w:val="center"/>
          </w:tcPr>
          <w:p>
            <w:pPr>
              <w:pStyle w:val="63"/>
              <w:rPr>
                <w:rFonts w:eastAsia="宋体"/>
                <w:u w:val="single"/>
              </w:rPr>
            </w:pPr>
            <w:r>
              <w:rPr>
                <w:rFonts w:eastAsia="宋体"/>
                <w:u w:val="single"/>
              </w:rPr>
              <w:t>叠加后</w:t>
            </w:r>
          </w:p>
          <w:p>
            <w:pPr>
              <w:pStyle w:val="63"/>
              <w:rPr>
                <w:rFonts w:eastAsia="宋体"/>
                <w:u w:val="single"/>
              </w:rPr>
            </w:pPr>
            <w:r>
              <w:rPr>
                <w:rFonts w:eastAsia="宋体"/>
                <w:u w:val="single"/>
              </w:rPr>
              <w:t>ug/m</w:t>
            </w:r>
            <w:r>
              <w:rPr>
                <w:rFonts w:eastAsia="宋体"/>
                <w:u w:val="single"/>
                <w:vertAlign w:val="superscript"/>
              </w:rPr>
              <w:t>3</w:t>
            </w:r>
          </w:p>
        </w:tc>
        <w:tc>
          <w:tcPr>
            <w:tcW w:w="968" w:type="pct"/>
            <w:shd w:val="clear" w:color="auto" w:fill="auto"/>
            <w:noWrap/>
            <w:vAlign w:val="center"/>
          </w:tcPr>
          <w:p>
            <w:pPr>
              <w:pStyle w:val="63"/>
              <w:rPr>
                <w:u w:val="single"/>
              </w:rPr>
            </w:pPr>
            <w:r>
              <w:rPr>
                <w:u w:val="single"/>
              </w:rPr>
              <w:t>评价标准(μg/m</w:t>
            </w:r>
            <w:r>
              <w:rPr>
                <w:u w:val="single"/>
                <w:vertAlign w:val="superscript"/>
              </w:rPr>
              <w:t>3</w:t>
            </w:r>
            <w:r>
              <w:rPr>
                <w:u w:val="single"/>
              </w:rPr>
              <w:t>)</w:t>
            </w:r>
          </w:p>
        </w:tc>
        <w:tc>
          <w:tcPr>
            <w:tcW w:w="581" w:type="pct"/>
            <w:shd w:val="clear" w:color="auto" w:fill="auto"/>
            <w:noWrap/>
            <w:vAlign w:val="center"/>
          </w:tcPr>
          <w:p>
            <w:pPr>
              <w:pStyle w:val="63"/>
              <w:rPr>
                <w:u w:val="single"/>
              </w:rPr>
            </w:pPr>
            <w:r>
              <w:rPr>
                <w:u w:val="single"/>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浦泉村</w:t>
            </w:r>
          </w:p>
        </w:tc>
        <w:tc>
          <w:tcPr>
            <w:tcW w:w="507" w:type="pct"/>
            <w:vMerge w:val="restart"/>
            <w:shd w:val="clear" w:color="auto" w:fill="auto"/>
            <w:noWrap/>
            <w:vAlign w:val="center"/>
          </w:tcPr>
          <w:p>
            <w:pPr>
              <w:pStyle w:val="63"/>
              <w:rPr>
                <w:rFonts w:eastAsia="宋体"/>
                <w:u w:val="single"/>
              </w:rPr>
            </w:pPr>
            <w:r>
              <w:rPr>
                <w:rFonts w:eastAsia="宋体"/>
                <w:u w:val="single"/>
              </w:rPr>
              <w:t>日平均</w:t>
            </w:r>
          </w:p>
          <w:p>
            <w:pPr>
              <w:pStyle w:val="63"/>
              <w:rPr>
                <w:rFonts w:eastAsia="宋体"/>
                <w:u w:val="single"/>
              </w:rPr>
            </w:pPr>
            <w:r>
              <w:rPr>
                <w:rFonts w:eastAsia="宋体"/>
                <w:u w:val="single"/>
              </w:rPr>
              <w:t>（98%</w:t>
            </w:r>
          </w:p>
          <w:p>
            <w:pPr>
              <w:pStyle w:val="63"/>
              <w:rPr>
                <w:u w:val="single"/>
              </w:rPr>
            </w:pPr>
            <w:r>
              <w:rPr>
                <w:rFonts w:eastAsia="宋体"/>
                <w:u w:val="single"/>
              </w:rPr>
              <w:t>保证率</w:t>
            </w:r>
          </w:p>
        </w:tc>
        <w:tc>
          <w:tcPr>
            <w:tcW w:w="914" w:type="pct"/>
            <w:shd w:val="clear" w:color="auto" w:fill="auto"/>
            <w:noWrap/>
            <w:vAlign w:val="center"/>
          </w:tcPr>
          <w:p>
            <w:pPr>
              <w:pStyle w:val="63"/>
              <w:rPr>
                <w:rFonts w:eastAsia="宋体"/>
                <w:color w:val="000000"/>
                <w:sz w:val="24"/>
                <w:szCs w:val="24"/>
                <w:u w:val="single"/>
              </w:rPr>
            </w:pPr>
            <w:r>
              <w:rPr>
                <w:color w:val="000000"/>
                <w:u w:val="single"/>
              </w:rPr>
              <w:t>0.063</w:t>
            </w:r>
          </w:p>
        </w:tc>
        <w:tc>
          <w:tcPr>
            <w:tcW w:w="748" w:type="pct"/>
            <w:vMerge w:val="restart"/>
            <w:vAlign w:val="center"/>
          </w:tcPr>
          <w:p>
            <w:pPr>
              <w:pStyle w:val="63"/>
              <w:rPr>
                <w:u w:val="single"/>
              </w:rPr>
            </w:pPr>
            <w:r>
              <w:rPr>
                <w:u w:val="single"/>
              </w:rPr>
              <w:t>52</w:t>
            </w:r>
          </w:p>
        </w:tc>
        <w:tc>
          <w:tcPr>
            <w:tcW w:w="562" w:type="pct"/>
            <w:vAlign w:val="center"/>
          </w:tcPr>
          <w:p>
            <w:pPr>
              <w:pStyle w:val="63"/>
              <w:rPr>
                <w:rFonts w:eastAsia="宋体"/>
                <w:color w:val="000000"/>
                <w:sz w:val="22"/>
                <w:u w:val="single"/>
              </w:rPr>
            </w:pPr>
            <w:r>
              <w:rPr>
                <w:color w:val="000000"/>
                <w:sz w:val="22"/>
                <w:u w:val="single"/>
              </w:rPr>
              <w:t>52.063</w:t>
            </w:r>
          </w:p>
        </w:tc>
        <w:tc>
          <w:tcPr>
            <w:tcW w:w="968" w:type="pct"/>
            <w:shd w:val="clear" w:color="auto" w:fill="auto"/>
            <w:noWrap/>
            <w:vAlign w:val="center"/>
          </w:tcPr>
          <w:p>
            <w:pPr>
              <w:pStyle w:val="63"/>
              <w:rPr>
                <w:u w:val="single"/>
              </w:rPr>
            </w:pPr>
            <w:r>
              <w:rPr>
                <w:rFonts w:eastAsia="宋体"/>
                <w:u w:val="single"/>
              </w:rPr>
              <w:t>80</w:t>
            </w:r>
          </w:p>
        </w:tc>
        <w:tc>
          <w:tcPr>
            <w:tcW w:w="581" w:type="pct"/>
            <w:shd w:val="clear" w:color="auto" w:fill="auto"/>
            <w:noWrap/>
            <w:vAlign w:val="center"/>
          </w:tcPr>
          <w:p>
            <w:pPr>
              <w:pStyle w:val="63"/>
              <w:rPr>
                <w:rFonts w:eastAsia="宋体"/>
                <w:color w:val="000000"/>
                <w:sz w:val="24"/>
                <w:szCs w:val="24"/>
                <w:u w:val="single"/>
              </w:rPr>
            </w:pPr>
            <w:r>
              <w:rPr>
                <w:color w:val="000000"/>
                <w:u w:val="single"/>
              </w:rPr>
              <w:t>65.08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三才村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0.026</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52.026</w:t>
            </w:r>
          </w:p>
        </w:tc>
        <w:tc>
          <w:tcPr>
            <w:tcW w:w="968" w:type="pct"/>
            <w:shd w:val="clear" w:color="auto" w:fill="auto"/>
            <w:noWrap/>
            <w:vAlign w:val="center"/>
          </w:tcPr>
          <w:p>
            <w:pPr>
              <w:pStyle w:val="63"/>
              <w:rPr>
                <w:u w:val="single"/>
              </w:rPr>
            </w:pPr>
            <w:r>
              <w:rPr>
                <w:rFonts w:eastAsia="宋体"/>
                <w:u w:val="single"/>
              </w:rPr>
              <w:t>80</w:t>
            </w:r>
          </w:p>
        </w:tc>
        <w:tc>
          <w:tcPr>
            <w:tcW w:w="581" w:type="pct"/>
            <w:shd w:val="clear" w:color="auto" w:fill="auto"/>
            <w:noWrap/>
            <w:vAlign w:val="center"/>
          </w:tcPr>
          <w:p>
            <w:pPr>
              <w:pStyle w:val="63"/>
              <w:rPr>
                <w:rFonts w:eastAsia="宋体"/>
                <w:color w:val="000000"/>
                <w:sz w:val="24"/>
                <w:szCs w:val="24"/>
                <w:u w:val="single"/>
              </w:rPr>
            </w:pPr>
            <w:r>
              <w:rPr>
                <w:color w:val="000000"/>
                <w:u w:val="single"/>
              </w:rPr>
              <w:t>65.03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新石桥村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0.008</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52.008</w:t>
            </w:r>
          </w:p>
        </w:tc>
        <w:tc>
          <w:tcPr>
            <w:tcW w:w="968" w:type="pct"/>
            <w:shd w:val="clear" w:color="auto" w:fill="auto"/>
            <w:noWrap/>
            <w:vAlign w:val="center"/>
          </w:tcPr>
          <w:p>
            <w:pPr>
              <w:pStyle w:val="63"/>
              <w:rPr>
                <w:u w:val="single"/>
              </w:rPr>
            </w:pPr>
            <w:r>
              <w:rPr>
                <w:rFonts w:eastAsia="宋体"/>
                <w:u w:val="single"/>
              </w:rPr>
              <w:t>80</w:t>
            </w:r>
          </w:p>
        </w:tc>
        <w:tc>
          <w:tcPr>
            <w:tcW w:w="581" w:type="pct"/>
            <w:shd w:val="clear" w:color="auto" w:fill="auto"/>
            <w:noWrap/>
            <w:vAlign w:val="center"/>
          </w:tcPr>
          <w:p>
            <w:pPr>
              <w:pStyle w:val="63"/>
              <w:rPr>
                <w:rFonts w:eastAsia="宋体"/>
                <w:color w:val="000000"/>
                <w:sz w:val="24"/>
                <w:szCs w:val="24"/>
                <w:u w:val="single"/>
              </w:rPr>
            </w:pPr>
            <w:r>
              <w:rPr>
                <w:color w:val="000000"/>
                <w:u w:val="single"/>
              </w:rPr>
              <w:t>65.01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大浦镇</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0.051</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52.051</w:t>
            </w:r>
          </w:p>
        </w:tc>
        <w:tc>
          <w:tcPr>
            <w:tcW w:w="968" w:type="pct"/>
            <w:shd w:val="clear" w:color="auto" w:fill="auto"/>
            <w:noWrap/>
            <w:vAlign w:val="center"/>
          </w:tcPr>
          <w:p>
            <w:pPr>
              <w:pStyle w:val="63"/>
              <w:rPr>
                <w:u w:val="single"/>
              </w:rPr>
            </w:pPr>
            <w:r>
              <w:rPr>
                <w:rFonts w:eastAsia="宋体"/>
                <w:u w:val="single"/>
              </w:rPr>
              <w:t>80</w:t>
            </w:r>
          </w:p>
        </w:tc>
        <w:tc>
          <w:tcPr>
            <w:tcW w:w="581" w:type="pct"/>
            <w:shd w:val="clear" w:color="auto" w:fill="auto"/>
            <w:noWrap/>
            <w:vAlign w:val="center"/>
          </w:tcPr>
          <w:p>
            <w:pPr>
              <w:pStyle w:val="63"/>
              <w:rPr>
                <w:rFonts w:eastAsia="宋体"/>
                <w:color w:val="000000"/>
                <w:sz w:val="24"/>
                <w:szCs w:val="24"/>
                <w:u w:val="single"/>
              </w:rPr>
            </w:pPr>
            <w:r>
              <w:rPr>
                <w:color w:val="000000"/>
                <w:u w:val="single"/>
              </w:rPr>
              <w:t>65.06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炉铺村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0.102</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52.102</w:t>
            </w:r>
          </w:p>
        </w:tc>
        <w:tc>
          <w:tcPr>
            <w:tcW w:w="968" w:type="pct"/>
            <w:shd w:val="clear" w:color="auto" w:fill="auto"/>
            <w:noWrap/>
            <w:vAlign w:val="center"/>
          </w:tcPr>
          <w:p>
            <w:pPr>
              <w:pStyle w:val="63"/>
              <w:rPr>
                <w:u w:val="single"/>
              </w:rPr>
            </w:pPr>
            <w:r>
              <w:rPr>
                <w:rFonts w:eastAsia="宋体"/>
                <w:u w:val="single"/>
              </w:rPr>
              <w:t>80</w:t>
            </w:r>
          </w:p>
        </w:tc>
        <w:tc>
          <w:tcPr>
            <w:tcW w:w="581" w:type="pct"/>
            <w:shd w:val="clear" w:color="auto" w:fill="auto"/>
            <w:noWrap/>
            <w:vAlign w:val="center"/>
          </w:tcPr>
          <w:p>
            <w:pPr>
              <w:pStyle w:val="63"/>
              <w:rPr>
                <w:rFonts w:eastAsia="宋体"/>
                <w:color w:val="000000"/>
                <w:sz w:val="24"/>
                <w:szCs w:val="24"/>
                <w:u w:val="single"/>
              </w:rPr>
            </w:pPr>
            <w:r>
              <w:rPr>
                <w:color w:val="000000"/>
                <w:u w:val="single"/>
              </w:rPr>
              <w:t>65.13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堰桥村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0.172</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52.172</w:t>
            </w:r>
          </w:p>
        </w:tc>
        <w:tc>
          <w:tcPr>
            <w:tcW w:w="968" w:type="pct"/>
            <w:shd w:val="clear" w:color="auto" w:fill="auto"/>
            <w:noWrap/>
            <w:vAlign w:val="center"/>
          </w:tcPr>
          <w:p>
            <w:pPr>
              <w:pStyle w:val="63"/>
              <w:rPr>
                <w:u w:val="single"/>
              </w:rPr>
            </w:pPr>
            <w:r>
              <w:rPr>
                <w:rFonts w:eastAsia="宋体"/>
                <w:u w:val="single"/>
              </w:rPr>
              <w:t>80</w:t>
            </w:r>
          </w:p>
        </w:tc>
        <w:tc>
          <w:tcPr>
            <w:tcW w:w="581" w:type="pct"/>
            <w:shd w:val="clear" w:color="auto" w:fill="auto"/>
            <w:noWrap/>
            <w:vAlign w:val="center"/>
          </w:tcPr>
          <w:p>
            <w:pPr>
              <w:pStyle w:val="63"/>
              <w:rPr>
                <w:rFonts w:eastAsia="宋体"/>
                <w:color w:val="000000"/>
                <w:sz w:val="24"/>
                <w:szCs w:val="24"/>
                <w:u w:val="single"/>
              </w:rPr>
            </w:pPr>
            <w:r>
              <w:rPr>
                <w:color w:val="000000"/>
                <w:u w:val="single"/>
              </w:rPr>
              <w:t>65.22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安置区</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0.059</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52.059</w:t>
            </w:r>
          </w:p>
        </w:tc>
        <w:tc>
          <w:tcPr>
            <w:tcW w:w="968" w:type="pct"/>
            <w:shd w:val="clear" w:color="auto" w:fill="auto"/>
            <w:noWrap/>
            <w:vAlign w:val="center"/>
          </w:tcPr>
          <w:p>
            <w:pPr>
              <w:pStyle w:val="63"/>
              <w:rPr>
                <w:u w:val="single"/>
              </w:rPr>
            </w:pPr>
            <w:r>
              <w:rPr>
                <w:rFonts w:eastAsia="宋体"/>
                <w:u w:val="single"/>
              </w:rPr>
              <w:t>80</w:t>
            </w:r>
          </w:p>
        </w:tc>
        <w:tc>
          <w:tcPr>
            <w:tcW w:w="581" w:type="pct"/>
            <w:shd w:val="clear" w:color="auto" w:fill="auto"/>
            <w:noWrap/>
            <w:vAlign w:val="center"/>
          </w:tcPr>
          <w:p>
            <w:pPr>
              <w:pStyle w:val="63"/>
              <w:rPr>
                <w:rFonts w:eastAsia="宋体"/>
                <w:color w:val="000000"/>
                <w:sz w:val="24"/>
                <w:szCs w:val="24"/>
                <w:u w:val="single"/>
              </w:rPr>
            </w:pPr>
            <w:r>
              <w:rPr>
                <w:color w:val="000000"/>
                <w:u w:val="single"/>
              </w:rPr>
              <w:t>65.07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爱国医院</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0.187</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52.187</w:t>
            </w:r>
          </w:p>
        </w:tc>
        <w:tc>
          <w:tcPr>
            <w:tcW w:w="968" w:type="pct"/>
            <w:shd w:val="clear" w:color="auto" w:fill="auto"/>
            <w:noWrap/>
            <w:vAlign w:val="center"/>
          </w:tcPr>
          <w:p>
            <w:pPr>
              <w:pStyle w:val="63"/>
              <w:rPr>
                <w:u w:val="single"/>
              </w:rPr>
            </w:pPr>
            <w:r>
              <w:rPr>
                <w:rFonts w:eastAsia="宋体"/>
                <w:u w:val="single"/>
              </w:rPr>
              <w:t>80</w:t>
            </w:r>
          </w:p>
        </w:tc>
        <w:tc>
          <w:tcPr>
            <w:tcW w:w="581" w:type="pct"/>
            <w:shd w:val="clear" w:color="auto" w:fill="auto"/>
            <w:noWrap/>
            <w:vAlign w:val="center"/>
          </w:tcPr>
          <w:p>
            <w:pPr>
              <w:pStyle w:val="63"/>
              <w:rPr>
                <w:rFonts w:eastAsia="宋体"/>
                <w:color w:val="000000"/>
                <w:sz w:val="24"/>
                <w:szCs w:val="24"/>
                <w:u w:val="single"/>
              </w:rPr>
            </w:pPr>
            <w:r>
              <w:rPr>
                <w:color w:val="000000"/>
                <w:u w:val="single"/>
              </w:rPr>
              <w:t>65.23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罗家老屋</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0.003</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52.003</w:t>
            </w:r>
          </w:p>
        </w:tc>
        <w:tc>
          <w:tcPr>
            <w:tcW w:w="968" w:type="pct"/>
            <w:shd w:val="clear" w:color="auto" w:fill="auto"/>
            <w:noWrap/>
            <w:vAlign w:val="center"/>
          </w:tcPr>
          <w:p>
            <w:pPr>
              <w:pStyle w:val="63"/>
              <w:rPr>
                <w:u w:val="single"/>
              </w:rPr>
            </w:pPr>
            <w:r>
              <w:rPr>
                <w:rFonts w:eastAsia="宋体"/>
                <w:u w:val="single"/>
              </w:rPr>
              <w:t>80</w:t>
            </w:r>
          </w:p>
        </w:tc>
        <w:tc>
          <w:tcPr>
            <w:tcW w:w="581" w:type="pct"/>
            <w:shd w:val="clear" w:color="auto" w:fill="auto"/>
            <w:noWrap/>
            <w:vAlign w:val="center"/>
          </w:tcPr>
          <w:p>
            <w:pPr>
              <w:pStyle w:val="63"/>
              <w:rPr>
                <w:rFonts w:eastAsia="宋体"/>
                <w:color w:val="000000"/>
                <w:sz w:val="24"/>
                <w:szCs w:val="24"/>
                <w:u w:val="single"/>
              </w:rPr>
            </w:pPr>
            <w:r>
              <w:rPr>
                <w:color w:val="000000"/>
                <w:u w:val="single"/>
              </w:rPr>
              <w:t>65.00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北头村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0.009</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52.009</w:t>
            </w:r>
          </w:p>
        </w:tc>
        <w:tc>
          <w:tcPr>
            <w:tcW w:w="968" w:type="pct"/>
            <w:shd w:val="clear" w:color="auto" w:fill="auto"/>
            <w:noWrap/>
            <w:vAlign w:val="center"/>
          </w:tcPr>
          <w:p>
            <w:pPr>
              <w:pStyle w:val="63"/>
              <w:rPr>
                <w:u w:val="single"/>
              </w:rPr>
            </w:pPr>
            <w:r>
              <w:rPr>
                <w:rFonts w:eastAsia="宋体"/>
                <w:u w:val="single"/>
              </w:rPr>
              <w:t>80</w:t>
            </w:r>
          </w:p>
        </w:tc>
        <w:tc>
          <w:tcPr>
            <w:tcW w:w="581" w:type="pct"/>
            <w:shd w:val="clear" w:color="auto" w:fill="auto"/>
            <w:noWrap/>
            <w:vAlign w:val="center"/>
          </w:tcPr>
          <w:p>
            <w:pPr>
              <w:pStyle w:val="63"/>
              <w:rPr>
                <w:rFonts w:eastAsia="宋体"/>
                <w:color w:val="000000"/>
                <w:sz w:val="24"/>
                <w:szCs w:val="24"/>
                <w:u w:val="single"/>
              </w:rPr>
            </w:pPr>
            <w:r>
              <w:rPr>
                <w:color w:val="000000"/>
                <w:u w:val="single"/>
              </w:rPr>
              <w:t>65.01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龙家冲</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0.003</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52.003</w:t>
            </w:r>
          </w:p>
        </w:tc>
        <w:tc>
          <w:tcPr>
            <w:tcW w:w="968" w:type="pct"/>
            <w:shd w:val="clear" w:color="auto" w:fill="auto"/>
            <w:noWrap/>
            <w:vAlign w:val="center"/>
          </w:tcPr>
          <w:p>
            <w:pPr>
              <w:pStyle w:val="63"/>
              <w:rPr>
                <w:u w:val="single"/>
              </w:rPr>
            </w:pPr>
            <w:r>
              <w:rPr>
                <w:rFonts w:eastAsia="宋体"/>
                <w:u w:val="single"/>
              </w:rPr>
              <w:t>80</w:t>
            </w:r>
          </w:p>
        </w:tc>
        <w:tc>
          <w:tcPr>
            <w:tcW w:w="581" w:type="pct"/>
            <w:shd w:val="clear" w:color="auto" w:fill="auto"/>
            <w:noWrap/>
            <w:vAlign w:val="center"/>
          </w:tcPr>
          <w:p>
            <w:pPr>
              <w:pStyle w:val="63"/>
              <w:rPr>
                <w:rFonts w:eastAsia="宋体"/>
                <w:color w:val="000000"/>
                <w:sz w:val="24"/>
                <w:szCs w:val="24"/>
                <w:u w:val="single"/>
              </w:rPr>
            </w:pPr>
            <w:r>
              <w:rPr>
                <w:color w:val="000000"/>
                <w:u w:val="single"/>
              </w:rPr>
              <w:t>65.00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平田村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0.003</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52.003</w:t>
            </w:r>
          </w:p>
        </w:tc>
        <w:tc>
          <w:tcPr>
            <w:tcW w:w="968" w:type="pct"/>
            <w:shd w:val="clear" w:color="auto" w:fill="auto"/>
            <w:noWrap/>
            <w:vAlign w:val="center"/>
          </w:tcPr>
          <w:p>
            <w:pPr>
              <w:pStyle w:val="63"/>
              <w:rPr>
                <w:u w:val="single"/>
              </w:rPr>
            </w:pPr>
            <w:r>
              <w:rPr>
                <w:rFonts w:eastAsia="宋体"/>
                <w:u w:val="single"/>
              </w:rPr>
              <w:t>80</w:t>
            </w:r>
          </w:p>
        </w:tc>
        <w:tc>
          <w:tcPr>
            <w:tcW w:w="581" w:type="pct"/>
            <w:shd w:val="clear" w:color="auto" w:fill="auto"/>
            <w:noWrap/>
            <w:vAlign w:val="center"/>
          </w:tcPr>
          <w:p>
            <w:pPr>
              <w:pStyle w:val="63"/>
              <w:rPr>
                <w:rFonts w:eastAsia="宋体"/>
                <w:color w:val="000000"/>
                <w:sz w:val="24"/>
                <w:szCs w:val="24"/>
                <w:u w:val="single"/>
              </w:rPr>
            </w:pPr>
            <w:r>
              <w:rPr>
                <w:color w:val="000000"/>
                <w:u w:val="single"/>
              </w:rPr>
              <w:t>65.00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彭家屋场</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0.027</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52.027</w:t>
            </w:r>
          </w:p>
        </w:tc>
        <w:tc>
          <w:tcPr>
            <w:tcW w:w="968" w:type="pct"/>
            <w:shd w:val="clear" w:color="auto" w:fill="auto"/>
            <w:noWrap/>
            <w:vAlign w:val="center"/>
          </w:tcPr>
          <w:p>
            <w:pPr>
              <w:pStyle w:val="63"/>
              <w:rPr>
                <w:u w:val="single"/>
              </w:rPr>
            </w:pPr>
            <w:r>
              <w:rPr>
                <w:rFonts w:eastAsia="宋体"/>
                <w:u w:val="single"/>
              </w:rPr>
              <w:t>80</w:t>
            </w:r>
          </w:p>
        </w:tc>
        <w:tc>
          <w:tcPr>
            <w:tcW w:w="581" w:type="pct"/>
            <w:shd w:val="clear" w:color="auto" w:fill="auto"/>
            <w:noWrap/>
            <w:vAlign w:val="center"/>
          </w:tcPr>
          <w:p>
            <w:pPr>
              <w:pStyle w:val="63"/>
              <w:rPr>
                <w:rFonts w:eastAsia="宋体"/>
                <w:color w:val="000000"/>
                <w:sz w:val="24"/>
                <w:szCs w:val="24"/>
                <w:u w:val="single"/>
              </w:rPr>
            </w:pPr>
            <w:r>
              <w:rPr>
                <w:color w:val="000000"/>
                <w:u w:val="single"/>
              </w:rPr>
              <w:t>65.03</w:t>
            </w:r>
          </w:p>
        </w:tc>
      </w:tr>
    </w:tbl>
    <w:p>
      <w:pPr>
        <w:pStyle w:val="6"/>
        <w:rPr>
          <w:rFonts w:ascii="Times New Roman" w:hAnsi="Times New Roman" w:cs="Times New Roman"/>
          <w:u w:val="single"/>
        </w:rPr>
      </w:pPr>
      <w:r>
        <w:rPr>
          <w:rFonts w:ascii="Times New Roman" w:hAnsi="Times New Roman" w:cs="Times New Roman"/>
          <w:u w:val="single"/>
        </w:rPr>
        <w:t>表6.2.1-</w:t>
      </w:r>
      <w:r>
        <w:rPr>
          <w:rFonts w:hint="eastAsia" w:ascii="Times New Roman" w:hAnsi="Times New Roman" w:cs="Times New Roman"/>
          <w:u w:val="single"/>
        </w:rPr>
        <w:t xml:space="preserve">30  </w:t>
      </w:r>
      <w:r>
        <w:rPr>
          <w:rFonts w:ascii="Times New Roman" w:hAnsi="Times New Roman" w:cs="Times New Roman"/>
          <w:u w:val="single"/>
        </w:rPr>
        <w:t>本项目正常排放下各敏感点NOx24小时平均叠加浓度预测结果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28"/>
        <w:gridCol w:w="865"/>
        <w:gridCol w:w="1559"/>
        <w:gridCol w:w="1276"/>
        <w:gridCol w:w="959"/>
        <w:gridCol w:w="1651"/>
        <w:gridCol w:w="9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u w:val="single"/>
              </w:rPr>
            </w:pPr>
            <w:r>
              <w:rPr>
                <w:u w:val="single"/>
              </w:rPr>
              <w:t>敏感点名称</w:t>
            </w:r>
          </w:p>
        </w:tc>
        <w:tc>
          <w:tcPr>
            <w:tcW w:w="507" w:type="pct"/>
            <w:shd w:val="clear" w:color="auto" w:fill="auto"/>
            <w:noWrap/>
            <w:vAlign w:val="center"/>
          </w:tcPr>
          <w:p>
            <w:pPr>
              <w:pStyle w:val="63"/>
              <w:rPr>
                <w:u w:val="single"/>
              </w:rPr>
            </w:pPr>
            <w:r>
              <w:rPr>
                <w:u w:val="single"/>
              </w:rPr>
              <w:t>浓度类型</w:t>
            </w:r>
          </w:p>
        </w:tc>
        <w:tc>
          <w:tcPr>
            <w:tcW w:w="914" w:type="pct"/>
            <w:shd w:val="clear" w:color="auto" w:fill="auto"/>
            <w:noWrap/>
            <w:vAlign w:val="center"/>
          </w:tcPr>
          <w:p>
            <w:pPr>
              <w:pStyle w:val="63"/>
              <w:rPr>
                <w:u w:val="single"/>
              </w:rPr>
            </w:pPr>
            <w:r>
              <w:rPr>
                <w:rFonts w:eastAsia="宋体"/>
                <w:u w:val="single"/>
              </w:rPr>
              <w:t>本项目+区域污染源ug/m</w:t>
            </w:r>
            <w:r>
              <w:rPr>
                <w:rFonts w:eastAsia="宋体"/>
                <w:u w:val="single"/>
                <w:vertAlign w:val="superscript"/>
              </w:rPr>
              <w:t>3</w:t>
            </w:r>
          </w:p>
        </w:tc>
        <w:tc>
          <w:tcPr>
            <w:tcW w:w="748" w:type="pct"/>
            <w:vAlign w:val="center"/>
          </w:tcPr>
          <w:p>
            <w:pPr>
              <w:pStyle w:val="63"/>
              <w:rPr>
                <w:u w:val="single"/>
              </w:rPr>
            </w:pPr>
            <w:r>
              <w:rPr>
                <w:u w:val="single"/>
              </w:rPr>
              <w:t>背景值(μg/m</w:t>
            </w:r>
            <w:r>
              <w:rPr>
                <w:u w:val="single"/>
                <w:vertAlign w:val="superscript"/>
              </w:rPr>
              <w:t>3</w:t>
            </w:r>
            <w:r>
              <w:rPr>
                <w:u w:val="single"/>
              </w:rPr>
              <w:t>)</w:t>
            </w:r>
          </w:p>
        </w:tc>
        <w:tc>
          <w:tcPr>
            <w:tcW w:w="562" w:type="pct"/>
            <w:vAlign w:val="center"/>
          </w:tcPr>
          <w:p>
            <w:pPr>
              <w:pStyle w:val="63"/>
              <w:rPr>
                <w:rFonts w:eastAsia="宋体"/>
                <w:u w:val="single"/>
              </w:rPr>
            </w:pPr>
            <w:r>
              <w:rPr>
                <w:rFonts w:eastAsia="宋体"/>
                <w:u w:val="single"/>
              </w:rPr>
              <w:t>叠加后</w:t>
            </w:r>
          </w:p>
          <w:p>
            <w:pPr>
              <w:pStyle w:val="63"/>
              <w:rPr>
                <w:rFonts w:eastAsia="宋体"/>
                <w:u w:val="single"/>
              </w:rPr>
            </w:pPr>
            <w:r>
              <w:rPr>
                <w:rFonts w:eastAsia="宋体"/>
                <w:u w:val="single"/>
              </w:rPr>
              <w:t>ug/m</w:t>
            </w:r>
            <w:r>
              <w:rPr>
                <w:rFonts w:eastAsia="宋体"/>
                <w:u w:val="single"/>
                <w:vertAlign w:val="superscript"/>
              </w:rPr>
              <w:t>3</w:t>
            </w:r>
          </w:p>
        </w:tc>
        <w:tc>
          <w:tcPr>
            <w:tcW w:w="968" w:type="pct"/>
            <w:shd w:val="clear" w:color="auto" w:fill="auto"/>
            <w:noWrap/>
            <w:vAlign w:val="center"/>
          </w:tcPr>
          <w:p>
            <w:pPr>
              <w:pStyle w:val="63"/>
              <w:rPr>
                <w:u w:val="single"/>
              </w:rPr>
            </w:pPr>
            <w:r>
              <w:rPr>
                <w:u w:val="single"/>
              </w:rPr>
              <w:t>评价标准(μg/m</w:t>
            </w:r>
            <w:r>
              <w:rPr>
                <w:u w:val="single"/>
                <w:vertAlign w:val="superscript"/>
              </w:rPr>
              <w:t>3</w:t>
            </w:r>
            <w:r>
              <w:rPr>
                <w:u w:val="single"/>
              </w:rPr>
              <w:t>)</w:t>
            </w:r>
          </w:p>
        </w:tc>
        <w:tc>
          <w:tcPr>
            <w:tcW w:w="581" w:type="pct"/>
            <w:shd w:val="clear" w:color="auto" w:fill="auto"/>
            <w:noWrap/>
            <w:vAlign w:val="center"/>
          </w:tcPr>
          <w:p>
            <w:pPr>
              <w:pStyle w:val="63"/>
              <w:rPr>
                <w:u w:val="single"/>
              </w:rPr>
            </w:pPr>
            <w:r>
              <w:rPr>
                <w:u w:val="single"/>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浦泉村</w:t>
            </w:r>
          </w:p>
        </w:tc>
        <w:tc>
          <w:tcPr>
            <w:tcW w:w="507" w:type="pct"/>
            <w:vMerge w:val="restart"/>
            <w:shd w:val="clear" w:color="auto" w:fill="auto"/>
            <w:noWrap/>
            <w:vAlign w:val="center"/>
          </w:tcPr>
          <w:p>
            <w:pPr>
              <w:pStyle w:val="63"/>
              <w:rPr>
                <w:rFonts w:eastAsia="宋体"/>
                <w:u w:val="single"/>
              </w:rPr>
            </w:pPr>
            <w:r>
              <w:rPr>
                <w:rFonts w:eastAsia="宋体"/>
                <w:u w:val="single"/>
              </w:rPr>
              <w:t>年平均</w:t>
            </w:r>
          </w:p>
        </w:tc>
        <w:tc>
          <w:tcPr>
            <w:tcW w:w="914" w:type="pct"/>
            <w:shd w:val="clear" w:color="auto" w:fill="auto"/>
            <w:noWrap/>
            <w:vAlign w:val="center"/>
          </w:tcPr>
          <w:p>
            <w:pPr>
              <w:pStyle w:val="63"/>
              <w:rPr>
                <w:rFonts w:eastAsia="宋体"/>
                <w:color w:val="000000"/>
                <w:sz w:val="24"/>
                <w:szCs w:val="24"/>
                <w:u w:val="single"/>
              </w:rPr>
            </w:pPr>
            <w:r>
              <w:rPr>
                <w:color w:val="000000"/>
                <w:u w:val="single"/>
              </w:rPr>
              <w:t>0.062</w:t>
            </w:r>
          </w:p>
        </w:tc>
        <w:tc>
          <w:tcPr>
            <w:tcW w:w="748" w:type="pct"/>
            <w:vMerge w:val="restart"/>
            <w:vAlign w:val="center"/>
          </w:tcPr>
          <w:p>
            <w:pPr>
              <w:pStyle w:val="63"/>
              <w:rPr>
                <w:u w:val="single"/>
              </w:rPr>
            </w:pPr>
            <w:r>
              <w:rPr>
                <w:u w:val="single"/>
              </w:rPr>
              <w:t>11</w:t>
            </w:r>
          </w:p>
        </w:tc>
        <w:tc>
          <w:tcPr>
            <w:tcW w:w="562" w:type="pct"/>
            <w:vAlign w:val="center"/>
          </w:tcPr>
          <w:p>
            <w:pPr>
              <w:pStyle w:val="63"/>
              <w:rPr>
                <w:rFonts w:eastAsia="宋体"/>
                <w:color w:val="000000"/>
                <w:sz w:val="22"/>
                <w:u w:val="single"/>
              </w:rPr>
            </w:pPr>
            <w:r>
              <w:rPr>
                <w:color w:val="000000"/>
                <w:sz w:val="22"/>
                <w:u w:val="single"/>
              </w:rPr>
              <w:t>11.062</w:t>
            </w:r>
          </w:p>
        </w:tc>
        <w:tc>
          <w:tcPr>
            <w:tcW w:w="968" w:type="pct"/>
            <w:shd w:val="clear" w:color="auto" w:fill="auto"/>
            <w:noWrap/>
            <w:vAlign w:val="center"/>
          </w:tcPr>
          <w:p>
            <w:pPr>
              <w:pStyle w:val="63"/>
              <w:rPr>
                <w:u w:val="single"/>
              </w:rPr>
            </w:pPr>
            <w:r>
              <w:rPr>
                <w:u w:val="single"/>
              </w:rPr>
              <w:t>40</w:t>
            </w:r>
          </w:p>
        </w:tc>
        <w:tc>
          <w:tcPr>
            <w:tcW w:w="581" w:type="pct"/>
            <w:shd w:val="clear" w:color="auto" w:fill="auto"/>
            <w:noWrap/>
            <w:vAlign w:val="center"/>
          </w:tcPr>
          <w:p>
            <w:pPr>
              <w:pStyle w:val="63"/>
              <w:rPr>
                <w:rFonts w:eastAsia="宋体"/>
                <w:color w:val="000000"/>
                <w:sz w:val="24"/>
                <w:szCs w:val="24"/>
                <w:u w:val="single"/>
              </w:rPr>
            </w:pPr>
            <w:r>
              <w:rPr>
                <w:color w:val="000000"/>
                <w:u w:val="single"/>
              </w:rPr>
              <w:t>27.66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三才村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0.018</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11.018</w:t>
            </w:r>
          </w:p>
        </w:tc>
        <w:tc>
          <w:tcPr>
            <w:tcW w:w="968" w:type="pct"/>
            <w:shd w:val="clear" w:color="auto" w:fill="auto"/>
            <w:noWrap/>
            <w:vAlign w:val="center"/>
          </w:tcPr>
          <w:p>
            <w:pPr>
              <w:pStyle w:val="63"/>
              <w:rPr>
                <w:u w:val="single"/>
              </w:rPr>
            </w:pPr>
            <w:r>
              <w:rPr>
                <w:u w:val="single"/>
              </w:rPr>
              <w:t>40</w:t>
            </w:r>
          </w:p>
        </w:tc>
        <w:tc>
          <w:tcPr>
            <w:tcW w:w="581" w:type="pct"/>
            <w:shd w:val="clear" w:color="auto" w:fill="auto"/>
            <w:noWrap/>
            <w:vAlign w:val="center"/>
          </w:tcPr>
          <w:p>
            <w:pPr>
              <w:pStyle w:val="63"/>
              <w:rPr>
                <w:rFonts w:eastAsia="宋体"/>
                <w:color w:val="000000"/>
                <w:sz w:val="24"/>
                <w:szCs w:val="24"/>
                <w:u w:val="single"/>
              </w:rPr>
            </w:pPr>
            <w:r>
              <w:rPr>
                <w:color w:val="000000"/>
                <w:u w:val="single"/>
              </w:rPr>
              <w:t>27.54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新石桥村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0.021</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11.021</w:t>
            </w:r>
          </w:p>
        </w:tc>
        <w:tc>
          <w:tcPr>
            <w:tcW w:w="968" w:type="pct"/>
            <w:shd w:val="clear" w:color="auto" w:fill="auto"/>
            <w:noWrap/>
            <w:vAlign w:val="center"/>
          </w:tcPr>
          <w:p>
            <w:pPr>
              <w:pStyle w:val="63"/>
              <w:rPr>
                <w:u w:val="single"/>
              </w:rPr>
            </w:pPr>
            <w:r>
              <w:rPr>
                <w:u w:val="single"/>
              </w:rPr>
              <w:t>40</w:t>
            </w:r>
          </w:p>
        </w:tc>
        <w:tc>
          <w:tcPr>
            <w:tcW w:w="581" w:type="pct"/>
            <w:shd w:val="clear" w:color="auto" w:fill="auto"/>
            <w:noWrap/>
            <w:vAlign w:val="center"/>
          </w:tcPr>
          <w:p>
            <w:pPr>
              <w:pStyle w:val="63"/>
              <w:rPr>
                <w:rFonts w:eastAsia="宋体"/>
                <w:color w:val="000000"/>
                <w:sz w:val="24"/>
                <w:szCs w:val="24"/>
                <w:u w:val="single"/>
              </w:rPr>
            </w:pPr>
            <w:r>
              <w:rPr>
                <w:color w:val="000000"/>
                <w:u w:val="single"/>
              </w:rPr>
              <w:t>27.55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大浦镇</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0.067</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11.067</w:t>
            </w:r>
          </w:p>
        </w:tc>
        <w:tc>
          <w:tcPr>
            <w:tcW w:w="968" w:type="pct"/>
            <w:shd w:val="clear" w:color="auto" w:fill="auto"/>
            <w:noWrap/>
            <w:vAlign w:val="center"/>
          </w:tcPr>
          <w:p>
            <w:pPr>
              <w:pStyle w:val="63"/>
              <w:rPr>
                <w:u w:val="single"/>
              </w:rPr>
            </w:pPr>
            <w:r>
              <w:rPr>
                <w:u w:val="single"/>
              </w:rPr>
              <w:t>40</w:t>
            </w:r>
          </w:p>
        </w:tc>
        <w:tc>
          <w:tcPr>
            <w:tcW w:w="581" w:type="pct"/>
            <w:shd w:val="clear" w:color="auto" w:fill="auto"/>
            <w:noWrap/>
            <w:vAlign w:val="center"/>
          </w:tcPr>
          <w:p>
            <w:pPr>
              <w:pStyle w:val="63"/>
              <w:rPr>
                <w:rFonts w:eastAsia="宋体"/>
                <w:color w:val="000000"/>
                <w:sz w:val="24"/>
                <w:szCs w:val="24"/>
                <w:u w:val="single"/>
              </w:rPr>
            </w:pPr>
            <w:r>
              <w:rPr>
                <w:color w:val="000000"/>
                <w:u w:val="single"/>
              </w:rPr>
              <w:t>27.67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炉铺村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0.061</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11.061</w:t>
            </w:r>
          </w:p>
        </w:tc>
        <w:tc>
          <w:tcPr>
            <w:tcW w:w="968" w:type="pct"/>
            <w:shd w:val="clear" w:color="auto" w:fill="auto"/>
            <w:noWrap/>
            <w:vAlign w:val="center"/>
          </w:tcPr>
          <w:p>
            <w:pPr>
              <w:pStyle w:val="63"/>
              <w:rPr>
                <w:u w:val="single"/>
              </w:rPr>
            </w:pPr>
            <w:r>
              <w:rPr>
                <w:u w:val="single"/>
              </w:rPr>
              <w:t>40</w:t>
            </w:r>
          </w:p>
        </w:tc>
        <w:tc>
          <w:tcPr>
            <w:tcW w:w="581" w:type="pct"/>
            <w:shd w:val="clear" w:color="auto" w:fill="auto"/>
            <w:noWrap/>
            <w:vAlign w:val="center"/>
          </w:tcPr>
          <w:p>
            <w:pPr>
              <w:pStyle w:val="63"/>
              <w:rPr>
                <w:rFonts w:eastAsia="宋体"/>
                <w:color w:val="000000"/>
                <w:sz w:val="24"/>
                <w:szCs w:val="24"/>
                <w:u w:val="single"/>
              </w:rPr>
            </w:pPr>
            <w:r>
              <w:rPr>
                <w:color w:val="000000"/>
                <w:u w:val="single"/>
              </w:rPr>
              <w:t>27.65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堰桥村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0.023</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11.023</w:t>
            </w:r>
          </w:p>
        </w:tc>
        <w:tc>
          <w:tcPr>
            <w:tcW w:w="968" w:type="pct"/>
            <w:shd w:val="clear" w:color="auto" w:fill="auto"/>
            <w:noWrap/>
            <w:vAlign w:val="center"/>
          </w:tcPr>
          <w:p>
            <w:pPr>
              <w:pStyle w:val="63"/>
              <w:rPr>
                <w:u w:val="single"/>
              </w:rPr>
            </w:pPr>
            <w:r>
              <w:rPr>
                <w:u w:val="single"/>
              </w:rPr>
              <w:t>40</w:t>
            </w:r>
          </w:p>
        </w:tc>
        <w:tc>
          <w:tcPr>
            <w:tcW w:w="581" w:type="pct"/>
            <w:shd w:val="clear" w:color="auto" w:fill="auto"/>
            <w:noWrap/>
            <w:vAlign w:val="center"/>
          </w:tcPr>
          <w:p>
            <w:pPr>
              <w:pStyle w:val="63"/>
              <w:rPr>
                <w:rFonts w:eastAsia="宋体"/>
                <w:color w:val="000000"/>
                <w:sz w:val="24"/>
                <w:szCs w:val="24"/>
                <w:u w:val="single"/>
              </w:rPr>
            </w:pPr>
            <w:r>
              <w:rPr>
                <w:color w:val="000000"/>
                <w:u w:val="single"/>
              </w:rPr>
              <w:t>27.56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安置区</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0.055</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11.055</w:t>
            </w:r>
          </w:p>
        </w:tc>
        <w:tc>
          <w:tcPr>
            <w:tcW w:w="968" w:type="pct"/>
            <w:shd w:val="clear" w:color="auto" w:fill="auto"/>
            <w:noWrap/>
            <w:vAlign w:val="center"/>
          </w:tcPr>
          <w:p>
            <w:pPr>
              <w:pStyle w:val="63"/>
              <w:rPr>
                <w:u w:val="single"/>
              </w:rPr>
            </w:pPr>
            <w:r>
              <w:rPr>
                <w:u w:val="single"/>
              </w:rPr>
              <w:t>40</w:t>
            </w:r>
          </w:p>
        </w:tc>
        <w:tc>
          <w:tcPr>
            <w:tcW w:w="581" w:type="pct"/>
            <w:shd w:val="clear" w:color="auto" w:fill="auto"/>
            <w:noWrap/>
            <w:vAlign w:val="center"/>
          </w:tcPr>
          <w:p>
            <w:pPr>
              <w:pStyle w:val="63"/>
              <w:rPr>
                <w:rFonts w:eastAsia="宋体"/>
                <w:color w:val="000000"/>
                <w:sz w:val="24"/>
                <w:szCs w:val="24"/>
                <w:u w:val="single"/>
              </w:rPr>
            </w:pPr>
            <w:r>
              <w:rPr>
                <w:color w:val="000000"/>
                <w:u w:val="single"/>
              </w:rPr>
              <w:t>27.64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爱国医院</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0.050</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11.050</w:t>
            </w:r>
          </w:p>
        </w:tc>
        <w:tc>
          <w:tcPr>
            <w:tcW w:w="968" w:type="pct"/>
            <w:shd w:val="clear" w:color="auto" w:fill="auto"/>
            <w:noWrap/>
            <w:vAlign w:val="center"/>
          </w:tcPr>
          <w:p>
            <w:pPr>
              <w:pStyle w:val="63"/>
              <w:rPr>
                <w:u w:val="single"/>
              </w:rPr>
            </w:pPr>
            <w:r>
              <w:rPr>
                <w:u w:val="single"/>
              </w:rPr>
              <w:t>40</w:t>
            </w:r>
          </w:p>
        </w:tc>
        <w:tc>
          <w:tcPr>
            <w:tcW w:w="581" w:type="pct"/>
            <w:shd w:val="clear" w:color="auto" w:fill="auto"/>
            <w:noWrap/>
            <w:vAlign w:val="center"/>
          </w:tcPr>
          <w:p>
            <w:pPr>
              <w:pStyle w:val="63"/>
              <w:rPr>
                <w:rFonts w:eastAsia="宋体"/>
                <w:color w:val="000000"/>
                <w:sz w:val="24"/>
                <w:szCs w:val="24"/>
                <w:u w:val="single"/>
              </w:rPr>
            </w:pPr>
            <w:r>
              <w:rPr>
                <w:color w:val="000000"/>
                <w:u w:val="single"/>
              </w:rPr>
              <w:t>27.63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罗家老屋</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0.016</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11.016</w:t>
            </w:r>
          </w:p>
        </w:tc>
        <w:tc>
          <w:tcPr>
            <w:tcW w:w="968" w:type="pct"/>
            <w:shd w:val="clear" w:color="auto" w:fill="auto"/>
            <w:noWrap/>
            <w:vAlign w:val="center"/>
          </w:tcPr>
          <w:p>
            <w:pPr>
              <w:pStyle w:val="63"/>
              <w:rPr>
                <w:u w:val="single"/>
              </w:rPr>
            </w:pPr>
            <w:r>
              <w:rPr>
                <w:u w:val="single"/>
              </w:rPr>
              <w:t>40</w:t>
            </w:r>
          </w:p>
        </w:tc>
        <w:tc>
          <w:tcPr>
            <w:tcW w:w="581" w:type="pct"/>
            <w:shd w:val="clear" w:color="auto" w:fill="auto"/>
            <w:noWrap/>
            <w:vAlign w:val="center"/>
          </w:tcPr>
          <w:p>
            <w:pPr>
              <w:pStyle w:val="63"/>
              <w:rPr>
                <w:rFonts w:eastAsia="宋体"/>
                <w:color w:val="000000"/>
                <w:sz w:val="24"/>
                <w:szCs w:val="24"/>
                <w:u w:val="single"/>
              </w:rPr>
            </w:pPr>
            <w:r>
              <w:rPr>
                <w:color w:val="000000"/>
                <w:u w:val="single"/>
              </w:rPr>
              <w:t>27.54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北头村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0.062</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11.062</w:t>
            </w:r>
          </w:p>
        </w:tc>
        <w:tc>
          <w:tcPr>
            <w:tcW w:w="968" w:type="pct"/>
            <w:shd w:val="clear" w:color="auto" w:fill="auto"/>
            <w:noWrap/>
            <w:vAlign w:val="center"/>
          </w:tcPr>
          <w:p>
            <w:pPr>
              <w:pStyle w:val="63"/>
              <w:rPr>
                <w:u w:val="single"/>
              </w:rPr>
            </w:pPr>
            <w:r>
              <w:rPr>
                <w:u w:val="single"/>
              </w:rPr>
              <w:t>40</w:t>
            </w:r>
          </w:p>
        </w:tc>
        <w:tc>
          <w:tcPr>
            <w:tcW w:w="581" w:type="pct"/>
            <w:shd w:val="clear" w:color="auto" w:fill="auto"/>
            <w:noWrap/>
            <w:vAlign w:val="center"/>
          </w:tcPr>
          <w:p>
            <w:pPr>
              <w:pStyle w:val="63"/>
              <w:rPr>
                <w:rFonts w:eastAsia="宋体"/>
                <w:color w:val="000000"/>
                <w:sz w:val="24"/>
                <w:szCs w:val="24"/>
                <w:u w:val="single"/>
              </w:rPr>
            </w:pPr>
            <w:r>
              <w:rPr>
                <w:color w:val="000000"/>
                <w:u w:val="single"/>
              </w:rPr>
              <w:t>27.65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龙家冲</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4"/>
                <w:szCs w:val="24"/>
                <w:u w:val="single"/>
              </w:rPr>
            </w:pPr>
            <w:r>
              <w:rPr>
                <w:color w:val="000000"/>
                <w:u w:val="single"/>
              </w:rPr>
              <w:t>0.021</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11.021</w:t>
            </w:r>
          </w:p>
        </w:tc>
        <w:tc>
          <w:tcPr>
            <w:tcW w:w="968" w:type="pct"/>
            <w:shd w:val="clear" w:color="auto" w:fill="auto"/>
            <w:noWrap/>
            <w:vAlign w:val="center"/>
          </w:tcPr>
          <w:p>
            <w:pPr>
              <w:pStyle w:val="63"/>
              <w:rPr>
                <w:u w:val="single"/>
              </w:rPr>
            </w:pPr>
            <w:r>
              <w:rPr>
                <w:u w:val="single"/>
              </w:rPr>
              <w:t>40</w:t>
            </w:r>
          </w:p>
        </w:tc>
        <w:tc>
          <w:tcPr>
            <w:tcW w:w="581" w:type="pct"/>
            <w:shd w:val="clear" w:color="auto" w:fill="auto"/>
            <w:noWrap/>
            <w:vAlign w:val="center"/>
          </w:tcPr>
          <w:p>
            <w:pPr>
              <w:pStyle w:val="63"/>
              <w:rPr>
                <w:rFonts w:eastAsia="宋体"/>
                <w:color w:val="000000"/>
                <w:sz w:val="24"/>
                <w:szCs w:val="24"/>
                <w:u w:val="single"/>
              </w:rPr>
            </w:pPr>
            <w:r>
              <w:rPr>
                <w:color w:val="000000"/>
                <w:u w:val="single"/>
              </w:rPr>
              <w:t>27.55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平田村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0.019</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11.019</w:t>
            </w:r>
          </w:p>
        </w:tc>
        <w:tc>
          <w:tcPr>
            <w:tcW w:w="968" w:type="pct"/>
            <w:shd w:val="clear" w:color="auto" w:fill="auto"/>
            <w:noWrap/>
            <w:vAlign w:val="center"/>
          </w:tcPr>
          <w:p>
            <w:pPr>
              <w:pStyle w:val="63"/>
              <w:rPr>
                <w:u w:val="single"/>
              </w:rPr>
            </w:pPr>
            <w:r>
              <w:rPr>
                <w:u w:val="single"/>
              </w:rPr>
              <w:t>40</w:t>
            </w:r>
          </w:p>
        </w:tc>
        <w:tc>
          <w:tcPr>
            <w:tcW w:w="581" w:type="pct"/>
            <w:shd w:val="clear" w:color="auto" w:fill="auto"/>
            <w:noWrap/>
            <w:vAlign w:val="center"/>
          </w:tcPr>
          <w:p>
            <w:pPr>
              <w:pStyle w:val="63"/>
              <w:rPr>
                <w:rFonts w:eastAsia="宋体"/>
                <w:color w:val="000000"/>
                <w:sz w:val="24"/>
                <w:szCs w:val="24"/>
                <w:u w:val="single"/>
              </w:rPr>
            </w:pPr>
            <w:r>
              <w:rPr>
                <w:color w:val="000000"/>
                <w:u w:val="single"/>
              </w:rPr>
              <w:t>27.55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彭家屋场</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eastAsia="宋体"/>
                <w:color w:val="000000"/>
                <w:sz w:val="22"/>
                <w:u w:val="single"/>
              </w:rPr>
            </w:pPr>
            <w:r>
              <w:rPr>
                <w:color w:val="000000"/>
                <w:sz w:val="22"/>
                <w:u w:val="single"/>
              </w:rPr>
              <w:t>0.074</w:t>
            </w:r>
          </w:p>
        </w:tc>
        <w:tc>
          <w:tcPr>
            <w:tcW w:w="748" w:type="pct"/>
            <w:vMerge w:val="continue"/>
            <w:vAlign w:val="center"/>
          </w:tcPr>
          <w:p>
            <w:pPr>
              <w:pStyle w:val="63"/>
              <w:rPr>
                <w:u w:val="single"/>
              </w:rPr>
            </w:pPr>
          </w:p>
        </w:tc>
        <w:tc>
          <w:tcPr>
            <w:tcW w:w="562" w:type="pct"/>
            <w:vAlign w:val="center"/>
          </w:tcPr>
          <w:p>
            <w:pPr>
              <w:pStyle w:val="63"/>
              <w:rPr>
                <w:rFonts w:eastAsia="宋体"/>
                <w:color w:val="000000"/>
                <w:sz w:val="22"/>
                <w:u w:val="single"/>
              </w:rPr>
            </w:pPr>
            <w:r>
              <w:rPr>
                <w:color w:val="000000"/>
                <w:sz w:val="22"/>
                <w:u w:val="single"/>
              </w:rPr>
              <w:t>11.074</w:t>
            </w:r>
          </w:p>
        </w:tc>
        <w:tc>
          <w:tcPr>
            <w:tcW w:w="968" w:type="pct"/>
            <w:shd w:val="clear" w:color="auto" w:fill="auto"/>
            <w:noWrap/>
            <w:vAlign w:val="center"/>
          </w:tcPr>
          <w:p>
            <w:pPr>
              <w:pStyle w:val="63"/>
              <w:rPr>
                <w:u w:val="single"/>
              </w:rPr>
            </w:pPr>
            <w:r>
              <w:rPr>
                <w:u w:val="single"/>
              </w:rPr>
              <w:t>40</w:t>
            </w:r>
          </w:p>
        </w:tc>
        <w:tc>
          <w:tcPr>
            <w:tcW w:w="581" w:type="pct"/>
            <w:shd w:val="clear" w:color="auto" w:fill="auto"/>
            <w:noWrap/>
            <w:vAlign w:val="center"/>
          </w:tcPr>
          <w:p>
            <w:pPr>
              <w:pStyle w:val="63"/>
              <w:rPr>
                <w:rFonts w:eastAsia="宋体"/>
                <w:color w:val="000000"/>
                <w:sz w:val="24"/>
                <w:szCs w:val="24"/>
                <w:u w:val="single"/>
              </w:rPr>
            </w:pPr>
            <w:r>
              <w:rPr>
                <w:color w:val="000000"/>
                <w:u w:val="single"/>
              </w:rPr>
              <w:t>27.68</w:t>
            </w:r>
          </w:p>
        </w:tc>
      </w:tr>
    </w:tbl>
    <w:p>
      <w:pPr>
        <w:spacing w:line="360" w:lineRule="auto"/>
        <w:ind w:firstLine="480" w:firstLineChars="200"/>
        <w:rPr>
          <w:rFonts w:ascii="Times New Roman" w:hAnsi="Times New Roman" w:cs="Times New Roman"/>
          <w:u w:val="single"/>
        </w:rPr>
      </w:pPr>
      <w:r>
        <w:rPr>
          <w:rFonts w:ascii="Times New Roman" w:hAnsi="Times New Roman" w:cs="Times New Roman"/>
          <w:u w:val="single"/>
        </w:rPr>
        <w:t>d.非甲烷总烃</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非甲烷总烃：评价范围内非甲烷总烃对关心点预测结果见下表所示。拟建项目非甲烷总烃的1小时平均均浓度对各关心点的影响满足《大气污染物综合排放标准详解》相应标准要求。</w:t>
      </w:r>
    </w:p>
    <w:p>
      <w:pPr>
        <w:pStyle w:val="6"/>
        <w:rPr>
          <w:rFonts w:ascii="Times New Roman" w:hAnsi="Times New Roman" w:cs="Times New Roman"/>
          <w:u w:val="single"/>
        </w:rPr>
      </w:pPr>
      <w:r>
        <w:rPr>
          <w:rFonts w:ascii="Times New Roman" w:hAnsi="Times New Roman" w:cs="Times New Roman"/>
          <w:u w:val="single"/>
        </w:rPr>
        <w:t>表6.2.1-</w:t>
      </w:r>
      <w:r>
        <w:rPr>
          <w:rFonts w:hint="eastAsia" w:ascii="Times New Roman" w:hAnsi="Times New Roman" w:cs="Times New Roman"/>
          <w:u w:val="single"/>
        </w:rPr>
        <w:t xml:space="preserve">31  </w:t>
      </w:r>
      <w:r>
        <w:rPr>
          <w:rFonts w:ascii="Times New Roman" w:hAnsi="Times New Roman" w:cs="Times New Roman"/>
          <w:u w:val="single"/>
        </w:rPr>
        <w:t>本项目正常排放下各敏感点非甲烷总烃1小时平均叠加浓度预测结果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28"/>
        <w:gridCol w:w="865"/>
        <w:gridCol w:w="1559"/>
        <w:gridCol w:w="1276"/>
        <w:gridCol w:w="959"/>
        <w:gridCol w:w="1651"/>
        <w:gridCol w:w="9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szCs w:val="21"/>
                <w:u w:val="single"/>
              </w:rPr>
            </w:pPr>
            <w:r>
              <w:rPr>
                <w:szCs w:val="21"/>
                <w:u w:val="single"/>
              </w:rPr>
              <w:t>敏感点名称</w:t>
            </w:r>
          </w:p>
        </w:tc>
        <w:tc>
          <w:tcPr>
            <w:tcW w:w="507" w:type="pct"/>
            <w:shd w:val="clear" w:color="auto" w:fill="auto"/>
            <w:noWrap/>
            <w:vAlign w:val="center"/>
          </w:tcPr>
          <w:p>
            <w:pPr>
              <w:pStyle w:val="63"/>
              <w:rPr>
                <w:szCs w:val="21"/>
                <w:u w:val="single"/>
              </w:rPr>
            </w:pPr>
            <w:r>
              <w:rPr>
                <w:szCs w:val="21"/>
                <w:u w:val="single"/>
              </w:rPr>
              <w:t>浓度类型</w:t>
            </w:r>
          </w:p>
        </w:tc>
        <w:tc>
          <w:tcPr>
            <w:tcW w:w="914" w:type="pct"/>
            <w:shd w:val="clear" w:color="auto" w:fill="auto"/>
            <w:noWrap/>
            <w:vAlign w:val="center"/>
          </w:tcPr>
          <w:p>
            <w:pPr>
              <w:pStyle w:val="63"/>
              <w:rPr>
                <w:szCs w:val="21"/>
                <w:u w:val="single"/>
              </w:rPr>
            </w:pPr>
            <w:r>
              <w:rPr>
                <w:rFonts w:eastAsia="宋体"/>
                <w:szCs w:val="21"/>
                <w:u w:val="single"/>
              </w:rPr>
              <w:t>本项目+区域污染源ug/m</w:t>
            </w:r>
            <w:r>
              <w:rPr>
                <w:rFonts w:eastAsia="宋体"/>
                <w:szCs w:val="21"/>
                <w:u w:val="single"/>
                <w:vertAlign w:val="superscript"/>
              </w:rPr>
              <w:t>3</w:t>
            </w:r>
          </w:p>
        </w:tc>
        <w:tc>
          <w:tcPr>
            <w:tcW w:w="748" w:type="pct"/>
            <w:vAlign w:val="center"/>
          </w:tcPr>
          <w:p>
            <w:pPr>
              <w:pStyle w:val="63"/>
              <w:rPr>
                <w:szCs w:val="21"/>
                <w:u w:val="single"/>
              </w:rPr>
            </w:pPr>
            <w:r>
              <w:rPr>
                <w:szCs w:val="21"/>
                <w:u w:val="single"/>
              </w:rPr>
              <w:t>背景值(μg/m</w:t>
            </w:r>
            <w:r>
              <w:rPr>
                <w:szCs w:val="21"/>
                <w:u w:val="single"/>
                <w:vertAlign w:val="superscript"/>
              </w:rPr>
              <w:t>3</w:t>
            </w:r>
            <w:r>
              <w:rPr>
                <w:szCs w:val="21"/>
                <w:u w:val="single"/>
              </w:rPr>
              <w:t>)</w:t>
            </w:r>
          </w:p>
        </w:tc>
        <w:tc>
          <w:tcPr>
            <w:tcW w:w="562" w:type="pct"/>
            <w:vAlign w:val="center"/>
          </w:tcPr>
          <w:p>
            <w:pPr>
              <w:pStyle w:val="63"/>
              <w:rPr>
                <w:rFonts w:eastAsia="宋体"/>
                <w:szCs w:val="21"/>
                <w:u w:val="single"/>
              </w:rPr>
            </w:pPr>
            <w:r>
              <w:rPr>
                <w:rFonts w:eastAsia="宋体"/>
                <w:szCs w:val="21"/>
                <w:u w:val="single"/>
              </w:rPr>
              <w:t>叠加后</w:t>
            </w:r>
          </w:p>
          <w:p>
            <w:pPr>
              <w:pStyle w:val="63"/>
              <w:rPr>
                <w:rFonts w:eastAsia="宋体"/>
                <w:szCs w:val="21"/>
                <w:u w:val="single"/>
              </w:rPr>
            </w:pPr>
            <w:r>
              <w:rPr>
                <w:rFonts w:eastAsia="宋体"/>
                <w:szCs w:val="21"/>
                <w:u w:val="single"/>
              </w:rPr>
              <w:t>ug/m</w:t>
            </w:r>
            <w:r>
              <w:rPr>
                <w:rFonts w:eastAsia="宋体"/>
                <w:szCs w:val="21"/>
                <w:u w:val="single"/>
                <w:vertAlign w:val="superscript"/>
              </w:rPr>
              <w:t>3</w:t>
            </w:r>
          </w:p>
        </w:tc>
        <w:tc>
          <w:tcPr>
            <w:tcW w:w="968" w:type="pct"/>
            <w:shd w:val="clear" w:color="auto" w:fill="auto"/>
            <w:noWrap/>
            <w:vAlign w:val="center"/>
          </w:tcPr>
          <w:p>
            <w:pPr>
              <w:pStyle w:val="63"/>
              <w:rPr>
                <w:szCs w:val="21"/>
                <w:u w:val="single"/>
              </w:rPr>
            </w:pPr>
            <w:r>
              <w:rPr>
                <w:szCs w:val="21"/>
                <w:u w:val="single"/>
              </w:rPr>
              <w:t>评价标准(μg/m</w:t>
            </w:r>
            <w:r>
              <w:rPr>
                <w:szCs w:val="21"/>
                <w:u w:val="single"/>
                <w:vertAlign w:val="superscript"/>
              </w:rPr>
              <w:t>3</w:t>
            </w:r>
            <w:r>
              <w:rPr>
                <w:szCs w:val="21"/>
                <w:u w:val="single"/>
              </w:rPr>
              <w:t>)</w:t>
            </w:r>
          </w:p>
        </w:tc>
        <w:tc>
          <w:tcPr>
            <w:tcW w:w="581" w:type="pct"/>
            <w:shd w:val="clear" w:color="auto" w:fill="auto"/>
            <w:noWrap/>
            <w:vAlign w:val="center"/>
          </w:tcPr>
          <w:p>
            <w:pPr>
              <w:pStyle w:val="63"/>
              <w:rPr>
                <w:szCs w:val="21"/>
                <w:u w:val="single"/>
              </w:rPr>
            </w:pPr>
            <w:r>
              <w:rPr>
                <w:szCs w:val="21"/>
                <w:u w:val="single"/>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浦泉村</w:t>
            </w:r>
          </w:p>
        </w:tc>
        <w:tc>
          <w:tcPr>
            <w:tcW w:w="507" w:type="pct"/>
            <w:vMerge w:val="restart"/>
            <w:shd w:val="clear" w:color="auto" w:fill="auto"/>
            <w:noWrap/>
            <w:vAlign w:val="center"/>
          </w:tcPr>
          <w:p>
            <w:pPr>
              <w:pStyle w:val="63"/>
              <w:rPr>
                <w:rFonts w:eastAsia="宋体"/>
                <w:szCs w:val="21"/>
                <w:u w:val="single"/>
              </w:rPr>
            </w:pPr>
            <w:r>
              <w:rPr>
                <w:rFonts w:hint="eastAsia" w:eastAsia="宋体"/>
                <w:szCs w:val="21"/>
                <w:u w:val="single"/>
              </w:rPr>
              <w:t>1小时</w:t>
            </w:r>
          </w:p>
          <w:p>
            <w:pPr>
              <w:pStyle w:val="63"/>
              <w:rPr>
                <w:rFonts w:eastAsia="宋体"/>
                <w:szCs w:val="21"/>
                <w:u w:val="single"/>
              </w:rPr>
            </w:pPr>
            <w:r>
              <w:rPr>
                <w:rFonts w:hint="eastAsia" w:eastAsia="宋体"/>
                <w:szCs w:val="21"/>
                <w:u w:val="single"/>
              </w:rPr>
              <w:t>平均</w:t>
            </w:r>
          </w:p>
        </w:tc>
        <w:tc>
          <w:tcPr>
            <w:tcW w:w="914" w:type="pct"/>
            <w:shd w:val="clear" w:color="auto" w:fill="auto"/>
            <w:noWrap/>
            <w:vAlign w:val="center"/>
          </w:tcPr>
          <w:p>
            <w:pPr>
              <w:pStyle w:val="63"/>
              <w:rPr>
                <w:rFonts w:ascii="Calibri" w:hAnsi="Calibri" w:eastAsia="宋体" w:cs="Calibri"/>
                <w:color w:val="000000"/>
                <w:szCs w:val="21"/>
                <w:u w:val="single"/>
              </w:rPr>
            </w:pPr>
            <w:r>
              <w:rPr>
                <w:rFonts w:ascii="Calibri" w:hAnsi="Calibri" w:cs="Calibri"/>
                <w:color w:val="000000"/>
                <w:szCs w:val="21"/>
                <w:u w:val="single"/>
              </w:rPr>
              <w:t>6.940</w:t>
            </w:r>
          </w:p>
        </w:tc>
        <w:tc>
          <w:tcPr>
            <w:tcW w:w="748" w:type="pct"/>
            <w:vMerge w:val="restart"/>
            <w:vAlign w:val="center"/>
          </w:tcPr>
          <w:p>
            <w:pPr>
              <w:pStyle w:val="63"/>
              <w:rPr>
                <w:szCs w:val="21"/>
                <w:u w:val="single"/>
              </w:rPr>
            </w:pPr>
            <w:r>
              <w:rPr>
                <w:rFonts w:hint="eastAsia"/>
                <w:szCs w:val="21"/>
                <w:u w:val="single"/>
              </w:rPr>
              <w:t>0</w:t>
            </w:r>
          </w:p>
        </w:tc>
        <w:tc>
          <w:tcPr>
            <w:tcW w:w="562" w:type="pct"/>
            <w:vAlign w:val="center"/>
          </w:tcPr>
          <w:p>
            <w:pPr>
              <w:pStyle w:val="63"/>
              <w:rPr>
                <w:rFonts w:ascii="Calibri" w:hAnsi="Calibri" w:eastAsia="宋体" w:cs="Calibri"/>
                <w:color w:val="000000"/>
                <w:szCs w:val="21"/>
                <w:u w:val="single"/>
              </w:rPr>
            </w:pPr>
            <w:r>
              <w:rPr>
                <w:rFonts w:ascii="Calibri" w:hAnsi="Calibri" w:cs="Calibri"/>
                <w:color w:val="000000"/>
                <w:szCs w:val="21"/>
                <w:u w:val="single"/>
              </w:rPr>
              <w:t>6.940</w:t>
            </w:r>
          </w:p>
        </w:tc>
        <w:tc>
          <w:tcPr>
            <w:tcW w:w="968" w:type="pct"/>
            <w:shd w:val="clear" w:color="auto" w:fill="auto"/>
            <w:noWrap/>
            <w:vAlign w:val="center"/>
          </w:tcPr>
          <w:p>
            <w:pPr>
              <w:pStyle w:val="63"/>
              <w:rPr>
                <w:szCs w:val="21"/>
                <w:u w:val="single"/>
              </w:rPr>
            </w:pPr>
            <w:r>
              <w:rPr>
                <w:szCs w:val="21"/>
                <w:u w:val="single"/>
              </w:rPr>
              <w:t>2000</w:t>
            </w:r>
          </w:p>
        </w:tc>
        <w:tc>
          <w:tcPr>
            <w:tcW w:w="581" w:type="pct"/>
            <w:shd w:val="clear" w:color="auto" w:fill="auto"/>
            <w:noWrap/>
            <w:vAlign w:val="center"/>
          </w:tcPr>
          <w:p>
            <w:pPr>
              <w:pStyle w:val="63"/>
              <w:rPr>
                <w:rFonts w:ascii="宋体" w:hAnsi="宋体" w:eastAsia="宋体" w:cs="宋体"/>
                <w:color w:val="000000"/>
                <w:szCs w:val="21"/>
                <w:u w:val="single"/>
              </w:rPr>
            </w:pPr>
            <w:r>
              <w:rPr>
                <w:rFonts w:hint="eastAsia"/>
                <w:color w:val="000000"/>
                <w:szCs w:val="21"/>
                <w:u w:val="single"/>
              </w:rPr>
              <w:t>0.3500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三才村</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ascii="Calibri" w:hAnsi="Calibri" w:eastAsia="宋体" w:cs="Calibri"/>
                <w:color w:val="000000"/>
                <w:szCs w:val="21"/>
                <w:u w:val="single"/>
              </w:rPr>
            </w:pPr>
            <w:r>
              <w:rPr>
                <w:rFonts w:ascii="Calibri" w:hAnsi="Calibri" w:cs="Calibri"/>
                <w:color w:val="000000"/>
                <w:szCs w:val="21"/>
                <w:u w:val="single"/>
              </w:rPr>
              <w:t>7.820</w:t>
            </w:r>
          </w:p>
        </w:tc>
        <w:tc>
          <w:tcPr>
            <w:tcW w:w="748" w:type="pct"/>
            <w:vMerge w:val="continue"/>
            <w:vAlign w:val="center"/>
          </w:tcPr>
          <w:p>
            <w:pPr>
              <w:pStyle w:val="63"/>
              <w:rPr>
                <w:szCs w:val="21"/>
                <w:u w:val="single"/>
              </w:rPr>
            </w:pPr>
          </w:p>
        </w:tc>
        <w:tc>
          <w:tcPr>
            <w:tcW w:w="562" w:type="pct"/>
            <w:vAlign w:val="center"/>
          </w:tcPr>
          <w:p>
            <w:pPr>
              <w:pStyle w:val="63"/>
              <w:rPr>
                <w:rFonts w:ascii="Calibri" w:hAnsi="Calibri" w:eastAsia="宋体" w:cs="Calibri"/>
                <w:color w:val="000000"/>
                <w:szCs w:val="21"/>
                <w:u w:val="single"/>
              </w:rPr>
            </w:pPr>
            <w:r>
              <w:rPr>
                <w:rFonts w:ascii="Calibri" w:hAnsi="Calibri" w:cs="Calibri"/>
                <w:color w:val="000000"/>
                <w:szCs w:val="21"/>
                <w:u w:val="single"/>
              </w:rPr>
              <w:t>7.820</w:t>
            </w:r>
          </w:p>
        </w:tc>
        <w:tc>
          <w:tcPr>
            <w:tcW w:w="968" w:type="pct"/>
            <w:shd w:val="clear" w:color="auto" w:fill="auto"/>
            <w:noWrap/>
            <w:vAlign w:val="center"/>
          </w:tcPr>
          <w:p>
            <w:pPr>
              <w:pStyle w:val="63"/>
              <w:rPr>
                <w:szCs w:val="21"/>
                <w:u w:val="single"/>
              </w:rPr>
            </w:pPr>
            <w:r>
              <w:rPr>
                <w:szCs w:val="21"/>
                <w:u w:val="single"/>
              </w:rPr>
              <w:t>2000</w:t>
            </w:r>
          </w:p>
        </w:tc>
        <w:tc>
          <w:tcPr>
            <w:tcW w:w="581" w:type="pct"/>
            <w:shd w:val="clear" w:color="auto" w:fill="auto"/>
            <w:noWrap/>
            <w:vAlign w:val="center"/>
          </w:tcPr>
          <w:p>
            <w:pPr>
              <w:pStyle w:val="63"/>
              <w:rPr>
                <w:rFonts w:ascii="宋体" w:hAnsi="宋体" w:eastAsia="宋体" w:cs="宋体"/>
                <w:color w:val="000000"/>
                <w:szCs w:val="21"/>
                <w:u w:val="single"/>
              </w:rPr>
            </w:pPr>
            <w:r>
              <w:rPr>
                <w:rFonts w:hint="eastAsia"/>
                <w:color w:val="000000"/>
                <w:szCs w:val="21"/>
                <w:u w:val="single"/>
              </w:rPr>
              <w:t>0.3900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新石桥村</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ascii="Calibri" w:hAnsi="Calibri" w:eastAsia="宋体" w:cs="Calibri"/>
                <w:color w:val="000000"/>
                <w:szCs w:val="21"/>
                <w:u w:val="single"/>
              </w:rPr>
            </w:pPr>
            <w:r>
              <w:rPr>
                <w:rFonts w:ascii="Calibri" w:hAnsi="Calibri" w:cs="Calibri"/>
                <w:color w:val="000000"/>
                <w:szCs w:val="21"/>
                <w:u w:val="single"/>
              </w:rPr>
              <w:t>6.880</w:t>
            </w:r>
          </w:p>
        </w:tc>
        <w:tc>
          <w:tcPr>
            <w:tcW w:w="748" w:type="pct"/>
            <w:vMerge w:val="continue"/>
            <w:vAlign w:val="center"/>
          </w:tcPr>
          <w:p>
            <w:pPr>
              <w:pStyle w:val="63"/>
              <w:rPr>
                <w:szCs w:val="21"/>
                <w:u w:val="single"/>
              </w:rPr>
            </w:pPr>
          </w:p>
        </w:tc>
        <w:tc>
          <w:tcPr>
            <w:tcW w:w="562" w:type="pct"/>
            <w:vAlign w:val="center"/>
          </w:tcPr>
          <w:p>
            <w:pPr>
              <w:pStyle w:val="63"/>
              <w:rPr>
                <w:rFonts w:ascii="Calibri" w:hAnsi="Calibri" w:eastAsia="宋体" w:cs="Calibri"/>
                <w:color w:val="000000"/>
                <w:szCs w:val="21"/>
                <w:u w:val="single"/>
              </w:rPr>
            </w:pPr>
            <w:r>
              <w:rPr>
                <w:rFonts w:ascii="Calibri" w:hAnsi="Calibri" w:cs="Calibri"/>
                <w:color w:val="000000"/>
                <w:szCs w:val="21"/>
                <w:u w:val="single"/>
              </w:rPr>
              <w:t>6.880</w:t>
            </w:r>
          </w:p>
        </w:tc>
        <w:tc>
          <w:tcPr>
            <w:tcW w:w="968" w:type="pct"/>
            <w:shd w:val="clear" w:color="auto" w:fill="auto"/>
            <w:noWrap/>
            <w:vAlign w:val="center"/>
          </w:tcPr>
          <w:p>
            <w:pPr>
              <w:pStyle w:val="63"/>
              <w:rPr>
                <w:szCs w:val="21"/>
                <w:u w:val="single"/>
              </w:rPr>
            </w:pPr>
            <w:r>
              <w:rPr>
                <w:szCs w:val="21"/>
                <w:u w:val="single"/>
              </w:rPr>
              <w:t>2000</w:t>
            </w:r>
          </w:p>
        </w:tc>
        <w:tc>
          <w:tcPr>
            <w:tcW w:w="581" w:type="pct"/>
            <w:shd w:val="clear" w:color="auto" w:fill="auto"/>
            <w:noWrap/>
            <w:vAlign w:val="center"/>
          </w:tcPr>
          <w:p>
            <w:pPr>
              <w:pStyle w:val="63"/>
              <w:rPr>
                <w:rFonts w:ascii="宋体" w:hAnsi="宋体" w:eastAsia="宋体" w:cs="宋体"/>
                <w:color w:val="000000"/>
                <w:szCs w:val="21"/>
                <w:u w:val="single"/>
              </w:rPr>
            </w:pPr>
            <w:r>
              <w:rPr>
                <w:rFonts w:hint="eastAsia"/>
                <w:color w:val="000000"/>
                <w:szCs w:val="21"/>
                <w:u w:val="single"/>
              </w:rPr>
              <w:t>0.3400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大浦镇</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ascii="Calibri" w:hAnsi="Calibri" w:eastAsia="宋体" w:cs="Calibri"/>
                <w:color w:val="000000"/>
                <w:szCs w:val="21"/>
                <w:u w:val="single"/>
              </w:rPr>
            </w:pPr>
            <w:r>
              <w:rPr>
                <w:rFonts w:ascii="Calibri" w:hAnsi="Calibri" w:cs="Calibri"/>
                <w:color w:val="000000"/>
                <w:szCs w:val="21"/>
                <w:u w:val="single"/>
              </w:rPr>
              <w:t>7.660</w:t>
            </w:r>
          </w:p>
        </w:tc>
        <w:tc>
          <w:tcPr>
            <w:tcW w:w="748" w:type="pct"/>
            <w:vMerge w:val="continue"/>
            <w:vAlign w:val="center"/>
          </w:tcPr>
          <w:p>
            <w:pPr>
              <w:pStyle w:val="63"/>
              <w:rPr>
                <w:szCs w:val="21"/>
                <w:u w:val="single"/>
              </w:rPr>
            </w:pPr>
          </w:p>
        </w:tc>
        <w:tc>
          <w:tcPr>
            <w:tcW w:w="562" w:type="pct"/>
            <w:vAlign w:val="center"/>
          </w:tcPr>
          <w:p>
            <w:pPr>
              <w:pStyle w:val="63"/>
              <w:rPr>
                <w:rFonts w:ascii="Calibri" w:hAnsi="Calibri" w:eastAsia="宋体" w:cs="Calibri"/>
                <w:color w:val="000000"/>
                <w:szCs w:val="21"/>
                <w:u w:val="single"/>
              </w:rPr>
            </w:pPr>
            <w:r>
              <w:rPr>
                <w:rFonts w:ascii="Calibri" w:hAnsi="Calibri" w:cs="Calibri"/>
                <w:color w:val="000000"/>
                <w:szCs w:val="21"/>
                <w:u w:val="single"/>
              </w:rPr>
              <w:t>7.660</w:t>
            </w:r>
          </w:p>
        </w:tc>
        <w:tc>
          <w:tcPr>
            <w:tcW w:w="968" w:type="pct"/>
            <w:shd w:val="clear" w:color="auto" w:fill="auto"/>
            <w:noWrap/>
            <w:vAlign w:val="center"/>
          </w:tcPr>
          <w:p>
            <w:pPr>
              <w:pStyle w:val="63"/>
              <w:rPr>
                <w:szCs w:val="21"/>
                <w:u w:val="single"/>
              </w:rPr>
            </w:pPr>
            <w:r>
              <w:rPr>
                <w:szCs w:val="21"/>
                <w:u w:val="single"/>
              </w:rPr>
              <w:t>2000</w:t>
            </w:r>
          </w:p>
        </w:tc>
        <w:tc>
          <w:tcPr>
            <w:tcW w:w="581" w:type="pct"/>
            <w:shd w:val="clear" w:color="auto" w:fill="auto"/>
            <w:noWrap/>
            <w:vAlign w:val="center"/>
          </w:tcPr>
          <w:p>
            <w:pPr>
              <w:pStyle w:val="63"/>
              <w:rPr>
                <w:rFonts w:ascii="宋体" w:hAnsi="宋体" w:eastAsia="宋体" w:cs="宋体"/>
                <w:color w:val="000000"/>
                <w:szCs w:val="21"/>
                <w:u w:val="single"/>
              </w:rPr>
            </w:pPr>
            <w:r>
              <w:rPr>
                <w:rFonts w:hint="eastAsia"/>
                <w:color w:val="000000"/>
                <w:szCs w:val="21"/>
                <w:u w:val="single"/>
              </w:rPr>
              <w:t>0.3800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炉铺村</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ascii="Calibri" w:hAnsi="Calibri" w:eastAsia="宋体" w:cs="Calibri"/>
                <w:color w:val="000000"/>
                <w:szCs w:val="21"/>
                <w:u w:val="single"/>
              </w:rPr>
            </w:pPr>
            <w:r>
              <w:rPr>
                <w:rFonts w:ascii="Calibri" w:hAnsi="Calibri" w:cs="Calibri"/>
                <w:color w:val="000000"/>
                <w:szCs w:val="21"/>
                <w:u w:val="single"/>
              </w:rPr>
              <w:t>6.710</w:t>
            </w:r>
          </w:p>
        </w:tc>
        <w:tc>
          <w:tcPr>
            <w:tcW w:w="748" w:type="pct"/>
            <w:vMerge w:val="continue"/>
            <w:vAlign w:val="center"/>
          </w:tcPr>
          <w:p>
            <w:pPr>
              <w:pStyle w:val="63"/>
              <w:rPr>
                <w:szCs w:val="21"/>
                <w:u w:val="single"/>
              </w:rPr>
            </w:pPr>
          </w:p>
        </w:tc>
        <w:tc>
          <w:tcPr>
            <w:tcW w:w="562" w:type="pct"/>
            <w:vAlign w:val="center"/>
          </w:tcPr>
          <w:p>
            <w:pPr>
              <w:pStyle w:val="63"/>
              <w:rPr>
                <w:rFonts w:ascii="Calibri" w:hAnsi="Calibri" w:eastAsia="宋体" w:cs="Calibri"/>
                <w:color w:val="000000"/>
                <w:szCs w:val="21"/>
                <w:u w:val="single"/>
              </w:rPr>
            </w:pPr>
            <w:r>
              <w:rPr>
                <w:rFonts w:ascii="Calibri" w:hAnsi="Calibri" w:cs="Calibri"/>
                <w:color w:val="000000"/>
                <w:szCs w:val="21"/>
                <w:u w:val="single"/>
              </w:rPr>
              <w:t>6.710</w:t>
            </w:r>
          </w:p>
        </w:tc>
        <w:tc>
          <w:tcPr>
            <w:tcW w:w="968" w:type="pct"/>
            <w:shd w:val="clear" w:color="auto" w:fill="auto"/>
            <w:noWrap/>
            <w:vAlign w:val="center"/>
          </w:tcPr>
          <w:p>
            <w:pPr>
              <w:pStyle w:val="63"/>
              <w:rPr>
                <w:szCs w:val="21"/>
                <w:u w:val="single"/>
              </w:rPr>
            </w:pPr>
            <w:r>
              <w:rPr>
                <w:szCs w:val="21"/>
                <w:u w:val="single"/>
              </w:rPr>
              <w:t>2000</w:t>
            </w:r>
          </w:p>
        </w:tc>
        <w:tc>
          <w:tcPr>
            <w:tcW w:w="581" w:type="pct"/>
            <w:shd w:val="clear" w:color="auto" w:fill="auto"/>
            <w:noWrap/>
            <w:vAlign w:val="center"/>
          </w:tcPr>
          <w:p>
            <w:pPr>
              <w:pStyle w:val="63"/>
              <w:rPr>
                <w:rFonts w:ascii="宋体" w:hAnsi="宋体" w:eastAsia="宋体" w:cs="宋体"/>
                <w:color w:val="000000"/>
                <w:szCs w:val="21"/>
                <w:u w:val="single"/>
              </w:rPr>
            </w:pPr>
            <w:r>
              <w:rPr>
                <w:rFonts w:hint="eastAsia"/>
                <w:color w:val="000000"/>
                <w:szCs w:val="21"/>
                <w:u w:val="single"/>
              </w:rPr>
              <w:t>0.3400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堰桥村</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ascii="Calibri" w:hAnsi="Calibri" w:eastAsia="宋体" w:cs="Calibri"/>
                <w:color w:val="000000"/>
                <w:szCs w:val="21"/>
                <w:u w:val="single"/>
              </w:rPr>
            </w:pPr>
            <w:r>
              <w:rPr>
                <w:rFonts w:ascii="Calibri" w:hAnsi="Calibri" w:cs="Calibri"/>
                <w:color w:val="000000"/>
                <w:szCs w:val="21"/>
                <w:u w:val="single"/>
              </w:rPr>
              <w:t>6.410</w:t>
            </w:r>
          </w:p>
        </w:tc>
        <w:tc>
          <w:tcPr>
            <w:tcW w:w="748" w:type="pct"/>
            <w:vMerge w:val="continue"/>
            <w:vAlign w:val="center"/>
          </w:tcPr>
          <w:p>
            <w:pPr>
              <w:pStyle w:val="63"/>
              <w:rPr>
                <w:szCs w:val="21"/>
                <w:u w:val="single"/>
              </w:rPr>
            </w:pPr>
          </w:p>
        </w:tc>
        <w:tc>
          <w:tcPr>
            <w:tcW w:w="562" w:type="pct"/>
            <w:vAlign w:val="center"/>
          </w:tcPr>
          <w:p>
            <w:pPr>
              <w:pStyle w:val="63"/>
              <w:rPr>
                <w:rFonts w:ascii="Calibri" w:hAnsi="Calibri" w:eastAsia="宋体" w:cs="Calibri"/>
                <w:color w:val="000000"/>
                <w:szCs w:val="21"/>
                <w:u w:val="single"/>
              </w:rPr>
            </w:pPr>
            <w:r>
              <w:rPr>
                <w:rFonts w:ascii="Calibri" w:hAnsi="Calibri" w:cs="Calibri"/>
                <w:color w:val="000000"/>
                <w:szCs w:val="21"/>
                <w:u w:val="single"/>
              </w:rPr>
              <w:t>6.410</w:t>
            </w:r>
          </w:p>
        </w:tc>
        <w:tc>
          <w:tcPr>
            <w:tcW w:w="968" w:type="pct"/>
            <w:shd w:val="clear" w:color="auto" w:fill="auto"/>
            <w:noWrap/>
            <w:vAlign w:val="center"/>
          </w:tcPr>
          <w:p>
            <w:pPr>
              <w:pStyle w:val="63"/>
              <w:rPr>
                <w:szCs w:val="21"/>
                <w:u w:val="single"/>
              </w:rPr>
            </w:pPr>
            <w:r>
              <w:rPr>
                <w:szCs w:val="21"/>
                <w:u w:val="single"/>
              </w:rPr>
              <w:t>2000</w:t>
            </w:r>
          </w:p>
        </w:tc>
        <w:tc>
          <w:tcPr>
            <w:tcW w:w="581" w:type="pct"/>
            <w:shd w:val="clear" w:color="auto" w:fill="auto"/>
            <w:noWrap/>
            <w:vAlign w:val="center"/>
          </w:tcPr>
          <w:p>
            <w:pPr>
              <w:pStyle w:val="63"/>
              <w:rPr>
                <w:rFonts w:ascii="宋体" w:hAnsi="宋体" w:eastAsia="宋体" w:cs="宋体"/>
                <w:color w:val="000000"/>
                <w:szCs w:val="21"/>
                <w:u w:val="single"/>
              </w:rPr>
            </w:pPr>
            <w:r>
              <w:rPr>
                <w:rFonts w:hint="eastAsia"/>
                <w:color w:val="000000"/>
                <w:szCs w:val="21"/>
                <w:u w:val="single"/>
              </w:rPr>
              <w:t>0.3200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安置区</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ascii="Calibri" w:hAnsi="Calibri" w:eastAsia="宋体" w:cs="Calibri"/>
                <w:color w:val="000000"/>
                <w:szCs w:val="21"/>
                <w:u w:val="single"/>
              </w:rPr>
            </w:pPr>
            <w:r>
              <w:rPr>
                <w:rFonts w:ascii="Calibri" w:hAnsi="Calibri" w:cs="Calibri"/>
                <w:color w:val="000000"/>
                <w:szCs w:val="21"/>
                <w:u w:val="single"/>
              </w:rPr>
              <w:t>5.490</w:t>
            </w:r>
          </w:p>
        </w:tc>
        <w:tc>
          <w:tcPr>
            <w:tcW w:w="748" w:type="pct"/>
            <w:vMerge w:val="continue"/>
            <w:vAlign w:val="center"/>
          </w:tcPr>
          <w:p>
            <w:pPr>
              <w:pStyle w:val="63"/>
              <w:rPr>
                <w:szCs w:val="21"/>
                <w:u w:val="single"/>
              </w:rPr>
            </w:pPr>
          </w:p>
        </w:tc>
        <w:tc>
          <w:tcPr>
            <w:tcW w:w="562" w:type="pct"/>
            <w:vAlign w:val="center"/>
          </w:tcPr>
          <w:p>
            <w:pPr>
              <w:pStyle w:val="63"/>
              <w:rPr>
                <w:rFonts w:ascii="Calibri" w:hAnsi="Calibri" w:eastAsia="宋体" w:cs="Calibri"/>
                <w:color w:val="000000"/>
                <w:szCs w:val="21"/>
                <w:u w:val="single"/>
              </w:rPr>
            </w:pPr>
            <w:r>
              <w:rPr>
                <w:rFonts w:ascii="Calibri" w:hAnsi="Calibri" w:cs="Calibri"/>
                <w:color w:val="000000"/>
                <w:szCs w:val="21"/>
                <w:u w:val="single"/>
              </w:rPr>
              <w:t>5.490</w:t>
            </w:r>
          </w:p>
        </w:tc>
        <w:tc>
          <w:tcPr>
            <w:tcW w:w="968" w:type="pct"/>
            <w:shd w:val="clear" w:color="auto" w:fill="auto"/>
            <w:noWrap/>
            <w:vAlign w:val="center"/>
          </w:tcPr>
          <w:p>
            <w:pPr>
              <w:pStyle w:val="63"/>
              <w:rPr>
                <w:szCs w:val="21"/>
                <w:u w:val="single"/>
              </w:rPr>
            </w:pPr>
            <w:r>
              <w:rPr>
                <w:szCs w:val="21"/>
                <w:u w:val="single"/>
              </w:rPr>
              <w:t>2000</w:t>
            </w:r>
          </w:p>
        </w:tc>
        <w:tc>
          <w:tcPr>
            <w:tcW w:w="581" w:type="pct"/>
            <w:shd w:val="clear" w:color="auto" w:fill="auto"/>
            <w:noWrap/>
            <w:vAlign w:val="center"/>
          </w:tcPr>
          <w:p>
            <w:pPr>
              <w:pStyle w:val="63"/>
              <w:rPr>
                <w:rFonts w:ascii="宋体" w:hAnsi="宋体" w:eastAsia="宋体" w:cs="宋体"/>
                <w:color w:val="000000"/>
                <w:szCs w:val="21"/>
                <w:u w:val="single"/>
              </w:rPr>
            </w:pPr>
            <w:r>
              <w:rPr>
                <w:rFonts w:hint="eastAsia"/>
                <w:color w:val="000000"/>
                <w:szCs w:val="21"/>
                <w:u w:val="single"/>
              </w:rPr>
              <w:t>0.2700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爱国医院</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ascii="Calibri" w:hAnsi="Calibri" w:eastAsia="宋体" w:cs="Calibri"/>
                <w:color w:val="000000"/>
                <w:szCs w:val="21"/>
                <w:u w:val="single"/>
              </w:rPr>
            </w:pPr>
            <w:r>
              <w:rPr>
                <w:rFonts w:ascii="Calibri" w:hAnsi="Calibri" w:cs="Calibri"/>
                <w:color w:val="000000"/>
                <w:szCs w:val="21"/>
                <w:u w:val="single"/>
              </w:rPr>
              <w:t>6.650</w:t>
            </w:r>
          </w:p>
        </w:tc>
        <w:tc>
          <w:tcPr>
            <w:tcW w:w="748" w:type="pct"/>
            <w:vMerge w:val="continue"/>
            <w:vAlign w:val="center"/>
          </w:tcPr>
          <w:p>
            <w:pPr>
              <w:pStyle w:val="63"/>
              <w:rPr>
                <w:szCs w:val="21"/>
                <w:u w:val="single"/>
              </w:rPr>
            </w:pPr>
          </w:p>
        </w:tc>
        <w:tc>
          <w:tcPr>
            <w:tcW w:w="562" w:type="pct"/>
            <w:vAlign w:val="center"/>
          </w:tcPr>
          <w:p>
            <w:pPr>
              <w:pStyle w:val="63"/>
              <w:rPr>
                <w:rFonts w:ascii="Calibri" w:hAnsi="Calibri" w:eastAsia="宋体" w:cs="Calibri"/>
                <w:color w:val="000000"/>
                <w:szCs w:val="21"/>
                <w:u w:val="single"/>
              </w:rPr>
            </w:pPr>
            <w:r>
              <w:rPr>
                <w:rFonts w:ascii="Calibri" w:hAnsi="Calibri" w:cs="Calibri"/>
                <w:color w:val="000000"/>
                <w:szCs w:val="21"/>
                <w:u w:val="single"/>
              </w:rPr>
              <w:t>6.650</w:t>
            </w:r>
          </w:p>
        </w:tc>
        <w:tc>
          <w:tcPr>
            <w:tcW w:w="968" w:type="pct"/>
            <w:shd w:val="clear" w:color="auto" w:fill="auto"/>
            <w:noWrap/>
            <w:vAlign w:val="center"/>
          </w:tcPr>
          <w:p>
            <w:pPr>
              <w:pStyle w:val="63"/>
              <w:rPr>
                <w:szCs w:val="21"/>
                <w:u w:val="single"/>
              </w:rPr>
            </w:pPr>
            <w:r>
              <w:rPr>
                <w:szCs w:val="21"/>
                <w:u w:val="single"/>
              </w:rPr>
              <w:t>2000</w:t>
            </w:r>
          </w:p>
        </w:tc>
        <w:tc>
          <w:tcPr>
            <w:tcW w:w="581" w:type="pct"/>
            <w:shd w:val="clear" w:color="auto" w:fill="auto"/>
            <w:noWrap/>
            <w:vAlign w:val="center"/>
          </w:tcPr>
          <w:p>
            <w:pPr>
              <w:pStyle w:val="63"/>
              <w:rPr>
                <w:rFonts w:ascii="宋体" w:hAnsi="宋体" w:eastAsia="宋体" w:cs="宋体"/>
                <w:color w:val="000000"/>
                <w:szCs w:val="21"/>
                <w:u w:val="single"/>
              </w:rPr>
            </w:pPr>
            <w:r>
              <w:rPr>
                <w:rFonts w:hint="eastAsia"/>
                <w:color w:val="000000"/>
                <w:szCs w:val="21"/>
                <w:u w:val="single"/>
              </w:rPr>
              <w:t>0.3300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罗家老屋</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ascii="Calibri" w:hAnsi="Calibri" w:eastAsia="宋体" w:cs="Calibri"/>
                <w:color w:val="000000"/>
                <w:szCs w:val="21"/>
                <w:u w:val="single"/>
              </w:rPr>
            </w:pPr>
            <w:r>
              <w:rPr>
                <w:rFonts w:ascii="Calibri" w:hAnsi="Calibri" w:cs="Calibri"/>
                <w:color w:val="000000"/>
                <w:szCs w:val="21"/>
                <w:u w:val="single"/>
              </w:rPr>
              <w:t>8.140</w:t>
            </w:r>
          </w:p>
        </w:tc>
        <w:tc>
          <w:tcPr>
            <w:tcW w:w="748" w:type="pct"/>
            <w:vMerge w:val="continue"/>
            <w:vAlign w:val="center"/>
          </w:tcPr>
          <w:p>
            <w:pPr>
              <w:pStyle w:val="63"/>
              <w:rPr>
                <w:szCs w:val="21"/>
                <w:u w:val="single"/>
              </w:rPr>
            </w:pPr>
          </w:p>
        </w:tc>
        <w:tc>
          <w:tcPr>
            <w:tcW w:w="562" w:type="pct"/>
            <w:vAlign w:val="center"/>
          </w:tcPr>
          <w:p>
            <w:pPr>
              <w:pStyle w:val="63"/>
              <w:rPr>
                <w:rFonts w:ascii="Calibri" w:hAnsi="Calibri" w:eastAsia="宋体" w:cs="Calibri"/>
                <w:color w:val="000000"/>
                <w:szCs w:val="21"/>
                <w:u w:val="single"/>
              </w:rPr>
            </w:pPr>
            <w:r>
              <w:rPr>
                <w:rFonts w:ascii="Calibri" w:hAnsi="Calibri" w:cs="Calibri"/>
                <w:color w:val="000000"/>
                <w:szCs w:val="21"/>
                <w:u w:val="single"/>
              </w:rPr>
              <w:t>8.140</w:t>
            </w:r>
          </w:p>
        </w:tc>
        <w:tc>
          <w:tcPr>
            <w:tcW w:w="968" w:type="pct"/>
            <w:shd w:val="clear" w:color="auto" w:fill="auto"/>
            <w:noWrap/>
            <w:vAlign w:val="center"/>
          </w:tcPr>
          <w:p>
            <w:pPr>
              <w:pStyle w:val="63"/>
              <w:rPr>
                <w:szCs w:val="21"/>
                <w:u w:val="single"/>
              </w:rPr>
            </w:pPr>
            <w:r>
              <w:rPr>
                <w:szCs w:val="21"/>
                <w:u w:val="single"/>
              </w:rPr>
              <w:t>2000</w:t>
            </w:r>
          </w:p>
        </w:tc>
        <w:tc>
          <w:tcPr>
            <w:tcW w:w="581" w:type="pct"/>
            <w:shd w:val="clear" w:color="auto" w:fill="auto"/>
            <w:noWrap/>
            <w:vAlign w:val="center"/>
          </w:tcPr>
          <w:p>
            <w:pPr>
              <w:pStyle w:val="63"/>
              <w:rPr>
                <w:rFonts w:ascii="宋体" w:hAnsi="宋体" w:eastAsia="宋体" w:cs="宋体"/>
                <w:color w:val="000000"/>
                <w:szCs w:val="21"/>
                <w:u w:val="single"/>
              </w:rPr>
            </w:pPr>
            <w:r>
              <w:rPr>
                <w:rFonts w:hint="eastAsia"/>
                <w:color w:val="000000"/>
                <w:szCs w:val="21"/>
                <w:u w:val="single"/>
              </w:rPr>
              <w:t>0.4100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北头村</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ascii="Calibri" w:hAnsi="Calibri" w:eastAsia="宋体" w:cs="Calibri"/>
                <w:color w:val="000000"/>
                <w:szCs w:val="21"/>
                <w:u w:val="single"/>
              </w:rPr>
            </w:pPr>
            <w:r>
              <w:rPr>
                <w:rFonts w:ascii="Calibri" w:hAnsi="Calibri" w:cs="Calibri"/>
                <w:color w:val="000000"/>
                <w:szCs w:val="21"/>
                <w:u w:val="single"/>
              </w:rPr>
              <w:t>19.280</w:t>
            </w:r>
          </w:p>
        </w:tc>
        <w:tc>
          <w:tcPr>
            <w:tcW w:w="748" w:type="pct"/>
            <w:vMerge w:val="continue"/>
            <w:vAlign w:val="center"/>
          </w:tcPr>
          <w:p>
            <w:pPr>
              <w:pStyle w:val="63"/>
              <w:rPr>
                <w:szCs w:val="21"/>
                <w:u w:val="single"/>
              </w:rPr>
            </w:pPr>
          </w:p>
        </w:tc>
        <w:tc>
          <w:tcPr>
            <w:tcW w:w="562" w:type="pct"/>
            <w:vAlign w:val="center"/>
          </w:tcPr>
          <w:p>
            <w:pPr>
              <w:pStyle w:val="63"/>
              <w:rPr>
                <w:rFonts w:ascii="Calibri" w:hAnsi="Calibri" w:eastAsia="宋体" w:cs="Calibri"/>
                <w:color w:val="000000"/>
                <w:szCs w:val="21"/>
                <w:u w:val="single"/>
              </w:rPr>
            </w:pPr>
            <w:r>
              <w:rPr>
                <w:rFonts w:ascii="Calibri" w:hAnsi="Calibri" w:cs="Calibri"/>
                <w:color w:val="000000"/>
                <w:szCs w:val="21"/>
                <w:u w:val="single"/>
              </w:rPr>
              <w:t>19.280</w:t>
            </w:r>
          </w:p>
        </w:tc>
        <w:tc>
          <w:tcPr>
            <w:tcW w:w="968" w:type="pct"/>
            <w:shd w:val="clear" w:color="auto" w:fill="auto"/>
            <w:noWrap/>
            <w:vAlign w:val="center"/>
          </w:tcPr>
          <w:p>
            <w:pPr>
              <w:pStyle w:val="63"/>
              <w:rPr>
                <w:szCs w:val="21"/>
                <w:u w:val="single"/>
              </w:rPr>
            </w:pPr>
            <w:r>
              <w:rPr>
                <w:szCs w:val="21"/>
                <w:u w:val="single"/>
              </w:rPr>
              <w:t>2000</w:t>
            </w:r>
          </w:p>
        </w:tc>
        <w:tc>
          <w:tcPr>
            <w:tcW w:w="581" w:type="pct"/>
            <w:shd w:val="clear" w:color="auto" w:fill="auto"/>
            <w:noWrap/>
            <w:vAlign w:val="center"/>
          </w:tcPr>
          <w:p>
            <w:pPr>
              <w:pStyle w:val="63"/>
              <w:rPr>
                <w:rFonts w:ascii="宋体" w:hAnsi="宋体" w:eastAsia="宋体" w:cs="宋体"/>
                <w:color w:val="000000"/>
                <w:szCs w:val="21"/>
                <w:u w:val="single"/>
              </w:rPr>
            </w:pPr>
            <w:r>
              <w:rPr>
                <w:rFonts w:hint="eastAsia"/>
                <w:color w:val="000000"/>
                <w:szCs w:val="21"/>
                <w:u w:val="single"/>
              </w:rPr>
              <w:t>0.9600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龙家冲</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ascii="宋体" w:hAnsi="宋体" w:eastAsia="宋体" w:cs="宋体"/>
                <w:color w:val="000000"/>
                <w:szCs w:val="21"/>
                <w:u w:val="single"/>
              </w:rPr>
            </w:pPr>
            <w:r>
              <w:rPr>
                <w:rFonts w:hint="eastAsia"/>
                <w:color w:val="000000"/>
                <w:szCs w:val="21"/>
                <w:u w:val="single"/>
              </w:rPr>
              <w:t>6.950</w:t>
            </w:r>
          </w:p>
        </w:tc>
        <w:tc>
          <w:tcPr>
            <w:tcW w:w="748" w:type="pct"/>
            <w:vMerge w:val="continue"/>
            <w:vAlign w:val="center"/>
          </w:tcPr>
          <w:p>
            <w:pPr>
              <w:pStyle w:val="63"/>
              <w:rPr>
                <w:szCs w:val="21"/>
                <w:u w:val="single"/>
              </w:rPr>
            </w:pPr>
          </w:p>
        </w:tc>
        <w:tc>
          <w:tcPr>
            <w:tcW w:w="562" w:type="pct"/>
            <w:vAlign w:val="center"/>
          </w:tcPr>
          <w:p>
            <w:pPr>
              <w:pStyle w:val="63"/>
              <w:rPr>
                <w:rFonts w:ascii="宋体" w:hAnsi="宋体" w:eastAsia="宋体" w:cs="宋体"/>
                <w:color w:val="000000"/>
                <w:szCs w:val="21"/>
                <w:u w:val="single"/>
              </w:rPr>
            </w:pPr>
            <w:r>
              <w:rPr>
                <w:rFonts w:hint="eastAsia"/>
                <w:color w:val="000000"/>
                <w:szCs w:val="21"/>
                <w:u w:val="single"/>
              </w:rPr>
              <w:t>6.950</w:t>
            </w:r>
          </w:p>
        </w:tc>
        <w:tc>
          <w:tcPr>
            <w:tcW w:w="968" w:type="pct"/>
            <w:shd w:val="clear" w:color="auto" w:fill="auto"/>
            <w:noWrap/>
            <w:vAlign w:val="center"/>
          </w:tcPr>
          <w:p>
            <w:pPr>
              <w:pStyle w:val="63"/>
              <w:rPr>
                <w:szCs w:val="21"/>
                <w:u w:val="single"/>
              </w:rPr>
            </w:pPr>
            <w:r>
              <w:rPr>
                <w:szCs w:val="21"/>
                <w:u w:val="single"/>
              </w:rPr>
              <w:t>2000</w:t>
            </w:r>
          </w:p>
        </w:tc>
        <w:tc>
          <w:tcPr>
            <w:tcW w:w="581" w:type="pct"/>
            <w:shd w:val="clear" w:color="auto" w:fill="auto"/>
            <w:noWrap/>
            <w:vAlign w:val="center"/>
          </w:tcPr>
          <w:p>
            <w:pPr>
              <w:pStyle w:val="63"/>
              <w:rPr>
                <w:rFonts w:ascii="宋体" w:hAnsi="宋体" w:eastAsia="宋体" w:cs="宋体"/>
                <w:color w:val="000000"/>
                <w:szCs w:val="21"/>
                <w:u w:val="single"/>
              </w:rPr>
            </w:pPr>
            <w:r>
              <w:rPr>
                <w:rFonts w:hint="eastAsia"/>
                <w:color w:val="000000"/>
                <w:szCs w:val="21"/>
                <w:u w:val="single"/>
              </w:rPr>
              <w:t>0.3500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平田村</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ascii="宋体" w:hAnsi="宋体" w:eastAsia="宋体" w:cs="宋体"/>
                <w:color w:val="000000"/>
                <w:szCs w:val="21"/>
                <w:u w:val="single"/>
              </w:rPr>
            </w:pPr>
            <w:r>
              <w:rPr>
                <w:rFonts w:hint="eastAsia"/>
                <w:color w:val="000000"/>
                <w:szCs w:val="21"/>
                <w:u w:val="single"/>
              </w:rPr>
              <w:t>7.63</w:t>
            </w:r>
          </w:p>
        </w:tc>
        <w:tc>
          <w:tcPr>
            <w:tcW w:w="748" w:type="pct"/>
            <w:vMerge w:val="continue"/>
            <w:vAlign w:val="center"/>
          </w:tcPr>
          <w:p>
            <w:pPr>
              <w:pStyle w:val="63"/>
              <w:rPr>
                <w:szCs w:val="21"/>
                <w:u w:val="single"/>
              </w:rPr>
            </w:pPr>
          </w:p>
        </w:tc>
        <w:tc>
          <w:tcPr>
            <w:tcW w:w="562" w:type="pct"/>
            <w:vAlign w:val="center"/>
          </w:tcPr>
          <w:p>
            <w:pPr>
              <w:pStyle w:val="63"/>
              <w:rPr>
                <w:rFonts w:ascii="宋体" w:hAnsi="宋体" w:eastAsia="宋体" w:cs="宋体"/>
                <w:color w:val="000000"/>
                <w:szCs w:val="21"/>
                <w:u w:val="single"/>
              </w:rPr>
            </w:pPr>
            <w:r>
              <w:rPr>
                <w:rFonts w:hint="eastAsia"/>
                <w:color w:val="000000"/>
                <w:szCs w:val="21"/>
                <w:u w:val="single"/>
              </w:rPr>
              <w:t>7.63</w:t>
            </w:r>
          </w:p>
        </w:tc>
        <w:tc>
          <w:tcPr>
            <w:tcW w:w="968" w:type="pct"/>
            <w:shd w:val="clear" w:color="auto" w:fill="auto"/>
            <w:noWrap/>
            <w:vAlign w:val="center"/>
          </w:tcPr>
          <w:p>
            <w:pPr>
              <w:pStyle w:val="63"/>
              <w:rPr>
                <w:szCs w:val="21"/>
                <w:u w:val="single"/>
              </w:rPr>
            </w:pPr>
            <w:r>
              <w:rPr>
                <w:szCs w:val="21"/>
                <w:u w:val="single"/>
              </w:rPr>
              <w:t>2000</w:t>
            </w:r>
          </w:p>
        </w:tc>
        <w:tc>
          <w:tcPr>
            <w:tcW w:w="581" w:type="pct"/>
            <w:shd w:val="clear" w:color="auto" w:fill="auto"/>
            <w:noWrap/>
            <w:vAlign w:val="center"/>
          </w:tcPr>
          <w:p>
            <w:pPr>
              <w:pStyle w:val="63"/>
              <w:rPr>
                <w:rFonts w:ascii="宋体" w:hAnsi="宋体" w:eastAsia="宋体" w:cs="宋体"/>
                <w:color w:val="000000"/>
                <w:szCs w:val="21"/>
                <w:u w:val="single"/>
              </w:rPr>
            </w:pPr>
            <w:r>
              <w:rPr>
                <w:rFonts w:hint="eastAsia"/>
                <w:color w:val="000000"/>
                <w:szCs w:val="21"/>
                <w:u w:val="single"/>
              </w:rPr>
              <w:t>0.3800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szCs w:val="21"/>
                <w:u w:val="single"/>
              </w:rPr>
            </w:pPr>
            <w:r>
              <w:rPr>
                <w:color w:val="000000"/>
                <w:szCs w:val="21"/>
                <w:u w:val="single"/>
              </w:rPr>
              <w:t>彭家屋场</w:t>
            </w:r>
          </w:p>
        </w:tc>
        <w:tc>
          <w:tcPr>
            <w:tcW w:w="507" w:type="pct"/>
            <w:vMerge w:val="continue"/>
            <w:shd w:val="clear" w:color="auto" w:fill="auto"/>
            <w:noWrap/>
            <w:vAlign w:val="center"/>
          </w:tcPr>
          <w:p>
            <w:pPr>
              <w:pStyle w:val="63"/>
              <w:rPr>
                <w:szCs w:val="21"/>
                <w:u w:val="single"/>
              </w:rPr>
            </w:pPr>
          </w:p>
        </w:tc>
        <w:tc>
          <w:tcPr>
            <w:tcW w:w="914" w:type="pct"/>
            <w:shd w:val="clear" w:color="auto" w:fill="auto"/>
            <w:noWrap/>
            <w:vAlign w:val="center"/>
          </w:tcPr>
          <w:p>
            <w:pPr>
              <w:pStyle w:val="63"/>
              <w:rPr>
                <w:rFonts w:ascii="宋体" w:hAnsi="宋体" w:eastAsia="宋体" w:cs="宋体"/>
                <w:color w:val="000000"/>
                <w:szCs w:val="21"/>
                <w:u w:val="single"/>
              </w:rPr>
            </w:pPr>
            <w:r>
              <w:rPr>
                <w:rFonts w:hint="eastAsia"/>
                <w:color w:val="000000"/>
                <w:szCs w:val="21"/>
                <w:u w:val="single"/>
              </w:rPr>
              <w:t>15.10</w:t>
            </w:r>
          </w:p>
        </w:tc>
        <w:tc>
          <w:tcPr>
            <w:tcW w:w="748" w:type="pct"/>
            <w:vMerge w:val="continue"/>
            <w:vAlign w:val="center"/>
          </w:tcPr>
          <w:p>
            <w:pPr>
              <w:pStyle w:val="63"/>
              <w:rPr>
                <w:szCs w:val="21"/>
                <w:u w:val="single"/>
              </w:rPr>
            </w:pPr>
          </w:p>
        </w:tc>
        <w:tc>
          <w:tcPr>
            <w:tcW w:w="562" w:type="pct"/>
            <w:vAlign w:val="center"/>
          </w:tcPr>
          <w:p>
            <w:pPr>
              <w:pStyle w:val="63"/>
              <w:rPr>
                <w:rFonts w:ascii="宋体" w:hAnsi="宋体" w:eastAsia="宋体" w:cs="宋体"/>
                <w:color w:val="000000"/>
                <w:szCs w:val="21"/>
                <w:u w:val="single"/>
              </w:rPr>
            </w:pPr>
            <w:r>
              <w:rPr>
                <w:rFonts w:hint="eastAsia"/>
                <w:color w:val="000000"/>
                <w:szCs w:val="21"/>
                <w:u w:val="single"/>
              </w:rPr>
              <w:t>15.10</w:t>
            </w:r>
          </w:p>
        </w:tc>
        <w:tc>
          <w:tcPr>
            <w:tcW w:w="968" w:type="pct"/>
            <w:shd w:val="clear" w:color="auto" w:fill="auto"/>
            <w:noWrap/>
            <w:vAlign w:val="center"/>
          </w:tcPr>
          <w:p>
            <w:pPr>
              <w:pStyle w:val="63"/>
              <w:rPr>
                <w:szCs w:val="21"/>
                <w:u w:val="single"/>
              </w:rPr>
            </w:pPr>
            <w:r>
              <w:rPr>
                <w:szCs w:val="21"/>
                <w:u w:val="single"/>
              </w:rPr>
              <w:t>2000</w:t>
            </w:r>
          </w:p>
        </w:tc>
        <w:tc>
          <w:tcPr>
            <w:tcW w:w="581" w:type="pct"/>
            <w:shd w:val="clear" w:color="auto" w:fill="auto"/>
            <w:noWrap/>
            <w:vAlign w:val="center"/>
          </w:tcPr>
          <w:p>
            <w:pPr>
              <w:pStyle w:val="63"/>
              <w:rPr>
                <w:rFonts w:ascii="宋体" w:hAnsi="宋体" w:eastAsia="宋体" w:cs="宋体"/>
                <w:color w:val="000000"/>
                <w:szCs w:val="21"/>
                <w:u w:val="single"/>
              </w:rPr>
            </w:pPr>
            <w:r>
              <w:rPr>
                <w:rFonts w:hint="eastAsia"/>
                <w:color w:val="000000"/>
                <w:szCs w:val="21"/>
                <w:u w:val="single"/>
              </w:rPr>
              <w:t>0.75</w:t>
            </w:r>
          </w:p>
        </w:tc>
      </w:tr>
    </w:tbl>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e</w:t>
      </w:r>
      <w:r>
        <w:rPr>
          <w:rFonts w:ascii="Times New Roman" w:hAnsi="Times New Roman" w:cs="Times New Roman"/>
          <w:u w:val="single"/>
        </w:rPr>
        <w:t>.镍及其化合物</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评价范围内镍及其化合物对关心点预测结果</w:t>
      </w:r>
      <w:r>
        <w:rPr>
          <w:rFonts w:hint="eastAsia" w:ascii="Times New Roman" w:hAnsi="Times New Roman" w:cs="Times New Roman"/>
          <w:u w:val="single"/>
        </w:rPr>
        <w:t>见下表</w:t>
      </w:r>
      <w:r>
        <w:rPr>
          <w:rFonts w:ascii="Times New Roman" w:hAnsi="Times New Roman" w:cs="Times New Roman"/>
          <w:u w:val="single"/>
        </w:rPr>
        <w:t>，拟建项目镍及其化合物短期浓度（24小时平均）预测值对各关心点的影响满足《大气污染物综合排放标准详解》相应标准要求。</w:t>
      </w:r>
    </w:p>
    <w:p>
      <w:pPr>
        <w:pStyle w:val="6"/>
        <w:rPr>
          <w:u w:val="single"/>
        </w:rPr>
      </w:pPr>
      <w:r>
        <w:rPr>
          <w:u w:val="single"/>
        </w:rPr>
        <w:t>表</w:t>
      </w:r>
      <w:r>
        <w:rPr>
          <w:rFonts w:ascii="Times New Roman" w:hAnsi="Times New Roman" w:cs="Times New Roman"/>
          <w:u w:val="single"/>
        </w:rPr>
        <w:t>6.2.1-</w:t>
      </w:r>
      <w:r>
        <w:rPr>
          <w:rFonts w:hint="eastAsia" w:ascii="Times New Roman" w:hAnsi="Times New Roman" w:cs="Times New Roman"/>
          <w:u w:val="single"/>
        </w:rPr>
        <w:t xml:space="preserve">32  </w:t>
      </w:r>
      <w:r>
        <w:rPr>
          <w:u w:val="single"/>
        </w:rPr>
        <w:t>本项目正常排放下各敏感点镍24小时叠加浓度预测结果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29"/>
        <w:gridCol w:w="865"/>
        <w:gridCol w:w="1559"/>
        <w:gridCol w:w="1134"/>
        <w:gridCol w:w="1100"/>
        <w:gridCol w:w="1651"/>
        <w:gridCol w:w="9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u w:val="single"/>
              </w:rPr>
            </w:pPr>
            <w:r>
              <w:rPr>
                <w:u w:val="single"/>
              </w:rPr>
              <w:t>敏感点名称</w:t>
            </w:r>
          </w:p>
        </w:tc>
        <w:tc>
          <w:tcPr>
            <w:tcW w:w="507" w:type="pct"/>
            <w:shd w:val="clear" w:color="auto" w:fill="auto"/>
            <w:noWrap/>
            <w:vAlign w:val="center"/>
          </w:tcPr>
          <w:p>
            <w:pPr>
              <w:pStyle w:val="63"/>
              <w:rPr>
                <w:u w:val="single"/>
              </w:rPr>
            </w:pPr>
            <w:r>
              <w:rPr>
                <w:u w:val="single"/>
              </w:rPr>
              <w:t>浓度类型</w:t>
            </w:r>
          </w:p>
        </w:tc>
        <w:tc>
          <w:tcPr>
            <w:tcW w:w="914" w:type="pct"/>
            <w:shd w:val="clear" w:color="auto" w:fill="auto"/>
            <w:noWrap/>
            <w:vAlign w:val="center"/>
          </w:tcPr>
          <w:p>
            <w:pPr>
              <w:pStyle w:val="63"/>
              <w:rPr>
                <w:u w:val="single"/>
              </w:rPr>
            </w:pPr>
            <w:r>
              <w:rPr>
                <w:rFonts w:eastAsia="宋体"/>
                <w:u w:val="single"/>
              </w:rPr>
              <w:t>本项目+区域污染源ug/m</w:t>
            </w:r>
            <w:r>
              <w:rPr>
                <w:rFonts w:eastAsia="宋体"/>
                <w:u w:val="single"/>
                <w:vertAlign w:val="superscript"/>
              </w:rPr>
              <w:t>3</w:t>
            </w:r>
          </w:p>
        </w:tc>
        <w:tc>
          <w:tcPr>
            <w:tcW w:w="665" w:type="pct"/>
            <w:vAlign w:val="center"/>
          </w:tcPr>
          <w:p>
            <w:pPr>
              <w:pStyle w:val="63"/>
              <w:rPr>
                <w:u w:val="single"/>
              </w:rPr>
            </w:pPr>
            <w:r>
              <w:rPr>
                <w:u w:val="single"/>
              </w:rPr>
              <w:t>背景值(μg/m</w:t>
            </w:r>
            <w:r>
              <w:rPr>
                <w:u w:val="single"/>
                <w:vertAlign w:val="superscript"/>
              </w:rPr>
              <w:t>3</w:t>
            </w:r>
            <w:r>
              <w:rPr>
                <w:u w:val="single"/>
              </w:rPr>
              <w:t>)</w:t>
            </w:r>
          </w:p>
        </w:tc>
        <w:tc>
          <w:tcPr>
            <w:tcW w:w="645" w:type="pct"/>
            <w:vAlign w:val="center"/>
          </w:tcPr>
          <w:p>
            <w:pPr>
              <w:pStyle w:val="63"/>
              <w:rPr>
                <w:rFonts w:eastAsia="宋体"/>
                <w:u w:val="single"/>
              </w:rPr>
            </w:pPr>
            <w:r>
              <w:rPr>
                <w:rFonts w:eastAsia="宋体"/>
                <w:u w:val="single"/>
              </w:rPr>
              <w:t>叠加后</w:t>
            </w:r>
          </w:p>
          <w:p>
            <w:pPr>
              <w:pStyle w:val="63"/>
              <w:rPr>
                <w:rFonts w:eastAsia="宋体"/>
                <w:u w:val="single"/>
              </w:rPr>
            </w:pPr>
            <w:r>
              <w:rPr>
                <w:rFonts w:eastAsia="宋体"/>
                <w:u w:val="single"/>
              </w:rPr>
              <w:t>ug/m</w:t>
            </w:r>
            <w:r>
              <w:rPr>
                <w:rFonts w:eastAsia="宋体"/>
                <w:u w:val="single"/>
                <w:vertAlign w:val="superscript"/>
              </w:rPr>
              <w:t>3</w:t>
            </w:r>
          </w:p>
        </w:tc>
        <w:tc>
          <w:tcPr>
            <w:tcW w:w="968" w:type="pct"/>
            <w:shd w:val="clear" w:color="auto" w:fill="auto"/>
            <w:noWrap/>
            <w:vAlign w:val="center"/>
          </w:tcPr>
          <w:p>
            <w:pPr>
              <w:pStyle w:val="63"/>
              <w:rPr>
                <w:u w:val="single"/>
              </w:rPr>
            </w:pPr>
            <w:r>
              <w:rPr>
                <w:u w:val="single"/>
              </w:rPr>
              <w:t>评价标准(μg/m</w:t>
            </w:r>
            <w:r>
              <w:rPr>
                <w:u w:val="single"/>
                <w:vertAlign w:val="superscript"/>
              </w:rPr>
              <w:t>3</w:t>
            </w:r>
            <w:r>
              <w:rPr>
                <w:u w:val="single"/>
              </w:rPr>
              <w:t>)</w:t>
            </w:r>
          </w:p>
        </w:tc>
        <w:tc>
          <w:tcPr>
            <w:tcW w:w="581" w:type="pct"/>
            <w:shd w:val="clear" w:color="auto" w:fill="auto"/>
            <w:noWrap/>
            <w:vAlign w:val="center"/>
          </w:tcPr>
          <w:p>
            <w:pPr>
              <w:pStyle w:val="63"/>
              <w:rPr>
                <w:u w:val="single"/>
              </w:rPr>
            </w:pPr>
            <w:r>
              <w:rPr>
                <w:u w:val="single"/>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浦泉村</w:t>
            </w:r>
          </w:p>
        </w:tc>
        <w:tc>
          <w:tcPr>
            <w:tcW w:w="507" w:type="pct"/>
            <w:vMerge w:val="restart"/>
            <w:shd w:val="clear" w:color="auto" w:fill="auto"/>
            <w:noWrap/>
            <w:vAlign w:val="center"/>
          </w:tcPr>
          <w:p>
            <w:pPr>
              <w:pStyle w:val="63"/>
              <w:rPr>
                <w:rFonts w:eastAsia="宋体"/>
                <w:u w:val="single"/>
              </w:rPr>
            </w:pPr>
            <w:r>
              <w:rPr>
                <w:rFonts w:hint="eastAsia" w:eastAsia="宋体"/>
                <w:u w:val="single"/>
              </w:rPr>
              <w:t>24小时平均</w:t>
            </w:r>
          </w:p>
        </w:tc>
        <w:tc>
          <w:tcPr>
            <w:tcW w:w="914" w:type="pct"/>
            <w:shd w:val="clear" w:color="auto" w:fill="auto"/>
            <w:noWrap/>
            <w:vAlign w:val="center"/>
          </w:tcPr>
          <w:p>
            <w:pPr>
              <w:pStyle w:val="63"/>
              <w:rPr>
                <w:rFonts w:ascii="Calibri" w:hAnsi="Calibri" w:eastAsia="宋体" w:cs="Calibri"/>
                <w:color w:val="000000"/>
                <w:sz w:val="24"/>
                <w:szCs w:val="24"/>
                <w:u w:val="single"/>
              </w:rPr>
            </w:pPr>
            <w:r>
              <w:rPr>
                <w:rFonts w:ascii="Calibri" w:hAnsi="Calibri" w:cs="Calibri"/>
                <w:color w:val="000000"/>
                <w:u w:val="single"/>
              </w:rPr>
              <w:t>0.000018</w:t>
            </w:r>
          </w:p>
        </w:tc>
        <w:tc>
          <w:tcPr>
            <w:tcW w:w="665" w:type="pct"/>
            <w:vMerge w:val="restart"/>
            <w:vAlign w:val="center"/>
          </w:tcPr>
          <w:p>
            <w:pPr>
              <w:pStyle w:val="63"/>
              <w:rPr>
                <w:u w:val="single"/>
              </w:rPr>
            </w:pPr>
            <w:r>
              <w:rPr>
                <w:rFonts w:hint="eastAsia"/>
                <w:u w:val="single"/>
              </w:rPr>
              <w:t>0</w:t>
            </w:r>
          </w:p>
        </w:tc>
        <w:tc>
          <w:tcPr>
            <w:tcW w:w="645" w:type="pct"/>
            <w:vAlign w:val="center"/>
          </w:tcPr>
          <w:p>
            <w:pPr>
              <w:pStyle w:val="63"/>
              <w:rPr>
                <w:rFonts w:ascii="Calibri" w:hAnsi="Calibri" w:eastAsia="宋体" w:cs="Calibri"/>
                <w:color w:val="000000"/>
                <w:sz w:val="24"/>
                <w:szCs w:val="24"/>
                <w:u w:val="single"/>
              </w:rPr>
            </w:pPr>
            <w:r>
              <w:rPr>
                <w:rFonts w:ascii="Calibri" w:hAnsi="Calibri" w:cs="Calibri"/>
                <w:color w:val="000000"/>
                <w:u w:val="single"/>
              </w:rPr>
              <w:t>0.000018</w:t>
            </w:r>
          </w:p>
        </w:tc>
        <w:tc>
          <w:tcPr>
            <w:tcW w:w="968" w:type="pct"/>
            <w:shd w:val="clear" w:color="auto" w:fill="auto"/>
            <w:noWrap/>
            <w:vAlign w:val="center"/>
          </w:tcPr>
          <w:p>
            <w:pPr>
              <w:pStyle w:val="63"/>
              <w:rPr>
                <w:u w:val="single"/>
              </w:rPr>
            </w:pPr>
            <w:r>
              <w:rPr>
                <w:u w:val="single"/>
              </w:rPr>
              <w:t>30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三才村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Calibri" w:hAnsi="Calibri" w:eastAsia="宋体" w:cs="Calibri"/>
                <w:color w:val="000000"/>
                <w:sz w:val="24"/>
                <w:szCs w:val="24"/>
                <w:u w:val="single"/>
              </w:rPr>
            </w:pPr>
            <w:r>
              <w:rPr>
                <w:rFonts w:ascii="Calibri" w:hAnsi="Calibri" w:cs="Calibri"/>
                <w:color w:val="000000"/>
                <w:u w:val="single"/>
              </w:rPr>
              <w:t>0.000008</w:t>
            </w:r>
          </w:p>
        </w:tc>
        <w:tc>
          <w:tcPr>
            <w:tcW w:w="665" w:type="pct"/>
            <w:vMerge w:val="continue"/>
            <w:vAlign w:val="center"/>
          </w:tcPr>
          <w:p>
            <w:pPr>
              <w:pStyle w:val="63"/>
              <w:rPr>
                <w:u w:val="single"/>
              </w:rPr>
            </w:pPr>
          </w:p>
        </w:tc>
        <w:tc>
          <w:tcPr>
            <w:tcW w:w="645" w:type="pct"/>
            <w:vAlign w:val="center"/>
          </w:tcPr>
          <w:p>
            <w:pPr>
              <w:pStyle w:val="63"/>
              <w:rPr>
                <w:rFonts w:ascii="Calibri" w:hAnsi="Calibri" w:eastAsia="宋体" w:cs="Calibri"/>
                <w:color w:val="000000"/>
                <w:sz w:val="24"/>
                <w:szCs w:val="24"/>
                <w:u w:val="single"/>
              </w:rPr>
            </w:pPr>
            <w:r>
              <w:rPr>
                <w:rFonts w:ascii="Calibri" w:hAnsi="Calibri" w:cs="Calibri"/>
                <w:color w:val="000000"/>
                <w:u w:val="single"/>
              </w:rPr>
              <w:t>0.000008</w:t>
            </w:r>
          </w:p>
        </w:tc>
        <w:tc>
          <w:tcPr>
            <w:tcW w:w="968" w:type="pct"/>
            <w:shd w:val="clear" w:color="auto" w:fill="auto"/>
            <w:noWrap/>
            <w:vAlign w:val="center"/>
          </w:tcPr>
          <w:p>
            <w:pPr>
              <w:pStyle w:val="63"/>
              <w:rPr>
                <w:u w:val="single"/>
              </w:rPr>
            </w:pPr>
            <w:r>
              <w:rPr>
                <w:u w:val="single"/>
              </w:rPr>
              <w:t>30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新石桥村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Calibri" w:hAnsi="Calibri" w:eastAsia="宋体" w:cs="Calibri"/>
                <w:color w:val="000000"/>
                <w:sz w:val="24"/>
                <w:szCs w:val="24"/>
                <w:u w:val="single"/>
              </w:rPr>
            </w:pPr>
            <w:r>
              <w:rPr>
                <w:rFonts w:ascii="Calibri" w:hAnsi="Calibri" w:cs="Calibri"/>
                <w:color w:val="000000"/>
                <w:u w:val="single"/>
              </w:rPr>
              <w:t>0.000007</w:t>
            </w:r>
          </w:p>
        </w:tc>
        <w:tc>
          <w:tcPr>
            <w:tcW w:w="665" w:type="pct"/>
            <w:vMerge w:val="continue"/>
            <w:vAlign w:val="center"/>
          </w:tcPr>
          <w:p>
            <w:pPr>
              <w:pStyle w:val="63"/>
              <w:rPr>
                <w:u w:val="single"/>
              </w:rPr>
            </w:pPr>
          </w:p>
        </w:tc>
        <w:tc>
          <w:tcPr>
            <w:tcW w:w="645" w:type="pct"/>
            <w:vAlign w:val="center"/>
          </w:tcPr>
          <w:p>
            <w:pPr>
              <w:pStyle w:val="63"/>
              <w:rPr>
                <w:rFonts w:ascii="Calibri" w:hAnsi="Calibri" w:eastAsia="宋体" w:cs="Calibri"/>
                <w:color w:val="000000"/>
                <w:sz w:val="24"/>
                <w:szCs w:val="24"/>
                <w:u w:val="single"/>
              </w:rPr>
            </w:pPr>
            <w:r>
              <w:rPr>
                <w:rFonts w:ascii="Calibri" w:hAnsi="Calibri" w:cs="Calibri"/>
                <w:color w:val="000000"/>
                <w:u w:val="single"/>
              </w:rPr>
              <w:t>0.000007</w:t>
            </w:r>
          </w:p>
        </w:tc>
        <w:tc>
          <w:tcPr>
            <w:tcW w:w="968" w:type="pct"/>
            <w:shd w:val="clear" w:color="auto" w:fill="auto"/>
            <w:noWrap/>
            <w:vAlign w:val="center"/>
          </w:tcPr>
          <w:p>
            <w:pPr>
              <w:pStyle w:val="63"/>
              <w:rPr>
                <w:u w:val="single"/>
              </w:rPr>
            </w:pPr>
            <w:r>
              <w:rPr>
                <w:u w:val="single"/>
              </w:rPr>
              <w:t>30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大浦镇</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Calibri" w:hAnsi="Calibri" w:eastAsia="宋体" w:cs="Calibri"/>
                <w:color w:val="000000"/>
                <w:sz w:val="24"/>
                <w:szCs w:val="24"/>
                <w:u w:val="single"/>
              </w:rPr>
            </w:pPr>
            <w:r>
              <w:rPr>
                <w:rFonts w:ascii="Calibri" w:hAnsi="Calibri" w:cs="Calibri"/>
                <w:color w:val="000000"/>
                <w:u w:val="single"/>
              </w:rPr>
              <w:t>0.000017</w:t>
            </w:r>
          </w:p>
        </w:tc>
        <w:tc>
          <w:tcPr>
            <w:tcW w:w="665" w:type="pct"/>
            <w:vMerge w:val="continue"/>
            <w:vAlign w:val="center"/>
          </w:tcPr>
          <w:p>
            <w:pPr>
              <w:pStyle w:val="63"/>
              <w:rPr>
                <w:u w:val="single"/>
              </w:rPr>
            </w:pPr>
          </w:p>
        </w:tc>
        <w:tc>
          <w:tcPr>
            <w:tcW w:w="645" w:type="pct"/>
            <w:vAlign w:val="center"/>
          </w:tcPr>
          <w:p>
            <w:pPr>
              <w:pStyle w:val="63"/>
              <w:rPr>
                <w:rFonts w:ascii="Calibri" w:hAnsi="Calibri" w:eastAsia="宋体" w:cs="Calibri"/>
                <w:color w:val="000000"/>
                <w:sz w:val="24"/>
                <w:szCs w:val="24"/>
                <w:u w:val="single"/>
              </w:rPr>
            </w:pPr>
            <w:r>
              <w:rPr>
                <w:rFonts w:ascii="Calibri" w:hAnsi="Calibri" w:cs="Calibri"/>
                <w:color w:val="000000"/>
                <w:u w:val="single"/>
              </w:rPr>
              <w:t>0.000017</w:t>
            </w:r>
          </w:p>
        </w:tc>
        <w:tc>
          <w:tcPr>
            <w:tcW w:w="968" w:type="pct"/>
            <w:shd w:val="clear" w:color="auto" w:fill="auto"/>
            <w:noWrap/>
            <w:vAlign w:val="center"/>
          </w:tcPr>
          <w:p>
            <w:pPr>
              <w:pStyle w:val="63"/>
              <w:rPr>
                <w:u w:val="single"/>
              </w:rPr>
            </w:pPr>
            <w:r>
              <w:rPr>
                <w:u w:val="single"/>
              </w:rPr>
              <w:t>30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炉铺村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Calibri" w:hAnsi="Calibri" w:eastAsia="宋体" w:cs="Calibri"/>
                <w:color w:val="000000"/>
                <w:sz w:val="24"/>
                <w:szCs w:val="24"/>
                <w:u w:val="single"/>
              </w:rPr>
            </w:pPr>
            <w:r>
              <w:rPr>
                <w:rFonts w:ascii="Calibri" w:hAnsi="Calibri" w:cs="Calibri"/>
                <w:color w:val="000000"/>
                <w:u w:val="single"/>
              </w:rPr>
              <w:t>0.000010</w:t>
            </w:r>
          </w:p>
        </w:tc>
        <w:tc>
          <w:tcPr>
            <w:tcW w:w="665" w:type="pct"/>
            <w:vMerge w:val="continue"/>
            <w:vAlign w:val="center"/>
          </w:tcPr>
          <w:p>
            <w:pPr>
              <w:pStyle w:val="63"/>
              <w:rPr>
                <w:u w:val="single"/>
              </w:rPr>
            </w:pPr>
          </w:p>
        </w:tc>
        <w:tc>
          <w:tcPr>
            <w:tcW w:w="645" w:type="pct"/>
            <w:vAlign w:val="center"/>
          </w:tcPr>
          <w:p>
            <w:pPr>
              <w:pStyle w:val="63"/>
              <w:rPr>
                <w:rFonts w:ascii="Calibri" w:hAnsi="Calibri" w:eastAsia="宋体" w:cs="Calibri"/>
                <w:color w:val="000000"/>
                <w:sz w:val="24"/>
                <w:szCs w:val="24"/>
                <w:u w:val="single"/>
              </w:rPr>
            </w:pPr>
            <w:r>
              <w:rPr>
                <w:rFonts w:ascii="Calibri" w:hAnsi="Calibri" w:cs="Calibri"/>
                <w:color w:val="000000"/>
                <w:u w:val="single"/>
              </w:rPr>
              <w:t>0.000010</w:t>
            </w:r>
          </w:p>
        </w:tc>
        <w:tc>
          <w:tcPr>
            <w:tcW w:w="968" w:type="pct"/>
            <w:shd w:val="clear" w:color="auto" w:fill="auto"/>
            <w:noWrap/>
            <w:vAlign w:val="center"/>
          </w:tcPr>
          <w:p>
            <w:pPr>
              <w:pStyle w:val="63"/>
              <w:rPr>
                <w:u w:val="single"/>
              </w:rPr>
            </w:pPr>
            <w:r>
              <w:rPr>
                <w:u w:val="single"/>
              </w:rPr>
              <w:t>30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堰桥村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Calibri" w:hAnsi="Calibri" w:eastAsia="宋体" w:cs="Calibri"/>
                <w:color w:val="000000"/>
                <w:sz w:val="24"/>
                <w:szCs w:val="24"/>
                <w:u w:val="single"/>
              </w:rPr>
            </w:pPr>
            <w:r>
              <w:rPr>
                <w:rFonts w:ascii="Calibri" w:hAnsi="Calibri" w:cs="Calibri"/>
                <w:color w:val="000000"/>
                <w:u w:val="single"/>
              </w:rPr>
              <w:t>0.000016</w:t>
            </w:r>
          </w:p>
        </w:tc>
        <w:tc>
          <w:tcPr>
            <w:tcW w:w="665" w:type="pct"/>
            <w:vMerge w:val="continue"/>
            <w:vAlign w:val="center"/>
          </w:tcPr>
          <w:p>
            <w:pPr>
              <w:pStyle w:val="63"/>
              <w:rPr>
                <w:u w:val="single"/>
              </w:rPr>
            </w:pPr>
          </w:p>
        </w:tc>
        <w:tc>
          <w:tcPr>
            <w:tcW w:w="645" w:type="pct"/>
            <w:vAlign w:val="center"/>
          </w:tcPr>
          <w:p>
            <w:pPr>
              <w:pStyle w:val="63"/>
              <w:rPr>
                <w:rFonts w:ascii="Calibri" w:hAnsi="Calibri" w:eastAsia="宋体" w:cs="Calibri"/>
                <w:color w:val="000000"/>
                <w:sz w:val="24"/>
                <w:szCs w:val="24"/>
                <w:u w:val="single"/>
              </w:rPr>
            </w:pPr>
            <w:r>
              <w:rPr>
                <w:rFonts w:ascii="Calibri" w:hAnsi="Calibri" w:cs="Calibri"/>
                <w:color w:val="000000"/>
                <w:u w:val="single"/>
              </w:rPr>
              <w:t>0.000016</w:t>
            </w:r>
          </w:p>
        </w:tc>
        <w:tc>
          <w:tcPr>
            <w:tcW w:w="968" w:type="pct"/>
            <w:shd w:val="clear" w:color="auto" w:fill="auto"/>
            <w:noWrap/>
            <w:vAlign w:val="center"/>
          </w:tcPr>
          <w:p>
            <w:pPr>
              <w:pStyle w:val="63"/>
              <w:rPr>
                <w:u w:val="single"/>
              </w:rPr>
            </w:pPr>
            <w:r>
              <w:rPr>
                <w:u w:val="single"/>
              </w:rPr>
              <w:t>30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安置区</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Calibri" w:hAnsi="Calibri" w:eastAsia="宋体" w:cs="Calibri"/>
                <w:color w:val="000000"/>
                <w:sz w:val="24"/>
                <w:szCs w:val="24"/>
                <w:u w:val="single"/>
              </w:rPr>
            </w:pPr>
            <w:r>
              <w:rPr>
                <w:rFonts w:ascii="Calibri" w:hAnsi="Calibri" w:cs="Calibri"/>
                <w:color w:val="000000"/>
                <w:u w:val="single"/>
              </w:rPr>
              <w:t>0.000015</w:t>
            </w:r>
          </w:p>
        </w:tc>
        <w:tc>
          <w:tcPr>
            <w:tcW w:w="665" w:type="pct"/>
            <w:vMerge w:val="continue"/>
            <w:vAlign w:val="center"/>
          </w:tcPr>
          <w:p>
            <w:pPr>
              <w:pStyle w:val="63"/>
              <w:rPr>
                <w:u w:val="single"/>
              </w:rPr>
            </w:pPr>
          </w:p>
        </w:tc>
        <w:tc>
          <w:tcPr>
            <w:tcW w:w="645" w:type="pct"/>
            <w:vAlign w:val="center"/>
          </w:tcPr>
          <w:p>
            <w:pPr>
              <w:pStyle w:val="63"/>
              <w:rPr>
                <w:rFonts w:ascii="Calibri" w:hAnsi="Calibri" w:eastAsia="宋体" w:cs="Calibri"/>
                <w:color w:val="000000"/>
                <w:sz w:val="24"/>
                <w:szCs w:val="24"/>
                <w:u w:val="single"/>
              </w:rPr>
            </w:pPr>
            <w:r>
              <w:rPr>
                <w:rFonts w:ascii="Calibri" w:hAnsi="Calibri" w:cs="Calibri"/>
                <w:color w:val="000000"/>
                <w:u w:val="single"/>
              </w:rPr>
              <w:t>0.000015</w:t>
            </w:r>
          </w:p>
        </w:tc>
        <w:tc>
          <w:tcPr>
            <w:tcW w:w="968" w:type="pct"/>
            <w:shd w:val="clear" w:color="auto" w:fill="auto"/>
            <w:noWrap/>
            <w:vAlign w:val="center"/>
          </w:tcPr>
          <w:p>
            <w:pPr>
              <w:pStyle w:val="63"/>
              <w:rPr>
                <w:u w:val="single"/>
              </w:rPr>
            </w:pPr>
            <w:r>
              <w:rPr>
                <w:u w:val="single"/>
              </w:rPr>
              <w:t>30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爱国医院</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Calibri" w:hAnsi="Calibri" w:eastAsia="宋体" w:cs="Calibri"/>
                <w:color w:val="000000"/>
                <w:sz w:val="24"/>
                <w:szCs w:val="24"/>
                <w:u w:val="single"/>
              </w:rPr>
            </w:pPr>
            <w:r>
              <w:rPr>
                <w:rFonts w:ascii="Calibri" w:hAnsi="Calibri" w:cs="Calibri"/>
                <w:color w:val="000000"/>
                <w:u w:val="single"/>
              </w:rPr>
              <w:t>0.000011</w:t>
            </w:r>
          </w:p>
        </w:tc>
        <w:tc>
          <w:tcPr>
            <w:tcW w:w="665" w:type="pct"/>
            <w:vMerge w:val="continue"/>
            <w:vAlign w:val="center"/>
          </w:tcPr>
          <w:p>
            <w:pPr>
              <w:pStyle w:val="63"/>
              <w:rPr>
                <w:u w:val="single"/>
              </w:rPr>
            </w:pPr>
          </w:p>
        </w:tc>
        <w:tc>
          <w:tcPr>
            <w:tcW w:w="645" w:type="pct"/>
            <w:vAlign w:val="center"/>
          </w:tcPr>
          <w:p>
            <w:pPr>
              <w:pStyle w:val="63"/>
              <w:rPr>
                <w:rFonts w:ascii="Calibri" w:hAnsi="Calibri" w:eastAsia="宋体" w:cs="Calibri"/>
                <w:color w:val="000000"/>
                <w:sz w:val="24"/>
                <w:szCs w:val="24"/>
                <w:u w:val="single"/>
              </w:rPr>
            </w:pPr>
            <w:r>
              <w:rPr>
                <w:rFonts w:ascii="Calibri" w:hAnsi="Calibri" w:cs="Calibri"/>
                <w:color w:val="000000"/>
                <w:u w:val="single"/>
              </w:rPr>
              <w:t>0.000011</w:t>
            </w:r>
          </w:p>
        </w:tc>
        <w:tc>
          <w:tcPr>
            <w:tcW w:w="968" w:type="pct"/>
            <w:shd w:val="clear" w:color="auto" w:fill="auto"/>
            <w:noWrap/>
            <w:vAlign w:val="center"/>
          </w:tcPr>
          <w:p>
            <w:pPr>
              <w:pStyle w:val="63"/>
              <w:rPr>
                <w:u w:val="single"/>
              </w:rPr>
            </w:pPr>
            <w:r>
              <w:rPr>
                <w:u w:val="single"/>
              </w:rPr>
              <w:t>30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罗家老屋</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Calibri" w:hAnsi="Calibri" w:eastAsia="宋体" w:cs="Calibri"/>
                <w:color w:val="000000"/>
                <w:sz w:val="24"/>
                <w:szCs w:val="24"/>
                <w:u w:val="single"/>
              </w:rPr>
            </w:pPr>
            <w:r>
              <w:rPr>
                <w:rFonts w:ascii="Calibri" w:hAnsi="Calibri" w:cs="Calibri"/>
                <w:color w:val="000000"/>
                <w:u w:val="single"/>
              </w:rPr>
              <w:t>0.000020</w:t>
            </w:r>
          </w:p>
        </w:tc>
        <w:tc>
          <w:tcPr>
            <w:tcW w:w="665" w:type="pct"/>
            <w:vMerge w:val="continue"/>
            <w:vAlign w:val="center"/>
          </w:tcPr>
          <w:p>
            <w:pPr>
              <w:pStyle w:val="63"/>
              <w:rPr>
                <w:u w:val="single"/>
              </w:rPr>
            </w:pPr>
          </w:p>
        </w:tc>
        <w:tc>
          <w:tcPr>
            <w:tcW w:w="645" w:type="pct"/>
            <w:vAlign w:val="center"/>
          </w:tcPr>
          <w:p>
            <w:pPr>
              <w:pStyle w:val="63"/>
              <w:rPr>
                <w:rFonts w:ascii="Calibri" w:hAnsi="Calibri" w:eastAsia="宋体" w:cs="Calibri"/>
                <w:color w:val="000000"/>
                <w:sz w:val="24"/>
                <w:szCs w:val="24"/>
                <w:u w:val="single"/>
              </w:rPr>
            </w:pPr>
            <w:r>
              <w:rPr>
                <w:rFonts w:ascii="Calibri" w:hAnsi="Calibri" w:cs="Calibri"/>
                <w:color w:val="000000"/>
                <w:u w:val="single"/>
              </w:rPr>
              <w:t>0.000020</w:t>
            </w:r>
          </w:p>
        </w:tc>
        <w:tc>
          <w:tcPr>
            <w:tcW w:w="968" w:type="pct"/>
            <w:shd w:val="clear" w:color="auto" w:fill="auto"/>
            <w:noWrap/>
            <w:vAlign w:val="center"/>
          </w:tcPr>
          <w:p>
            <w:pPr>
              <w:pStyle w:val="63"/>
              <w:rPr>
                <w:u w:val="single"/>
              </w:rPr>
            </w:pPr>
            <w:r>
              <w:rPr>
                <w:u w:val="single"/>
              </w:rPr>
              <w:t>30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北头村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0.000022</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0.000022</w:t>
            </w:r>
          </w:p>
        </w:tc>
        <w:tc>
          <w:tcPr>
            <w:tcW w:w="968" w:type="pct"/>
            <w:shd w:val="clear" w:color="auto" w:fill="auto"/>
            <w:noWrap/>
            <w:vAlign w:val="center"/>
          </w:tcPr>
          <w:p>
            <w:pPr>
              <w:pStyle w:val="63"/>
              <w:rPr>
                <w:u w:val="single"/>
              </w:rPr>
            </w:pPr>
            <w:r>
              <w:rPr>
                <w:u w:val="single"/>
              </w:rPr>
              <w:t>30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龙家冲</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0.000011</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0.000011</w:t>
            </w:r>
          </w:p>
        </w:tc>
        <w:tc>
          <w:tcPr>
            <w:tcW w:w="968" w:type="pct"/>
            <w:shd w:val="clear" w:color="auto" w:fill="auto"/>
            <w:noWrap/>
            <w:vAlign w:val="center"/>
          </w:tcPr>
          <w:p>
            <w:pPr>
              <w:pStyle w:val="63"/>
              <w:rPr>
                <w:u w:val="single"/>
              </w:rPr>
            </w:pPr>
            <w:r>
              <w:rPr>
                <w:u w:val="single"/>
              </w:rPr>
              <w:t>30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平田村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0.000020</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0.000020</w:t>
            </w:r>
          </w:p>
        </w:tc>
        <w:tc>
          <w:tcPr>
            <w:tcW w:w="968" w:type="pct"/>
            <w:shd w:val="clear" w:color="auto" w:fill="auto"/>
            <w:noWrap/>
            <w:vAlign w:val="center"/>
          </w:tcPr>
          <w:p>
            <w:pPr>
              <w:pStyle w:val="63"/>
              <w:rPr>
                <w:u w:val="single"/>
              </w:rPr>
            </w:pPr>
            <w:r>
              <w:rPr>
                <w:u w:val="single"/>
              </w:rPr>
              <w:t>30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彭家屋场</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0.000023</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0.000023</w:t>
            </w:r>
          </w:p>
        </w:tc>
        <w:tc>
          <w:tcPr>
            <w:tcW w:w="968" w:type="pct"/>
            <w:shd w:val="clear" w:color="auto" w:fill="auto"/>
            <w:noWrap/>
            <w:vAlign w:val="center"/>
          </w:tcPr>
          <w:p>
            <w:pPr>
              <w:pStyle w:val="63"/>
              <w:rPr>
                <w:u w:val="single"/>
              </w:rPr>
            </w:pPr>
            <w:r>
              <w:rPr>
                <w:u w:val="single"/>
              </w:rPr>
              <w:t>30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0.0001</w:t>
            </w:r>
          </w:p>
        </w:tc>
      </w:tr>
    </w:tbl>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g</w:t>
      </w:r>
      <w:r>
        <w:rPr>
          <w:rFonts w:ascii="Times New Roman" w:hAnsi="Times New Roman" w:cs="Times New Roman"/>
          <w:u w:val="single"/>
        </w:rPr>
        <w:t>.氟化物</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评价范围内氟化物对关心点预测结果</w:t>
      </w:r>
      <w:r>
        <w:rPr>
          <w:rFonts w:hint="eastAsia" w:ascii="Times New Roman" w:hAnsi="Times New Roman" w:cs="Times New Roman"/>
          <w:u w:val="single"/>
        </w:rPr>
        <w:t>见下表</w:t>
      </w:r>
      <w:r>
        <w:rPr>
          <w:rFonts w:ascii="Times New Roman" w:hAnsi="Times New Roman" w:cs="Times New Roman"/>
          <w:u w:val="single"/>
        </w:rPr>
        <w:t>，拟建项目氟化物短期浓度（1小时平均和24小时平均）预测值对各关心点的影响满足《环境空气质量标准》（GB3095-2012）相应标准要求。</w:t>
      </w:r>
    </w:p>
    <w:p>
      <w:pPr>
        <w:pStyle w:val="6"/>
        <w:rPr>
          <w:u w:val="single"/>
        </w:rPr>
      </w:pPr>
      <w:r>
        <w:rPr>
          <w:u w:val="single"/>
        </w:rPr>
        <w:t>表</w:t>
      </w:r>
      <w:r>
        <w:rPr>
          <w:rFonts w:ascii="Times New Roman" w:hAnsi="Times New Roman" w:cs="Times New Roman"/>
          <w:u w:val="single"/>
        </w:rPr>
        <w:t>6.2.1-</w:t>
      </w:r>
      <w:r>
        <w:rPr>
          <w:rFonts w:hint="eastAsia" w:ascii="Times New Roman" w:hAnsi="Times New Roman" w:cs="Times New Roman"/>
          <w:u w:val="single"/>
        </w:rPr>
        <w:t xml:space="preserve">33  </w:t>
      </w:r>
      <w:r>
        <w:rPr>
          <w:u w:val="single"/>
        </w:rPr>
        <w:t>本项目正常排放下各敏感点氟化物1小时叠加浓度预测结果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28"/>
        <w:gridCol w:w="865"/>
        <w:gridCol w:w="1559"/>
        <w:gridCol w:w="1276"/>
        <w:gridCol w:w="959"/>
        <w:gridCol w:w="1651"/>
        <w:gridCol w:w="9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u w:val="single"/>
              </w:rPr>
            </w:pPr>
            <w:r>
              <w:rPr>
                <w:u w:val="single"/>
              </w:rPr>
              <w:t>敏感点名称</w:t>
            </w:r>
          </w:p>
        </w:tc>
        <w:tc>
          <w:tcPr>
            <w:tcW w:w="507" w:type="pct"/>
            <w:shd w:val="clear" w:color="auto" w:fill="auto"/>
            <w:noWrap/>
            <w:vAlign w:val="center"/>
          </w:tcPr>
          <w:p>
            <w:pPr>
              <w:pStyle w:val="63"/>
              <w:rPr>
                <w:u w:val="single"/>
              </w:rPr>
            </w:pPr>
            <w:r>
              <w:rPr>
                <w:u w:val="single"/>
              </w:rPr>
              <w:t>浓度类型</w:t>
            </w:r>
          </w:p>
        </w:tc>
        <w:tc>
          <w:tcPr>
            <w:tcW w:w="914" w:type="pct"/>
            <w:shd w:val="clear" w:color="auto" w:fill="auto"/>
            <w:noWrap/>
            <w:vAlign w:val="center"/>
          </w:tcPr>
          <w:p>
            <w:pPr>
              <w:pStyle w:val="63"/>
              <w:rPr>
                <w:u w:val="single"/>
              </w:rPr>
            </w:pPr>
            <w:r>
              <w:rPr>
                <w:rFonts w:eastAsia="宋体"/>
                <w:u w:val="single"/>
              </w:rPr>
              <w:t>本项目+区域污染源ug/m</w:t>
            </w:r>
            <w:r>
              <w:rPr>
                <w:rFonts w:eastAsia="宋体"/>
                <w:u w:val="single"/>
                <w:vertAlign w:val="superscript"/>
              </w:rPr>
              <w:t>3</w:t>
            </w:r>
          </w:p>
        </w:tc>
        <w:tc>
          <w:tcPr>
            <w:tcW w:w="748" w:type="pct"/>
            <w:vAlign w:val="center"/>
          </w:tcPr>
          <w:p>
            <w:pPr>
              <w:pStyle w:val="63"/>
              <w:rPr>
                <w:u w:val="single"/>
              </w:rPr>
            </w:pPr>
            <w:r>
              <w:rPr>
                <w:u w:val="single"/>
              </w:rPr>
              <w:t>背景值(μg/m</w:t>
            </w:r>
            <w:r>
              <w:rPr>
                <w:u w:val="single"/>
                <w:vertAlign w:val="superscript"/>
              </w:rPr>
              <w:t>3</w:t>
            </w:r>
            <w:r>
              <w:rPr>
                <w:u w:val="single"/>
              </w:rPr>
              <w:t>)</w:t>
            </w:r>
          </w:p>
        </w:tc>
        <w:tc>
          <w:tcPr>
            <w:tcW w:w="562" w:type="pct"/>
            <w:vAlign w:val="center"/>
          </w:tcPr>
          <w:p>
            <w:pPr>
              <w:pStyle w:val="63"/>
              <w:rPr>
                <w:rFonts w:eastAsia="宋体"/>
                <w:u w:val="single"/>
              </w:rPr>
            </w:pPr>
            <w:r>
              <w:rPr>
                <w:rFonts w:eastAsia="宋体"/>
                <w:u w:val="single"/>
              </w:rPr>
              <w:t>叠加后</w:t>
            </w:r>
          </w:p>
          <w:p>
            <w:pPr>
              <w:pStyle w:val="63"/>
              <w:rPr>
                <w:rFonts w:eastAsia="宋体"/>
                <w:u w:val="single"/>
              </w:rPr>
            </w:pPr>
            <w:r>
              <w:rPr>
                <w:rFonts w:eastAsia="宋体"/>
                <w:u w:val="single"/>
              </w:rPr>
              <w:t>ug/m</w:t>
            </w:r>
            <w:r>
              <w:rPr>
                <w:rFonts w:eastAsia="宋体"/>
                <w:u w:val="single"/>
                <w:vertAlign w:val="superscript"/>
              </w:rPr>
              <w:t>3</w:t>
            </w:r>
          </w:p>
        </w:tc>
        <w:tc>
          <w:tcPr>
            <w:tcW w:w="968" w:type="pct"/>
            <w:shd w:val="clear" w:color="auto" w:fill="auto"/>
            <w:noWrap/>
            <w:vAlign w:val="center"/>
          </w:tcPr>
          <w:p>
            <w:pPr>
              <w:pStyle w:val="63"/>
              <w:rPr>
                <w:u w:val="single"/>
              </w:rPr>
            </w:pPr>
            <w:r>
              <w:rPr>
                <w:u w:val="single"/>
              </w:rPr>
              <w:t>评价标准(μg/m</w:t>
            </w:r>
            <w:r>
              <w:rPr>
                <w:u w:val="single"/>
                <w:vertAlign w:val="superscript"/>
              </w:rPr>
              <w:t>3</w:t>
            </w:r>
            <w:r>
              <w:rPr>
                <w:u w:val="single"/>
              </w:rPr>
              <w:t>)</w:t>
            </w:r>
          </w:p>
        </w:tc>
        <w:tc>
          <w:tcPr>
            <w:tcW w:w="581" w:type="pct"/>
            <w:shd w:val="clear" w:color="auto" w:fill="auto"/>
            <w:noWrap/>
            <w:vAlign w:val="center"/>
          </w:tcPr>
          <w:p>
            <w:pPr>
              <w:pStyle w:val="63"/>
              <w:rPr>
                <w:u w:val="single"/>
              </w:rPr>
            </w:pPr>
            <w:r>
              <w:rPr>
                <w:u w:val="single"/>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浦泉村</w:t>
            </w:r>
          </w:p>
        </w:tc>
        <w:tc>
          <w:tcPr>
            <w:tcW w:w="507" w:type="pct"/>
            <w:vMerge w:val="restart"/>
            <w:shd w:val="clear" w:color="auto" w:fill="auto"/>
            <w:noWrap/>
            <w:vAlign w:val="center"/>
          </w:tcPr>
          <w:p>
            <w:pPr>
              <w:pStyle w:val="63"/>
              <w:rPr>
                <w:rFonts w:eastAsia="宋体"/>
                <w:u w:val="single"/>
              </w:rPr>
            </w:pPr>
            <w:r>
              <w:rPr>
                <w:rFonts w:hint="eastAsia" w:eastAsia="宋体"/>
                <w:u w:val="single"/>
              </w:rPr>
              <w:t>1小时</w:t>
            </w:r>
          </w:p>
          <w:p>
            <w:pPr>
              <w:pStyle w:val="63"/>
              <w:rPr>
                <w:rFonts w:eastAsia="宋体"/>
                <w:u w:val="single"/>
              </w:rPr>
            </w:pPr>
            <w:r>
              <w:rPr>
                <w:rFonts w:hint="eastAsia" w:eastAsia="宋体"/>
                <w:u w:val="single"/>
              </w:rPr>
              <w:t>平均</w:t>
            </w: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0.56</w:t>
            </w:r>
          </w:p>
        </w:tc>
        <w:tc>
          <w:tcPr>
            <w:tcW w:w="748" w:type="pct"/>
            <w:vMerge w:val="restart"/>
            <w:vAlign w:val="center"/>
          </w:tcPr>
          <w:p>
            <w:pPr>
              <w:pStyle w:val="63"/>
              <w:rPr>
                <w:u w:val="single"/>
              </w:rPr>
            </w:pPr>
            <w:r>
              <w:rPr>
                <w:u w:val="single"/>
              </w:rPr>
              <w:t>0.00019</w:t>
            </w: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0.56019</w:t>
            </w:r>
          </w:p>
        </w:tc>
        <w:tc>
          <w:tcPr>
            <w:tcW w:w="968" w:type="pct"/>
            <w:shd w:val="clear" w:color="auto" w:fill="auto"/>
            <w:noWrap/>
            <w:vAlign w:val="center"/>
          </w:tcPr>
          <w:p>
            <w:pPr>
              <w:pStyle w:val="63"/>
              <w:rPr>
                <w:u w:val="single"/>
              </w:rPr>
            </w:pPr>
            <w:r>
              <w:rPr>
                <w:rFonts w:hint="eastAsia"/>
                <w:u w:val="single"/>
              </w:rPr>
              <w:t>20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2.78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三才村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0.68</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0.68019</w:t>
            </w:r>
          </w:p>
        </w:tc>
        <w:tc>
          <w:tcPr>
            <w:tcW w:w="968" w:type="pct"/>
            <w:shd w:val="clear" w:color="auto" w:fill="auto"/>
            <w:noWrap/>
            <w:vAlign w:val="center"/>
          </w:tcPr>
          <w:p>
            <w:pPr>
              <w:pStyle w:val="63"/>
              <w:rPr>
                <w:u w:val="single"/>
              </w:rPr>
            </w:pPr>
            <w:r>
              <w:rPr>
                <w:rFonts w:hint="eastAsia"/>
                <w:u w:val="single"/>
              </w:rPr>
              <w:t>20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3.38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新石桥村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0.61</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0.61019</w:t>
            </w:r>
          </w:p>
        </w:tc>
        <w:tc>
          <w:tcPr>
            <w:tcW w:w="968" w:type="pct"/>
            <w:shd w:val="clear" w:color="auto" w:fill="auto"/>
            <w:noWrap/>
            <w:vAlign w:val="center"/>
          </w:tcPr>
          <w:p>
            <w:pPr>
              <w:pStyle w:val="63"/>
              <w:rPr>
                <w:u w:val="single"/>
              </w:rPr>
            </w:pPr>
            <w:r>
              <w:rPr>
                <w:rFonts w:hint="eastAsia"/>
                <w:u w:val="single"/>
              </w:rPr>
              <w:t>20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3.07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大浦镇</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0.60</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0.60019</w:t>
            </w:r>
          </w:p>
        </w:tc>
        <w:tc>
          <w:tcPr>
            <w:tcW w:w="968" w:type="pct"/>
            <w:shd w:val="clear" w:color="auto" w:fill="auto"/>
            <w:noWrap/>
            <w:vAlign w:val="center"/>
          </w:tcPr>
          <w:p>
            <w:pPr>
              <w:pStyle w:val="63"/>
              <w:rPr>
                <w:u w:val="single"/>
              </w:rPr>
            </w:pPr>
            <w:r>
              <w:rPr>
                <w:rFonts w:hint="eastAsia"/>
                <w:u w:val="single"/>
              </w:rPr>
              <w:t>20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炉铺村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0.51</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0.51019</w:t>
            </w:r>
          </w:p>
        </w:tc>
        <w:tc>
          <w:tcPr>
            <w:tcW w:w="968" w:type="pct"/>
            <w:shd w:val="clear" w:color="auto" w:fill="auto"/>
            <w:noWrap/>
            <w:vAlign w:val="center"/>
          </w:tcPr>
          <w:p>
            <w:pPr>
              <w:pStyle w:val="63"/>
              <w:rPr>
                <w:u w:val="single"/>
              </w:rPr>
            </w:pPr>
            <w:r>
              <w:rPr>
                <w:rFonts w:hint="eastAsia"/>
                <w:u w:val="single"/>
              </w:rPr>
              <w:t>20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2.54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堰桥村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0.58</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0.58019</w:t>
            </w:r>
          </w:p>
        </w:tc>
        <w:tc>
          <w:tcPr>
            <w:tcW w:w="968" w:type="pct"/>
            <w:shd w:val="clear" w:color="auto" w:fill="auto"/>
            <w:noWrap/>
            <w:vAlign w:val="center"/>
          </w:tcPr>
          <w:p>
            <w:pPr>
              <w:pStyle w:val="63"/>
              <w:rPr>
                <w:u w:val="single"/>
              </w:rPr>
            </w:pPr>
            <w:r>
              <w:rPr>
                <w:rFonts w:hint="eastAsia"/>
                <w:u w:val="single"/>
              </w:rPr>
              <w:t>20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2.91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安置区</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0.48</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0.48019</w:t>
            </w:r>
          </w:p>
        </w:tc>
        <w:tc>
          <w:tcPr>
            <w:tcW w:w="968" w:type="pct"/>
            <w:shd w:val="clear" w:color="auto" w:fill="auto"/>
            <w:noWrap/>
            <w:vAlign w:val="center"/>
          </w:tcPr>
          <w:p>
            <w:pPr>
              <w:pStyle w:val="63"/>
              <w:rPr>
                <w:u w:val="single"/>
              </w:rPr>
            </w:pPr>
            <w:r>
              <w:rPr>
                <w:rFonts w:hint="eastAsia"/>
                <w:u w:val="single"/>
              </w:rPr>
              <w:t>20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2.38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爱国医院</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0.64</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0.64019</w:t>
            </w:r>
          </w:p>
        </w:tc>
        <w:tc>
          <w:tcPr>
            <w:tcW w:w="968" w:type="pct"/>
            <w:shd w:val="clear" w:color="auto" w:fill="auto"/>
            <w:noWrap/>
            <w:vAlign w:val="center"/>
          </w:tcPr>
          <w:p>
            <w:pPr>
              <w:pStyle w:val="63"/>
              <w:rPr>
                <w:u w:val="single"/>
              </w:rPr>
            </w:pPr>
            <w:r>
              <w:rPr>
                <w:rFonts w:hint="eastAsia"/>
                <w:u w:val="single"/>
              </w:rPr>
              <w:t>20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3.19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罗家老屋</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0.60</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0.60019</w:t>
            </w:r>
          </w:p>
        </w:tc>
        <w:tc>
          <w:tcPr>
            <w:tcW w:w="968" w:type="pct"/>
            <w:shd w:val="clear" w:color="auto" w:fill="auto"/>
            <w:noWrap/>
            <w:vAlign w:val="center"/>
          </w:tcPr>
          <w:p>
            <w:pPr>
              <w:pStyle w:val="63"/>
              <w:rPr>
                <w:u w:val="single"/>
              </w:rPr>
            </w:pPr>
            <w:r>
              <w:rPr>
                <w:rFonts w:hint="eastAsia"/>
                <w:u w:val="single"/>
              </w:rPr>
              <w:t>20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2.98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北头村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1.19</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1.19019</w:t>
            </w:r>
          </w:p>
        </w:tc>
        <w:tc>
          <w:tcPr>
            <w:tcW w:w="968" w:type="pct"/>
            <w:shd w:val="clear" w:color="auto" w:fill="auto"/>
            <w:noWrap/>
            <w:vAlign w:val="center"/>
          </w:tcPr>
          <w:p>
            <w:pPr>
              <w:pStyle w:val="63"/>
              <w:rPr>
                <w:u w:val="single"/>
              </w:rPr>
            </w:pPr>
            <w:r>
              <w:rPr>
                <w:rFonts w:hint="eastAsia"/>
                <w:u w:val="single"/>
              </w:rPr>
              <w:t>20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5.93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龙家冲</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0.63</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0.63019</w:t>
            </w:r>
          </w:p>
        </w:tc>
        <w:tc>
          <w:tcPr>
            <w:tcW w:w="968" w:type="pct"/>
            <w:shd w:val="clear" w:color="auto" w:fill="auto"/>
            <w:noWrap/>
            <w:vAlign w:val="center"/>
          </w:tcPr>
          <w:p>
            <w:pPr>
              <w:pStyle w:val="63"/>
              <w:rPr>
                <w:u w:val="single"/>
              </w:rPr>
            </w:pPr>
            <w:r>
              <w:rPr>
                <w:rFonts w:hint="eastAsia"/>
                <w:u w:val="single"/>
              </w:rPr>
              <w:t>20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3.13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平田村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0.57</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0.57019</w:t>
            </w:r>
          </w:p>
        </w:tc>
        <w:tc>
          <w:tcPr>
            <w:tcW w:w="968" w:type="pct"/>
            <w:shd w:val="clear" w:color="auto" w:fill="auto"/>
            <w:noWrap/>
            <w:vAlign w:val="center"/>
          </w:tcPr>
          <w:p>
            <w:pPr>
              <w:pStyle w:val="63"/>
              <w:rPr>
                <w:u w:val="single"/>
              </w:rPr>
            </w:pPr>
            <w:r>
              <w:rPr>
                <w:rFonts w:hint="eastAsia"/>
                <w:u w:val="single"/>
              </w:rPr>
              <w:t>20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2.85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彭家屋场</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0.98</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0.98019</w:t>
            </w:r>
          </w:p>
        </w:tc>
        <w:tc>
          <w:tcPr>
            <w:tcW w:w="968" w:type="pct"/>
            <w:shd w:val="clear" w:color="auto" w:fill="auto"/>
            <w:noWrap/>
            <w:vAlign w:val="center"/>
          </w:tcPr>
          <w:p>
            <w:pPr>
              <w:pStyle w:val="63"/>
              <w:rPr>
                <w:u w:val="single"/>
              </w:rPr>
            </w:pPr>
            <w:r>
              <w:rPr>
                <w:rFonts w:hint="eastAsia"/>
                <w:u w:val="single"/>
              </w:rPr>
              <w:t>20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4.91</w:t>
            </w:r>
          </w:p>
        </w:tc>
      </w:tr>
    </w:tbl>
    <w:p>
      <w:pPr>
        <w:rPr>
          <w:u w:val="single"/>
        </w:rPr>
      </w:pPr>
    </w:p>
    <w:p>
      <w:pPr>
        <w:pStyle w:val="6"/>
        <w:rPr>
          <w:u w:val="single"/>
        </w:rPr>
      </w:pPr>
      <w:r>
        <w:rPr>
          <w:u w:val="single"/>
        </w:rPr>
        <w:t>表</w:t>
      </w:r>
      <w:r>
        <w:rPr>
          <w:rFonts w:ascii="Times New Roman" w:hAnsi="Times New Roman" w:cs="Times New Roman"/>
          <w:u w:val="single"/>
        </w:rPr>
        <w:t>6.2.1-</w:t>
      </w:r>
      <w:r>
        <w:rPr>
          <w:rFonts w:hint="eastAsia" w:ascii="Times New Roman" w:hAnsi="Times New Roman" w:cs="Times New Roman"/>
          <w:u w:val="single"/>
        </w:rPr>
        <w:t xml:space="preserve">34  </w:t>
      </w:r>
      <w:r>
        <w:rPr>
          <w:u w:val="single"/>
        </w:rPr>
        <w:t>本项目正常排放下各敏感点氟化物24小时叠加浓度预测结果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29"/>
        <w:gridCol w:w="865"/>
        <w:gridCol w:w="1559"/>
        <w:gridCol w:w="1134"/>
        <w:gridCol w:w="1100"/>
        <w:gridCol w:w="1651"/>
        <w:gridCol w:w="9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u w:val="single"/>
              </w:rPr>
            </w:pPr>
            <w:r>
              <w:rPr>
                <w:u w:val="single"/>
              </w:rPr>
              <w:t>敏感点名称</w:t>
            </w:r>
          </w:p>
        </w:tc>
        <w:tc>
          <w:tcPr>
            <w:tcW w:w="507" w:type="pct"/>
            <w:shd w:val="clear" w:color="auto" w:fill="auto"/>
            <w:noWrap/>
            <w:vAlign w:val="center"/>
          </w:tcPr>
          <w:p>
            <w:pPr>
              <w:pStyle w:val="63"/>
              <w:rPr>
                <w:u w:val="single"/>
              </w:rPr>
            </w:pPr>
            <w:r>
              <w:rPr>
                <w:u w:val="single"/>
              </w:rPr>
              <w:t>浓度类型</w:t>
            </w:r>
          </w:p>
        </w:tc>
        <w:tc>
          <w:tcPr>
            <w:tcW w:w="914" w:type="pct"/>
            <w:shd w:val="clear" w:color="auto" w:fill="auto"/>
            <w:noWrap/>
            <w:vAlign w:val="center"/>
          </w:tcPr>
          <w:p>
            <w:pPr>
              <w:pStyle w:val="63"/>
              <w:rPr>
                <w:u w:val="single"/>
              </w:rPr>
            </w:pPr>
            <w:r>
              <w:rPr>
                <w:rFonts w:eastAsia="宋体"/>
                <w:u w:val="single"/>
              </w:rPr>
              <w:t>本项目+区域污染源ug/m</w:t>
            </w:r>
            <w:r>
              <w:rPr>
                <w:rFonts w:eastAsia="宋体"/>
                <w:u w:val="single"/>
                <w:vertAlign w:val="superscript"/>
              </w:rPr>
              <w:t>3</w:t>
            </w:r>
          </w:p>
        </w:tc>
        <w:tc>
          <w:tcPr>
            <w:tcW w:w="665" w:type="pct"/>
            <w:vAlign w:val="center"/>
          </w:tcPr>
          <w:p>
            <w:pPr>
              <w:pStyle w:val="63"/>
              <w:rPr>
                <w:u w:val="single"/>
              </w:rPr>
            </w:pPr>
            <w:r>
              <w:rPr>
                <w:u w:val="single"/>
              </w:rPr>
              <w:t>背景值(μg/m</w:t>
            </w:r>
            <w:r>
              <w:rPr>
                <w:u w:val="single"/>
                <w:vertAlign w:val="superscript"/>
              </w:rPr>
              <w:t>3</w:t>
            </w:r>
            <w:r>
              <w:rPr>
                <w:u w:val="single"/>
              </w:rPr>
              <w:t>)</w:t>
            </w:r>
          </w:p>
        </w:tc>
        <w:tc>
          <w:tcPr>
            <w:tcW w:w="645" w:type="pct"/>
            <w:vAlign w:val="center"/>
          </w:tcPr>
          <w:p>
            <w:pPr>
              <w:pStyle w:val="63"/>
              <w:rPr>
                <w:rFonts w:eastAsia="宋体"/>
                <w:u w:val="single"/>
              </w:rPr>
            </w:pPr>
            <w:r>
              <w:rPr>
                <w:rFonts w:eastAsia="宋体"/>
                <w:u w:val="single"/>
              </w:rPr>
              <w:t>叠加后</w:t>
            </w:r>
          </w:p>
          <w:p>
            <w:pPr>
              <w:pStyle w:val="63"/>
              <w:rPr>
                <w:rFonts w:eastAsia="宋体"/>
                <w:u w:val="single"/>
              </w:rPr>
            </w:pPr>
            <w:r>
              <w:rPr>
                <w:rFonts w:eastAsia="宋体"/>
                <w:u w:val="single"/>
              </w:rPr>
              <w:t>ug/m</w:t>
            </w:r>
            <w:r>
              <w:rPr>
                <w:rFonts w:eastAsia="宋体"/>
                <w:u w:val="single"/>
                <w:vertAlign w:val="superscript"/>
              </w:rPr>
              <w:t>3</w:t>
            </w:r>
          </w:p>
        </w:tc>
        <w:tc>
          <w:tcPr>
            <w:tcW w:w="968" w:type="pct"/>
            <w:shd w:val="clear" w:color="auto" w:fill="auto"/>
            <w:noWrap/>
            <w:vAlign w:val="center"/>
          </w:tcPr>
          <w:p>
            <w:pPr>
              <w:pStyle w:val="63"/>
              <w:rPr>
                <w:u w:val="single"/>
              </w:rPr>
            </w:pPr>
            <w:r>
              <w:rPr>
                <w:u w:val="single"/>
              </w:rPr>
              <w:t>评价标准(μg/m</w:t>
            </w:r>
            <w:r>
              <w:rPr>
                <w:u w:val="single"/>
                <w:vertAlign w:val="superscript"/>
              </w:rPr>
              <w:t>3</w:t>
            </w:r>
            <w:r>
              <w:rPr>
                <w:u w:val="single"/>
              </w:rPr>
              <w:t>)</w:t>
            </w:r>
          </w:p>
        </w:tc>
        <w:tc>
          <w:tcPr>
            <w:tcW w:w="581" w:type="pct"/>
            <w:shd w:val="clear" w:color="auto" w:fill="auto"/>
            <w:noWrap/>
            <w:vAlign w:val="center"/>
          </w:tcPr>
          <w:p>
            <w:pPr>
              <w:pStyle w:val="63"/>
              <w:rPr>
                <w:u w:val="single"/>
              </w:rPr>
            </w:pPr>
            <w:r>
              <w:rPr>
                <w:u w:val="single"/>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浦泉村</w:t>
            </w:r>
          </w:p>
        </w:tc>
        <w:tc>
          <w:tcPr>
            <w:tcW w:w="507" w:type="pct"/>
            <w:vMerge w:val="restart"/>
            <w:shd w:val="clear" w:color="auto" w:fill="auto"/>
            <w:noWrap/>
            <w:vAlign w:val="center"/>
          </w:tcPr>
          <w:p>
            <w:pPr>
              <w:pStyle w:val="63"/>
              <w:rPr>
                <w:rFonts w:eastAsia="宋体"/>
                <w:u w:val="single"/>
              </w:rPr>
            </w:pPr>
            <w:r>
              <w:rPr>
                <w:rFonts w:hint="eastAsia" w:eastAsia="宋体"/>
                <w:u w:val="single"/>
              </w:rPr>
              <w:t>24小时平均</w:t>
            </w: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0.07</w:t>
            </w:r>
          </w:p>
        </w:tc>
        <w:tc>
          <w:tcPr>
            <w:tcW w:w="665" w:type="pct"/>
            <w:vMerge w:val="restart"/>
            <w:vAlign w:val="center"/>
          </w:tcPr>
          <w:p>
            <w:pPr>
              <w:pStyle w:val="63"/>
              <w:rPr>
                <w:u w:val="single"/>
              </w:rPr>
            </w:pPr>
            <w:r>
              <w:rPr>
                <w:rFonts w:hint="eastAsia"/>
                <w:u w:val="single"/>
              </w:rPr>
              <w:t>0</w:t>
            </w: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0.07</w:t>
            </w:r>
          </w:p>
        </w:tc>
        <w:tc>
          <w:tcPr>
            <w:tcW w:w="968" w:type="pct"/>
            <w:shd w:val="clear" w:color="auto" w:fill="auto"/>
            <w:noWrap/>
            <w:vAlign w:val="center"/>
          </w:tcPr>
          <w:p>
            <w:pPr>
              <w:pStyle w:val="63"/>
              <w:rPr>
                <w:u w:val="single"/>
              </w:rPr>
            </w:pPr>
            <w:r>
              <w:rPr>
                <w:u w:val="single"/>
              </w:rPr>
              <w:t>7</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三才村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0.03</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0.03</w:t>
            </w:r>
          </w:p>
        </w:tc>
        <w:tc>
          <w:tcPr>
            <w:tcW w:w="968" w:type="pct"/>
            <w:shd w:val="clear" w:color="auto" w:fill="auto"/>
            <w:noWrap/>
            <w:vAlign w:val="center"/>
          </w:tcPr>
          <w:p>
            <w:pPr>
              <w:pStyle w:val="63"/>
              <w:rPr>
                <w:u w:val="single"/>
              </w:rPr>
            </w:pPr>
            <w:r>
              <w:rPr>
                <w:u w:val="single"/>
              </w:rPr>
              <w:t>7</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新石桥村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0.03</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0.03</w:t>
            </w:r>
          </w:p>
        </w:tc>
        <w:tc>
          <w:tcPr>
            <w:tcW w:w="968" w:type="pct"/>
            <w:shd w:val="clear" w:color="auto" w:fill="auto"/>
            <w:noWrap/>
            <w:vAlign w:val="center"/>
          </w:tcPr>
          <w:p>
            <w:pPr>
              <w:pStyle w:val="63"/>
              <w:rPr>
                <w:u w:val="single"/>
              </w:rPr>
            </w:pPr>
            <w:r>
              <w:rPr>
                <w:u w:val="single"/>
              </w:rPr>
              <w:t>7</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大浦镇</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0.06</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0.06</w:t>
            </w:r>
          </w:p>
        </w:tc>
        <w:tc>
          <w:tcPr>
            <w:tcW w:w="968" w:type="pct"/>
            <w:shd w:val="clear" w:color="auto" w:fill="auto"/>
            <w:noWrap/>
            <w:vAlign w:val="center"/>
          </w:tcPr>
          <w:p>
            <w:pPr>
              <w:pStyle w:val="63"/>
              <w:rPr>
                <w:u w:val="single"/>
              </w:rPr>
            </w:pPr>
            <w:r>
              <w:rPr>
                <w:u w:val="single"/>
              </w:rPr>
              <w:t>7</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炉铺村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0.04</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0.04</w:t>
            </w:r>
          </w:p>
        </w:tc>
        <w:tc>
          <w:tcPr>
            <w:tcW w:w="968" w:type="pct"/>
            <w:shd w:val="clear" w:color="auto" w:fill="auto"/>
            <w:noWrap/>
            <w:vAlign w:val="center"/>
          </w:tcPr>
          <w:p>
            <w:pPr>
              <w:pStyle w:val="63"/>
              <w:rPr>
                <w:u w:val="single"/>
              </w:rPr>
            </w:pPr>
            <w:r>
              <w:rPr>
                <w:u w:val="single"/>
              </w:rPr>
              <w:t>7</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堰桥村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0.06</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0.06</w:t>
            </w:r>
          </w:p>
        </w:tc>
        <w:tc>
          <w:tcPr>
            <w:tcW w:w="968" w:type="pct"/>
            <w:shd w:val="clear" w:color="auto" w:fill="auto"/>
            <w:noWrap/>
            <w:vAlign w:val="center"/>
          </w:tcPr>
          <w:p>
            <w:pPr>
              <w:pStyle w:val="63"/>
              <w:rPr>
                <w:u w:val="single"/>
              </w:rPr>
            </w:pPr>
            <w:r>
              <w:rPr>
                <w:u w:val="single"/>
              </w:rPr>
              <w:t>7</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安置区</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0.06</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0.06</w:t>
            </w:r>
          </w:p>
        </w:tc>
        <w:tc>
          <w:tcPr>
            <w:tcW w:w="968" w:type="pct"/>
            <w:shd w:val="clear" w:color="auto" w:fill="auto"/>
            <w:noWrap/>
            <w:vAlign w:val="center"/>
          </w:tcPr>
          <w:p>
            <w:pPr>
              <w:pStyle w:val="63"/>
              <w:rPr>
                <w:u w:val="single"/>
              </w:rPr>
            </w:pPr>
            <w:r>
              <w:rPr>
                <w:u w:val="single"/>
              </w:rPr>
              <w:t>7</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爱国医院</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0.04</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0.04</w:t>
            </w:r>
          </w:p>
        </w:tc>
        <w:tc>
          <w:tcPr>
            <w:tcW w:w="968" w:type="pct"/>
            <w:shd w:val="clear" w:color="auto" w:fill="auto"/>
            <w:noWrap/>
            <w:vAlign w:val="center"/>
          </w:tcPr>
          <w:p>
            <w:pPr>
              <w:pStyle w:val="63"/>
              <w:rPr>
                <w:u w:val="single"/>
              </w:rPr>
            </w:pPr>
            <w:r>
              <w:rPr>
                <w:u w:val="single"/>
              </w:rPr>
              <w:t>7</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罗家老屋</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0.08</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0.08</w:t>
            </w:r>
          </w:p>
        </w:tc>
        <w:tc>
          <w:tcPr>
            <w:tcW w:w="968" w:type="pct"/>
            <w:shd w:val="clear" w:color="auto" w:fill="auto"/>
            <w:noWrap/>
            <w:vAlign w:val="center"/>
          </w:tcPr>
          <w:p>
            <w:pPr>
              <w:pStyle w:val="63"/>
              <w:rPr>
                <w:u w:val="single"/>
              </w:rPr>
            </w:pPr>
            <w:r>
              <w:rPr>
                <w:u w:val="single"/>
              </w:rPr>
              <w:t>7</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1.14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北头村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0.08</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0.08</w:t>
            </w:r>
          </w:p>
        </w:tc>
        <w:tc>
          <w:tcPr>
            <w:tcW w:w="968" w:type="pct"/>
            <w:shd w:val="clear" w:color="auto" w:fill="auto"/>
            <w:noWrap/>
            <w:vAlign w:val="center"/>
          </w:tcPr>
          <w:p>
            <w:pPr>
              <w:pStyle w:val="63"/>
              <w:rPr>
                <w:u w:val="single"/>
              </w:rPr>
            </w:pPr>
            <w:r>
              <w:rPr>
                <w:u w:val="single"/>
              </w:rPr>
              <w:t>7</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1.14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龙家冲</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0.04</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0.04</w:t>
            </w:r>
          </w:p>
        </w:tc>
        <w:tc>
          <w:tcPr>
            <w:tcW w:w="968" w:type="pct"/>
            <w:shd w:val="clear" w:color="auto" w:fill="auto"/>
            <w:noWrap/>
            <w:vAlign w:val="center"/>
          </w:tcPr>
          <w:p>
            <w:pPr>
              <w:pStyle w:val="63"/>
              <w:rPr>
                <w:u w:val="single"/>
              </w:rPr>
            </w:pPr>
            <w:r>
              <w:rPr>
                <w:u w:val="single"/>
              </w:rPr>
              <w:t>7</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平田村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0.08</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0.08</w:t>
            </w:r>
          </w:p>
        </w:tc>
        <w:tc>
          <w:tcPr>
            <w:tcW w:w="968" w:type="pct"/>
            <w:shd w:val="clear" w:color="auto" w:fill="auto"/>
            <w:noWrap/>
            <w:vAlign w:val="center"/>
          </w:tcPr>
          <w:p>
            <w:pPr>
              <w:pStyle w:val="63"/>
              <w:rPr>
                <w:u w:val="single"/>
              </w:rPr>
            </w:pPr>
            <w:r>
              <w:rPr>
                <w:u w:val="single"/>
              </w:rPr>
              <w:t>7</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1.14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彭家屋场</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0.09</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0.09</w:t>
            </w:r>
          </w:p>
        </w:tc>
        <w:tc>
          <w:tcPr>
            <w:tcW w:w="968" w:type="pct"/>
            <w:shd w:val="clear" w:color="auto" w:fill="auto"/>
            <w:noWrap/>
            <w:vAlign w:val="center"/>
          </w:tcPr>
          <w:p>
            <w:pPr>
              <w:pStyle w:val="63"/>
              <w:rPr>
                <w:u w:val="single"/>
              </w:rPr>
            </w:pPr>
            <w:r>
              <w:rPr>
                <w:u w:val="single"/>
              </w:rPr>
              <w:t>7</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1.29</w:t>
            </w:r>
          </w:p>
        </w:tc>
      </w:tr>
    </w:tbl>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h</w:t>
      </w:r>
      <w:r>
        <w:rPr>
          <w:rFonts w:ascii="Times New Roman" w:hAnsi="Times New Roman" w:cs="Times New Roman"/>
          <w:u w:val="single"/>
        </w:rPr>
        <w:t>.硫酸雾</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评价范围内硫酸雾对关心点预测结果</w:t>
      </w:r>
      <w:r>
        <w:rPr>
          <w:rFonts w:hint="eastAsia" w:ascii="Times New Roman" w:hAnsi="Times New Roman" w:cs="Times New Roman"/>
          <w:u w:val="single"/>
        </w:rPr>
        <w:t>见下表</w:t>
      </w:r>
      <w:r>
        <w:rPr>
          <w:rFonts w:ascii="Times New Roman" w:hAnsi="Times New Roman" w:cs="Times New Roman"/>
          <w:u w:val="single"/>
        </w:rPr>
        <w:t>，拟建项目硫酸雾短期浓度（1小时平均和24小时平均）预测值对各关心点的影响满足《环境影响评价技术导则  大气环境》（HJ2.2-2018）附录D标准要求。</w:t>
      </w:r>
    </w:p>
    <w:p>
      <w:pPr>
        <w:pStyle w:val="6"/>
        <w:rPr>
          <w:u w:val="single"/>
        </w:rPr>
      </w:pPr>
      <w:r>
        <w:rPr>
          <w:u w:val="single"/>
        </w:rPr>
        <w:t>表</w:t>
      </w:r>
      <w:r>
        <w:rPr>
          <w:rFonts w:ascii="Times New Roman" w:hAnsi="Times New Roman" w:cs="Times New Roman"/>
          <w:u w:val="single"/>
        </w:rPr>
        <w:t>6.2.1-</w:t>
      </w:r>
      <w:r>
        <w:rPr>
          <w:rFonts w:hint="eastAsia" w:ascii="Times New Roman" w:hAnsi="Times New Roman" w:cs="Times New Roman"/>
          <w:u w:val="single"/>
        </w:rPr>
        <w:t xml:space="preserve">35 </w:t>
      </w:r>
      <w:r>
        <w:rPr>
          <w:u w:val="single"/>
        </w:rPr>
        <w:t>本项目正常排放下各敏感点硫酸雾1小时叠加浓度预测结果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28"/>
        <w:gridCol w:w="865"/>
        <w:gridCol w:w="1559"/>
        <w:gridCol w:w="1276"/>
        <w:gridCol w:w="959"/>
        <w:gridCol w:w="1651"/>
        <w:gridCol w:w="9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u w:val="single"/>
              </w:rPr>
            </w:pPr>
            <w:r>
              <w:rPr>
                <w:u w:val="single"/>
              </w:rPr>
              <w:t>敏感点名称</w:t>
            </w:r>
          </w:p>
        </w:tc>
        <w:tc>
          <w:tcPr>
            <w:tcW w:w="507" w:type="pct"/>
            <w:shd w:val="clear" w:color="auto" w:fill="auto"/>
            <w:noWrap/>
            <w:vAlign w:val="center"/>
          </w:tcPr>
          <w:p>
            <w:pPr>
              <w:pStyle w:val="63"/>
              <w:rPr>
                <w:u w:val="single"/>
              </w:rPr>
            </w:pPr>
            <w:r>
              <w:rPr>
                <w:u w:val="single"/>
              </w:rPr>
              <w:t>浓度类型</w:t>
            </w:r>
          </w:p>
        </w:tc>
        <w:tc>
          <w:tcPr>
            <w:tcW w:w="914" w:type="pct"/>
            <w:shd w:val="clear" w:color="auto" w:fill="auto"/>
            <w:noWrap/>
            <w:vAlign w:val="center"/>
          </w:tcPr>
          <w:p>
            <w:pPr>
              <w:pStyle w:val="63"/>
              <w:rPr>
                <w:u w:val="single"/>
              </w:rPr>
            </w:pPr>
            <w:r>
              <w:rPr>
                <w:rFonts w:eastAsia="宋体"/>
                <w:u w:val="single"/>
              </w:rPr>
              <w:t>本项目+区域污染源ug/m</w:t>
            </w:r>
            <w:r>
              <w:rPr>
                <w:rFonts w:eastAsia="宋体"/>
                <w:u w:val="single"/>
                <w:vertAlign w:val="superscript"/>
              </w:rPr>
              <w:t>3</w:t>
            </w:r>
          </w:p>
        </w:tc>
        <w:tc>
          <w:tcPr>
            <w:tcW w:w="748" w:type="pct"/>
            <w:vAlign w:val="center"/>
          </w:tcPr>
          <w:p>
            <w:pPr>
              <w:pStyle w:val="63"/>
              <w:rPr>
                <w:u w:val="single"/>
              </w:rPr>
            </w:pPr>
            <w:r>
              <w:rPr>
                <w:u w:val="single"/>
              </w:rPr>
              <w:t>背景值(μg/m</w:t>
            </w:r>
            <w:r>
              <w:rPr>
                <w:u w:val="single"/>
                <w:vertAlign w:val="superscript"/>
              </w:rPr>
              <w:t>3</w:t>
            </w:r>
            <w:r>
              <w:rPr>
                <w:u w:val="single"/>
              </w:rPr>
              <w:t>)</w:t>
            </w:r>
          </w:p>
        </w:tc>
        <w:tc>
          <w:tcPr>
            <w:tcW w:w="562" w:type="pct"/>
            <w:vAlign w:val="center"/>
          </w:tcPr>
          <w:p>
            <w:pPr>
              <w:pStyle w:val="63"/>
              <w:rPr>
                <w:rFonts w:eastAsia="宋体"/>
                <w:u w:val="single"/>
              </w:rPr>
            </w:pPr>
            <w:r>
              <w:rPr>
                <w:rFonts w:eastAsia="宋体"/>
                <w:u w:val="single"/>
              </w:rPr>
              <w:t>叠加后</w:t>
            </w:r>
          </w:p>
          <w:p>
            <w:pPr>
              <w:pStyle w:val="63"/>
              <w:rPr>
                <w:rFonts w:eastAsia="宋体"/>
                <w:u w:val="single"/>
              </w:rPr>
            </w:pPr>
            <w:r>
              <w:rPr>
                <w:rFonts w:eastAsia="宋体"/>
                <w:u w:val="single"/>
              </w:rPr>
              <w:t>ug/m</w:t>
            </w:r>
            <w:r>
              <w:rPr>
                <w:rFonts w:eastAsia="宋体"/>
                <w:u w:val="single"/>
                <w:vertAlign w:val="superscript"/>
              </w:rPr>
              <w:t>3</w:t>
            </w:r>
          </w:p>
        </w:tc>
        <w:tc>
          <w:tcPr>
            <w:tcW w:w="968" w:type="pct"/>
            <w:shd w:val="clear" w:color="auto" w:fill="auto"/>
            <w:noWrap/>
            <w:vAlign w:val="center"/>
          </w:tcPr>
          <w:p>
            <w:pPr>
              <w:pStyle w:val="63"/>
              <w:rPr>
                <w:u w:val="single"/>
              </w:rPr>
            </w:pPr>
            <w:r>
              <w:rPr>
                <w:u w:val="single"/>
              </w:rPr>
              <w:t>评价标准(μg/m</w:t>
            </w:r>
            <w:r>
              <w:rPr>
                <w:u w:val="single"/>
                <w:vertAlign w:val="superscript"/>
              </w:rPr>
              <w:t>3</w:t>
            </w:r>
            <w:r>
              <w:rPr>
                <w:u w:val="single"/>
              </w:rPr>
              <w:t>)</w:t>
            </w:r>
          </w:p>
        </w:tc>
        <w:tc>
          <w:tcPr>
            <w:tcW w:w="581" w:type="pct"/>
            <w:shd w:val="clear" w:color="auto" w:fill="auto"/>
            <w:noWrap/>
            <w:vAlign w:val="center"/>
          </w:tcPr>
          <w:p>
            <w:pPr>
              <w:pStyle w:val="63"/>
              <w:rPr>
                <w:u w:val="single"/>
              </w:rPr>
            </w:pPr>
            <w:r>
              <w:rPr>
                <w:u w:val="single"/>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浦泉村</w:t>
            </w:r>
          </w:p>
        </w:tc>
        <w:tc>
          <w:tcPr>
            <w:tcW w:w="507" w:type="pct"/>
            <w:vMerge w:val="restart"/>
            <w:shd w:val="clear" w:color="auto" w:fill="auto"/>
            <w:noWrap/>
            <w:vAlign w:val="center"/>
          </w:tcPr>
          <w:p>
            <w:pPr>
              <w:pStyle w:val="63"/>
              <w:rPr>
                <w:rFonts w:eastAsia="宋体"/>
                <w:u w:val="single"/>
              </w:rPr>
            </w:pPr>
            <w:r>
              <w:rPr>
                <w:rFonts w:hint="eastAsia" w:eastAsia="宋体"/>
                <w:u w:val="single"/>
              </w:rPr>
              <w:t>1小时</w:t>
            </w:r>
          </w:p>
          <w:p>
            <w:pPr>
              <w:pStyle w:val="63"/>
              <w:rPr>
                <w:rFonts w:eastAsia="宋体"/>
                <w:u w:val="single"/>
              </w:rPr>
            </w:pPr>
            <w:r>
              <w:rPr>
                <w:rFonts w:hint="eastAsia" w:eastAsia="宋体"/>
                <w:u w:val="single"/>
              </w:rPr>
              <w:t>平均</w:t>
            </w: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3.72</w:t>
            </w:r>
          </w:p>
        </w:tc>
        <w:tc>
          <w:tcPr>
            <w:tcW w:w="748" w:type="pct"/>
            <w:vMerge w:val="restart"/>
            <w:vAlign w:val="center"/>
          </w:tcPr>
          <w:p>
            <w:pPr>
              <w:pStyle w:val="63"/>
              <w:rPr>
                <w:u w:val="single"/>
              </w:rPr>
            </w:pPr>
            <w:r>
              <w:rPr>
                <w:rFonts w:hint="eastAsia"/>
                <w:u w:val="single"/>
              </w:rPr>
              <w:t>0.161</w:t>
            </w: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3.88</w:t>
            </w:r>
          </w:p>
        </w:tc>
        <w:tc>
          <w:tcPr>
            <w:tcW w:w="968" w:type="pct"/>
            <w:shd w:val="clear" w:color="auto" w:fill="auto"/>
            <w:noWrap/>
            <w:vAlign w:val="center"/>
          </w:tcPr>
          <w:p>
            <w:pPr>
              <w:pStyle w:val="63"/>
              <w:rPr>
                <w:u w:val="single"/>
              </w:rPr>
            </w:pPr>
            <w:r>
              <w:rPr>
                <w:u w:val="single"/>
              </w:rPr>
              <w:t>300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1.29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三才村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8.41</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8.57</w:t>
            </w:r>
          </w:p>
        </w:tc>
        <w:tc>
          <w:tcPr>
            <w:tcW w:w="968" w:type="pct"/>
            <w:shd w:val="clear" w:color="auto" w:fill="auto"/>
            <w:noWrap/>
            <w:vAlign w:val="center"/>
          </w:tcPr>
          <w:p>
            <w:pPr>
              <w:pStyle w:val="63"/>
              <w:rPr>
                <w:u w:val="single"/>
              </w:rPr>
            </w:pPr>
            <w:r>
              <w:rPr>
                <w:u w:val="single"/>
              </w:rPr>
              <w:t>300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2.86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新石桥村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7.31</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7.47</w:t>
            </w:r>
          </w:p>
        </w:tc>
        <w:tc>
          <w:tcPr>
            <w:tcW w:w="968" w:type="pct"/>
            <w:shd w:val="clear" w:color="auto" w:fill="auto"/>
            <w:noWrap/>
            <w:vAlign w:val="center"/>
          </w:tcPr>
          <w:p>
            <w:pPr>
              <w:pStyle w:val="63"/>
              <w:rPr>
                <w:u w:val="single"/>
              </w:rPr>
            </w:pPr>
            <w:r>
              <w:rPr>
                <w:u w:val="single"/>
              </w:rPr>
              <w:t>300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2.49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大浦镇</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4.32</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4.48</w:t>
            </w:r>
          </w:p>
        </w:tc>
        <w:tc>
          <w:tcPr>
            <w:tcW w:w="968" w:type="pct"/>
            <w:shd w:val="clear" w:color="auto" w:fill="auto"/>
            <w:noWrap/>
            <w:vAlign w:val="center"/>
          </w:tcPr>
          <w:p>
            <w:pPr>
              <w:pStyle w:val="63"/>
              <w:rPr>
                <w:u w:val="single"/>
              </w:rPr>
            </w:pPr>
            <w:r>
              <w:rPr>
                <w:u w:val="single"/>
              </w:rPr>
              <w:t>300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1.49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炉铺村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5.92</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6.08</w:t>
            </w:r>
          </w:p>
        </w:tc>
        <w:tc>
          <w:tcPr>
            <w:tcW w:w="968" w:type="pct"/>
            <w:shd w:val="clear" w:color="auto" w:fill="auto"/>
            <w:noWrap/>
            <w:vAlign w:val="center"/>
          </w:tcPr>
          <w:p>
            <w:pPr>
              <w:pStyle w:val="63"/>
              <w:rPr>
                <w:u w:val="single"/>
              </w:rPr>
            </w:pPr>
            <w:r>
              <w:rPr>
                <w:u w:val="single"/>
              </w:rPr>
              <w:t>300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2.03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堰桥村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4.89</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5.05</w:t>
            </w:r>
          </w:p>
        </w:tc>
        <w:tc>
          <w:tcPr>
            <w:tcW w:w="968" w:type="pct"/>
            <w:shd w:val="clear" w:color="auto" w:fill="auto"/>
            <w:noWrap/>
            <w:vAlign w:val="center"/>
          </w:tcPr>
          <w:p>
            <w:pPr>
              <w:pStyle w:val="63"/>
              <w:rPr>
                <w:u w:val="single"/>
              </w:rPr>
            </w:pPr>
            <w:r>
              <w:rPr>
                <w:u w:val="single"/>
              </w:rPr>
              <w:t>300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1.68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安置区</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6.35</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6.51</w:t>
            </w:r>
          </w:p>
        </w:tc>
        <w:tc>
          <w:tcPr>
            <w:tcW w:w="968" w:type="pct"/>
            <w:shd w:val="clear" w:color="auto" w:fill="auto"/>
            <w:noWrap/>
            <w:vAlign w:val="center"/>
          </w:tcPr>
          <w:p>
            <w:pPr>
              <w:pStyle w:val="63"/>
              <w:rPr>
                <w:u w:val="single"/>
              </w:rPr>
            </w:pPr>
            <w:r>
              <w:rPr>
                <w:u w:val="single"/>
              </w:rPr>
              <w:t>300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2.17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爱国医院</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9.06</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9.22</w:t>
            </w:r>
          </w:p>
        </w:tc>
        <w:tc>
          <w:tcPr>
            <w:tcW w:w="968" w:type="pct"/>
            <w:shd w:val="clear" w:color="auto" w:fill="auto"/>
            <w:noWrap/>
            <w:vAlign w:val="center"/>
          </w:tcPr>
          <w:p>
            <w:pPr>
              <w:pStyle w:val="63"/>
              <w:rPr>
                <w:u w:val="single"/>
              </w:rPr>
            </w:pPr>
            <w:r>
              <w:rPr>
                <w:u w:val="single"/>
              </w:rPr>
              <w:t>300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3.07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罗家老屋</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6.53</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6.69</w:t>
            </w:r>
          </w:p>
        </w:tc>
        <w:tc>
          <w:tcPr>
            <w:tcW w:w="968" w:type="pct"/>
            <w:shd w:val="clear" w:color="auto" w:fill="auto"/>
            <w:noWrap/>
            <w:vAlign w:val="center"/>
          </w:tcPr>
          <w:p>
            <w:pPr>
              <w:pStyle w:val="63"/>
              <w:rPr>
                <w:u w:val="single"/>
              </w:rPr>
            </w:pPr>
            <w:r>
              <w:rPr>
                <w:u w:val="single"/>
              </w:rPr>
              <w:t>300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2.23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北头村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13.12</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13.28</w:t>
            </w:r>
          </w:p>
        </w:tc>
        <w:tc>
          <w:tcPr>
            <w:tcW w:w="968" w:type="pct"/>
            <w:shd w:val="clear" w:color="auto" w:fill="auto"/>
            <w:noWrap/>
            <w:vAlign w:val="center"/>
          </w:tcPr>
          <w:p>
            <w:pPr>
              <w:pStyle w:val="63"/>
              <w:rPr>
                <w:u w:val="single"/>
              </w:rPr>
            </w:pPr>
            <w:r>
              <w:rPr>
                <w:u w:val="single"/>
              </w:rPr>
              <w:t>300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4.43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龙家冲</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5.46</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5.63</w:t>
            </w:r>
          </w:p>
        </w:tc>
        <w:tc>
          <w:tcPr>
            <w:tcW w:w="968" w:type="pct"/>
            <w:shd w:val="clear" w:color="auto" w:fill="auto"/>
            <w:noWrap/>
            <w:vAlign w:val="center"/>
          </w:tcPr>
          <w:p>
            <w:pPr>
              <w:pStyle w:val="63"/>
              <w:rPr>
                <w:u w:val="single"/>
              </w:rPr>
            </w:pPr>
            <w:r>
              <w:rPr>
                <w:u w:val="single"/>
              </w:rPr>
              <w:t>300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1.88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平田村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5.02</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5.18</w:t>
            </w:r>
          </w:p>
        </w:tc>
        <w:tc>
          <w:tcPr>
            <w:tcW w:w="968" w:type="pct"/>
            <w:shd w:val="clear" w:color="auto" w:fill="auto"/>
            <w:noWrap/>
            <w:vAlign w:val="center"/>
          </w:tcPr>
          <w:p>
            <w:pPr>
              <w:pStyle w:val="63"/>
              <w:rPr>
                <w:u w:val="single"/>
              </w:rPr>
            </w:pPr>
            <w:r>
              <w:rPr>
                <w:u w:val="single"/>
              </w:rPr>
              <w:t>300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1.73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shd w:val="clear" w:color="auto" w:fill="auto"/>
            <w:noWrap/>
            <w:vAlign w:val="center"/>
          </w:tcPr>
          <w:p>
            <w:pPr>
              <w:pStyle w:val="63"/>
              <w:rPr>
                <w:color w:val="000000"/>
                <w:u w:val="single"/>
              </w:rPr>
            </w:pPr>
            <w:r>
              <w:rPr>
                <w:color w:val="000000"/>
                <w:u w:val="single"/>
              </w:rPr>
              <w:t>彭家屋场</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30.46</w:t>
            </w:r>
          </w:p>
        </w:tc>
        <w:tc>
          <w:tcPr>
            <w:tcW w:w="748" w:type="pct"/>
            <w:vMerge w:val="continue"/>
            <w:vAlign w:val="center"/>
          </w:tcPr>
          <w:p>
            <w:pPr>
              <w:pStyle w:val="63"/>
              <w:rPr>
                <w:u w:val="single"/>
              </w:rPr>
            </w:pPr>
          </w:p>
        </w:tc>
        <w:tc>
          <w:tcPr>
            <w:tcW w:w="562" w:type="pct"/>
            <w:vAlign w:val="center"/>
          </w:tcPr>
          <w:p>
            <w:pPr>
              <w:pStyle w:val="63"/>
              <w:rPr>
                <w:rFonts w:ascii="宋体" w:hAnsi="宋体" w:eastAsia="宋体" w:cs="宋体"/>
                <w:color w:val="000000"/>
                <w:sz w:val="22"/>
                <w:u w:val="single"/>
              </w:rPr>
            </w:pPr>
            <w:r>
              <w:rPr>
                <w:rFonts w:hint="eastAsia"/>
                <w:color w:val="000000"/>
                <w:sz w:val="22"/>
                <w:u w:val="single"/>
              </w:rPr>
              <w:t>30.62</w:t>
            </w:r>
          </w:p>
        </w:tc>
        <w:tc>
          <w:tcPr>
            <w:tcW w:w="968" w:type="pct"/>
            <w:shd w:val="clear" w:color="auto" w:fill="auto"/>
            <w:noWrap/>
            <w:vAlign w:val="center"/>
          </w:tcPr>
          <w:p>
            <w:pPr>
              <w:pStyle w:val="63"/>
              <w:rPr>
                <w:u w:val="single"/>
              </w:rPr>
            </w:pPr>
            <w:r>
              <w:rPr>
                <w:u w:val="single"/>
              </w:rPr>
              <w:t>300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10.21</w:t>
            </w:r>
          </w:p>
        </w:tc>
      </w:tr>
    </w:tbl>
    <w:p>
      <w:pPr>
        <w:pStyle w:val="6"/>
        <w:rPr>
          <w:u w:val="single"/>
        </w:rPr>
      </w:pPr>
      <w:r>
        <w:rPr>
          <w:u w:val="single"/>
        </w:rPr>
        <w:t>表</w:t>
      </w:r>
      <w:r>
        <w:rPr>
          <w:rFonts w:ascii="Times New Roman" w:hAnsi="Times New Roman" w:cs="Times New Roman"/>
          <w:u w:val="single"/>
        </w:rPr>
        <w:t>6.2.1-</w:t>
      </w:r>
      <w:r>
        <w:rPr>
          <w:rFonts w:hint="eastAsia" w:ascii="Times New Roman" w:hAnsi="Times New Roman" w:cs="Times New Roman"/>
          <w:u w:val="single"/>
        </w:rPr>
        <w:t xml:space="preserve">36  </w:t>
      </w:r>
      <w:r>
        <w:rPr>
          <w:u w:val="single"/>
        </w:rPr>
        <w:t>本项目正常排放下各敏感点硫酸雾24小时叠加浓度预测结果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29"/>
        <w:gridCol w:w="865"/>
        <w:gridCol w:w="1559"/>
        <w:gridCol w:w="1134"/>
        <w:gridCol w:w="1100"/>
        <w:gridCol w:w="1651"/>
        <w:gridCol w:w="9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u w:val="single"/>
              </w:rPr>
            </w:pPr>
            <w:r>
              <w:rPr>
                <w:u w:val="single"/>
              </w:rPr>
              <w:t>敏感点名称</w:t>
            </w:r>
          </w:p>
        </w:tc>
        <w:tc>
          <w:tcPr>
            <w:tcW w:w="507" w:type="pct"/>
            <w:shd w:val="clear" w:color="auto" w:fill="auto"/>
            <w:noWrap/>
            <w:vAlign w:val="center"/>
          </w:tcPr>
          <w:p>
            <w:pPr>
              <w:pStyle w:val="63"/>
              <w:rPr>
                <w:u w:val="single"/>
              </w:rPr>
            </w:pPr>
            <w:r>
              <w:rPr>
                <w:u w:val="single"/>
              </w:rPr>
              <w:t>浓度类型</w:t>
            </w:r>
          </w:p>
        </w:tc>
        <w:tc>
          <w:tcPr>
            <w:tcW w:w="914" w:type="pct"/>
            <w:shd w:val="clear" w:color="auto" w:fill="auto"/>
            <w:noWrap/>
            <w:vAlign w:val="center"/>
          </w:tcPr>
          <w:p>
            <w:pPr>
              <w:pStyle w:val="63"/>
              <w:rPr>
                <w:u w:val="single"/>
              </w:rPr>
            </w:pPr>
            <w:r>
              <w:rPr>
                <w:rFonts w:eastAsia="宋体"/>
                <w:u w:val="single"/>
              </w:rPr>
              <w:t>本项目+区域污染源ug/m</w:t>
            </w:r>
            <w:r>
              <w:rPr>
                <w:rFonts w:eastAsia="宋体"/>
                <w:u w:val="single"/>
                <w:vertAlign w:val="superscript"/>
              </w:rPr>
              <w:t>3</w:t>
            </w:r>
          </w:p>
        </w:tc>
        <w:tc>
          <w:tcPr>
            <w:tcW w:w="665" w:type="pct"/>
            <w:vAlign w:val="center"/>
          </w:tcPr>
          <w:p>
            <w:pPr>
              <w:pStyle w:val="63"/>
              <w:rPr>
                <w:u w:val="single"/>
              </w:rPr>
            </w:pPr>
            <w:r>
              <w:rPr>
                <w:u w:val="single"/>
              </w:rPr>
              <w:t>背景值(μg/m</w:t>
            </w:r>
            <w:r>
              <w:rPr>
                <w:u w:val="single"/>
                <w:vertAlign w:val="superscript"/>
              </w:rPr>
              <w:t>3</w:t>
            </w:r>
            <w:r>
              <w:rPr>
                <w:u w:val="single"/>
              </w:rPr>
              <w:t>)</w:t>
            </w:r>
          </w:p>
        </w:tc>
        <w:tc>
          <w:tcPr>
            <w:tcW w:w="645" w:type="pct"/>
            <w:vAlign w:val="center"/>
          </w:tcPr>
          <w:p>
            <w:pPr>
              <w:pStyle w:val="63"/>
              <w:rPr>
                <w:rFonts w:eastAsia="宋体"/>
                <w:u w:val="single"/>
              </w:rPr>
            </w:pPr>
            <w:r>
              <w:rPr>
                <w:rFonts w:eastAsia="宋体"/>
                <w:u w:val="single"/>
              </w:rPr>
              <w:t>叠加后</w:t>
            </w:r>
          </w:p>
          <w:p>
            <w:pPr>
              <w:pStyle w:val="63"/>
              <w:rPr>
                <w:rFonts w:eastAsia="宋体"/>
                <w:u w:val="single"/>
              </w:rPr>
            </w:pPr>
            <w:r>
              <w:rPr>
                <w:rFonts w:eastAsia="宋体"/>
                <w:u w:val="single"/>
              </w:rPr>
              <w:t>ug/m</w:t>
            </w:r>
            <w:r>
              <w:rPr>
                <w:rFonts w:eastAsia="宋体"/>
                <w:u w:val="single"/>
                <w:vertAlign w:val="superscript"/>
              </w:rPr>
              <w:t>3</w:t>
            </w:r>
          </w:p>
        </w:tc>
        <w:tc>
          <w:tcPr>
            <w:tcW w:w="968" w:type="pct"/>
            <w:shd w:val="clear" w:color="auto" w:fill="auto"/>
            <w:noWrap/>
            <w:vAlign w:val="center"/>
          </w:tcPr>
          <w:p>
            <w:pPr>
              <w:pStyle w:val="63"/>
              <w:rPr>
                <w:u w:val="single"/>
              </w:rPr>
            </w:pPr>
            <w:r>
              <w:rPr>
                <w:u w:val="single"/>
              </w:rPr>
              <w:t>评价标准(μg/m</w:t>
            </w:r>
            <w:r>
              <w:rPr>
                <w:u w:val="single"/>
                <w:vertAlign w:val="superscript"/>
              </w:rPr>
              <w:t>3</w:t>
            </w:r>
            <w:r>
              <w:rPr>
                <w:u w:val="single"/>
              </w:rPr>
              <w:t>)</w:t>
            </w:r>
          </w:p>
        </w:tc>
        <w:tc>
          <w:tcPr>
            <w:tcW w:w="581" w:type="pct"/>
            <w:shd w:val="clear" w:color="auto" w:fill="auto"/>
            <w:noWrap/>
            <w:vAlign w:val="center"/>
          </w:tcPr>
          <w:p>
            <w:pPr>
              <w:pStyle w:val="63"/>
              <w:rPr>
                <w:u w:val="single"/>
              </w:rPr>
            </w:pPr>
            <w:r>
              <w:rPr>
                <w:u w:val="single"/>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浦泉村</w:t>
            </w:r>
          </w:p>
        </w:tc>
        <w:tc>
          <w:tcPr>
            <w:tcW w:w="507" w:type="pct"/>
            <w:vMerge w:val="restart"/>
            <w:shd w:val="clear" w:color="auto" w:fill="auto"/>
            <w:noWrap/>
            <w:vAlign w:val="center"/>
          </w:tcPr>
          <w:p>
            <w:pPr>
              <w:pStyle w:val="63"/>
              <w:rPr>
                <w:rFonts w:eastAsia="宋体"/>
                <w:u w:val="single"/>
              </w:rPr>
            </w:pPr>
            <w:r>
              <w:rPr>
                <w:rFonts w:hint="eastAsia" w:eastAsia="宋体"/>
                <w:u w:val="single"/>
              </w:rPr>
              <w:t>24小时平均</w:t>
            </w: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0.49</w:t>
            </w:r>
          </w:p>
        </w:tc>
        <w:tc>
          <w:tcPr>
            <w:tcW w:w="665" w:type="pct"/>
            <w:vMerge w:val="restart"/>
            <w:vAlign w:val="center"/>
          </w:tcPr>
          <w:p>
            <w:pPr>
              <w:pStyle w:val="63"/>
              <w:rPr>
                <w:u w:val="single"/>
              </w:rPr>
            </w:pPr>
            <w:r>
              <w:rPr>
                <w:rFonts w:hint="eastAsia"/>
                <w:u w:val="single"/>
              </w:rPr>
              <w:t>0</w:t>
            </w: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0.49</w:t>
            </w:r>
          </w:p>
        </w:tc>
        <w:tc>
          <w:tcPr>
            <w:tcW w:w="968" w:type="pct"/>
            <w:shd w:val="clear" w:color="auto" w:fill="auto"/>
            <w:noWrap/>
            <w:vAlign w:val="center"/>
          </w:tcPr>
          <w:p>
            <w:pPr>
              <w:pStyle w:val="63"/>
              <w:rPr>
                <w:u w:val="single"/>
              </w:rPr>
            </w:pPr>
            <w:r>
              <w:rPr>
                <w:rFonts w:hint="eastAsia"/>
                <w:u w:val="single"/>
              </w:rPr>
              <w:t>100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三才村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0.72</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0.72</w:t>
            </w:r>
          </w:p>
        </w:tc>
        <w:tc>
          <w:tcPr>
            <w:tcW w:w="968" w:type="pct"/>
            <w:shd w:val="clear" w:color="auto" w:fill="auto"/>
            <w:noWrap/>
            <w:vAlign w:val="center"/>
          </w:tcPr>
          <w:p>
            <w:pPr>
              <w:pStyle w:val="63"/>
              <w:rPr>
                <w:u w:val="single"/>
              </w:rPr>
            </w:pPr>
            <w:r>
              <w:rPr>
                <w:rFonts w:hint="eastAsia"/>
                <w:u w:val="single"/>
              </w:rPr>
              <w:t>100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新石桥村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0.73</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0.73</w:t>
            </w:r>
          </w:p>
        </w:tc>
        <w:tc>
          <w:tcPr>
            <w:tcW w:w="968" w:type="pct"/>
            <w:shd w:val="clear" w:color="auto" w:fill="auto"/>
            <w:noWrap/>
            <w:vAlign w:val="center"/>
          </w:tcPr>
          <w:p>
            <w:pPr>
              <w:pStyle w:val="63"/>
              <w:rPr>
                <w:u w:val="single"/>
              </w:rPr>
            </w:pPr>
            <w:r>
              <w:rPr>
                <w:rFonts w:hint="eastAsia"/>
                <w:u w:val="single"/>
              </w:rPr>
              <w:t>100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0.73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大浦镇</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0.32</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0.32</w:t>
            </w:r>
          </w:p>
        </w:tc>
        <w:tc>
          <w:tcPr>
            <w:tcW w:w="968" w:type="pct"/>
            <w:shd w:val="clear" w:color="auto" w:fill="auto"/>
            <w:noWrap/>
            <w:vAlign w:val="center"/>
          </w:tcPr>
          <w:p>
            <w:pPr>
              <w:pStyle w:val="63"/>
              <w:rPr>
                <w:u w:val="single"/>
              </w:rPr>
            </w:pPr>
            <w:r>
              <w:rPr>
                <w:rFonts w:hint="eastAsia"/>
                <w:u w:val="single"/>
              </w:rPr>
              <w:t>100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炉铺村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0.45</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0.45</w:t>
            </w:r>
          </w:p>
        </w:tc>
        <w:tc>
          <w:tcPr>
            <w:tcW w:w="968" w:type="pct"/>
            <w:shd w:val="clear" w:color="auto" w:fill="auto"/>
            <w:noWrap/>
            <w:vAlign w:val="center"/>
          </w:tcPr>
          <w:p>
            <w:pPr>
              <w:pStyle w:val="63"/>
              <w:rPr>
                <w:u w:val="single"/>
              </w:rPr>
            </w:pPr>
            <w:r>
              <w:rPr>
                <w:rFonts w:hint="eastAsia"/>
                <w:u w:val="single"/>
              </w:rPr>
              <w:t>100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堰桥村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0.47</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0.47</w:t>
            </w:r>
          </w:p>
        </w:tc>
        <w:tc>
          <w:tcPr>
            <w:tcW w:w="968" w:type="pct"/>
            <w:shd w:val="clear" w:color="auto" w:fill="auto"/>
            <w:noWrap/>
            <w:vAlign w:val="center"/>
          </w:tcPr>
          <w:p>
            <w:pPr>
              <w:pStyle w:val="63"/>
              <w:rPr>
                <w:u w:val="single"/>
              </w:rPr>
            </w:pPr>
            <w:r>
              <w:rPr>
                <w:rFonts w:hint="eastAsia"/>
                <w:u w:val="single"/>
              </w:rPr>
              <w:t>100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安置区</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0.71</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0.71</w:t>
            </w:r>
          </w:p>
        </w:tc>
        <w:tc>
          <w:tcPr>
            <w:tcW w:w="968" w:type="pct"/>
            <w:shd w:val="clear" w:color="auto" w:fill="auto"/>
            <w:noWrap/>
            <w:vAlign w:val="center"/>
          </w:tcPr>
          <w:p>
            <w:pPr>
              <w:pStyle w:val="63"/>
              <w:rPr>
                <w:u w:val="single"/>
              </w:rPr>
            </w:pPr>
            <w:r>
              <w:rPr>
                <w:rFonts w:hint="eastAsia"/>
                <w:u w:val="single"/>
              </w:rPr>
              <w:t>100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0.71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爱国医院</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0.85</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0.85</w:t>
            </w:r>
          </w:p>
        </w:tc>
        <w:tc>
          <w:tcPr>
            <w:tcW w:w="968" w:type="pct"/>
            <w:shd w:val="clear" w:color="auto" w:fill="auto"/>
            <w:noWrap/>
            <w:vAlign w:val="center"/>
          </w:tcPr>
          <w:p>
            <w:pPr>
              <w:pStyle w:val="63"/>
              <w:rPr>
                <w:u w:val="single"/>
              </w:rPr>
            </w:pPr>
            <w:r>
              <w:rPr>
                <w:rFonts w:hint="eastAsia"/>
                <w:u w:val="single"/>
              </w:rPr>
              <w:t>100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罗家老屋</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0.63</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0.63</w:t>
            </w:r>
          </w:p>
        </w:tc>
        <w:tc>
          <w:tcPr>
            <w:tcW w:w="968" w:type="pct"/>
            <w:shd w:val="clear" w:color="auto" w:fill="auto"/>
            <w:noWrap/>
            <w:vAlign w:val="center"/>
          </w:tcPr>
          <w:p>
            <w:pPr>
              <w:pStyle w:val="63"/>
              <w:rPr>
                <w:u w:val="single"/>
              </w:rPr>
            </w:pPr>
            <w:r>
              <w:rPr>
                <w:rFonts w:hint="eastAsia"/>
                <w:u w:val="single"/>
              </w:rPr>
              <w:t>100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北头村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1.96</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1.96</w:t>
            </w:r>
          </w:p>
        </w:tc>
        <w:tc>
          <w:tcPr>
            <w:tcW w:w="968" w:type="pct"/>
            <w:shd w:val="clear" w:color="auto" w:fill="auto"/>
            <w:noWrap/>
            <w:vAlign w:val="center"/>
          </w:tcPr>
          <w:p>
            <w:pPr>
              <w:pStyle w:val="63"/>
              <w:rPr>
                <w:u w:val="single"/>
              </w:rPr>
            </w:pPr>
            <w:r>
              <w:rPr>
                <w:rFonts w:hint="eastAsia"/>
                <w:u w:val="single"/>
              </w:rPr>
              <w:t>100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1.96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龙家冲</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0.3</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0.3</w:t>
            </w:r>
          </w:p>
        </w:tc>
        <w:tc>
          <w:tcPr>
            <w:tcW w:w="968" w:type="pct"/>
            <w:shd w:val="clear" w:color="auto" w:fill="auto"/>
            <w:noWrap/>
            <w:vAlign w:val="center"/>
          </w:tcPr>
          <w:p>
            <w:pPr>
              <w:pStyle w:val="63"/>
              <w:rPr>
                <w:u w:val="single"/>
              </w:rPr>
            </w:pPr>
            <w:r>
              <w:rPr>
                <w:rFonts w:hint="eastAsia"/>
                <w:u w:val="single"/>
              </w:rPr>
              <w:t>100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平田村</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0.56</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0.56</w:t>
            </w:r>
          </w:p>
        </w:tc>
        <w:tc>
          <w:tcPr>
            <w:tcW w:w="968" w:type="pct"/>
            <w:shd w:val="clear" w:color="auto" w:fill="auto"/>
            <w:noWrap/>
            <w:vAlign w:val="center"/>
          </w:tcPr>
          <w:p>
            <w:pPr>
              <w:pStyle w:val="63"/>
              <w:rPr>
                <w:u w:val="single"/>
              </w:rPr>
            </w:pPr>
            <w:r>
              <w:rPr>
                <w:rFonts w:hint="eastAsia"/>
                <w:u w:val="single"/>
              </w:rPr>
              <w:t>100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0.56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pct"/>
            <w:shd w:val="clear" w:color="auto" w:fill="auto"/>
            <w:noWrap/>
            <w:vAlign w:val="center"/>
          </w:tcPr>
          <w:p>
            <w:pPr>
              <w:pStyle w:val="63"/>
              <w:rPr>
                <w:color w:val="000000"/>
                <w:u w:val="single"/>
              </w:rPr>
            </w:pPr>
            <w:r>
              <w:rPr>
                <w:color w:val="000000"/>
                <w:u w:val="single"/>
              </w:rPr>
              <w:t>彭家屋场</w:t>
            </w:r>
          </w:p>
        </w:tc>
        <w:tc>
          <w:tcPr>
            <w:tcW w:w="507" w:type="pct"/>
            <w:vMerge w:val="continue"/>
            <w:shd w:val="clear" w:color="auto" w:fill="auto"/>
            <w:noWrap/>
            <w:vAlign w:val="center"/>
          </w:tcPr>
          <w:p>
            <w:pPr>
              <w:pStyle w:val="63"/>
              <w:rPr>
                <w:u w:val="single"/>
              </w:rPr>
            </w:pPr>
          </w:p>
        </w:tc>
        <w:tc>
          <w:tcPr>
            <w:tcW w:w="914"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2.13</w:t>
            </w:r>
          </w:p>
        </w:tc>
        <w:tc>
          <w:tcPr>
            <w:tcW w:w="665" w:type="pct"/>
            <w:vMerge w:val="continue"/>
            <w:vAlign w:val="center"/>
          </w:tcPr>
          <w:p>
            <w:pPr>
              <w:pStyle w:val="63"/>
              <w:rPr>
                <w:u w:val="single"/>
              </w:rPr>
            </w:pPr>
          </w:p>
        </w:tc>
        <w:tc>
          <w:tcPr>
            <w:tcW w:w="645" w:type="pct"/>
            <w:vAlign w:val="center"/>
          </w:tcPr>
          <w:p>
            <w:pPr>
              <w:pStyle w:val="63"/>
              <w:rPr>
                <w:rFonts w:ascii="宋体" w:hAnsi="宋体" w:eastAsia="宋体" w:cs="宋体"/>
                <w:color w:val="000000"/>
                <w:sz w:val="22"/>
                <w:u w:val="single"/>
              </w:rPr>
            </w:pPr>
            <w:r>
              <w:rPr>
                <w:rFonts w:hint="eastAsia"/>
                <w:color w:val="000000"/>
                <w:sz w:val="22"/>
                <w:u w:val="single"/>
              </w:rPr>
              <w:t>2.13</w:t>
            </w:r>
          </w:p>
        </w:tc>
        <w:tc>
          <w:tcPr>
            <w:tcW w:w="968" w:type="pct"/>
            <w:shd w:val="clear" w:color="auto" w:fill="auto"/>
            <w:noWrap/>
            <w:vAlign w:val="center"/>
          </w:tcPr>
          <w:p>
            <w:pPr>
              <w:pStyle w:val="63"/>
              <w:rPr>
                <w:u w:val="single"/>
              </w:rPr>
            </w:pPr>
            <w:r>
              <w:rPr>
                <w:rFonts w:hint="eastAsia"/>
                <w:u w:val="single"/>
              </w:rPr>
              <w:t>100</w:t>
            </w:r>
          </w:p>
        </w:tc>
        <w:tc>
          <w:tcPr>
            <w:tcW w:w="581" w:type="pct"/>
            <w:shd w:val="clear" w:color="auto" w:fill="auto"/>
            <w:noWrap/>
            <w:vAlign w:val="center"/>
          </w:tcPr>
          <w:p>
            <w:pPr>
              <w:pStyle w:val="63"/>
              <w:rPr>
                <w:rFonts w:ascii="宋体" w:hAnsi="宋体" w:eastAsia="宋体" w:cs="宋体"/>
                <w:color w:val="000000"/>
                <w:sz w:val="22"/>
                <w:u w:val="single"/>
              </w:rPr>
            </w:pPr>
            <w:r>
              <w:rPr>
                <w:rFonts w:hint="eastAsia"/>
                <w:color w:val="000000"/>
                <w:sz w:val="22"/>
                <w:u w:val="single"/>
              </w:rPr>
              <w:t>2.13</w:t>
            </w:r>
          </w:p>
        </w:tc>
      </w:tr>
    </w:tbl>
    <w:p>
      <w:pPr>
        <w:pStyle w:val="5"/>
        <w:ind w:firstLine="482"/>
        <w:rPr>
          <w:rFonts w:ascii="Times New Roman" w:hAnsi="Times New Roman" w:cs="Times New Roman" w:eastAsiaTheme="minorEastAsia"/>
        </w:rPr>
      </w:pPr>
      <w:r>
        <w:rPr>
          <w:rFonts w:ascii="Times New Roman" w:hAnsi="Times New Roman" w:cs="Times New Roman" w:eastAsiaTheme="minorEastAsia"/>
        </w:rPr>
        <w:t>6.2.1.7.3 情景3非正常工况预测结果</w:t>
      </w:r>
    </w:p>
    <w:p>
      <w:pPr>
        <w:spacing w:line="360" w:lineRule="auto"/>
        <w:ind w:firstLine="480" w:firstLineChars="200"/>
        <w:rPr>
          <w:rFonts w:ascii="Times New Roman" w:hAnsi="Times New Roman" w:cs="Times New Roman"/>
        </w:rPr>
      </w:pPr>
      <w:r>
        <w:rPr>
          <w:rFonts w:hint="eastAsia" w:ascii="Times New Roman" w:hAnsi="Times New Roman" w:cs="Times New Roman"/>
        </w:rPr>
        <w:t>根据《环境影响评价技术导则大气环境》（HJ2.2-2018）第8.6.2.4条规定：项目非正常排放条件下，预测环境空气保护目标和网格点主要污染物的1h最大浓度贡献值，评价其最大浓度占标率。</w:t>
      </w:r>
    </w:p>
    <w:p>
      <w:pPr>
        <w:spacing w:line="360" w:lineRule="auto"/>
        <w:ind w:firstLine="480" w:firstLineChars="200"/>
        <w:rPr>
          <w:rFonts w:ascii="Times New Roman" w:hAnsi="Times New Roman" w:cs="Times New Roman"/>
        </w:rPr>
      </w:pPr>
      <w:r>
        <w:rPr>
          <w:rFonts w:ascii="Times New Roman" w:hAnsi="Times New Roman" w:cs="Times New Roman"/>
        </w:rPr>
        <w:t>由</w:t>
      </w:r>
      <w:r>
        <w:rPr>
          <w:rFonts w:hint="eastAsia" w:ascii="Times New Roman" w:hAnsi="Times New Roman" w:cs="Times New Roman"/>
        </w:rPr>
        <w:t>下表</w:t>
      </w:r>
      <w:r>
        <w:rPr>
          <w:rFonts w:ascii="Times New Roman" w:hAnsi="Times New Roman" w:cs="Times New Roman"/>
        </w:rPr>
        <w:t>可知，在非正常工况下，SO</w:t>
      </w:r>
      <w:r>
        <w:rPr>
          <w:rFonts w:ascii="Times New Roman" w:hAnsi="Times New Roman" w:cs="Times New Roman"/>
          <w:vertAlign w:val="subscript"/>
        </w:rPr>
        <w:t>2</w:t>
      </w:r>
      <w:r>
        <w:rPr>
          <w:rFonts w:ascii="Times New Roman" w:hAnsi="Times New Roman" w:cs="Times New Roman"/>
        </w:rPr>
        <w:t>、PM10、N</w:t>
      </w:r>
      <w:r>
        <w:rPr>
          <w:rFonts w:hint="eastAsia" w:ascii="Times New Roman" w:hAnsi="Times New Roman" w:cs="Times New Roman"/>
        </w:rPr>
        <w:t>O</w:t>
      </w:r>
      <w:r>
        <w:rPr>
          <w:rFonts w:ascii="Times New Roman" w:hAnsi="Times New Roman" w:cs="Times New Roman"/>
        </w:rPr>
        <w:t>x、</w:t>
      </w:r>
      <w:r>
        <w:rPr>
          <w:rFonts w:hint="eastAsia" w:ascii="Times New Roman" w:hAnsi="Times New Roman" w:cs="Times New Roman"/>
        </w:rPr>
        <w:t>镍及其化合物符合相应标准，硫酸雾、非甲烷总烃、氟化物超标；</w:t>
      </w:r>
    </w:p>
    <w:p>
      <w:pPr>
        <w:spacing w:line="360" w:lineRule="auto"/>
        <w:ind w:firstLine="480" w:firstLineChars="200"/>
        <w:rPr>
          <w:rFonts w:ascii="Times New Roman" w:hAnsi="Times New Roman" w:cs="Times New Roman"/>
        </w:rPr>
      </w:pPr>
      <w:r>
        <w:rPr>
          <w:rFonts w:ascii="Times New Roman" w:hAnsi="Times New Roman" w:cs="Times New Roman"/>
        </w:rPr>
        <w:t>各敏感点SO</w:t>
      </w:r>
      <w:r>
        <w:rPr>
          <w:rFonts w:ascii="Times New Roman" w:hAnsi="Times New Roman" w:cs="Times New Roman"/>
          <w:vertAlign w:val="subscript"/>
        </w:rPr>
        <w:t>2</w:t>
      </w:r>
      <w:r>
        <w:rPr>
          <w:rFonts w:ascii="Times New Roman" w:hAnsi="Times New Roman" w:cs="Times New Roman"/>
        </w:rPr>
        <w:t>的最大1小时贡献浓度均达标；各敏感点PM</w:t>
      </w:r>
      <w:r>
        <w:rPr>
          <w:rFonts w:ascii="Times New Roman" w:hAnsi="Times New Roman" w:cs="Times New Roman"/>
          <w:vertAlign w:val="subscript"/>
        </w:rPr>
        <w:t>10</w:t>
      </w:r>
      <w:r>
        <w:rPr>
          <w:rFonts w:ascii="Times New Roman" w:hAnsi="Times New Roman" w:cs="Times New Roman"/>
        </w:rPr>
        <w:t>的最大1小时贡献浓度均达标（1小时平均浓度标准值取24小时平均浓度标准值的3倍值）；各敏感点NOx的最大1小时贡献浓度均达标；各敏感点非甲烷总烃的最大1小时贡献浓度均达标；各敏感点镍及其化合物的最大1小时贡献浓度均达标（1小时平均浓度标准值取24小时平均浓度标准值的3倍值）；各敏感点氟化物的最大1小时贡献浓度最大超标倍数为490.88倍；各敏感点硫酸雾的最大1小时贡献浓度最大超标倍数为</w:t>
      </w:r>
      <w:r>
        <w:rPr>
          <w:rFonts w:hint="eastAsia"/>
        </w:rPr>
        <w:t>199.43</w:t>
      </w:r>
      <w:r>
        <w:rPr>
          <w:rFonts w:ascii="Times New Roman" w:hAnsi="Times New Roman" w:cs="Times New Roman"/>
        </w:rPr>
        <w:t>倍。</w:t>
      </w:r>
    </w:p>
    <w:p>
      <w:pPr>
        <w:spacing w:line="360" w:lineRule="auto"/>
        <w:ind w:firstLine="480" w:firstLineChars="200"/>
        <w:rPr>
          <w:rFonts w:ascii="Times New Roman" w:hAnsi="Times New Roman" w:cs="Times New Roman"/>
        </w:rPr>
      </w:pPr>
      <w:r>
        <w:rPr>
          <w:rFonts w:ascii="Times New Roman" w:hAnsi="Times New Roman" w:cs="Times New Roman"/>
        </w:rPr>
        <w:t>因此建设单位应加强对环保设备的维护，定期对其保养，严格按照本报告提出的烟气控制措施执行，杜绝事故的发生，减轻对环境的影响。</w:t>
      </w:r>
    </w:p>
    <w:p>
      <w:pPr>
        <w:spacing w:line="360" w:lineRule="auto"/>
        <w:ind w:firstLine="480" w:firstLineChars="200"/>
        <w:rPr>
          <w:rFonts w:ascii="Times New Roman" w:hAnsi="Times New Roman" w:cs="Times New Roman"/>
        </w:rPr>
      </w:pPr>
    </w:p>
    <w:p>
      <w:pPr>
        <w:pStyle w:val="6"/>
      </w:pPr>
      <w:r>
        <w:rPr>
          <w:rFonts w:hint="eastAsia"/>
        </w:rPr>
        <w:t>表6.2.1-37  本项目在非正常工况下在区域最大地面浓度的预测结果</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876"/>
        <w:gridCol w:w="738"/>
        <w:gridCol w:w="1253"/>
        <w:gridCol w:w="781"/>
        <w:gridCol w:w="781"/>
        <w:gridCol w:w="783"/>
        <w:gridCol w:w="1041"/>
        <w:gridCol w:w="1045"/>
        <w:gridCol w:w="104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5" w:type="pct"/>
            <w:shd w:val="clear" w:color="auto" w:fill="auto"/>
            <w:vAlign w:val="center"/>
          </w:tcPr>
          <w:p>
            <w:pPr>
              <w:pStyle w:val="63"/>
            </w:pPr>
            <w:r>
              <w:t>因子</w:t>
            </w:r>
          </w:p>
        </w:tc>
        <w:tc>
          <w:tcPr>
            <w:tcW w:w="442" w:type="pct"/>
            <w:shd w:val="clear" w:color="auto" w:fill="auto"/>
            <w:vAlign w:val="center"/>
          </w:tcPr>
          <w:p>
            <w:pPr>
              <w:pStyle w:val="63"/>
            </w:pPr>
            <w:r>
              <w:t>平均时间</w:t>
            </w:r>
          </w:p>
        </w:tc>
        <w:tc>
          <w:tcPr>
            <w:tcW w:w="751" w:type="pct"/>
            <w:shd w:val="clear" w:color="auto" w:fill="auto"/>
            <w:vAlign w:val="center"/>
          </w:tcPr>
          <w:p>
            <w:pPr>
              <w:pStyle w:val="63"/>
            </w:pPr>
            <w:r>
              <w:t>本项目贡献值[μg/m</w:t>
            </w:r>
            <w:r>
              <w:rPr>
                <w:vertAlign w:val="superscript"/>
              </w:rPr>
              <w:t>3</w:t>
            </w:r>
            <w:r>
              <w:t>]</w:t>
            </w:r>
          </w:p>
        </w:tc>
        <w:tc>
          <w:tcPr>
            <w:tcW w:w="1405" w:type="pct"/>
            <w:gridSpan w:val="3"/>
            <w:shd w:val="clear" w:color="auto" w:fill="auto"/>
            <w:vAlign w:val="center"/>
          </w:tcPr>
          <w:p>
            <w:pPr>
              <w:pStyle w:val="63"/>
            </w:pPr>
            <w:r>
              <w:t>落地坐标[x，y，z]</w:t>
            </w:r>
          </w:p>
        </w:tc>
        <w:tc>
          <w:tcPr>
            <w:tcW w:w="624" w:type="pct"/>
            <w:shd w:val="clear" w:color="auto" w:fill="auto"/>
            <w:vAlign w:val="center"/>
          </w:tcPr>
          <w:p>
            <w:pPr>
              <w:pStyle w:val="63"/>
            </w:pPr>
            <w:r>
              <w:t>标准值[μg/m</w:t>
            </w:r>
            <w:r>
              <w:rPr>
                <w:vertAlign w:val="superscript"/>
              </w:rPr>
              <w:t>3</w:t>
            </w:r>
            <w:r>
              <w:t>]</w:t>
            </w:r>
          </w:p>
        </w:tc>
        <w:tc>
          <w:tcPr>
            <w:tcW w:w="626" w:type="pct"/>
            <w:shd w:val="clear" w:color="auto" w:fill="auto"/>
            <w:vAlign w:val="center"/>
          </w:tcPr>
          <w:p>
            <w:pPr>
              <w:pStyle w:val="63"/>
            </w:pPr>
            <w:r>
              <w:t>占标率[%]</w:t>
            </w:r>
          </w:p>
        </w:tc>
        <w:tc>
          <w:tcPr>
            <w:tcW w:w="626" w:type="pct"/>
            <w:vAlign w:val="center"/>
          </w:tcPr>
          <w:p>
            <w:pPr>
              <w:pStyle w:val="63"/>
            </w:pPr>
            <w:r>
              <w:t>达标情况</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5" w:type="pct"/>
            <w:shd w:val="clear" w:color="auto" w:fill="auto"/>
            <w:vAlign w:val="center"/>
          </w:tcPr>
          <w:p>
            <w:pPr>
              <w:pStyle w:val="63"/>
            </w:pPr>
            <w:r>
              <w:t>SO</w:t>
            </w:r>
            <w:r>
              <w:rPr>
                <w:vertAlign w:val="subscript"/>
              </w:rPr>
              <w:t>2</w:t>
            </w:r>
          </w:p>
        </w:tc>
        <w:tc>
          <w:tcPr>
            <w:tcW w:w="442" w:type="pct"/>
            <w:shd w:val="clear" w:color="auto" w:fill="auto"/>
            <w:vAlign w:val="center"/>
          </w:tcPr>
          <w:p>
            <w:pPr>
              <w:pStyle w:val="63"/>
            </w:pPr>
            <w:r>
              <w:t>1h</w:t>
            </w:r>
          </w:p>
        </w:tc>
        <w:tc>
          <w:tcPr>
            <w:tcW w:w="751" w:type="pct"/>
            <w:shd w:val="clear" w:color="auto" w:fill="auto"/>
            <w:vAlign w:val="center"/>
          </w:tcPr>
          <w:p>
            <w:pPr>
              <w:pStyle w:val="63"/>
            </w:pPr>
            <w:r>
              <w:t>0.14</w:t>
            </w:r>
          </w:p>
        </w:tc>
        <w:tc>
          <w:tcPr>
            <w:tcW w:w="468" w:type="pct"/>
            <w:shd w:val="clear" w:color="auto" w:fill="auto"/>
            <w:vAlign w:val="center"/>
          </w:tcPr>
          <w:p>
            <w:pPr>
              <w:pStyle w:val="63"/>
            </w:pPr>
            <w:r>
              <w:t>381227</w:t>
            </w:r>
          </w:p>
        </w:tc>
        <w:tc>
          <w:tcPr>
            <w:tcW w:w="468" w:type="pct"/>
            <w:vAlign w:val="center"/>
          </w:tcPr>
          <w:p>
            <w:pPr>
              <w:pStyle w:val="63"/>
            </w:pPr>
            <w:r>
              <w:t>2989720</w:t>
            </w:r>
          </w:p>
        </w:tc>
        <w:tc>
          <w:tcPr>
            <w:tcW w:w="469" w:type="pct"/>
            <w:vAlign w:val="center"/>
          </w:tcPr>
          <w:p>
            <w:pPr>
              <w:pStyle w:val="63"/>
            </w:pPr>
            <w:r>
              <w:t>987.1</w:t>
            </w:r>
          </w:p>
        </w:tc>
        <w:tc>
          <w:tcPr>
            <w:tcW w:w="624" w:type="pct"/>
            <w:shd w:val="clear" w:color="auto" w:fill="auto"/>
            <w:vAlign w:val="center"/>
          </w:tcPr>
          <w:p>
            <w:pPr>
              <w:pStyle w:val="63"/>
            </w:pPr>
            <w:r>
              <w:t>500</w:t>
            </w:r>
          </w:p>
        </w:tc>
        <w:tc>
          <w:tcPr>
            <w:tcW w:w="626" w:type="pct"/>
            <w:shd w:val="clear" w:color="auto" w:fill="auto"/>
            <w:vAlign w:val="center"/>
          </w:tcPr>
          <w:p>
            <w:pPr>
              <w:pStyle w:val="63"/>
              <w:rPr>
                <w:rFonts w:ascii="宋体" w:hAnsi="宋体" w:eastAsia="宋体" w:cs="宋体"/>
                <w:color w:val="000000"/>
                <w:sz w:val="22"/>
              </w:rPr>
            </w:pPr>
            <w:r>
              <w:rPr>
                <w:rFonts w:hint="eastAsia"/>
                <w:color w:val="000000"/>
                <w:sz w:val="22"/>
              </w:rPr>
              <w:t>0.03</w:t>
            </w:r>
          </w:p>
        </w:tc>
        <w:tc>
          <w:tcPr>
            <w:tcW w:w="626" w:type="pct"/>
            <w:vAlign w:val="center"/>
          </w:tcPr>
          <w:p>
            <w:pPr>
              <w:pStyle w:val="63"/>
              <w:rPr>
                <w:color w:val="000000"/>
                <w:sz w:val="22"/>
              </w:rPr>
            </w:pPr>
            <w:r>
              <w:rPr>
                <w:rFonts w:hint="eastAsia"/>
                <w:color w:val="000000"/>
                <w:sz w:val="22"/>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5" w:type="pct"/>
            <w:shd w:val="clear" w:color="auto" w:fill="auto"/>
            <w:vAlign w:val="center"/>
          </w:tcPr>
          <w:p>
            <w:pPr>
              <w:pStyle w:val="63"/>
            </w:pPr>
            <w:r>
              <w:t>PM</w:t>
            </w:r>
            <w:r>
              <w:rPr>
                <w:vertAlign w:val="subscript"/>
              </w:rPr>
              <w:t>10</w:t>
            </w:r>
          </w:p>
        </w:tc>
        <w:tc>
          <w:tcPr>
            <w:tcW w:w="442" w:type="pct"/>
            <w:shd w:val="clear" w:color="auto" w:fill="auto"/>
            <w:vAlign w:val="center"/>
          </w:tcPr>
          <w:p>
            <w:pPr>
              <w:pStyle w:val="63"/>
            </w:pPr>
            <w:r>
              <w:t>1h</w:t>
            </w:r>
          </w:p>
        </w:tc>
        <w:tc>
          <w:tcPr>
            <w:tcW w:w="751" w:type="pct"/>
            <w:shd w:val="clear" w:color="auto" w:fill="auto"/>
            <w:vAlign w:val="center"/>
          </w:tcPr>
          <w:p>
            <w:pPr>
              <w:pStyle w:val="63"/>
            </w:pPr>
            <w:r>
              <w:t>13.89</w:t>
            </w:r>
          </w:p>
        </w:tc>
        <w:tc>
          <w:tcPr>
            <w:tcW w:w="468" w:type="pct"/>
            <w:shd w:val="clear" w:color="auto" w:fill="auto"/>
            <w:vAlign w:val="center"/>
          </w:tcPr>
          <w:p>
            <w:pPr>
              <w:pStyle w:val="63"/>
            </w:pPr>
            <w:r>
              <w:t>381277</w:t>
            </w:r>
          </w:p>
        </w:tc>
        <w:tc>
          <w:tcPr>
            <w:tcW w:w="468" w:type="pct"/>
            <w:vAlign w:val="center"/>
          </w:tcPr>
          <w:p>
            <w:pPr>
              <w:pStyle w:val="63"/>
            </w:pPr>
            <w:r>
              <w:t>2989670</w:t>
            </w:r>
          </w:p>
        </w:tc>
        <w:tc>
          <w:tcPr>
            <w:tcW w:w="469" w:type="pct"/>
            <w:vAlign w:val="center"/>
          </w:tcPr>
          <w:p>
            <w:pPr>
              <w:pStyle w:val="63"/>
            </w:pPr>
            <w:r>
              <w:t>994.3</w:t>
            </w:r>
          </w:p>
        </w:tc>
        <w:tc>
          <w:tcPr>
            <w:tcW w:w="624" w:type="pct"/>
            <w:shd w:val="clear" w:color="auto" w:fill="auto"/>
            <w:vAlign w:val="center"/>
          </w:tcPr>
          <w:p>
            <w:pPr>
              <w:pStyle w:val="63"/>
            </w:pPr>
            <w:r>
              <w:t>150</w:t>
            </w:r>
          </w:p>
        </w:tc>
        <w:tc>
          <w:tcPr>
            <w:tcW w:w="626" w:type="pct"/>
            <w:shd w:val="clear" w:color="auto" w:fill="auto"/>
            <w:vAlign w:val="center"/>
          </w:tcPr>
          <w:p>
            <w:pPr>
              <w:pStyle w:val="63"/>
              <w:rPr>
                <w:rFonts w:ascii="宋体" w:hAnsi="宋体" w:eastAsia="宋体" w:cs="宋体"/>
                <w:color w:val="000000"/>
                <w:sz w:val="22"/>
              </w:rPr>
            </w:pPr>
            <w:r>
              <w:rPr>
                <w:rFonts w:hint="eastAsia"/>
                <w:color w:val="000000"/>
                <w:sz w:val="22"/>
              </w:rPr>
              <w:t>9.26</w:t>
            </w:r>
          </w:p>
        </w:tc>
        <w:tc>
          <w:tcPr>
            <w:tcW w:w="626" w:type="pct"/>
            <w:vAlign w:val="center"/>
          </w:tcPr>
          <w:p>
            <w:pPr>
              <w:pStyle w:val="63"/>
              <w:rPr>
                <w:color w:val="000000"/>
                <w:sz w:val="22"/>
              </w:rPr>
            </w:pPr>
            <w:r>
              <w:rPr>
                <w:rFonts w:hint="eastAsia"/>
                <w:color w:val="000000"/>
                <w:sz w:val="22"/>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5" w:type="pct"/>
            <w:shd w:val="clear" w:color="auto" w:fill="auto"/>
            <w:vAlign w:val="center"/>
          </w:tcPr>
          <w:p>
            <w:pPr>
              <w:pStyle w:val="63"/>
            </w:pPr>
            <w:r>
              <w:t>NOx</w:t>
            </w:r>
          </w:p>
        </w:tc>
        <w:tc>
          <w:tcPr>
            <w:tcW w:w="442" w:type="pct"/>
            <w:shd w:val="clear" w:color="auto" w:fill="auto"/>
            <w:vAlign w:val="center"/>
          </w:tcPr>
          <w:p>
            <w:pPr>
              <w:pStyle w:val="63"/>
            </w:pPr>
            <w:r>
              <w:t>1h</w:t>
            </w:r>
          </w:p>
        </w:tc>
        <w:tc>
          <w:tcPr>
            <w:tcW w:w="751" w:type="pct"/>
            <w:shd w:val="clear" w:color="auto" w:fill="auto"/>
            <w:vAlign w:val="center"/>
          </w:tcPr>
          <w:p>
            <w:pPr>
              <w:pStyle w:val="63"/>
            </w:pPr>
            <w:r>
              <w:t>27.25</w:t>
            </w:r>
          </w:p>
        </w:tc>
        <w:tc>
          <w:tcPr>
            <w:tcW w:w="468" w:type="pct"/>
            <w:shd w:val="clear" w:color="auto" w:fill="auto"/>
            <w:vAlign w:val="center"/>
          </w:tcPr>
          <w:p>
            <w:pPr>
              <w:pStyle w:val="63"/>
            </w:pPr>
            <w:r>
              <w:t>381227</w:t>
            </w:r>
          </w:p>
        </w:tc>
        <w:tc>
          <w:tcPr>
            <w:tcW w:w="468" w:type="pct"/>
            <w:vAlign w:val="center"/>
          </w:tcPr>
          <w:p>
            <w:pPr>
              <w:pStyle w:val="63"/>
            </w:pPr>
            <w:r>
              <w:t>2989720</w:t>
            </w:r>
          </w:p>
        </w:tc>
        <w:tc>
          <w:tcPr>
            <w:tcW w:w="469" w:type="pct"/>
            <w:vAlign w:val="center"/>
          </w:tcPr>
          <w:p>
            <w:pPr>
              <w:pStyle w:val="63"/>
            </w:pPr>
            <w:r>
              <w:t>987.1</w:t>
            </w:r>
          </w:p>
        </w:tc>
        <w:tc>
          <w:tcPr>
            <w:tcW w:w="624" w:type="pct"/>
            <w:shd w:val="clear" w:color="auto" w:fill="auto"/>
            <w:vAlign w:val="center"/>
          </w:tcPr>
          <w:p>
            <w:pPr>
              <w:pStyle w:val="63"/>
            </w:pPr>
            <w:r>
              <w:rPr>
                <w:rFonts w:hint="eastAsia"/>
              </w:rPr>
              <w:t>2</w:t>
            </w:r>
            <w:r>
              <w:t>00</w:t>
            </w:r>
          </w:p>
        </w:tc>
        <w:tc>
          <w:tcPr>
            <w:tcW w:w="626" w:type="pct"/>
            <w:shd w:val="clear" w:color="auto" w:fill="auto"/>
            <w:vAlign w:val="center"/>
          </w:tcPr>
          <w:p>
            <w:pPr>
              <w:pStyle w:val="63"/>
              <w:rPr>
                <w:rFonts w:ascii="宋体" w:hAnsi="宋体" w:eastAsia="宋体" w:cs="宋体"/>
                <w:color w:val="000000"/>
                <w:sz w:val="22"/>
              </w:rPr>
            </w:pPr>
            <w:r>
              <w:rPr>
                <w:rFonts w:hint="eastAsia"/>
                <w:color w:val="000000"/>
                <w:sz w:val="22"/>
              </w:rPr>
              <w:t>13.63</w:t>
            </w:r>
          </w:p>
        </w:tc>
        <w:tc>
          <w:tcPr>
            <w:tcW w:w="626" w:type="pct"/>
            <w:vAlign w:val="center"/>
          </w:tcPr>
          <w:p>
            <w:pPr>
              <w:pStyle w:val="63"/>
              <w:rPr>
                <w:color w:val="000000"/>
                <w:sz w:val="22"/>
              </w:rPr>
            </w:pPr>
            <w:r>
              <w:rPr>
                <w:rFonts w:hint="eastAsia"/>
                <w:color w:val="000000"/>
                <w:sz w:val="22"/>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5" w:type="pct"/>
            <w:shd w:val="clear" w:color="auto" w:fill="auto"/>
            <w:vAlign w:val="center"/>
          </w:tcPr>
          <w:p>
            <w:pPr>
              <w:pStyle w:val="63"/>
            </w:pPr>
            <w:r>
              <w:t>非甲烷总烃</w:t>
            </w:r>
          </w:p>
        </w:tc>
        <w:tc>
          <w:tcPr>
            <w:tcW w:w="442" w:type="pct"/>
            <w:shd w:val="clear" w:color="auto" w:fill="auto"/>
            <w:vAlign w:val="center"/>
          </w:tcPr>
          <w:p>
            <w:pPr>
              <w:pStyle w:val="63"/>
            </w:pPr>
            <w:r>
              <w:t>1h</w:t>
            </w:r>
          </w:p>
        </w:tc>
        <w:tc>
          <w:tcPr>
            <w:tcW w:w="751" w:type="pct"/>
            <w:shd w:val="clear" w:color="auto" w:fill="auto"/>
            <w:vAlign w:val="center"/>
          </w:tcPr>
          <w:p>
            <w:pPr>
              <w:pStyle w:val="63"/>
            </w:pPr>
            <w:r>
              <w:t>5,974.96</w:t>
            </w:r>
          </w:p>
        </w:tc>
        <w:tc>
          <w:tcPr>
            <w:tcW w:w="468" w:type="pct"/>
            <w:shd w:val="clear" w:color="auto" w:fill="auto"/>
            <w:vAlign w:val="center"/>
          </w:tcPr>
          <w:p>
            <w:pPr>
              <w:pStyle w:val="63"/>
            </w:pPr>
            <w:r>
              <w:t>378927</w:t>
            </w:r>
          </w:p>
        </w:tc>
        <w:tc>
          <w:tcPr>
            <w:tcW w:w="468" w:type="pct"/>
            <w:vAlign w:val="center"/>
          </w:tcPr>
          <w:p>
            <w:pPr>
              <w:pStyle w:val="63"/>
            </w:pPr>
            <w:r>
              <w:t>2989570</w:t>
            </w:r>
          </w:p>
        </w:tc>
        <w:tc>
          <w:tcPr>
            <w:tcW w:w="469" w:type="pct"/>
            <w:vAlign w:val="center"/>
          </w:tcPr>
          <w:p>
            <w:pPr>
              <w:pStyle w:val="63"/>
            </w:pPr>
            <w:r>
              <w:t>1031.2</w:t>
            </w:r>
          </w:p>
        </w:tc>
        <w:tc>
          <w:tcPr>
            <w:tcW w:w="624" w:type="pct"/>
            <w:shd w:val="clear" w:color="auto" w:fill="auto"/>
            <w:vAlign w:val="center"/>
          </w:tcPr>
          <w:p>
            <w:pPr>
              <w:pStyle w:val="63"/>
            </w:pPr>
            <w:r>
              <w:t>2000</w:t>
            </w:r>
          </w:p>
        </w:tc>
        <w:tc>
          <w:tcPr>
            <w:tcW w:w="626" w:type="pct"/>
            <w:shd w:val="clear" w:color="auto" w:fill="auto"/>
            <w:vAlign w:val="center"/>
          </w:tcPr>
          <w:p>
            <w:pPr>
              <w:pStyle w:val="63"/>
              <w:rPr>
                <w:rFonts w:ascii="宋体" w:hAnsi="宋体" w:eastAsia="宋体" w:cs="宋体"/>
                <w:color w:val="000000"/>
                <w:sz w:val="22"/>
              </w:rPr>
            </w:pPr>
            <w:r>
              <w:rPr>
                <w:rFonts w:hint="eastAsia"/>
                <w:color w:val="000000"/>
                <w:sz w:val="22"/>
              </w:rPr>
              <w:t>298.75</w:t>
            </w:r>
          </w:p>
        </w:tc>
        <w:tc>
          <w:tcPr>
            <w:tcW w:w="626" w:type="pct"/>
            <w:vAlign w:val="center"/>
          </w:tcPr>
          <w:p>
            <w:pPr>
              <w:pStyle w:val="63"/>
              <w:rPr>
                <w:color w:val="000000"/>
                <w:sz w:val="22"/>
              </w:rPr>
            </w:pPr>
            <w:r>
              <w:t>超标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5" w:type="pct"/>
            <w:shd w:val="clear" w:color="auto" w:fill="auto"/>
            <w:vAlign w:val="center"/>
          </w:tcPr>
          <w:p>
            <w:pPr>
              <w:pStyle w:val="63"/>
            </w:pPr>
            <w:r>
              <w:t>氟化物</w:t>
            </w:r>
          </w:p>
        </w:tc>
        <w:tc>
          <w:tcPr>
            <w:tcW w:w="442" w:type="pct"/>
            <w:shd w:val="clear" w:color="auto" w:fill="auto"/>
            <w:vAlign w:val="center"/>
          </w:tcPr>
          <w:p>
            <w:pPr>
              <w:pStyle w:val="63"/>
            </w:pPr>
            <w:r>
              <w:t>1h</w:t>
            </w:r>
          </w:p>
        </w:tc>
        <w:tc>
          <w:tcPr>
            <w:tcW w:w="751" w:type="pct"/>
            <w:shd w:val="clear" w:color="auto" w:fill="auto"/>
            <w:vAlign w:val="center"/>
          </w:tcPr>
          <w:p>
            <w:pPr>
              <w:pStyle w:val="63"/>
            </w:pPr>
            <w:r>
              <w:t>600.00</w:t>
            </w:r>
          </w:p>
        </w:tc>
        <w:tc>
          <w:tcPr>
            <w:tcW w:w="468" w:type="pct"/>
            <w:shd w:val="clear" w:color="auto" w:fill="auto"/>
            <w:vAlign w:val="center"/>
          </w:tcPr>
          <w:p>
            <w:pPr>
              <w:pStyle w:val="63"/>
            </w:pPr>
            <w:r>
              <w:t>378927</w:t>
            </w:r>
          </w:p>
        </w:tc>
        <w:tc>
          <w:tcPr>
            <w:tcW w:w="468" w:type="pct"/>
            <w:vAlign w:val="center"/>
          </w:tcPr>
          <w:p>
            <w:pPr>
              <w:pStyle w:val="63"/>
            </w:pPr>
            <w:r>
              <w:t>2989570</w:t>
            </w:r>
          </w:p>
        </w:tc>
        <w:tc>
          <w:tcPr>
            <w:tcW w:w="469" w:type="pct"/>
            <w:vAlign w:val="center"/>
          </w:tcPr>
          <w:p>
            <w:pPr>
              <w:pStyle w:val="63"/>
            </w:pPr>
            <w:r>
              <w:t>1031.2</w:t>
            </w:r>
          </w:p>
        </w:tc>
        <w:tc>
          <w:tcPr>
            <w:tcW w:w="624" w:type="pct"/>
            <w:shd w:val="clear" w:color="auto" w:fill="auto"/>
            <w:vAlign w:val="center"/>
          </w:tcPr>
          <w:p>
            <w:pPr>
              <w:pStyle w:val="63"/>
            </w:pPr>
            <w:r>
              <w:t>20</w:t>
            </w:r>
          </w:p>
        </w:tc>
        <w:tc>
          <w:tcPr>
            <w:tcW w:w="626" w:type="pct"/>
            <w:shd w:val="clear" w:color="auto" w:fill="auto"/>
            <w:vAlign w:val="center"/>
          </w:tcPr>
          <w:p>
            <w:pPr>
              <w:pStyle w:val="63"/>
              <w:rPr>
                <w:rFonts w:ascii="宋体" w:hAnsi="宋体" w:eastAsia="宋体" w:cs="宋体"/>
                <w:color w:val="000000"/>
                <w:sz w:val="22"/>
              </w:rPr>
            </w:pPr>
            <w:r>
              <w:rPr>
                <w:rFonts w:hint="eastAsia"/>
                <w:color w:val="000000"/>
                <w:sz w:val="22"/>
              </w:rPr>
              <w:t>3000.00</w:t>
            </w:r>
          </w:p>
        </w:tc>
        <w:tc>
          <w:tcPr>
            <w:tcW w:w="626" w:type="pct"/>
            <w:vAlign w:val="center"/>
          </w:tcPr>
          <w:p>
            <w:pPr>
              <w:pStyle w:val="63"/>
              <w:rPr>
                <w:color w:val="000000"/>
                <w:sz w:val="22"/>
              </w:rPr>
            </w:pPr>
            <w:r>
              <w:t>超标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5" w:type="pct"/>
            <w:shd w:val="clear" w:color="auto" w:fill="auto"/>
            <w:vAlign w:val="center"/>
          </w:tcPr>
          <w:p>
            <w:pPr>
              <w:pStyle w:val="63"/>
            </w:pPr>
            <w:r>
              <w:t>镍及其化合物</w:t>
            </w:r>
          </w:p>
        </w:tc>
        <w:tc>
          <w:tcPr>
            <w:tcW w:w="442" w:type="pct"/>
            <w:shd w:val="clear" w:color="auto" w:fill="auto"/>
            <w:vAlign w:val="center"/>
          </w:tcPr>
          <w:p>
            <w:pPr>
              <w:pStyle w:val="63"/>
            </w:pPr>
            <w:r>
              <w:t>1h</w:t>
            </w:r>
          </w:p>
        </w:tc>
        <w:tc>
          <w:tcPr>
            <w:tcW w:w="751" w:type="pct"/>
            <w:shd w:val="clear" w:color="auto" w:fill="auto"/>
            <w:vAlign w:val="center"/>
          </w:tcPr>
          <w:p>
            <w:pPr>
              <w:pStyle w:val="63"/>
            </w:pPr>
            <w:r>
              <w:t>0.08</w:t>
            </w:r>
          </w:p>
        </w:tc>
        <w:tc>
          <w:tcPr>
            <w:tcW w:w="468" w:type="pct"/>
            <w:shd w:val="clear" w:color="auto" w:fill="auto"/>
            <w:vAlign w:val="center"/>
          </w:tcPr>
          <w:p>
            <w:pPr>
              <w:pStyle w:val="63"/>
            </w:pPr>
            <w:r>
              <w:t>378927</w:t>
            </w:r>
          </w:p>
        </w:tc>
        <w:tc>
          <w:tcPr>
            <w:tcW w:w="468" w:type="pct"/>
            <w:vAlign w:val="center"/>
          </w:tcPr>
          <w:p>
            <w:pPr>
              <w:pStyle w:val="63"/>
            </w:pPr>
            <w:r>
              <w:t>2989570</w:t>
            </w:r>
          </w:p>
        </w:tc>
        <w:tc>
          <w:tcPr>
            <w:tcW w:w="469" w:type="pct"/>
            <w:vAlign w:val="center"/>
          </w:tcPr>
          <w:p>
            <w:pPr>
              <w:pStyle w:val="63"/>
            </w:pPr>
            <w:r>
              <w:t>1031.2</w:t>
            </w:r>
          </w:p>
        </w:tc>
        <w:tc>
          <w:tcPr>
            <w:tcW w:w="624" w:type="pct"/>
            <w:shd w:val="clear" w:color="auto" w:fill="auto"/>
            <w:vAlign w:val="center"/>
          </w:tcPr>
          <w:p>
            <w:pPr>
              <w:pStyle w:val="63"/>
            </w:pPr>
            <w:r>
              <w:t>30</w:t>
            </w:r>
          </w:p>
        </w:tc>
        <w:tc>
          <w:tcPr>
            <w:tcW w:w="626" w:type="pct"/>
            <w:shd w:val="clear" w:color="auto" w:fill="auto"/>
            <w:vAlign w:val="center"/>
          </w:tcPr>
          <w:p>
            <w:pPr>
              <w:pStyle w:val="63"/>
              <w:rPr>
                <w:rFonts w:ascii="宋体" w:hAnsi="宋体" w:eastAsia="宋体" w:cs="宋体"/>
                <w:color w:val="000000"/>
                <w:sz w:val="22"/>
              </w:rPr>
            </w:pPr>
            <w:r>
              <w:rPr>
                <w:rFonts w:hint="eastAsia"/>
                <w:color w:val="000000"/>
                <w:sz w:val="22"/>
              </w:rPr>
              <w:t>0.27</w:t>
            </w:r>
          </w:p>
        </w:tc>
        <w:tc>
          <w:tcPr>
            <w:tcW w:w="626" w:type="pct"/>
            <w:vAlign w:val="center"/>
          </w:tcPr>
          <w:p>
            <w:pPr>
              <w:pStyle w:val="63"/>
              <w:rPr>
                <w:color w:val="000000"/>
                <w:sz w:val="22"/>
              </w:rPr>
            </w:pPr>
            <w:r>
              <w:rPr>
                <w:rFonts w:hint="eastAsia"/>
                <w:color w:val="000000"/>
                <w:sz w:val="22"/>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25" w:type="pct"/>
            <w:shd w:val="clear" w:color="auto" w:fill="auto"/>
            <w:vAlign w:val="center"/>
          </w:tcPr>
          <w:p>
            <w:pPr>
              <w:pStyle w:val="63"/>
            </w:pPr>
            <w:r>
              <w:t>硫酸雾</w:t>
            </w:r>
          </w:p>
        </w:tc>
        <w:tc>
          <w:tcPr>
            <w:tcW w:w="442" w:type="pct"/>
            <w:shd w:val="clear" w:color="auto" w:fill="auto"/>
            <w:vAlign w:val="center"/>
          </w:tcPr>
          <w:p>
            <w:pPr>
              <w:pStyle w:val="63"/>
            </w:pPr>
            <w:r>
              <w:t>1h</w:t>
            </w:r>
          </w:p>
        </w:tc>
        <w:tc>
          <w:tcPr>
            <w:tcW w:w="751" w:type="pct"/>
            <w:shd w:val="clear" w:color="auto" w:fill="auto"/>
            <w:vAlign w:val="center"/>
          </w:tcPr>
          <w:p>
            <w:pPr>
              <w:pStyle w:val="63"/>
            </w:pPr>
            <w:r>
              <w:t>6,151.11</w:t>
            </w:r>
          </w:p>
        </w:tc>
        <w:tc>
          <w:tcPr>
            <w:tcW w:w="468" w:type="pct"/>
            <w:shd w:val="clear" w:color="auto" w:fill="auto"/>
            <w:vAlign w:val="center"/>
          </w:tcPr>
          <w:p>
            <w:pPr>
              <w:pStyle w:val="63"/>
            </w:pPr>
            <w:r>
              <w:t>381527</w:t>
            </w:r>
          </w:p>
        </w:tc>
        <w:tc>
          <w:tcPr>
            <w:tcW w:w="468" w:type="pct"/>
            <w:vAlign w:val="center"/>
          </w:tcPr>
          <w:p>
            <w:pPr>
              <w:pStyle w:val="63"/>
            </w:pPr>
            <w:r>
              <w:t>2989820</w:t>
            </w:r>
          </w:p>
        </w:tc>
        <w:tc>
          <w:tcPr>
            <w:tcW w:w="469" w:type="pct"/>
            <w:vAlign w:val="center"/>
          </w:tcPr>
          <w:p>
            <w:pPr>
              <w:pStyle w:val="63"/>
            </w:pPr>
            <w:r>
              <w:t>997.2</w:t>
            </w:r>
          </w:p>
        </w:tc>
        <w:tc>
          <w:tcPr>
            <w:tcW w:w="624" w:type="pct"/>
            <w:shd w:val="clear" w:color="auto" w:fill="auto"/>
            <w:vAlign w:val="center"/>
          </w:tcPr>
          <w:p>
            <w:pPr>
              <w:pStyle w:val="63"/>
            </w:pPr>
            <w:r>
              <w:t>300</w:t>
            </w:r>
          </w:p>
        </w:tc>
        <w:tc>
          <w:tcPr>
            <w:tcW w:w="626" w:type="pct"/>
            <w:shd w:val="clear" w:color="auto" w:fill="auto"/>
            <w:vAlign w:val="center"/>
          </w:tcPr>
          <w:p>
            <w:pPr>
              <w:pStyle w:val="63"/>
            </w:pPr>
            <w:r>
              <w:t>2,050.37</w:t>
            </w:r>
          </w:p>
        </w:tc>
        <w:tc>
          <w:tcPr>
            <w:tcW w:w="626" w:type="pct"/>
            <w:vAlign w:val="center"/>
          </w:tcPr>
          <w:p>
            <w:pPr>
              <w:pStyle w:val="63"/>
            </w:pPr>
            <w:r>
              <w:t>超标</w:t>
            </w:r>
          </w:p>
        </w:tc>
      </w:tr>
    </w:tbl>
    <w:p>
      <w:pPr>
        <w:pStyle w:val="6"/>
      </w:pPr>
      <w:r>
        <w:rPr>
          <w:rFonts w:hint="eastAsia"/>
        </w:rPr>
        <w:t>表6.2.1-38  本项目非正常工况下SO</w:t>
      </w:r>
      <w:r>
        <w:rPr>
          <w:rFonts w:hint="eastAsia"/>
          <w:vertAlign w:val="subscript"/>
        </w:rPr>
        <w:t>2</w:t>
      </w:r>
      <w:r>
        <w:rPr>
          <w:rFonts w:hint="eastAsia"/>
        </w:rPr>
        <w:t>大气环境影响1小时平均关心点预测结果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1056"/>
        <w:gridCol w:w="1286"/>
        <w:gridCol w:w="1706"/>
        <w:gridCol w:w="1542"/>
        <w:gridCol w:w="167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szCs w:val="21"/>
              </w:rPr>
            </w:pPr>
            <w:r>
              <w:rPr>
                <w:szCs w:val="21"/>
              </w:rPr>
              <w:t>敏感点名称</w:t>
            </w:r>
          </w:p>
        </w:tc>
        <w:tc>
          <w:tcPr>
            <w:tcW w:w="619" w:type="pct"/>
            <w:shd w:val="clear" w:color="auto" w:fill="auto"/>
            <w:noWrap/>
            <w:vAlign w:val="center"/>
          </w:tcPr>
          <w:p>
            <w:pPr>
              <w:pStyle w:val="63"/>
              <w:rPr>
                <w:szCs w:val="21"/>
              </w:rPr>
            </w:pPr>
            <w:r>
              <w:rPr>
                <w:szCs w:val="21"/>
              </w:rPr>
              <w:t>浓度类型</w:t>
            </w:r>
          </w:p>
        </w:tc>
        <w:tc>
          <w:tcPr>
            <w:tcW w:w="754" w:type="pct"/>
            <w:shd w:val="clear" w:color="auto" w:fill="auto"/>
            <w:noWrap/>
            <w:vAlign w:val="center"/>
          </w:tcPr>
          <w:p>
            <w:pPr>
              <w:pStyle w:val="63"/>
              <w:rPr>
                <w:szCs w:val="21"/>
              </w:rPr>
            </w:pPr>
            <w:r>
              <w:rPr>
                <w:szCs w:val="21"/>
              </w:rPr>
              <w:t>浓度(μg/m</w:t>
            </w:r>
            <w:r>
              <w:rPr>
                <w:szCs w:val="21"/>
                <w:vertAlign w:val="superscript"/>
              </w:rPr>
              <w:t>3</w:t>
            </w:r>
            <w:r>
              <w:rPr>
                <w:szCs w:val="21"/>
              </w:rPr>
              <w:t>)</w:t>
            </w:r>
          </w:p>
        </w:tc>
        <w:tc>
          <w:tcPr>
            <w:tcW w:w="1000" w:type="pct"/>
            <w:shd w:val="clear" w:color="auto" w:fill="auto"/>
            <w:noWrap/>
            <w:vAlign w:val="center"/>
          </w:tcPr>
          <w:p>
            <w:pPr>
              <w:pStyle w:val="63"/>
              <w:rPr>
                <w:szCs w:val="21"/>
              </w:rPr>
            </w:pPr>
            <w:r>
              <w:rPr>
                <w:szCs w:val="21"/>
              </w:rPr>
              <w:t>评价标准(μg/m</w:t>
            </w:r>
            <w:r>
              <w:rPr>
                <w:szCs w:val="21"/>
                <w:vertAlign w:val="superscript"/>
              </w:rPr>
              <w:t>3</w:t>
            </w:r>
            <w:r>
              <w:rPr>
                <w:szCs w:val="21"/>
              </w:rPr>
              <w:t>)</w:t>
            </w:r>
          </w:p>
        </w:tc>
        <w:tc>
          <w:tcPr>
            <w:tcW w:w="904" w:type="pct"/>
            <w:shd w:val="clear" w:color="auto" w:fill="auto"/>
            <w:noWrap/>
            <w:vAlign w:val="center"/>
          </w:tcPr>
          <w:p>
            <w:pPr>
              <w:pStyle w:val="63"/>
              <w:rPr>
                <w:szCs w:val="21"/>
              </w:rPr>
            </w:pPr>
            <w:r>
              <w:rPr>
                <w:szCs w:val="21"/>
              </w:rPr>
              <w:t>占标率%</w:t>
            </w:r>
          </w:p>
        </w:tc>
        <w:tc>
          <w:tcPr>
            <w:tcW w:w="981" w:type="pct"/>
            <w:vAlign w:val="center"/>
          </w:tcPr>
          <w:p>
            <w:pPr>
              <w:pStyle w:val="63"/>
              <w:rPr>
                <w:szCs w:val="21"/>
              </w:rPr>
            </w:pPr>
            <w:r>
              <w:rPr>
                <w:szCs w:val="21"/>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浦泉村</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0.13</w:t>
            </w:r>
          </w:p>
        </w:tc>
        <w:tc>
          <w:tcPr>
            <w:tcW w:w="1000" w:type="pct"/>
            <w:shd w:val="clear" w:color="auto" w:fill="auto"/>
            <w:noWrap/>
            <w:vAlign w:val="center"/>
          </w:tcPr>
          <w:p>
            <w:pPr>
              <w:pStyle w:val="63"/>
              <w:rPr>
                <w:szCs w:val="21"/>
              </w:rPr>
            </w:pPr>
            <w:r>
              <w:rPr>
                <w:rFonts w:eastAsia="宋体"/>
                <w:szCs w:val="21"/>
              </w:rPr>
              <w:t>500.0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0.03</w:t>
            </w:r>
          </w:p>
        </w:tc>
        <w:tc>
          <w:tcPr>
            <w:tcW w:w="981" w:type="pct"/>
            <w:vAlign w:val="center"/>
          </w:tcPr>
          <w:p>
            <w:pPr>
              <w:pStyle w:val="63"/>
              <w:rPr>
                <w:color w:val="000000"/>
                <w:szCs w:val="21"/>
              </w:rPr>
            </w:pPr>
            <w:r>
              <w:rPr>
                <w:rFonts w:hint="eastAsia"/>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三才村</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0.16</w:t>
            </w:r>
          </w:p>
        </w:tc>
        <w:tc>
          <w:tcPr>
            <w:tcW w:w="1000" w:type="pct"/>
            <w:shd w:val="clear" w:color="auto" w:fill="auto"/>
            <w:noWrap/>
            <w:vAlign w:val="center"/>
          </w:tcPr>
          <w:p>
            <w:pPr>
              <w:pStyle w:val="63"/>
              <w:rPr>
                <w:szCs w:val="21"/>
              </w:rPr>
            </w:pPr>
            <w:r>
              <w:rPr>
                <w:rFonts w:eastAsia="宋体"/>
                <w:szCs w:val="21"/>
              </w:rPr>
              <w:t>500.0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0.03</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新石桥村</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0.29</w:t>
            </w:r>
          </w:p>
        </w:tc>
        <w:tc>
          <w:tcPr>
            <w:tcW w:w="1000" w:type="pct"/>
            <w:shd w:val="clear" w:color="auto" w:fill="auto"/>
            <w:noWrap/>
            <w:vAlign w:val="center"/>
          </w:tcPr>
          <w:p>
            <w:pPr>
              <w:pStyle w:val="63"/>
              <w:rPr>
                <w:szCs w:val="21"/>
              </w:rPr>
            </w:pPr>
            <w:r>
              <w:rPr>
                <w:rFonts w:eastAsia="宋体"/>
                <w:szCs w:val="21"/>
              </w:rPr>
              <w:t>500.0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0.06</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大浦镇</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0.16</w:t>
            </w:r>
          </w:p>
        </w:tc>
        <w:tc>
          <w:tcPr>
            <w:tcW w:w="1000" w:type="pct"/>
            <w:shd w:val="clear" w:color="auto" w:fill="auto"/>
            <w:noWrap/>
            <w:vAlign w:val="center"/>
          </w:tcPr>
          <w:p>
            <w:pPr>
              <w:pStyle w:val="63"/>
              <w:rPr>
                <w:szCs w:val="21"/>
              </w:rPr>
            </w:pPr>
            <w:r>
              <w:rPr>
                <w:rFonts w:eastAsia="宋体"/>
                <w:szCs w:val="21"/>
              </w:rPr>
              <w:t>500.0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0.03</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炉铺村</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0.19</w:t>
            </w:r>
          </w:p>
        </w:tc>
        <w:tc>
          <w:tcPr>
            <w:tcW w:w="1000" w:type="pct"/>
            <w:shd w:val="clear" w:color="auto" w:fill="auto"/>
            <w:noWrap/>
            <w:vAlign w:val="center"/>
          </w:tcPr>
          <w:p>
            <w:pPr>
              <w:pStyle w:val="63"/>
              <w:rPr>
                <w:szCs w:val="21"/>
              </w:rPr>
            </w:pPr>
            <w:r>
              <w:rPr>
                <w:rFonts w:eastAsia="宋体"/>
                <w:szCs w:val="21"/>
              </w:rPr>
              <w:t>500.0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0.04</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堰桥村</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0.13</w:t>
            </w:r>
          </w:p>
        </w:tc>
        <w:tc>
          <w:tcPr>
            <w:tcW w:w="1000" w:type="pct"/>
            <w:shd w:val="clear" w:color="auto" w:fill="auto"/>
            <w:noWrap/>
            <w:vAlign w:val="center"/>
          </w:tcPr>
          <w:p>
            <w:pPr>
              <w:pStyle w:val="63"/>
              <w:rPr>
                <w:szCs w:val="21"/>
              </w:rPr>
            </w:pPr>
            <w:r>
              <w:rPr>
                <w:rFonts w:eastAsia="宋体"/>
                <w:szCs w:val="21"/>
              </w:rPr>
              <w:t>500.0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0.03</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安置区</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0.19</w:t>
            </w:r>
          </w:p>
        </w:tc>
        <w:tc>
          <w:tcPr>
            <w:tcW w:w="1000" w:type="pct"/>
            <w:shd w:val="clear" w:color="auto" w:fill="auto"/>
            <w:noWrap/>
            <w:vAlign w:val="center"/>
          </w:tcPr>
          <w:p>
            <w:pPr>
              <w:pStyle w:val="63"/>
              <w:rPr>
                <w:szCs w:val="21"/>
              </w:rPr>
            </w:pPr>
            <w:r>
              <w:rPr>
                <w:rFonts w:eastAsia="宋体"/>
                <w:szCs w:val="21"/>
              </w:rPr>
              <w:t>500.0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0.04</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爱国医院</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0.21</w:t>
            </w:r>
          </w:p>
        </w:tc>
        <w:tc>
          <w:tcPr>
            <w:tcW w:w="1000" w:type="pct"/>
            <w:shd w:val="clear" w:color="auto" w:fill="auto"/>
            <w:noWrap/>
            <w:vAlign w:val="center"/>
          </w:tcPr>
          <w:p>
            <w:pPr>
              <w:pStyle w:val="63"/>
              <w:rPr>
                <w:szCs w:val="21"/>
              </w:rPr>
            </w:pPr>
            <w:r>
              <w:rPr>
                <w:rFonts w:eastAsia="宋体"/>
                <w:szCs w:val="21"/>
              </w:rPr>
              <w:t>500.0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0.04</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罗家老屋</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0.16</w:t>
            </w:r>
          </w:p>
        </w:tc>
        <w:tc>
          <w:tcPr>
            <w:tcW w:w="1000" w:type="pct"/>
            <w:shd w:val="clear" w:color="auto" w:fill="auto"/>
            <w:noWrap/>
            <w:vAlign w:val="center"/>
          </w:tcPr>
          <w:p>
            <w:pPr>
              <w:pStyle w:val="63"/>
              <w:rPr>
                <w:szCs w:val="21"/>
              </w:rPr>
            </w:pPr>
            <w:r>
              <w:rPr>
                <w:rFonts w:eastAsia="宋体"/>
                <w:szCs w:val="21"/>
              </w:rPr>
              <w:t>500.0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0.03</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北头村</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0.27</w:t>
            </w:r>
          </w:p>
        </w:tc>
        <w:tc>
          <w:tcPr>
            <w:tcW w:w="1000" w:type="pct"/>
            <w:shd w:val="clear" w:color="auto" w:fill="auto"/>
            <w:noWrap/>
            <w:vAlign w:val="center"/>
          </w:tcPr>
          <w:p>
            <w:pPr>
              <w:pStyle w:val="63"/>
              <w:rPr>
                <w:szCs w:val="21"/>
              </w:rPr>
            </w:pPr>
            <w:r>
              <w:rPr>
                <w:rFonts w:eastAsia="宋体"/>
                <w:szCs w:val="21"/>
              </w:rPr>
              <w:t>500.0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0.05</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龙家冲</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0.16</w:t>
            </w:r>
          </w:p>
        </w:tc>
        <w:tc>
          <w:tcPr>
            <w:tcW w:w="1000" w:type="pct"/>
            <w:shd w:val="clear" w:color="auto" w:fill="auto"/>
            <w:noWrap/>
            <w:vAlign w:val="center"/>
          </w:tcPr>
          <w:p>
            <w:pPr>
              <w:pStyle w:val="63"/>
              <w:rPr>
                <w:szCs w:val="21"/>
              </w:rPr>
            </w:pPr>
            <w:r>
              <w:rPr>
                <w:rFonts w:eastAsia="宋体"/>
                <w:szCs w:val="21"/>
              </w:rPr>
              <w:t>500.0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0.03</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平田村</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0.14</w:t>
            </w:r>
          </w:p>
        </w:tc>
        <w:tc>
          <w:tcPr>
            <w:tcW w:w="1000" w:type="pct"/>
            <w:shd w:val="clear" w:color="auto" w:fill="auto"/>
            <w:noWrap/>
            <w:vAlign w:val="center"/>
          </w:tcPr>
          <w:p>
            <w:pPr>
              <w:pStyle w:val="63"/>
              <w:rPr>
                <w:szCs w:val="21"/>
              </w:rPr>
            </w:pPr>
            <w:r>
              <w:rPr>
                <w:rFonts w:eastAsia="宋体"/>
                <w:szCs w:val="21"/>
              </w:rPr>
              <w:t>500.0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0.03</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彭家屋场</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0.26</w:t>
            </w:r>
          </w:p>
        </w:tc>
        <w:tc>
          <w:tcPr>
            <w:tcW w:w="1000" w:type="pct"/>
            <w:shd w:val="clear" w:color="auto" w:fill="auto"/>
            <w:noWrap/>
            <w:vAlign w:val="center"/>
          </w:tcPr>
          <w:p>
            <w:pPr>
              <w:pStyle w:val="63"/>
              <w:rPr>
                <w:szCs w:val="21"/>
              </w:rPr>
            </w:pPr>
            <w:r>
              <w:rPr>
                <w:rFonts w:eastAsia="宋体"/>
                <w:szCs w:val="21"/>
              </w:rPr>
              <w:t>500.0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0.05</w:t>
            </w:r>
          </w:p>
        </w:tc>
        <w:tc>
          <w:tcPr>
            <w:tcW w:w="981" w:type="pct"/>
            <w:vAlign w:val="center"/>
          </w:tcPr>
          <w:p>
            <w:pPr>
              <w:pStyle w:val="63"/>
              <w:rPr>
                <w:szCs w:val="21"/>
              </w:rPr>
            </w:pPr>
            <w:r>
              <w:rPr>
                <w:rFonts w:hint="eastAsia"/>
                <w:szCs w:val="21"/>
              </w:rPr>
              <w:t>达标</w:t>
            </w:r>
          </w:p>
        </w:tc>
      </w:tr>
    </w:tbl>
    <w:p>
      <w:pPr>
        <w:pStyle w:val="6"/>
      </w:pPr>
      <w:r>
        <w:rPr>
          <w:rFonts w:hint="eastAsia"/>
        </w:rPr>
        <w:t>表6.2.1-39 本项目非正常工况下</w:t>
      </w:r>
      <w:r>
        <w:t>PM</w:t>
      </w:r>
      <w:r>
        <w:rPr>
          <w:vertAlign w:val="subscript"/>
        </w:rPr>
        <w:t>10</w:t>
      </w:r>
      <w:r>
        <w:rPr>
          <w:rFonts w:hint="eastAsia"/>
        </w:rPr>
        <w:t>大气环境影响1小时平均关心点预测结果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1056"/>
        <w:gridCol w:w="1286"/>
        <w:gridCol w:w="1706"/>
        <w:gridCol w:w="1542"/>
        <w:gridCol w:w="167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szCs w:val="21"/>
              </w:rPr>
            </w:pPr>
            <w:r>
              <w:rPr>
                <w:szCs w:val="21"/>
              </w:rPr>
              <w:t>敏感点名称</w:t>
            </w:r>
          </w:p>
        </w:tc>
        <w:tc>
          <w:tcPr>
            <w:tcW w:w="619" w:type="pct"/>
            <w:shd w:val="clear" w:color="auto" w:fill="auto"/>
            <w:noWrap/>
            <w:vAlign w:val="center"/>
          </w:tcPr>
          <w:p>
            <w:pPr>
              <w:pStyle w:val="63"/>
              <w:rPr>
                <w:szCs w:val="21"/>
              </w:rPr>
            </w:pPr>
            <w:r>
              <w:rPr>
                <w:szCs w:val="21"/>
              </w:rPr>
              <w:t>浓度类型</w:t>
            </w:r>
          </w:p>
        </w:tc>
        <w:tc>
          <w:tcPr>
            <w:tcW w:w="754" w:type="pct"/>
            <w:shd w:val="clear" w:color="auto" w:fill="auto"/>
            <w:noWrap/>
            <w:vAlign w:val="center"/>
          </w:tcPr>
          <w:p>
            <w:pPr>
              <w:pStyle w:val="63"/>
              <w:rPr>
                <w:szCs w:val="21"/>
              </w:rPr>
            </w:pPr>
            <w:r>
              <w:rPr>
                <w:szCs w:val="21"/>
              </w:rPr>
              <w:t>浓度(μg/m</w:t>
            </w:r>
            <w:r>
              <w:rPr>
                <w:szCs w:val="21"/>
                <w:vertAlign w:val="superscript"/>
              </w:rPr>
              <w:t>3</w:t>
            </w:r>
            <w:r>
              <w:rPr>
                <w:szCs w:val="21"/>
              </w:rPr>
              <w:t>)</w:t>
            </w:r>
          </w:p>
        </w:tc>
        <w:tc>
          <w:tcPr>
            <w:tcW w:w="1000" w:type="pct"/>
            <w:shd w:val="clear" w:color="auto" w:fill="auto"/>
            <w:noWrap/>
            <w:vAlign w:val="center"/>
          </w:tcPr>
          <w:p>
            <w:pPr>
              <w:pStyle w:val="63"/>
              <w:rPr>
                <w:szCs w:val="21"/>
              </w:rPr>
            </w:pPr>
            <w:r>
              <w:rPr>
                <w:szCs w:val="21"/>
              </w:rPr>
              <w:t>评价标准(μg/m</w:t>
            </w:r>
            <w:r>
              <w:rPr>
                <w:szCs w:val="21"/>
                <w:vertAlign w:val="superscript"/>
              </w:rPr>
              <w:t>3</w:t>
            </w:r>
            <w:r>
              <w:rPr>
                <w:szCs w:val="21"/>
              </w:rPr>
              <w:t>)</w:t>
            </w:r>
          </w:p>
        </w:tc>
        <w:tc>
          <w:tcPr>
            <w:tcW w:w="904" w:type="pct"/>
            <w:shd w:val="clear" w:color="auto" w:fill="auto"/>
            <w:noWrap/>
            <w:vAlign w:val="center"/>
          </w:tcPr>
          <w:p>
            <w:pPr>
              <w:pStyle w:val="63"/>
              <w:rPr>
                <w:szCs w:val="21"/>
              </w:rPr>
            </w:pPr>
            <w:r>
              <w:rPr>
                <w:szCs w:val="21"/>
              </w:rPr>
              <w:t>占标率%</w:t>
            </w:r>
          </w:p>
        </w:tc>
        <w:tc>
          <w:tcPr>
            <w:tcW w:w="981" w:type="pct"/>
            <w:vAlign w:val="center"/>
          </w:tcPr>
          <w:p>
            <w:pPr>
              <w:pStyle w:val="63"/>
              <w:rPr>
                <w:szCs w:val="21"/>
              </w:rPr>
            </w:pPr>
            <w:r>
              <w:rPr>
                <w:szCs w:val="21"/>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浦泉村</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1.27</w:t>
            </w:r>
          </w:p>
        </w:tc>
        <w:tc>
          <w:tcPr>
            <w:tcW w:w="1000" w:type="pct"/>
            <w:shd w:val="clear" w:color="auto" w:fill="auto"/>
            <w:noWrap/>
            <w:vAlign w:val="center"/>
          </w:tcPr>
          <w:p>
            <w:pPr>
              <w:pStyle w:val="63"/>
              <w:rPr>
                <w:rFonts w:eastAsia="宋体"/>
                <w:color w:val="000000"/>
                <w:szCs w:val="21"/>
              </w:rPr>
            </w:pPr>
            <w:r>
              <w:rPr>
                <w:color w:val="000000"/>
                <w:szCs w:val="21"/>
              </w:rPr>
              <w:t>450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0.28</w:t>
            </w:r>
          </w:p>
        </w:tc>
        <w:tc>
          <w:tcPr>
            <w:tcW w:w="981" w:type="pct"/>
            <w:vAlign w:val="center"/>
          </w:tcPr>
          <w:p>
            <w:pPr>
              <w:pStyle w:val="63"/>
              <w:rPr>
                <w:color w:val="000000"/>
                <w:szCs w:val="21"/>
              </w:rPr>
            </w:pPr>
            <w:r>
              <w:rPr>
                <w:rFonts w:hint="eastAsia"/>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三才村</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1.57</w:t>
            </w:r>
          </w:p>
        </w:tc>
        <w:tc>
          <w:tcPr>
            <w:tcW w:w="1000" w:type="pct"/>
            <w:shd w:val="clear" w:color="auto" w:fill="auto"/>
            <w:noWrap/>
            <w:vAlign w:val="center"/>
          </w:tcPr>
          <w:p>
            <w:pPr>
              <w:pStyle w:val="63"/>
              <w:rPr>
                <w:rFonts w:eastAsia="宋体"/>
                <w:color w:val="000000"/>
                <w:szCs w:val="21"/>
              </w:rPr>
            </w:pPr>
            <w:r>
              <w:rPr>
                <w:color w:val="000000"/>
                <w:szCs w:val="21"/>
              </w:rPr>
              <w:t>450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0.35</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新石桥村</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2.93</w:t>
            </w:r>
          </w:p>
        </w:tc>
        <w:tc>
          <w:tcPr>
            <w:tcW w:w="1000" w:type="pct"/>
            <w:shd w:val="clear" w:color="auto" w:fill="auto"/>
            <w:noWrap/>
            <w:vAlign w:val="center"/>
          </w:tcPr>
          <w:p>
            <w:pPr>
              <w:pStyle w:val="63"/>
              <w:rPr>
                <w:rFonts w:eastAsia="宋体"/>
                <w:color w:val="000000"/>
                <w:szCs w:val="21"/>
              </w:rPr>
            </w:pPr>
            <w:r>
              <w:rPr>
                <w:color w:val="000000"/>
                <w:szCs w:val="21"/>
              </w:rPr>
              <w:t>450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0.65</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大浦镇</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1.53</w:t>
            </w:r>
          </w:p>
        </w:tc>
        <w:tc>
          <w:tcPr>
            <w:tcW w:w="1000" w:type="pct"/>
            <w:shd w:val="clear" w:color="auto" w:fill="auto"/>
            <w:noWrap/>
            <w:vAlign w:val="center"/>
          </w:tcPr>
          <w:p>
            <w:pPr>
              <w:pStyle w:val="63"/>
              <w:rPr>
                <w:rFonts w:eastAsia="宋体"/>
                <w:color w:val="000000"/>
                <w:szCs w:val="21"/>
              </w:rPr>
            </w:pPr>
            <w:r>
              <w:rPr>
                <w:color w:val="000000"/>
                <w:szCs w:val="21"/>
              </w:rPr>
              <w:t>450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0.34</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炉铺村</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1.83</w:t>
            </w:r>
          </w:p>
        </w:tc>
        <w:tc>
          <w:tcPr>
            <w:tcW w:w="1000" w:type="pct"/>
            <w:shd w:val="clear" w:color="auto" w:fill="auto"/>
            <w:noWrap/>
            <w:vAlign w:val="center"/>
          </w:tcPr>
          <w:p>
            <w:pPr>
              <w:pStyle w:val="63"/>
              <w:rPr>
                <w:rFonts w:eastAsia="宋体"/>
                <w:color w:val="000000"/>
                <w:szCs w:val="21"/>
              </w:rPr>
            </w:pPr>
            <w:r>
              <w:rPr>
                <w:color w:val="000000"/>
                <w:szCs w:val="21"/>
              </w:rPr>
              <w:t>450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0.41</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堰桥村</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1.32</w:t>
            </w:r>
          </w:p>
        </w:tc>
        <w:tc>
          <w:tcPr>
            <w:tcW w:w="1000" w:type="pct"/>
            <w:shd w:val="clear" w:color="auto" w:fill="auto"/>
            <w:noWrap/>
            <w:vAlign w:val="center"/>
          </w:tcPr>
          <w:p>
            <w:pPr>
              <w:pStyle w:val="63"/>
              <w:rPr>
                <w:rFonts w:eastAsia="宋体"/>
                <w:color w:val="000000"/>
                <w:szCs w:val="21"/>
              </w:rPr>
            </w:pPr>
            <w:r>
              <w:rPr>
                <w:color w:val="000000"/>
                <w:szCs w:val="21"/>
              </w:rPr>
              <w:t>450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0.29</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安置区</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1.9</w:t>
            </w:r>
          </w:p>
        </w:tc>
        <w:tc>
          <w:tcPr>
            <w:tcW w:w="1000" w:type="pct"/>
            <w:shd w:val="clear" w:color="auto" w:fill="auto"/>
            <w:noWrap/>
            <w:vAlign w:val="center"/>
          </w:tcPr>
          <w:p>
            <w:pPr>
              <w:pStyle w:val="63"/>
              <w:rPr>
                <w:rFonts w:eastAsia="宋体"/>
                <w:color w:val="000000"/>
                <w:szCs w:val="21"/>
              </w:rPr>
            </w:pPr>
            <w:r>
              <w:rPr>
                <w:color w:val="000000"/>
                <w:szCs w:val="21"/>
              </w:rPr>
              <w:t>450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0.42</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爱国医院</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2.03</w:t>
            </w:r>
          </w:p>
        </w:tc>
        <w:tc>
          <w:tcPr>
            <w:tcW w:w="1000" w:type="pct"/>
            <w:shd w:val="clear" w:color="auto" w:fill="auto"/>
            <w:noWrap/>
            <w:vAlign w:val="center"/>
          </w:tcPr>
          <w:p>
            <w:pPr>
              <w:pStyle w:val="63"/>
              <w:rPr>
                <w:rFonts w:eastAsia="宋体"/>
                <w:color w:val="000000"/>
                <w:szCs w:val="21"/>
              </w:rPr>
            </w:pPr>
            <w:r>
              <w:rPr>
                <w:color w:val="000000"/>
                <w:szCs w:val="21"/>
              </w:rPr>
              <w:t>450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0.45</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罗家老屋</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1.63</w:t>
            </w:r>
          </w:p>
        </w:tc>
        <w:tc>
          <w:tcPr>
            <w:tcW w:w="1000" w:type="pct"/>
            <w:shd w:val="clear" w:color="auto" w:fill="auto"/>
            <w:noWrap/>
            <w:vAlign w:val="center"/>
          </w:tcPr>
          <w:p>
            <w:pPr>
              <w:pStyle w:val="63"/>
              <w:rPr>
                <w:rFonts w:eastAsia="宋体"/>
                <w:color w:val="000000"/>
                <w:szCs w:val="21"/>
              </w:rPr>
            </w:pPr>
            <w:r>
              <w:rPr>
                <w:color w:val="000000"/>
                <w:szCs w:val="21"/>
              </w:rPr>
              <w:t>450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0.36</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北头村</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2.63</w:t>
            </w:r>
          </w:p>
        </w:tc>
        <w:tc>
          <w:tcPr>
            <w:tcW w:w="1000" w:type="pct"/>
            <w:shd w:val="clear" w:color="auto" w:fill="auto"/>
            <w:noWrap/>
            <w:vAlign w:val="center"/>
          </w:tcPr>
          <w:p>
            <w:pPr>
              <w:pStyle w:val="63"/>
              <w:rPr>
                <w:rFonts w:eastAsia="宋体"/>
                <w:color w:val="000000"/>
                <w:szCs w:val="21"/>
              </w:rPr>
            </w:pPr>
            <w:r>
              <w:rPr>
                <w:color w:val="000000"/>
                <w:szCs w:val="21"/>
              </w:rPr>
              <w:t>450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0.58</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龙家冲</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1.59</w:t>
            </w:r>
          </w:p>
        </w:tc>
        <w:tc>
          <w:tcPr>
            <w:tcW w:w="1000" w:type="pct"/>
            <w:shd w:val="clear" w:color="auto" w:fill="auto"/>
            <w:noWrap/>
            <w:vAlign w:val="center"/>
          </w:tcPr>
          <w:p>
            <w:pPr>
              <w:pStyle w:val="63"/>
              <w:rPr>
                <w:rFonts w:eastAsia="宋体"/>
                <w:color w:val="000000"/>
                <w:szCs w:val="21"/>
              </w:rPr>
            </w:pPr>
            <w:r>
              <w:rPr>
                <w:color w:val="000000"/>
                <w:szCs w:val="21"/>
              </w:rPr>
              <w:t>450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0.35</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平田村</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1.36</w:t>
            </w:r>
          </w:p>
        </w:tc>
        <w:tc>
          <w:tcPr>
            <w:tcW w:w="1000" w:type="pct"/>
            <w:shd w:val="clear" w:color="auto" w:fill="auto"/>
            <w:noWrap/>
            <w:vAlign w:val="center"/>
          </w:tcPr>
          <w:p>
            <w:pPr>
              <w:pStyle w:val="63"/>
              <w:rPr>
                <w:rFonts w:eastAsia="宋体"/>
                <w:color w:val="000000"/>
                <w:szCs w:val="21"/>
              </w:rPr>
            </w:pPr>
            <w:r>
              <w:rPr>
                <w:color w:val="000000"/>
                <w:szCs w:val="21"/>
              </w:rPr>
              <w:t>450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0.30</w:t>
            </w:r>
          </w:p>
        </w:tc>
        <w:tc>
          <w:tcPr>
            <w:tcW w:w="981" w:type="pct"/>
            <w:vAlign w:val="center"/>
          </w:tcPr>
          <w:p>
            <w:pPr>
              <w:pStyle w:val="63"/>
              <w:rPr>
                <w:szCs w:val="21"/>
              </w:rPr>
            </w:pPr>
            <w:r>
              <w:rPr>
                <w:rFonts w:hint="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szCs w:val="21"/>
              </w:rPr>
            </w:pPr>
            <w:r>
              <w:rPr>
                <w:color w:val="000000"/>
                <w:szCs w:val="21"/>
              </w:rPr>
              <w:t>彭家屋场</w:t>
            </w:r>
          </w:p>
        </w:tc>
        <w:tc>
          <w:tcPr>
            <w:tcW w:w="619" w:type="pct"/>
            <w:shd w:val="clear" w:color="auto" w:fill="auto"/>
            <w:noWrap/>
            <w:vAlign w:val="center"/>
          </w:tcPr>
          <w:p>
            <w:pPr>
              <w:pStyle w:val="63"/>
              <w:rPr>
                <w:szCs w:val="21"/>
              </w:rPr>
            </w:pPr>
            <w:r>
              <w:rPr>
                <w:szCs w:val="21"/>
              </w:rPr>
              <w:t>1小时</w:t>
            </w:r>
          </w:p>
        </w:tc>
        <w:tc>
          <w:tcPr>
            <w:tcW w:w="754" w:type="pct"/>
            <w:shd w:val="clear" w:color="auto" w:fill="auto"/>
            <w:noWrap/>
            <w:vAlign w:val="center"/>
          </w:tcPr>
          <w:p>
            <w:pPr>
              <w:pStyle w:val="63"/>
              <w:rPr>
                <w:rFonts w:ascii="宋体" w:hAnsi="宋体" w:eastAsia="宋体" w:cs="宋体"/>
                <w:color w:val="000000"/>
                <w:szCs w:val="21"/>
              </w:rPr>
            </w:pPr>
            <w:r>
              <w:rPr>
                <w:rFonts w:hint="eastAsia"/>
                <w:color w:val="000000"/>
                <w:szCs w:val="21"/>
              </w:rPr>
              <w:t>2.69</w:t>
            </w:r>
          </w:p>
        </w:tc>
        <w:tc>
          <w:tcPr>
            <w:tcW w:w="1000" w:type="pct"/>
            <w:shd w:val="clear" w:color="auto" w:fill="auto"/>
            <w:noWrap/>
            <w:vAlign w:val="center"/>
          </w:tcPr>
          <w:p>
            <w:pPr>
              <w:pStyle w:val="63"/>
              <w:rPr>
                <w:rFonts w:eastAsia="宋体"/>
                <w:color w:val="000000"/>
                <w:szCs w:val="21"/>
              </w:rPr>
            </w:pPr>
            <w:r>
              <w:rPr>
                <w:color w:val="000000"/>
                <w:szCs w:val="21"/>
              </w:rPr>
              <w:t>450</w:t>
            </w:r>
          </w:p>
        </w:tc>
        <w:tc>
          <w:tcPr>
            <w:tcW w:w="904" w:type="pct"/>
            <w:shd w:val="clear" w:color="auto" w:fill="auto"/>
            <w:noWrap/>
            <w:vAlign w:val="center"/>
          </w:tcPr>
          <w:p>
            <w:pPr>
              <w:pStyle w:val="63"/>
              <w:rPr>
                <w:rFonts w:ascii="宋体" w:hAnsi="宋体" w:eastAsia="宋体" w:cs="宋体"/>
                <w:color w:val="000000"/>
                <w:szCs w:val="21"/>
              </w:rPr>
            </w:pPr>
            <w:r>
              <w:rPr>
                <w:rFonts w:hint="eastAsia"/>
                <w:color w:val="000000"/>
                <w:szCs w:val="21"/>
              </w:rPr>
              <w:t>0.60</w:t>
            </w:r>
          </w:p>
        </w:tc>
        <w:tc>
          <w:tcPr>
            <w:tcW w:w="981" w:type="pct"/>
            <w:vAlign w:val="center"/>
          </w:tcPr>
          <w:p>
            <w:pPr>
              <w:pStyle w:val="63"/>
              <w:rPr>
                <w:szCs w:val="21"/>
              </w:rPr>
            </w:pPr>
            <w:r>
              <w:rPr>
                <w:rFonts w:hint="eastAsia"/>
                <w:szCs w:val="21"/>
              </w:rPr>
              <w:t>达标</w:t>
            </w:r>
          </w:p>
        </w:tc>
      </w:tr>
    </w:tbl>
    <w:p>
      <w:pPr>
        <w:pStyle w:val="6"/>
      </w:pPr>
      <w:r>
        <w:rPr>
          <w:rFonts w:hint="eastAsia"/>
        </w:rPr>
        <w:t>表6.2.1-40 本项目非正常工况下</w:t>
      </w:r>
      <w:r>
        <w:t>NOx</w:t>
      </w:r>
      <w:r>
        <w:rPr>
          <w:rFonts w:hint="eastAsia"/>
        </w:rPr>
        <w:t>大气环境影响1小时平均关心点预测结果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1056"/>
        <w:gridCol w:w="1286"/>
        <w:gridCol w:w="1706"/>
        <w:gridCol w:w="1542"/>
        <w:gridCol w:w="167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pPr>
            <w:r>
              <w:t>敏感点名称</w:t>
            </w:r>
          </w:p>
        </w:tc>
        <w:tc>
          <w:tcPr>
            <w:tcW w:w="619" w:type="pct"/>
            <w:shd w:val="clear" w:color="auto" w:fill="auto"/>
            <w:noWrap/>
            <w:vAlign w:val="center"/>
          </w:tcPr>
          <w:p>
            <w:pPr>
              <w:pStyle w:val="63"/>
            </w:pPr>
            <w:r>
              <w:t>浓度类型</w:t>
            </w:r>
          </w:p>
        </w:tc>
        <w:tc>
          <w:tcPr>
            <w:tcW w:w="754" w:type="pct"/>
            <w:shd w:val="clear" w:color="auto" w:fill="auto"/>
            <w:noWrap/>
            <w:vAlign w:val="center"/>
          </w:tcPr>
          <w:p>
            <w:pPr>
              <w:pStyle w:val="63"/>
            </w:pPr>
            <w:r>
              <w:t>浓度(μg/m</w:t>
            </w:r>
            <w:r>
              <w:rPr>
                <w:vertAlign w:val="superscript"/>
              </w:rPr>
              <w:t>3</w:t>
            </w:r>
            <w:r>
              <w:t>)</w:t>
            </w:r>
          </w:p>
        </w:tc>
        <w:tc>
          <w:tcPr>
            <w:tcW w:w="1000" w:type="pct"/>
            <w:shd w:val="clear" w:color="auto" w:fill="auto"/>
            <w:noWrap/>
            <w:vAlign w:val="center"/>
          </w:tcPr>
          <w:p>
            <w:pPr>
              <w:pStyle w:val="63"/>
            </w:pPr>
            <w:r>
              <w:t>评价标准(μg/m</w:t>
            </w:r>
            <w:r>
              <w:rPr>
                <w:vertAlign w:val="superscript"/>
              </w:rPr>
              <w:t>3</w:t>
            </w:r>
            <w:r>
              <w:t>)</w:t>
            </w:r>
          </w:p>
        </w:tc>
        <w:tc>
          <w:tcPr>
            <w:tcW w:w="904" w:type="pct"/>
            <w:shd w:val="clear" w:color="auto" w:fill="auto"/>
            <w:noWrap/>
            <w:vAlign w:val="center"/>
          </w:tcPr>
          <w:p>
            <w:pPr>
              <w:pStyle w:val="63"/>
            </w:pPr>
            <w:r>
              <w:t>占标率%</w:t>
            </w:r>
          </w:p>
        </w:tc>
        <w:tc>
          <w:tcPr>
            <w:tcW w:w="981" w:type="pct"/>
            <w:vAlign w:val="center"/>
          </w:tcPr>
          <w:p>
            <w:pPr>
              <w:pStyle w:val="63"/>
            </w:pPr>
            <w: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浦泉村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2.43</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250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0.97</w:t>
            </w:r>
          </w:p>
        </w:tc>
        <w:tc>
          <w:tcPr>
            <w:tcW w:w="981" w:type="pct"/>
            <w:vAlign w:val="center"/>
          </w:tcPr>
          <w:p>
            <w:pPr>
              <w:pStyle w:val="63"/>
              <w:rPr>
                <w:color w:val="000000"/>
              </w:rPr>
            </w:pPr>
            <w:r>
              <w:rPr>
                <w:rFonts w:hint="eastAsia"/>
                <w:color w:val="000000"/>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三才村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3.08</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250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1.23</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新石桥村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5.55</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250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2.22</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大浦镇</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2.98</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250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1.19</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炉铺村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3.55</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250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1.42</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堰桥村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2.48</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250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0.99</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安置区</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3.7</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250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1.48</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爱国医院</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3.96</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250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1.58</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罗家老屋</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3.03</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250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1.21</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北头村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5.15</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250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2.06</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龙家冲</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3.02</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250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1.21</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平田村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2.63</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250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1.05</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彭家屋场</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5.02</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250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2.01</w:t>
            </w:r>
          </w:p>
        </w:tc>
        <w:tc>
          <w:tcPr>
            <w:tcW w:w="981" w:type="pct"/>
            <w:vAlign w:val="center"/>
          </w:tcPr>
          <w:p>
            <w:pPr>
              <w:pStyle w:val="63"/>
            </w:pPr>
            <w:r>
              <w:rPr>
                <w:rFonts w:hint="eastAsia"/>
              </w:rPr>
              <w:t>达标</w:t>
            </w:r>
          </w:p>
        </w:tc>
      </w:tr>
    </w:tbl>
    <w:p>
      <w:pPr>
        <w:pStyle w:val="6"/>
      </w:pPr>
      <w:r>
        <w:rPr>
          <w:rFonts w:hint="eastAsia"/>
        </w:rPr>
        <w:t>表6.2.1-41 本项目非正常工况下非甲烷总烃大气环境影响1小时平均关心点预测结果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1056"/>
        <w:gridCol w:w="1286"/>
        <w:gridCol w:w="1706"/>
        <w:gridCol w:w="1542"/>
        <w:gridCol w:w="167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pPr>
            <w:r>
              <w:t>敏感点名称</w:t>
            </w:r>
          </w:p>
        </w:tc>
        <w:tc>
          <w:tcPr>
            <w:tcW w:w="619" w:type="pct"/>
            <w:shd w:val="clear" w:color="auto" w:fill="auto"/>
            <w:noWrap/>
            <w:vAlign w:val="center"/>
          </w:tcPr>
          <w:p>
            <w:pPr>
              <w:pStyle w:val="63"/>
            </w:pPr>
            <w:r>
              <w:t>浓度类型</w:t>
            </w:r>
          </w:p>
        </w:tc>
        <w:tc>
          <w:tcPr>
            <w:tcW w:w="754" w:type="pct"/>
            <w:shd w:val="clear" w:color="auto" w:fill="auto"/>
            <w:noWrap/>
            <w:vAlign w:val="center"/>
          </w:tcPr>
          <w:p>
            <w:pPr>
              <w:pStyle w:val="63"/>
            </w:pPr>
            <w:r>
              <w:t>浓度(μg/m</w:t>
            </w:r>
            <w:r>
              <w:rPr>
                <w:vertAlign w:val="superscript"/>
              </w:rPr>
              <w:t>3</w:t>
            </w:r>
            <w:r>
              <w:t>)</w:t>
            </w:r>
          </w:p>
        </w:tc>
        <w:tc>
          <w:tcPr>
            <w:tcW w:w="1000" w:type="pct"/>
            <w:shd w:val="clear" w:color="auto" w:fill="auto"/>
            <w:noWrap/>
            <w:vAlign w:val="center"/>
          </w:tcPr>
          <w:p>
            <w:pPr>
              <w:pStyle w:val="63"/>
            </w:pPr>
            <w:r>
              <w:t>评价标准(μg/m</w:t>
            </w:r>
            <w:r>
              <w:rPr>
                <w:vertAlign w:val="superscript"/>
              </w:rPr>
              <w:t>3</w:t>
            </w:r>
            <w:r>
              <w:t>)</w:t>
            </w:r>
          </w:p>
        </w:tc>
        <w:tc>
          <w:tcPr>
            <w:tcW w:w="904" w:type="pct"/>
            <w:shd w:val="clear" w:color="auto" w:fill="auto"/>
            <w:noWrap/>
            <w:vAlign w:val="center"/>
          </w:tcPr>
          <w:p>
            <w:pPr>
              <w:pStyle w:val="63"/>
            </w:pPr>
            <w:r>
              <w:t>占标率%</w:t>
            </w:r>
          </w:p>
        </w:tc>
        <w:tc>
          <w:tcPr>
            <w:tcW w:w="981" w:type="pct"/>
            <w:vAlign w:val="center"/>
          </w:tcPr>
          <w:p>
            <w:pPr>
              <w:pStyle w:val="63"/>
            </w:pPr>
            <w: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浦泉村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558.25</w:t>
            </w:r>
          </w:p>
        </w:tc>
        <w:tc>
          <w:tcPr>
            <w:tcW w:w="1000" w:type="pct"/>
            <w:shd w:val="clear" w:color="auto" w:fill="auto"/>
            <w:noWrap/>
            <w:vAlign w:val="center"/>
          </w:tcPr>
          <w:p>
            <w:pPr>
              <w:pStyle w:val="63"/>
              <w:rPr>
                <w:rFonts w:ascii="宋体" w:hAnsi="宋体" w:eastAsia="宋体" w:cs="宋体"/>
              </w:rPr>
            </w:pPr>
            <w:r>
              <w:rPr>
                <w:rFonts w:hint="eastAsia"/>
              </w:rPr>
              <w:t>2,000.00</w:t>
            </w:r>
          </w:p>
        </w:tc>
        <w:tc>
          <w:tcPr>
            <w:tcW w:w="904" w:type="pct"/>
            <w:shd w:val="clear" w:color="auto" w:fill="auto"/>
            <w:noWrap/>
            <w:vAlign w:val="center"/>
          </w:tcPr>
          <w:p>
            <w:pPr>
              <w:pStyle w:val="63"/>
              <w:rPr>
                <w:rFonts w:ascii="宋体" w:hAnsi="宋体" w:eastAsia="宋体" w:cs="宋体"/>
              </w:rPr>
            </w:pPr>
            <w:r>
              <w:rPr>
                <w:rFonts w:hint="eastAsia"/>
              </w:rPr>
              <w:t>27.91</w:t>
            </w:r>
          </w:p>
        </w:tc>
        <w:tc>
          <w:tcPr>
            <w:tcW w:w="981" w:type="pct"/>
            <w:vAlign w:val="center"/>
          </w:tcPr>
          <w:p>
            <w:pPr>
              <w:pStyle w:val="63"/>
              <w:rPr>
                <w:color w:val="000000"/>
              </w:rPr>
            </w:pPr>
            <w:r>
              <w:rPr>
                <w:rFonts w:hint="eastAsia"/>
                <w:color w:val="000000"/>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三才村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676.85</w:t>
            </w:r>
          </w:p>
        </w:tc>
        <w:tc>
          <w:tcPr>
            <w:tcW w:w="1000" w:type="pct"/>
            <w:shd w:val="clear" w:color="auto" w:fill="auto"/>
            <w:noWrap/>
            <w:vAlign w:val="center"/>
          </w:tcPr>
          <w:p>
            <w:pPr>
              <w:pStyle w:val="63"/>
              <w:rPr>
                <w:rFonts w:ascii="宋体" w:hAnsi="宋体" w:eastAsia="宋体" w:cs="宋体"/>
              </w:rPr>
            </w:pPr>
            <w:r>
              <w:rPr>
                <w:rFonts w:hint="eastAsia"/>
              </w:rPr>
              <w:t>2,000.00</w:t>
            </w:r>
          </w:p>
        </w:tc>
        <w:tc>
          <w:tcPr>
            <w:tcW w:w="904" w:type="pct"/>
            <w:shd w:val="clear" w:color="auto" w:fill="auto"/>
            <w:noWrap/>
            <w:vAlign w:val="center"/>
          </w:tcPr>
          <w:p>
            <w:pPr>
              <w:pStyle w:val="63"/>
              <w:rPr>
                <w:rFonts w:ascii="宋体" w:hAnsi="宋体" w:eastAsia="宋体" w:cs="宋体"/>
              </w:rPr>
            </w:pPr>
            <w:r>
              <w:rPr>
                <w:rFonts w:hint="eastAsia"/>
              </w:rPr>
              <w:t>33.84</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新石桥村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613.19</w:t>
            </w:r>
          </w:p>
        </w:tc>
        <w:tc>
          <w:tcPr>
            <w:tcW w:w="1000" w:type="pct"/>
            <w:shd w:val="clear" w:color="auto" w:fill="auto"/>
            <w:noWrap/>
            <w:vAlign w:val="center"/>
          </w:tcPr>
          <w:p>
            <w:pPr>
              <w:pStyle w:val="63"/>
              <w:rPr>
                <w:rFonts w:ascii="宋体" w:hAnsi="宋体" w:eastAsia="宋体" w:cs="宋体"/>
              </w:rPr>
            </w:pPr>
            <w:r>
              <w:rPr>
                <w:rFonts w:hint="eastAsia"/>
              </w:rPr>
              <w:t>2,000.00</w:t>
            </w:r>
          </w:p>
        </w:tc>
        <w:tc>
          <w:tcPr>
            <w:tcW w:w="904" w:type="pct"/>
            <w:shd w:val="clear" w:color="auto" w:fill="auto"/>
            <w:noWrap/>
            <w:vAlign w:val="center"/>
          </w:tcPr>
          <w:p>
            <w:pPr>
              <w:pStyle w:val="63"/>
              <w:rPr>
                <w:rFonts w:ascii="宋体" w:hAnsi="宋体" w:eastAsia="宋体" w:cs="宋体"/>
              </w:rPr>
            </w:pPr>
            <w:r>
              <w:rPr>
                <w:rFonts w:hint="eastAsia"/>
              </w:rPr>
              <w:t>30.66</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大浦镇</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602.49</w:t>
            </w:r>
          </w:p>
        </w:tc>
        <w:tc>
          <w:tcPr>
            <w:tcW w:w="1000" w:type="pct"/>
            <w:shd w:val="clear" w:color="auto" w:fill="auto"/>
            <w:noWrap/>
            <w:vAlign w:val="center"/>
          </w:tcPr>
          <w:p>
            <w:pPr>
              <w:pStyle w:val="63"/>
              <w:rPr>
                <w:rFonts w:ascii="宋体" w:hAnsi="宋体" w:eastAsia="宋体" w:cs="宋体"/>
              </w:rPr>
            </w:pPr>
            <w:r>
              <w:rPr>
                <w:rFonts w:hint="eastAsia"/>
              </w:rPr>
              <w:t>2,000.00</w:t>
            </w:r>
          </w:p>
        </w:tc>
        <w:tc>
          <w:tcPr>
            <w:tcW w:w="904" w:type="pct"/>
            <w:shd w:val="clear" w:color="auto" w:fill="auto"/>
            <w:noWrap/>
            <w:vAlign w:val="center"/>
          </w:tcPr>
          <w:p>
            <w:pPr>
              <w:pStyle w:val="63"/>
              <w:rPr>
                <w:rFonts w:ascii="宋体" w:hAnsi="宋体" w:eastAsia="宋体" w:cs="宋体"/>
              </w:rPr>
            </w:pPr>
            <w:r>
              <w:rPr>
                <w:rFonts w:hint="eastAsia"/>
              </w:rPr>
              <w:t>30.12</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炉铺村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510.36</w:t>
            </w:r>
          </w:p>
        </w:tc>
        <w:tc>
          <w:tcPr>
            <w:tcW w:w="1000" w:type="pct"/>
            <w:shd w:val="clear" w:color="auto" w:fill="auto"/>
            <w:noWrap/>
            <w:vAlign w:val="center"/>
          </w:tcPr>
          <w:p>
            <w:pPr>
              <w:pStyle w:val="63"/>
              <w:rPr>
                <w:rFonts w:ascii="宋体" w:hAnsi="宋体" w:eastAsia="宋体" w:cs="宋体"/>
              </w:rPr>
            </w:pPr>
            <w:r>
              <w:rPr>
                <w:rFonts w:hint="eastAsia"/>
              </w:rPr>
              <w:t>2,000.00</w:t>
            </w:r>
          </w:p>
        </w:tc>
        <w:tc>
          <w:tcPr>
            <w:tcW w:w="904" w:type="pct"/>
            <w:shd w:val="clear" w:color="auto" w:fill="auto"/>
            <w:noWrap/>
            <w:vAlign w:val="center"/>
          </w:tcPr>
          <w:p>
            <w:pPr>
              <w:pStyle w:val="63"/>
              <w:rPr>
                <w:rFonts w:ascii="宋体" w:hAnsi="宋体" w:eastAsia="宋体" w:cs="宋体"/>
              </w:rPr>
            </w:pPr>
            <w:r>
              <w:rPr>
                <w:rFonts w:hint="eastAsia"/>
              </w:rPr>
              <w:t>25.52</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堰桥村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581.24</w:t>
            </w:r>
          </w:p>
        </w:tc>
        <w:tc>
          <w:tcPr>
            <w:tcW w:w="1000" w:type="pct"/>
            <w:shd w:val="clear" w:color="auto" w:fill="auto"/>
            <w:noWrap/>
            <w:vAlign w:val="center"/>
          </w:tcPr>
          <w:p>
            <w:pPr>
              <w:pStyle w:val="63"/>
              <w:rPr>
                <w:rFonts w:ascii="宋体" w:hAnsi="宋体" w:eastAsia="宋体" w:cs="宋体"/>
              </w:rPr>
            </w:pPr>
            <w:r>
              <w:rPr>
                <w:rFonts w:hint="eastAsia"/>
              </w:rPr>
              <w:t>2,000.00</w:t>
            </w:r>
          </w:p>
        </w:tc>
        <w:tc>
          <w:tcPr>
            <w:tcW w:w="904" w:type="pct"/>
            <w:shd w:val="clear" w:color="auto" w:fill="auto"/>
            <w:noWrap/>
            <w:vAlign w:val="center"/>
          </w:tcPr>
          <w:p>
            <w:pPr>
              <w:pStyle w:val="63"/>
              <w:rPr>
                <w:rFonts w:ascii="宋体" w:hAnsi="宋体" w:eastAsia="宋体" w:cs="宋体"/>
              </w:rPr>
            </w:pPr>
            <w:r>
              <w:rPr>
                <w:rFonts w:hint="eastAsia"/>
              </w:rPr>
              <w:t>29.06</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安置区</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475.67</w:t>
            </w:r>
          </w:p>
        </w:tc>
        <w:tc>
          <w:tcPr>
            <w:tcW w:w="1000" w:type="pct"/>
            <w:shd w:val="clear" w:color="auto" w:fill="auto"/>
            <w:noWrap/>
            <w:vAlign w:val="center"/>
          </w:tcPr>
          <w:p>
            <w:pPr>
              <w:pStyle w:val="63"/>
              <w:rPr>
                <w:rFonts w:ascii="宋体" w:hAnsi="宋体" w:eastAsia="宋体" w:cs="宋体"/>
              </w:rPr>
            </w:pPr>
            <w:r>
              <w:rPr>
                <w:rFonts w:hint="eastAsia"/>
              </w:rPr>
              <w:t>2,000.00</w:t>
            </w:r>
          </w:p>
        </w:tc>
        <w:tc>
          <w:tcPr>
            <w:tcW w:w="904" w:type="pct"/>
            <w:shd w:val="clear" w:color="auto" w:fill="auto"/>
            <w:noWrap/>
            <w:vAlign w:val="center"/>
          </w:tcPr>
          <w:p>
            <w:pPr>
              <w:pStyle w:val="63"/>
              <w:rPr>
                <w:rFonts w:ascii="宋体" w:hAnsi="宋体" w:eastAsia="宋体" w:cs="宋体"/>
              </w:rPr>
            </w:pPr>
            <w:r>
              <w:rPr>
                <w:rFonts w:hint="eastAsia"/>
              </w:rPr>
              <w:t>23.78</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爱国医院</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636.61</w:t>
            </w:r>
          </w:p>
        </w:tc>
        <w:tc>
          <w:tcPr>
            <w:tcW w:w="1000" w:type="pct"/>
            <w:shd w:val="clear" w:color="auto" w:fill="auto"/>
            <w:noWrap/>
            <w:vAlign w:val="center"/>
          </w:tcPr>
          <w:p>
            <w:pPr>
              <w:pStyle w:val="63"/>
              <w:rPr>
                <w:rFonts w:ascii="宋体" w:hAnsi="宋体" w:eastAsia="宋体" w:cs="宋体"/>
              </w:rPr>
            </w:pPr>
            <w:r>
              <w:rPr>
                <w:rFonts w:hint="eastAsia"/>
              </w:rPr>
              <w:t>2,000.00</w:t>
            </w:r>
          </w:p>
        </w:tc>
        <w:tc>
          <w:tcPr>
            <w:tcW w:w="904" w:type="pct"/>
            <w:shd w:val="clear" w:color="auto" w:fill="auto"/>
            <w:noWrap/>
            <w:vAlign w:val="center"/>
          </w:tcPr>
          <w:p>
            <w:pPr>
              <w:pStyle w:val="63"/>
              <w:rPr>
                <w:rFonts w:ascii="宋体" w:hAnsi="宋体" w:eastAsia="宋体" w:cs="宋体"/>
              </w:rPr>
            </w:pPr>
            <w:r>
              <w:rPr>
                <w:rFonts w:hint="eastAsia"/>
              </w:rPr>
              <w:t>31.83</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罗家老屋</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600.39</w:t>
            </w:r>
          </w:p>
        </w:tc>
        <w:tc>
          <w:tcPr>
            <w:tcW w:w="1000" w:type="pct"/>
            <w:shd w:val="clear" w:color="auto" w:fill="auto"/>
            <w:noWrap/>
            <w:vAlign w:val="center"/>
          </w:tcPr>
          <w:p>
            <w:pPr>
              <w:pStyle w:val="63"/>
              <w:rPr>
                <w:rFonts w:ascii="宋体" w:hAnsi="宋体" w:eastAsia="宋体" w:cs="宋体"/>
              </w:rPr>
            </w:pPr>
            <w:r>
              <w:rPr>
                <w:rFonts w:hint="eastAsia"/>
              </w:rPr>
              <w:t>2,000.00</w:t>
            </w:r>
          </w:p>
        </w:tc>
        <w:tc>
          <w:tcPr>
            <w:tcW w:w="904" w:type="pct"/>
            <w:shd w:val="clear" w:color="auto" w:fill="auto"/>
            <w:noWrap/>
            <w:vAlign w:val="center"/>
          </w:tcPr>
          <w:p>
            <w:pPr>
              <w:pStyle w:val="63"/>
              <w:rPr>
                <w:rFonts w:ascii="宋体" w:hAnsi="宋体" w:eastAsia="宋体" w:cs="宋体"/>
              </w:rPr>
            </w:pPr>
            <w:r>
              <w:rPr>
                <w:rFonts w:hint="eastAsia"/>
              </w:rPr>
              <w:t>30.02</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北头村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1,205.31</w:t>
            </w:r>
          </w:p>
        </w:tc>
        <w:tc>
          <w:tcPr>
            <w:tcW w:w="1000" w:type="pct"/>
            <w:shd w:val="clear" w:color="auto" w:fill="auto"/>
            <w:noWrap/>
            <w:vAlign w:val="center"/>
          </w:tcPr>
          <w:p>
            <w:pPr>
              <w:pStyle w:val="63"/>
              <w:rPr>
                <w:rFonts w:ascii="宋体" w:hAnsi="宋体" w:eastAsia="宋体" w:cs="宋体"/>
              </w:rPr>
            </w:pPr>
            <w:r>
              <w:rPr>
                <w:rFonts w:hint="eastAsia"/>
              </w:rPr>
              <w:t>2,000.00</w:t>
            </w:r>
          </w:p>
        </w:tc>
        <w:tc>
          <w:tcPr>
            <w:tcW w:w="904" w:type="pct"/>
            <w:shd w:val="clear" w:color="auto" w:fill="auto"/>
            <w:noWrap/>
            <w:vAlign w:val="center"/>
          </w:tcPr>
          <w:p>
            <w:pPr>
              <w:pStyle w:val="63"/>
              <w:rPr>
                <w:rFonts w:ascii="宋体" w:hAnsi="宋体" w:eastAsia="宋体" w:cs="宋体"/>
              </w:rPr>
            </w:pPr>
            <w:r>
              <w:rPr>
                <w:rFonts w:hint="eastAsia"/>
              </w:rPr>
              <w:t>60.27</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龙家冲</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625.41</w:t>
            </w:r>
          </w:p>
        </w:tc>
        <w:tc>
          <w:tcPr>
            <w:tcW w:w="1000" w:type="pct"/>
            <w:shd w:val="clear" w:color="auto" w:fill="auto"/>
            <w:noWrap/>
            <w:vAlign w:val="center"/>
          </w:tcPr>
          <w:p>
            <w:pPr>
              <w:pStyle w:val="63"/>
              <w:rPr>
                <w:rFonts w:ascii="宋体" w:hAnsi="宋体" w:eastAsia="宋体" w:cs="宋体"/>
              </w:rPr>
            </w:pPr>
            <w:r>
              <w:rPr>
                <w:rFonts w:hint="eastAsia"/>
              </w:rPr>
              <w:t>2,000.00</w:t>
            </w:r>
          </w:p>
        </w:tc>
        <w:tc>
          <w:tcPr>
            <w:tcW w:w="904" w:type="pct"/>
            <w:shd w:val="clear" w:color="auto" w:fill="auto"/>
            <w:noWrap/>
            <w:vAlign w:val="center"/>
          </w:tcPr>
          <w:p>
            <w:pPr>
              <w:pStyle w:val="63"/>
              <w:rPr>
                <w:rFonts w:ascii="宋体" w:hAnsi="宋体" w:eastAsia="宋体" w:cs="宋体"/>
              </w:rPr>
            </w:pPr>
            <w:r>
              <w:rPr>
                <w:rFonts w:hint="eastAsia"/>
              </w:rPr>
              <w:t>31.27</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平田村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573.36</w:t>
            </w:r>
          </w:p>
        </w:tc>
        <w:tc>
          <w:tcPr>
            <w:tcW w:w="1000" w:type="pct"/>
            <w:shd w:val="clear" w:color="auto" w:fill="auto"/>
            <w:noWrap/>
            <w:vAlign w:val="center"/>
          </w:tcPr>
          <w:p>
            <w:pPr>
              <w:pStyle w:val="63"/>
              <w:rPr>
                <w:rFonts w:ascii="宋体" w:hAnsi="宋体" w:eastAsia="宋体" w:cs="宋体"/>
              </w:rPr>
            </w:pPr>
            <w:r>
              <w:rPr>
                <w:rFonts w:hint="eastAsia"/>
              </w:rPr>
              <w:t>2,000.00</w:t>
            </w:r>
          </w:p>
        </w:tc>
        <w:tc>
          <w:tcPr>
            <w:tcW w:w="904" w:type="pct"/>
            <w:shd w:val="clear" w:color="auto" w:fill="auto"/>
            <w:noWrap/>
            <w:vAlign w:val="center"/>
          </w:tcPr>
          <w:p>
            <w:pPr>
              <w:pStyle w:val="63"/>
              <w:rPr>
                <w:rFonts w:ascii="宋体" w:hAnsi="宋体" w:eastAsia="宋体" w:cs="宋体"/>
              </w:rPr>
            </w:pPr>
            <w:r>
              <w:rPr>
                <w:rFonts w:hint="eastAsia"/>
              </w:rPr>
              <w:t>28.67</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彭家屋场</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977.76</w:t>
            </w:r>
          </w:p>
        </w:tc>
        <w:tc>
          <w:tcPr>
            <w:tcW w:w="1000" w:type="pct"/>
            <w:shd w:val="clear" w:color="auto" w:fill="auto"/>
            <w:noWrap/>
            <w:vAlign w:val="center"/>
          </w:tcPr>
          <w:p>
            <w:pPr>
              <w:pStyle w:val="63"/>
              <w:rPr>
                <w:rFonts w:ascii="宋体" w:hAnsi="宋体" w:eastAsia="宋体" w:cs="宋体"/>
              </w:rPr>
            </w:pPr>
            <w:r>
              <w:rPr>
                <w:rFonts w:hint="eastAsia"/>
              </w:rPr>
              <w:t>2,000.00</w:t>
            </w:r>
          </w:p>
        </w:tc>
        <w:tc>
          <w:tcPr>
            <w:tcW w:w="904" w:type="pct"/>
            <w:shd w:val="clear" w:color="auto" w:fill="auto"/>
            <w:noWrap/>
            <w:vAlign w:val="center"/>
          </w:tcPr>
          <w:p>
            <w:pPr>
              <w:pStyle w:val="63"/>
              <w:rPr>
                <w:rFonts w:ascii="宋体" w:hAnsi="宋体" w:eastAsia="宋体" w:cs="宋体"/>
              </w:rPr>
            </w:pPr>
            <w:r>
              <w:rPr>
                <w:rFonts w:hint="eastAsia"/>
              </w:rPr>
              <w:t>48.89</w:t>
            </w:r>
          </w:p>
        </w:tc>
        <w:tc>
          <w:tcPr>
            <w:tcW w:w="981" w:type="pct"/>
            <w:vAlign w:val="center"/>
          </w:tcPr>
          <w:p>
            <w:pPr>
              <w:pStyle w:val="63"/>
            </w:pPr>
            <w:r>
              <w:rPr>
                <w:rFonts w:hint="eastAsia"/>
              </w:rPr>
              <w:t>达标</w:t>
            </w:r>
          </w:p>
        </w:tc>
      </w:tr>
    </w:tbl>
    <w:p>
      <w:pPr>
        <w:pStyle w:val="6"/>
      </w:pPr>
      <w:r>
        <w:rPr>
          <w:rFonts w:hint="eastAsia"/>
        </w:rPr>
        <w:t>表6.2.1-42 本项目非正常工况下氟化物大气环境影响1小时平均关心点预测结果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1056"/>
        <w:gridCol w:w="1286"/>
        <w:gridCol w:w="1706"/>
        <w:gridCol w:w="1542"/>
        <w:gridCol w:w="167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pPr>
            <w:r>
              <w:t>敏感点名称</w:t>
            </w:r>
          </w:p>
        </w:tc>
        <w:tc>
          <w:tcPr>
            <w:tcW w:w="619" w:type="pct"/>
            <w:shd w:val="clear" w:color="auto" w:fill="auto"/>
            <w:noWrap/>
            <w:vAlign w:val="center"/>
          </w:tcPr>
          <w:p>
            <w:pPr>
              <w:pStyle w:val="63"/>
            </w:pPr>
            <w:r>
              <w:t>浓度类型</w:t>
            </w:r>
          </w:p>
        </w:tc>
        <w:tc>
          <w:tcPr>
            <w:tcW w:w="754" w:type="pct"/>
            <w:shd w:val="clear" w:color="auto" w:fill="auto"/>
            <w:noWrap/>
            <w:vAlign w:val="center"/>
          </w:tcPr>
          <w:p>
            <w:pPr>
              <w:pStyle w:val="63"/>
            </w:pPr>
            <w:r>
              <w:t>浓度(μg/m</w:t>
            </w:r>
            <w:r>
              <w:rPr>
                <w:vertAlign w:val="superscript"/>
              </w:rPr>
              <w:t>3</w:t>
            </w:r>
            <w:r>
              <w:t>)</w:t>
            </w:r>
          </w:p>
        </w:tc>
        <w:tc>
          <w:tcPr>
            <w:tcW w:w="1000" w:type="pct"/>
            <w:shd w:val="clear" w:color="auto" w:fill="auto"/>
            <w:noWrap/>
            <w:vAlign w:val="center"/>
          </w:tcPr>
          <w:p>
            <w:pPr>
              <w:pStyle w:val="63"/>
            </w:pPr>
            <w:r>
              <w:t>评价标准(μg/m</w:t>
            </w:r>
            <w:r>
              <w:rPr>
                <w:vertAlign w:val="superscript"/>
              </w:rPr>
              <w:t>3</w:t>
            </w:r>
            <w:r>
              <w:t>)</w:t>
            </w:r>
          </w:p>
        </w:tc>
        <w:tc>
          <w:tcPr>
            <w:tcW w:w="904" w:type="pct"/>
            <w:shd w:val="clear" w:color="auto" w:fill="auto"/>
            <w:noWrap/>
            <w:vAlign w:val="center"/>
          </w:tcPr>
          <w:p>
            <w:pPr>
              <w:pStyle w:val="63"/>
            </w:pPr>
            <w:r>
              <w:t>占标率%</w:t>
            </w:r>
          </w:p>
        </w:tc>
        <w:tc>
          <w:tcPr>
            <w:tcW w:w="981" w:type="pct"/>
            <w:vAlign w:val="center"/>
          </w:tcPr>
          <w:p>
            <w:pPr>
              <w:pStyle w:val="63"/>
            </w:pPr>
            <w: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浦泉村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55.59</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277.95</w:t>
            </w:r>
          </w:p>
        </w:tc>
        <w:tc>
          <w:tcPr>
            <w:tcW w:w="981" w:type="pct"/>
            <w:vAlign w:val="center"/>
          </w:tcPr>
          <w:p>
            <w:pPr>
              <w:pStyle w:val="63"/>
              <w:rPr>
                <w:color w:val="000000"/>
              </w:rPr>
            </w:pPr>
            <w:r>
              <w:rPr>
                <w:rFonts w:hint="eastAsia"/>
                <w:color w:val="000000"/>
              </w:rPr>
              <w:t>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三才村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67.6</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338.02</w:t>
            </w:r>
          </w:p>
        </w:tc>
        <w:tc>
          <w:tcPr>
            <w:tcW w:w="981" w:type="pct"/>
            <w:vAlign w:val="center"/>
          </w:tcPr>
          <w:p>
            <w:pPr>
              <w:pStyle w:val="63"/>
            </w:pPr>
            <w:r>
              <w:rPr>
                <w:rFonts w:hint="eastAsia"/>
                <w:color w:val="000000"/>
              </w:rPr>
              <w:t>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新石桥村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61.4</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307.02</w:t>
            </w:r>
          </w:p>
        </w:tc>
        <w:tc>
          <w:tcPr>
            <w:tcW w:w="981" w:type="pct"/>
            <w:vAlign w:val="center"/>
          </w:tcPr>
          <w:p>
            <w:pPr>
              <w:pStyle w:val="63"/>
            </w:pPr>
            <w:r>
              <w:rPr>
                <w:rFonts w:hint="eastAsia"/>
                <w:color w:val="000000"/>
              </w:rPr>
              <w:t>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大浦镇</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59.93</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299.67</w:t>
            </w:r>
          </w:p>
        </w:tc>
        <w:tc>
          <w:tcPr>
            <w:tcW w:w="981" w:type="pct"/>
            <w:vAlign w:val="center"/>
          </w:tcPr>
          <w:p>
            <w:pPr>
              <w:pStyle w:val="63"/>
            </w:pPr>
            <w:r>
              <w:rPr>
                <w:rFonts w:hint="eastAsia"/>
                <w:color w:val="000000"/>
              </w:rPr>
              <w:t>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炉铺村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50.69</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253.46</w:t>
            </w:r>
          </w:p>
        </w:tc>
        <w:tc>
          <w:tcPr>
            <w:tcW w:w="981" w:type="pct"/>
            <w:vAlign w:val="center"/>
          </w:tcPr>
          <w:p>
            <w:pPr>
              <w:pStyle w:val="63"/>
            </w:pPr>
            <w:r>
              <w:rPr>
                <w:rFonts w:hint="eastAsia"/>
                <w:color w:val="000000"/>
              </w:rPr>
              <w:t>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堰桥村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58.16</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290.8</w:t>
            </w:r>
          </w:p>
        </w:tc>
        <w:tc>
          <w:tcPr>
            <w:tcW w:w="981" w:type="pct"/>
            <w:vAlign w:val="center"/>
          </w:tcPr>
          <w:p>
            <w:pPr>
              <w:pStyle w:val="63"/>
            </w:pPr>
            <w:r>
              <w:rPr>
                <w:rFonts w:hint="eastAsia"/>
                <w:color w:val="000000"/>
              </w:rPr>
              <w:t>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安置区</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47.67</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238.36</w:t>
            </w:r>
          </w:p>
        </w:tc>
        <w:tc>
          <w:tcPr>
            <w:tcW w:w="981" w:type="pct"/>
            <w:vAlign w:val="center"/>
          </w:tcPr>
          <w:p>
            <w:pPr>
              <w:pStyle w:val="63"/>
            </w:pPr>
            <w:r>
              <w:rPr>
                <w:rFonts w:hint="eastAsia"/>
                <w:color w:val="000000"/>
              </w:rPr>
              <w:t>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爱国医院</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63.83</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319.14</w:t>
            </w:r>
          </w:p>
        </w:tc>
        <w:tc>
          <w:tcPr>
            <w:tcW w:w="981" w:type="pct"/>
            <w:vAlign w:val="center"/>
          </w:tcPr>
          <w:p>
            <w:pPr>
              <w:pStyle w:val="63"/>
            </w:pPr>
            <w:r>
              <w:rPr>
                <w:rFonts w:hint="eastAsia"/>
                <w:color w:val="000000"/>
              </w:rPr>
              <w:t>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罗家老屋</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59.55</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297.76</w:t>
            </w:r>
          </w:p>
        </w:tc>
        <w:tc>
          <w:tcPr>
            <w:tcW w:w="981" w:type="pct"/>
            <w:vAlign w:val="center"/>
          </w:tcPr>
          <w:p>
            <w:pPr>
              <w:pStyle w:val="63"/>
            </w:pPr>
            <w:r>
              <w:rPr>
                <w:rFonts w:hint="eastAsia"/>
                <w:color w:val="000000"/>
              </w:rPr>
              <w:t>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北头村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118.53</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592.67</w:t>
            </w:r>
          </w:p>
        </w:tc>
        <w:tc>
          <w:tcPr>
            <w:tcW w:w="981" w:type="pct"/>
            <w:vAlign w:val="center"/>
          </w:tcPr>
          <w:p>
            <w:pPr>
              <w:pStyle w:val="63"/>
            </w:pPr>
            <w:r>
              <w:rPr>
                <w:rFonts w:hint="eastAsia"/>
                <w:color w:val="000000"/>
              </w:rPr>
              <w:t>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龙家冲</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62.62</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313.11</w:t>
            </w:r>
          </w:p>
        </w:tc>
        <w:tc>
          <w:tcPr>
            <w:tcW w:w="981" w:type="pct"/>
            <w:vAlign w:val="center"/>
          </w:tcPr>
          <w:p>
            <w:pPr>
              <w:pStyle w:val="63"/>
            </w:pPr>
            <w:r>
              <w:rPr>
                <w:rFonts w:hint="eastAsia"/>
                <w:color w:val="000000"/>
              </w:rPr>
              <w:t>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平田村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56.98</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284.89</w:t>
            </w:r>
          </w:p>
        </w:tc>
        <w:tc>
          <w:tcPr>
            <w:tcW w:w="981" w:type="pct"/>
            <w:vAlign w:val="center"/>
          </w:tcPr>
          <w:p>
            <w:pPr>
              <w:pStyle w:val="63"/>
            </w:pPr>
            <w:r>
              <w:rPr>
                <w:rFonts w:hint="eastAsia"/>
                <w:color w:val="000000"/>
              </w:rPr>
              <w:t>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彭家屋场</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color w:val="000000"/>
                <w:sz w:val="22"/>
              </w:rPr>
            </w:pPr>
            <w:r>
              <w:rPr>
                <w:rFonts w:hint="eastAsia"/>
                <w:color w:val="000000"/>
                <w:sz w:val="22"/>
              </w:rPr>
              <w:t>98.18</w:t>
            </w:r>
          </w:p>
        </w:tc>
        <w:tc>
          <w:tcPr>
            <w:tcW w:w="1000" w:type="pct"/>
            <w:shd w:val="clear" w:color="auto" w:fill="auto"/>
            <w:noWrap/>
            <w:vAlign w:val="center"/>
          </w:tcPr>
          <w:p>
            <w:pPr>
              <w:pStyle w:val="63"/>
              <w:rPr>
                <w:rFonts w:ascii="宋体" w:hAnsi="宋体" w:eastAsia="宋体" w:cs="宋体"/>
                <w:color w:val="000000"/>
                <w:sz w:val="22"/>
              </w:rPr>
            </w:pPr>
            <w:r>
              <w:rPr>
                <w:rFonts w:hint="eastAsia"/>
                <w:color w:val="000000"/>
                <w:sz w:val="22"/>
              </w:rPr>
              <w:t>20</w:t>
            </w:r>
          </w:p>
        </w:tc>
        <w:tc>
          <w:tcPr>
            <w:tcW w:w="904" w:type="pct"/>
            <w:shd w:val="clear" w:color="auto" w:fill="auto"/>
            <w:noWrap/>
            <w:vAlign w:val="center"/>
          </w:tcPr>
          <w:p>
            <w:pPr>
              <w:pStyle w:val="63"/>
              <w:rPr>
                <w:rFonts w:ascii="宋体" w:hAnsi="宋体" w:eastAsia="宋体" w:cs="宋体"/>
                <w:color w:val="000000"/>
                <w:sz w:val="22"/>
              </w:rPr>
            </w:pPr>
            <w:r>
              <w:rPr>
                <w:rFonts w:hint="eastAsia"/>
                <w:color w:val="000000"/>
                <w:sz w:val="22"/>
              </w:rPr>
              <w:t>490.88</w:t>
            </w:r>
          </w:p>
        </w:tc>
        <w:tc>
          <w:tcPr>
            <w:tcW w:w="981" w:type="pct"/>
            <w:vAlign w:val="center"/>
          </w:tcPr>
          <w:p>
            <w:pPr>
              <w:pStyle w:val="63"/>
            </w:pPr>
            <w:r>
              <w:rPr>
                <w:rFonts w:hint="eastAsia"/>
                <w:color w:val="000000"/>
              </w:rPr>
              <w:t>超标</w:t>
            </w:r>
          </w:p>
        </w:tc>
      </w:tr>
    </w:tbl>
    <w:p>
      <w:pPr>
        <w:pStyle w:val="6"/>
      </w:pPr>
      <w:r>
        <w:rPr>
          <w:rFonts w:hint="eastAsia"/>
        </w:rPr>
        <w:t>表6.2.1-43 本项目非正常工况下镍及其化合物大气环境影响1小时平均关心点预测结果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1056"/>
        <w:gridCol w:w="1286"/>
        <w:gridCol w:w="1706"/>
        <w:gridCol w:w="1542"/>
        <w:gridCol w:w="167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pPr>
            <w:r>
              <w:t>敏感点名称</w:t>
            </w:r>
          </w:p>
        </w:tc>
        <w:tc>
          <w:tcPr>
            <w:tcW w:w="619" w:type="pct"/>
            <w:shd w:val="clear" w:color="auto" w:fill="auto"/>
            <w:noWrap/>
            <w:vAlign w:val="center"/>
          </w:tcPr>
          <w:p>
            <w:pPr>
              <w:pStyle w:val="63"/>
            </w:pPr>
            <w:r>
              <w:t>浓度类型</w:t>
            </w:r>
          </w:p>
        </w:tc>
        <w:tc>
          <w:tcPr>
            <w:tcW w:w="754" w:type="pct"/>
            <w:shd w:val="clear" w:color="auto" w:fill="auto"/>
            <w:noWrap/>
            <w:vAlign w:val="center"/>
          </w:tcPr>
          <w:p>
            <w:pPr>
              <w:pStyle w:val="63"/>
            </w:pPr>
            <w:r>
              <w:t>浓度(μg/m</w:t>
            </w:r>
            <w:r>
              <w:rPr>
                <w:vertAlign w:val="superscript"/>
              </w:rPr>
              <w:t>3</w:t>
            </w:r>
            <w:r>
              <w:t>)</w:t>
            </w:r>
          </w:p>
        </w:tc>
        <w:tc>
          <w:tcPr>
            <w:tcW w:w="1000" w:type="pct"/>
            <w:shd w:val="clear" w:color="auto" w:fill="auto"/>
            <w:noWrap/>
            <w:vAlign w:val="center"/>
          </w:tcPr>
          <w:p>
            <w:pPr>
              <w:pStyle w:val="63"/>
            </w:pPr>
            <w:r>
              <w:t>评价标准(μg/m</w:t>
            </w:r>
            <w:r>
              <w:rPr>
                <w:vertAlign w:val="superscript"/>
              </w:rPr>
              <w:t>3</w:t>
            </w:r>
            <w:r>
              <w:t>)</w:t>
            </w:r>
          </w:p>
        </w:tc>
        <w:tc>
          <w:tcPr>
            <w:tcW w:w="904" w:type="pct"/>
            <w:shd w:val="clear" w:color="auto" w:fill="auto"/>
            <w:noWrap/>
            <w:vAlign w:val="center"/>
          </w:tcPr>
          <w:p>
            <w:pPr>
              <w:pStyle w:val="63"/>
            </w:pPr>
            <w:r>
              <w:t>占标率%</w:t>
            </w:r>
          </w:p>
        </w:tc>
        <w:tc>
          <w:tcPr>
            <w:tcW w:w="981" w:type="pct"/>
            <w:vAlign w:val="center"/>
          </w:tcPr>
          <w:p>
            <w:pPr>
              <w:pStyle w:val="63"/>
            </w:pPr>
            <w: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浦泉村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0.01</w:t>
            </w:r>
          </w:p>
        </w:tc>
        <w:tc>
          <w:tcPr>
            <w:tcW w:w="1000" w:type="pct"/>
            <w:shd w:val="clear" w:color="auto" w:fill="auto"/>
            <w:noWrap/>
            <w:vAlign w:val="center"/>
          </w:tcPr>
          <w:p>
            <w:pPr>
              <w:pStyle w:val="63"/>
              <w:rPr>
                <w:rFonts w:ascii="宋体" w:hAnsi="宋体" w:eastAsia="宋体" w:cs="宋体"/>
              </w:rPr>
            </w:pPr>
            <w:r>
              <w:rPr>
                <w:rFonts w:hint="eastAsia"/>
              </w:rPr>
              <w:t>30</w:t>
            </w:r>
          </w:p>
        </w:tc>
        <w:tc>
          <w:tcPr>
            <w:tcW w:w="904" w:type="pct"/>
            <w:shd w:val="clear" w:color="auto" w:fill="auto"/>
            <w:noWrap/>
            <w:vAlign w:val="center"/>
          </w:tcPr>
          <w:p>
            <w:pPr>
              <w:pStyle w:val="63"/>
              <w:rPr>
                <w:rFonts w:ascii="宋体" w:hAnsi="宋体" w:eastAsia="宋体" w:cs="宋体"/>
              </w:rPr>
            </w:pPr>
            <w:r>
              <w:rPr>
                <w:rFonts w:hint="eastAsia"/>
              </w:rPr>
              <w:t>0.02</w:t>
            </w:r>
          </w:p>
        </w:tc>
        <w:tc>
          <w:tcPr>
            <w:tcW w:w="981" w:type="pct"/>
            <w:vAlign w:val="center"/>
          </w:tcPr>
          <w:p>
            <w:pPr>
              <w:pStyle w:val="63"/>
              <w:rPr>
                <w:color w:val="000000"/>
              </w:rPr>
            </w:pPr>
            <w:r>
              <w:rPr>
                <w:rFonts w:hint="eastAsia"/>
                <w:color w:val="000000"/>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三才村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0.01</w:t>
            </w:r>
          </w:p>
        </w:tc>
        <w:tc>
          <w:tcPr>
            <w:tcW w:w="1000" w:type="pct"/>
            <w:shd w:val="clear" w:color="auto" w:fill="auto"/>
            <w:noWrap/>
            <w:vAlign w:val="center"/>
          </w:tcPr>
          <w:p>
            <w:pPr>
              <w:pStyle w:val="63"/>
              <w:rPr>
                <w:rFonts w:ascii="宋体" w:hAnsi="宋体" w:eastAsia="宋体" w:cs="宋体"/>
              </w:rPr>
            </w:pPr>
            <w:r>
              <w:rPr>
                <w:rFonts w:hint="eastAsia"/>
              </w:rPr>
              <w:t>30</w:t>
            </w:r>
          </w:p>
        </w:tc>
        <w:tc>
          <w:tcPr>
            <w:tcW w:w="904" w:type="pct"/>
            <w:shd w:val="clear" w:color="auto" w:fill="auto"/>
            <w:noWrap/>
            <w:vAlign w:val="center"/>
          </w:tcPr>
          <w:p>
            <w:pPr>
              <w:pStyle w:val="63"/>
              <w:rPr>
                <w:rFonts w:ascii="宋体" w:hAnsi="宋体" w:eastAsia="宋体" w:cs="宋体"/>
              </w:rPr>
            </w:pPr>
            <w:r>
              <w:rPr>
                <w:rFonts w:hint="eastAsia"/>
              </w:rPr>
              <w:t>0.03</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新石桥村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0.01</w:t>
            </w:r>
          </w:p>
        </w:tc>
        <w:tc>
          <w:tcPr>
            <w:tcW w:w="1000" w:type="pct"/>
            <w:shd w:val="clear" w:color="auto" w:fill="auto"/>
            <w:noWrap/>
            <w:vAlign w:val="center"/>
          </w:tcPr>
          <w:p>
            <w:pPr>
              <w:pStyle w:val="63"/>
              <w:rPr>
                <w:rFonts w:ascii="宋体" w:hAnsi="宋体" w:eastAsia="宋体" w:cs="宋体"/>
              </w:rPr>
            </w:pPr>
            <w:r>
              <w:rPr>
                <w:rFonts w:hint="eastAsia"/>
              </w:rPr>
              <w:t>30</w:t>
            </w:r>
          </w:p>
        </w:tc>
        <w:tc>
          <w:tcPr>
            <w:tcW w:w="904" w:type="pct"/>
            <w:shd w:val="clear" w:color="auto" w:fill="auto"/>
            <w:noWrap/>
            <w:vAlign w:val="center"/>
          </w:tcPr>
          <w:p>
            <w:pPr>
              <w:pStyle w:val="63"/>
              <w:rPr>
                <w:rFonts w:ascii="宋体" w:hAnsi="宋体" w:eastAsia="宋体" w:cs="宋体"/>
              </w:rPr>
            </w:pPr>
            <w:r>
              <w:rPr>
                <w:rFonts w:hint="eastAsia"/>
              </w:rPr>
              <w:t>0.03</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大浦镇</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0.01</w:t>
            </w:r>
          </w:p>
        </w:tc>
        <w:tc>
          <w:tcPr>
            <w:tcW w:w="1000" w:type="pct"/>
            <w:shd w:val="clear" w:color="auto" w:fill="auto"/>
            <w:noWrap/>
            <w:vAlign w:val="center"/>
          </w:tcPr>
          <w:p>
            <w:pPr>
              <w:pStyle w:val="63"/>
              <w:rPr>
                <w:rFonts w:ascii="宋体" w:hAnsi="宋体" w:eastAsia="宋体" w:cs="宋体"/>
              </w:rPr>
            </w:pPr>
            <w:r>
              <w:rPr>
                <w:rFonts w:hint="eastAsia"/>
              </w:rPr>
              <w:t>30</w:t>
            </w:r>
          </w:p>
        </w:tc>
        <w:tc>
          <w:tcPr>
            <w:tcW w:w="904" w:type="pct"/>
            <w:shd w:val="clear" w:color="auto" w:fill="auto"/>
            <w:noWrap/>
            <w:vAlign w:val="center"/>
          </w:tcPr>
          <w:p>
            <w:pPr>
              <w:pStyle w:val="63"/>
              <w:rPr>
                <w:rFonts w:ascii="宋体" w:hAnsi="宋体" w:eastAsia="宋体" w:cs="宋体"/>
              </w:rPr>
            </w:pPr>
            <w:r>
              <w:rPr>
                <w:rFonts w:hint="eastAsia"/>
              </w:rPr>
              <w:t>0.03</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炉铺村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0.01</w:t>
            </w:r>
          </w:p>
        </w:tc>
        <w:tc>
          <w:tcPr>
            <w:tcW w:w="1000" w:type="pct"/>
            <w:shd w:val="clear" w:color="auto" w:fill="auto"/>
            <w:noWrap/>
            <w:vAlign w:val="center"/>
          </w:tcPr>
          <w:p>
            <w:pPr>
              <w:pStyle w:val="63"/>
              <w:rPr>
                <w:rFonts w:ascii="宋体" w:hAnsi="宋体" w:eastAsia="宋体" w:cs="宋体"/>
              </w:rPr>
            </w:pPr>
            <w:r>
              <w:rPr>
                <w:rFonts w:hint="eastAsia"/>
              </w:rPr>
              <w:t>30</w:t>
            </w:r>
          </w:p>
        </w:tc>
        <w:tc>
          <w:tcPr>
            <w:tcW w:w="904" w:type="pct"/>
            <w:shd w:val="clear" w:color="auto" w:fill="auto"/>
            <w:noWrap/>
            <w:vAlign w:val="center"/>
          </w:tcPr>
          <w:p>
            <w:pPr>
              <w:pStyle w:val="63"/>
              <w:rPr>
                <w:rFonts w:ascii="宋体" w:hAnsi="宋体" w:eastAsia="宋体" w:cs="宋体"/>
              </w:rPr>
            </w:pPr>
            <w:r>
              <w:rPr>
                <w:rFonts w:hint="eastAsia"/>
              </w:rPr>
              <w:t>0.02</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堰桥村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0.01</w:t>
            </w:r>
          </w:p>
        </w:tc>
        <w:tc>
          <w:tcPr>
            <w:tcW w:w="1000" w:type="pct"/>
            <w:shd w:val="clear" w:color="auto" w:fill="auto"/>
            <w:noWrap/>
            <w:vAlign w:val="center"/>
          </w:tcPr>
          <w:p>
            <w:pPr>
              <w:pStyle w:val="63"/>
              <w:rPr>
                <w:rFonts w:ascii="宋体" w:hAnsi="宋体" w:eastAsia="宋体" w:cs="宋体"/>
              </w:rPr>
            </w:pPr>
            <w:r>
              <w:rPr>
                <w:rFonts w:hint="eastAsia"/>
              </w:rPr>
              <w:t>30</w:t>
            </w:r>
          </w:p>
        </w:tc>
        <w:tc>
          <w:tcPr>
            <w:tcW w:w="904" w:type="pct"/>
            <w:shd w:val="clear" w:color="auto" w:fill="auto"/>
            <w:noWrap/>
            <w:vAlign w:val="center"/>
          </w:tcPr>
          <w:p>
            <w:pPr>
              <w:pStyle w:val="63"/>
              <w:rPr>
                <w:rFonts w:ascii="宋体" w:hAnsi="宋体" w:eastAsia="宋体" w:cs="宋体"/>
              </w:rPr>
            </w:pPr>
            <w:r>
              <w:rPr>
                <w:rFonts w:hint="eastAsia"/>
              </w:rPr>
              <w:t>0.03</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安置区</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0.01</w:t>
            </w:r>
          </w:p>
        </w:tc>
        <w:tc>
          <w:tcPr>
            <w:tcW w:w="1000" w:type="pct"/>
            <w:shd w:val="clear" w:color="auto" w:fill="auto"/>
            <w:noWrap/>
            <w:vAlign w:val="center"/>
          </w:tcPr>
          <w:p>
            <w:pPr>
              <w:pStyle w:val="63"/>
              <w:rPr>
                <w:rFonts w:ascii="宋体" w:hAnsi="宋体" w:eastAsia="宋体" w:cs="宋体"/>
              </w:rPr>
            </w:pPr>
            <w:r>
              <w:rPr>
                <w:rFonts w:hint="eastAsia"/>
              </w:rPr>
              <w:t>30</w:t>
            </w:r>
          </w:p>
        </w:tc>
        <w:tc>
          <w:tcPr>
            <w:tcW w:w="904" w:type="pct"/>
            <w:shd w:val="clear" w:color="auto" w:fill="auto"/>
            <w:noWrap/>
            <w:vAlign w:val="center"/>
          </w:tcPr>
          <w:p>
            <w:pPr>
              <w:pStyle w:val="63"/>
              <w:rPr>
                <w:rFonts w:ascii="宋体" w:hAnsi="宋体" w:eastAsia="宋体" w:cs="宋体"/>
              </w:rPr>
            </w:pPr>
            <w:r>
              <w:rPr>
                <w:rFonts w:hint="eastAsia"/>
              </w:rPr>
              <w:t>0.02</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爱国医院</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0.01</w:t>
            </w:r>
          </w:p>
        </w:tc>
        <w:tc>
          <w:tcPr>
            <w:tcW w:w="1000" w:type="pct"/>
            <w:shd w:val="clear" w:color="auto" w:fill="auto"/>
            <w:noWrap/>
            <w:vAlign w:val="center"/>
          </w:tcPr>
          <w:p>
            <w:pPr>
              <w:pStyle w:val="63"/>
              <w:rPr>
                <w:rFonts w:ascii="宋体" w:hAnsi="宋体" w:eastAsia="宋体" w:cs="宋体"/>
              </w:rPr>
            </w:pPr>
            <w:r>
              <w:rPr>
                <w:rFonts w:hint="eastAsia"/>
              </w:rPr>
              <w:t>30</w:t>
            </w:r>
          </w:p>
        </w:tc>
        <w:tc>
          <w:tcPr>
            <w:tcW w:w="904" w:type="pct"/>
            <w:shd w:val="clear" w:color="auto" w:fill="auto"/>
            <w:noWrap/>
            <w:vAlign w:val="center"/>
          </w:tcPr>
          <w:p>
            <w:pPr>
              <w:pStyle w:val="63"/>
              <w:rPr>
                <w:rFonts w:ascii="宋体" w:hAnsi="宋体" w:eastAsia="宋体" w:cs="宋体"/>
              </w:rPr>
            </w:pPr>
            <w:r>
              <w:rPr>
                <w:rFonts w:hint="eastAsia"/>
              </w:rPr>
              <w:t>0.03</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罗家老屋</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0.01</w:t>
            </w:r>
          </w:p>
        </w:tc>
        <w:tc>
          <w:tcPr>
            <w:tcW w:w="1000" w:type="pct"/>
            <w:shd w:val="clear" w:color="auto" w:fill="auto"/>
            <w:noWrap/>
            <w:vAlign w:val="center"/>
          </w:tcPr>
          <w:p>
            <w:pPr>
              <w:pStyle w:val="63"/>
              <w:rPr>
                <w:rFonts w:ascii="宋体" w:hAnsi="宋体" w:eastAsia="宋体" w:cs="宋体"/>
              </w:rPr>
            </w:pPr>
            <w:r>
              <w:rPr>
                <w:rFonts w:hint="eastAsia"/>
              </w:rPr>
              <w:t>30</w:t>
            </w:r>
          </w:p>
        </w:tc>
        <w:tc>
          <w:tcPr>
            <w:tcW w:w="904" w:type="pct"/>
            <w:shd w:val="clear" w:color="auto" w:fill="auto"/>
            <w:noWrap/>
            <w:vAlign w:val="center"/>
          </w:tcPr>
          <w:p>
            <w:pPr>
              <w:pStyle w:val="63"/>
              <w:rPr>
                <w:rFonts w:ascii="宋体" w:hAnsi="宋体" w:eastAsia="宋体" w:cs="宋体"/>
              </w:rPr>
            </w:pPr>
            <w:r>
              <w:rPr>
                <w:rFonts w:hint="eastAsia"/>
              </w:rPr>
              <w:t>0.03</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北头村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0.02</w:t>
            </w:r>
          </w:p>
        </w:tc>
        <w:tc>
          <w:tcPr>
            <w:tcW w:w="1000" w:type="pct"/>
            <w:shd w:val="clear" w:color="auto" w:fill="auto"/>
            <w:noWrap/>
            <w:vAlign w:val="center"/>
          </w:tcPr>
          <w:p>
            <w:pPr>
              <w:pStyle w:val="63"/>
              <w:rPr>
                <w:rFonts w:ascii="宋体" w:hAnsi="宋体" w:eastAsia="宋体" w:cs="宋体"/>
              </w:rPr>
            </w:pPr>
            <w:r>
              <w:rPr>
                <w:rFonts w:hint="eastAsia"/>
              </w:rPr>
              <w:t>30</w:t>
            </w:r>
          </w:p>
        </w:tc>
        <w:tc>
          <w:tcPr>
            <w:tcW w:w="904" w:type="pct"/>
            <w:shd w:val="clear" w:color="auto" w:fill="auto"/>
            <w:noWrap/>
            <w:vAlign w:val="center"/>
          </w:tcPr>
          <w:p>
            <w:pPr>
              <w:pStyle w:val="63"/>
              <w:rPr>
                <w:rFonts w:ascii="宋体" w:hAnsi="宋体" w:eastAsia="宋体" w:cs="宋体"/>
              </w:rPr>
            </w:pPr>
            <w:r>
              <w:rPr>
                <w:rFonts w:hint="eastAsia"/>
              </w:rPr>
              <w:t>0.05</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龙家冲</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0.01</w:t>
            </w:r>
          </w:p>
        </w:tc>
        <w:tc>
          <w:tcPr>
            <w:tcW w:w="1000" w:type="pct"/>
            <w:shd w:val="clear" w:color="auto" w:fill="auto"/>
            <w:noWrap/>
            <w:vAlign w:val="center"/>
          </w:tcPr>
          <w:p>
            <w:pPr>
              <w:pStyle w:val="63"/>
              <w:rPr>
                <w:rFonts w:ascii="宋体" w:hAnsi="宋体" w:eastAsia="宋体" w:cs="宋体"/>
              </w:rPr>
            </w:pPr>
            <w:r>
              <w:rPr>
                <w:rFonts w:hint="eastAsia"/>
              </w:rPr>
              <w:t>30</w:t>
            </w:r>
          </w:p>
        </w:tc>
        <w:tc>
          <w:tcPr>
            <w:tcW w:w="904" w:type="pct"/>
            <w:shd w:val="clear" w:color="auto" w:fill="auto"/>
            <w:noWrap/>
            <w:vAlign w:val="center"/>
          </w:tcPr>
          <w:p>
            <w:pPr>
              <w:pStyle w:val="63"/>
              <w:rPr>
                <w:rFonts w:ascii="宋体" w:hAnsi="宋体" w:eastAsia="宋体" w:cs="宋体"/>
              </w:rPr>
            </w:pPr>
            <w:r>
              <w:rPr>
                <w:rFonts w:hint="eastAsia"/>
              </w:rPr>
              <w:t>0.03</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平田村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0.01</w:t>
            </w:r>
          </w:p>
        </w:tc>
        <w:tc>
          <w:tcPr>
            <w:tcW w:w="1000" w:type="pct"/>
            <w:shd w:val="clear" w:color="auto" w:fill="auto"/>
            <w:noWrap/>
            <w:vAlign w:val="center"/>
          </w:tcPr>
          <w:p>
            <w:pPr>
              <w:pStyle w:val="63"/>
              <w:rPr>
                <w:rFonts w:ascii="宋体" w:hAnsi="宋体" w:eastAsia="宋体" w:cs="宋体"/>
              </w:rPr>
            </w:pPr>
            <w:r>
              <w:rPr>
                <w:rFonts w:hint="eastAsia"/>
              </w:rPr>
              <w:t>30</w:t>
            </w:r>
          </w:p>
        </w:tc>
        <w:tc>
          <w:tcPr>
            <w:tcW w:w="904" w:type="pct"/>
            <w:shd w:val="clear" w:color="auto" w:fill="auto"/>
            <w:noWrap/>
            <w:vAlign w:val="center"/>
          </w:tcPr>
          <w:p>
            <w:pPr>
              <w:pStyle w:val="63"/>
              <w:rPr>
                <w:rFonts w:ascii="宋体" w:hAnsi="宋体" w:eastAsia="宋体" w:cs="宋体"/>
              </w:rPr>
            </w:pPr>
            <w:r>
              <w:rPr>
                <w:rFonts w:hint="eastAsia"/>
              </w:rPr>
              <w:t>0.03</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彭家屋场</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0.01</w:t>
            </w:r>
          </w:p>
        </w:tc>
        <w:tc>
          <w:tcPr>
            <w:tcW w:w="1000" w:type="pct"/>
            <w:shd w:val="clear" w:color="auto" w:fill="auto"/>
            <w:noWrap/>
            <w:vAlign w:val="center"/>
          </w:tcPr>
          <w:p>
            <w:pPr>
              <w:pStyle w:val="63"/>
              <w:rPr>
                <w:rFonts w:ascii="宋体" w:hAnsi="宋体" w:eastAsia="宋体" w:cs="宋体"/>
              </w:rPr>
            </w:pPr>
            <w:r>
              <w:rPr>
                <w:rFonts w:hint="eastAsia"/>
              </w:rPr>
              <w:t>30</w:t>
            </w:r>
          </w:p>
        </w:tc>
        <w:tc>
          <w:tcPr>
            <w:tcW w:w="904" w:type="pct"/>
            <w:shd w:val="clear" w:color="auto" w:fill="auto"/>
            <w:noWrap/>
            <w:vAlign w:val="center"/>
          </w:tcPr>
          <w:p>
            <w:pPr>
              <w:pStyle w:val="63"/>
              <w:rPr>
                <w:rFonts w:ascii="宋体" w:hAnsi="宋体" w:eastAsia="宋体" w:cs="宋体"/>
              </w:rPr>
            </w:pPr>
            <w:r>
              <w:rPr>
                <w:rFonts w:hint="eastAsia"/>
              </w:rPr>
              <w:t>0.04</w:t>
            </w:r>
          </w:p>
        </w:tc>
        <w:tc>
          <w:tcPr>
            <w:tcW w:w="981" w:type="pct"/>
            <w:vAlign w:val="center"/>
          </w:tcPr>
          <w:p>
            <w:pPr>
              <w:pStyle w:val="63"/>
            </w:pPr>
            <w:r>
              <w:rPr>
                <w:rFonts w:hint="eastAsia"/>
              </w:rPr>
              <w:t>达标</w:t>
            </w:r>
          </w:p>
        </w:tc>
      </w:tr>
    </w:tbl>
    <w:p>
      <w:pPr>
        <w:pStyle w:val="6"/>
      </w:pPr>
      <w:r>
        <w:rPr>
          <w:rFonts w:hint="eastAsia"/>
        </w:rPr>
        <w:t>表6.2.1-44 本项目非正常工况下硫酸雾大气环境影响1小时平均关心点预测结果</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1056"/>
        <w:gridCol w:w="1286"/>
        <w:gridCol w:w="1706"/>
        <w:gridCol w:w="1542"/>
        <w:gridCol w:w="167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pPr>
            <w:r>
              <w:t>敏感点名称</w:t>
            </w:r>
          </w:p>
        </w:tc>
        <w:tc>
          <w:tcPr>
            <w:tcW w:w="619" w:type="pct"/>
            <w:shd w:val="clear" w:color="auto" w:fill="auto"/>
            <w:noWrap/>
            <w:vAlign w:val="center"/>
          </w:tcPr>
          <w:p>
            <w:pPr>
              <w:pStyle w:val="63"/>
            </w:pPr>
            <w:r>
              <w:t>浓度类型</w:t>
            </w:r>
          </w:p>
        </w:tc>
        <w:tc>
          <w:tcPr>
            <w:tcW w:w="754" w:type="pct"/>
            <w:shd w:val="clear" w:color="auto" w:fill="auto"/>
            <w:noWrap/>
            <w:vAlign w:val="center"/>
          </w:tcPr>
          <w:p>
            <w:pPr>
              <w:pStyle w:val="63"/>
            </w:pPr>
            <w:r>
              <w:t>浓度(μg/m</w:t>
            </w:r>
            <w:r>
              <w:rPr>
                <w:vertAlign w:val="superscript"/>
              </w:rPr>
              <w:t>3</w:t>
            </w:r>
            <w:r>
              <w:t>)</w:t>
            </w:r>
          </w:p>
        </w:tc>
        <w:tc>
          <w:tcPr>
            <w:tcW w:w="1000" w:type="pct"/>
            <w:shd w:val="clear" w:color="auto" w:fill="auto"/>
            <w:noWrap/>
            <w:vAlign w:val="center"/>
          </w:tcPr>
          <w:p>
            <w:pPr>
              <w:pStyle w:val="63"/>
            </w:pPr>
            <w:r>
              <w:t>评价标准(μg/m</w:t>
            </w:r>
            <w:r>
              <w:rPr>
                <w:vertAlign w:val="superscript"/>
              </w:rPr>
              <w:t>3</w:t>
            </w:r>
            <w:r>
              <w:t>)</w:t>
            </w:r>
          </w:p>
        </w:tc>
        <w:tc>
          <w:tcPr>
            <w:tcW w:w="904" w:type="pct"/>
            <w:shd w:val="clear" w:color="auto" w:fill="auto"/>
            <w:noWrap/>
            <w:vAlign w:val="center"/>
          </w:tcPr>
          <w:p>
            <w:pPr>
              <w:pStyle w:val="63"/>
            </w:pPr>
            <w:r>
              <w:t>占标率%</w:t>
            </w:r>
          </w:p>
        </w:tc>
        <w:tc>
          <w:tcPr>
            <w:tcW w:w="981" w:type="pct"/>
            <w:vAlign w:val="center"/>
          </w:tcPr>
          <w:p>
            <w:pPr>
              <w:pStyle w:val="63"/>
            </w:pPr>
            <w: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浦泉村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42.48</w:t>
            </w:r>
          </w:p>
        </w:tc>
        <w:tc>
          <w:tcPr>
            <w:tcW w:w="1000" w:type="pct"/>
            <w:shd w:val="clear" w:color="auto" w:fill="auto"/>
            <w:noWrap/>
            <w:vAlign w:val="center"/>
          </w:tcPr>
          <w:p>
            <w:pPr>
              <w:pStyle w:val="63"/>
              <w:rPr>
                <w:rFonts w:ascii="宋体" w:hAnsi="宋体" w:eastAsia="宋体" w:cs="宋体"/>
              </w:rPr>
            </w:pPr>
            <w:r>
              <w:rPr>
                <w:rFonts w:hint="eastAsia"/>
              </w:rPr>
              <w:t>300</w:t>
            </w:r>
          </w:p>
        </w:tc>
        <w:tc>
          <w:tcPr>
            <w:tcW w:w="904" w:type="pct"/>
            <w:shd w:val="clear" w:color="auto" w:fill="auto"/>
            <w:noWrap/>
            <w:vAlign w:val="center"/>
          </w:tcPr>
          <w:p>
            <w:pPr>
              <w:pStyle w:val="63"/>
              <w:rPr>
                <w:rFonts w:ascii="宋体" w:hAnsi="宋体" w:eastAsia="宋体" w:cs="宋体"/>
              </w:rPr>
            </w:pPr>
            <w:r>
              <w:rPr>
                <w:rFonts w:hint="eastAsia"/>
              </w:rPr>
              <w:t>14.16</w:t>
            </w:r>
          </w:p>
        </w:tc>
        <w:tc>
          <w:tcPr>
            <w:tcW w:w="981" w:type="pct"/>
            <w:vAlign w:val="center"/>
          </w:tcPr>
          <w:p>
            <w:pPr>
              <w:pStyle w:val="63"/>
              <w:rPr>
                <w:color w:val="000000"/>
              </w:rPr>
            </w:pPr>
            <w:r>
              <w:rPr>
                <w:rFonts w:hint="eastAsia"/>
                <w:color w:val="000000"/>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三才村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129.3</w:t>
            </w:r>
          </w:p>
        </w:tc>
        <w:tc>
          <w:tcPr>
            <w:tcW w:w="1000" w:type="pct"/>
            <w:shd w:val="clear" w:color="auto" w:fill="auto"/>
            <w:noWrap/>
            <w:vAlign w:val="center"/>
          </w:tcPr>
          <w:p>
            <w:pPr>
              <w:pStyle w:val="63"/>
              <w:rPr>
                <w:rFonts w:ascii="宋体" w:hAnsi="宋体" w:eastAsia="宋体" w:cs="宋体"/>
              </w:rPr>
            </w:pPr>
            <w:r>
              <w:rPr>
                <w:rFonts w:hint="eastAsia"/>
              </w:rPr>
              <w:t>300</w:t>
            </w:r>
          </w:p>
        </w:tc>
        <w:tc>
          <w:tcPr>
            <w:tcW w:w="904" w:type="pct"/>
            <w:shd w:val="clear" w:color="auto" w:fill="auto"/>
            <w:noWrap/>
            <w:vAlign w:val="center"/>
          </w:tcPr>
          <w:p>
            <w:pPr>
              <w:pStyle w:val="63"/>
              <w:rPr>
                <w:rFonts w:ascii="宋体" w:hAnsi="宋体" w:eastAsia="宋体" w:cs="宋体"/>
              </w:rPr>
            </w:pPr>
            <w:r>
              <w:rPr>
                <w:rFonts w:hint="eastAsia"/>
              </w:rPr>
              <w:t>43.1</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新石桥村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111.38</w:t>
            </w:r>
          </w:p>
        </w:tc>
        <w:tc>
          <w:tcPr>
            <w:tcW w:w="1000" w:type="pct"/>
            <w:shd w:val="clear" w:color="auto" w:fill="auto"/>
            <w:noWrap/>
            <w:vAlign w:val="center"/>
          </w:tcPr>
          <w:p>
            <w:pPr>
              <w:pStyle w:val="63"/>
              <w:rPr>
                <w:rFonts w:ascii="宋体" w:hAnsi="宋体" w:eastAsia="宋体" w:cs="宋体"/>
              </w:rPr>
            </w:pPr>
            <w:r>
              <w:rPr>
                <w:rFonts w:hint="eastAsia"/>
              </w:rPr>
              <w:t>300</w:t>
            </w:r>
          </w:p>
        </w:tc>
        <w:tc>
          <w:tcPr>
            <w:tcW w:w="904" w:type="pct"/>
            <w:shd w:val="clear" w:color="auto" w:fill="auto"/>
            <w:noWrap/>
            <w:vAlign w:val="center"/>
          </w:tcPr>
          <w:p>
            <w:pPr>
              <w:pStyle w:val="63"/>
              <w:rPr>
                <w:rFonts w:ascii="宋体" w:hAnsi="宋体" w:eastAsia="宋体" w:cs="宋体"/>
              </w:rPr>
            </w:pPr>
            <w:r>
              <w:rPr>
                <w:rFonts w:hint="eastAsia"/>
              </w:rPr>
              <w:t>37.13</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大浦镇</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67.28</w:t>
            </w:r>
          </w:p>
        </w:tc>
        <w:tc>
          <w:tcPr>
            <w:tcW w:w="1000" w:type="pct"/>
            <w:shd w:val="clear" w:color="auto" w:fill="auto"/>
            <w:noWrap/>
            <w:vAlign w:val="center"/>
          </w:tcPr>
          <w:p>
            <w:pPr>
              <w:pStyle w:val="63"/>
              <w:rPr>
                <w:rFonts w:ascii="宋体" w:hAnsi="宋体" w:eastAsia="宋体" w:cs="宋体"/>
              </w:rPr>
            </w:pPr>
            <w:r>
              <w:rPr>
                <w:rFonts w:hint="eastAsia"/>
              </w:rPr>
              <w:t>300</w:t>
            </w:r>
          </w:p>
        </w:tc>
        <w:tc>
          <w:tcPr>
            <w:tcW w:w="904" w:type="pct"/>
            <w:shd w:val="clear" w:color="auto" w:fill="auto"/>
            <w:noWrap/>
            <w:vAlign w:val="center"/>
          </w:tcPr>
          <w:p>
            <w:pPr>
              <w:pStyle w:val="63"/>
              <w:rPr>
                <w:rFonts w:ascii="宋体" w:hAnsi="宋体" w:eastAsia="宋体" w:cs="宋体"/>
              </w:rPr>
            </w:pPr>
            <w:r>
              <w:rPr>
                <w:rFonts w:hint="eastAsia"/>
              </w:rPr>
              <w:t>22.43</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炉铺村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91.85</w:t>
            </w:r>
          </w:p>
        </w:tc>
        <w:tc>
          <w:tcPr>
            <w:tcW w:w="1000" w:type="pct"/>
            <w:shd w:val="clear" w:color="auto" w:fill="auto"/>
            <w:noWrap/>
            <w:vAlign w:val="center"/>
          </w:tcPr>
          <w:p>
            <w:pPr>
              <w:pStyle w:val="63"/>
              <w:rPr>
                <w:rFonts w:ascii="宋体" w:hAnsi="宋体" w:eastAsia="宋体" w:cs="宋体"/>
              </w:rPr>
            </w:pPr>
            <w:r>
              <w:rPr>
                <w:rFonts w:hint="eastAsia"/>
              </w:rPr>
              <w:t>300</w:t>
            </w:r>
          </w:p>
        </w:tc>
        <w:tc>
          <w:tcPr>
            <w:tcW w:w="904" w:type="pct"/>
            <w:shd w:val="clear" w:color="auto" w:fill="auto"/>
            <w:noWrap/>
            <w:vAlign w:val="center"/>
          </w:tcPr>
          <w:p>
            <w:pPr>
              <w:pStyle w:val="63"/>
              <w:rPr>
                <w:rFonts w:ascii="宋体" w:hAnsi="宋体" w:eastAsia="宋体" w:cs="宋体"/>
              </w:rPr>
            </w:pPr>
            <w:r>
              <w:rPr>
                <w:rFonts w:hint="eastAsia"/>
              </w:rPr>
              <w:t>30.62</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堰桥村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71.8</w:t>
            </w:r>
          </w:p>
        </w:tc>
        <w:tc>
          <w:tcPr>
            <w:tcW w:w="1000" w:type="pct"/>
            <w:shd w:val="clear" w:color="auto" w:fill="auto"/>
            <w:noWrap/>
            <w:vAlign w:val="center"/>
          </w:tcPr>
          <w:p>
            <w:pPr>
              <w:pStyle w:val="63"/>
              <w:rPr>
                <w:rFonts w:ascii="宋体" w:hAnsi="宋体" w:eastAsia="宋体" w:cs="宋体"/>
              </w:rPr>
            </w:pPr>
            <w:r>
              <w:rPr>
                <w:rFonts w:hint="eastAsia"/>
              </w:rPr>
              <w:t>300</w:t>
            </w:r>
          </w:p>
        </w:tc>
        <w:tc>
          <w:tcPr>
            <w:tcW w:w="904" w:type="pct"/>
            <w:shd w:val="clear" w:color="auto" w:fill="auto"/>
            <w:noWrap/>
            <w:vAlign w:val="center"/>
          </w:tcPr>
          <w:p>
            <w:pPr>
              <w:pStyle w:val="63"/>
              <w:rPr>
                <w:rFonts w:ascii="宋体" w:hAnsi="宋体" w:eastAsia="宋体" w:cs="宋体"/>
              </w:rPr>
            </w:pPr>
            <w:r>
              <w:rPr>
                <w:rFonts w:hint="eastAsia"/>
              </w:rPr>
              <w:t>23.93</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安置区</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95.56</w:t>
            </w:r>
          </w:p>
        </w:tc>
        <w:tc>
          <w:tcPr>
            <w:tcW w:w="1000" w:type="pct"/>
            <w:shd w:val="clear" w:color="auto" w:fill="auto"/>
            <w:noWrap/>
            <w:vAlign w:val="center"/>
          </w:tcPr>
          <w:p>
            <w:pPr>
              <w:pStyle w:val="63"/>
              <w:rPr>
                <w:rFonts w:ascii="宋体" w:hAnsi="宋体" w:eastAsia="宋体" w:cs="宋体"/>
              </w:rPr>
            </w:pPr>
            <w:r>
              <w:rPr>
                <w:rFonts w:hint="eastAsia"/>
              </w:rPr>
              <w:t>300</w:t>
            </w:r>
          </w:p>
        </w:tc>
        <w:tc>
          <w:tcPr>
            <w:tcW w:w="904" w:type="pct"/>
            <w:shd w:val="clear" w:color="auto" w:fill="auto"/>
            <w:noWrap/>
            <w:vAlign w:val="center"/>
          </w:tcPr>
          <w:p>
            <w:pPr>
              <w:pStyle w:val="63"/>
              <w:rPr>
                <w:rFonts w:ascii="宋体" w:hAnsi="宋体" w:eastAsia="宋体" w:cs="宋体"/>
              </w:rPr>
            </w:pPr>
            <w:r>
              <w:rPr>
                <w:rFonts w:hint="eastAsia"/>
              </w:rPr>
              <w:t>31.85</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爱国医院</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116.84</w:t>
            </w:r>
          </w:p>
        </w:tc>
        <w:tc>
          <w:tcPr>
            <w:tcW w:w="1000" w:type="pct"/>
            <w:shd w:val="clear" w:color="auto" w:fill="auto"/>
            <w:noWrap/>
            <w:vAlign w:val="center"/>
          </w:tcPr>
          <w:p>
            <w:pPr>
              <w:pStyle w:val="63"/>
              <w:rPr>
                <w:rFonts w:ascii="宋体" w:hAnsi="宋体" w:eastAsia="宋体" w:cs="宋体"/>
              </w:rPr>
            </w:pPr>
            <w:r>
              <w:rPr>
                <w:rFonts w:hint="eastAsia"/>
              </w:rPr>
              <w:t>300</w:t>
            </w:r>
          </w:p>
        </w:tc>
        <w:tc>
          <w:tcPr>
            <w:tcW w:w="904" w:type="pct"/>
            <w:shd w:val="clear" w:color="auto" w:fill="auto"/>
            <w:noWrap/>
            <w:vAlign w:val="center"/>
          </w:tcPr>
          <w:p>
            <w:pPr>
              <w:pStyle w:val="63"/>
              <w:rPr>
                <w:rFonts w:ascii="宋体" w:hAnsi="宋体" w:eastAsia="宋体" w:cs="宋体"/>
              </w:rPr>
            </w:pPr>
            <w:r>
              <w:rPr>
                <w:rFonts w:hint="eastAsia"/>
              </w:rPr>
              <w:t>38.95</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罗家老屋</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94.59</w:t>
            </w:r>
          </w:p>
        </w:tc>
        <w:tc>
          <w:tcPr>
            <w:tcW w:w="1000" w:type="pct"/>
            <w:shd w:val="clear" w:color="auto" w:fill="auto"/>
            <w:noWrap/>
            <w:vAlign w:val="center"/>
          </w:tcPr>
          <w:p>
            <w:pPr>
              <w:pStyle w:val="63"/>
              <w:rPr>
                <w:rFonts w:ascii="宋体" w:hAnsi="宋体" w:eastAsia="宋体" w:cs="宋体"/>
              </w:rPr>
            </w:pPr>
            <w:r>
              <w:rPr>
                <w:rFonts w:hint="eastAsia"/>
              </w:rPr>
              <w:t>300</w:t>
            </w:r>
          </w:p>
        </w:tc>
        <w:tc>
          <w:tcPr>
            <w:tcW w:w="904" w:type="pct"/>
            <w:shd w:val="clear" w:color="auto" w:fill="auto"/>
            <w:noWrap/>
            <w:vAlign w:val="center"/>
          </w:tcPr>
          <w:p>
            <w:pPr>
              <w:pStyle w:val="63"/>
              <w:rPr>
                <w:rFonts w:ascii="宋体" w:hAnsi="宋体" w:eastAsia="宋体" w:cs="宋体"/>
              </w:rPr>
            </w:pPr>
            <w:r>
              <w:rPr>
                <w:rFonts w:hint="eastAsia"/>
              </w:rPr>
              <w:t>31.53</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北头村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205.03</w:t>
            </w:r>
          </w:p>
        </w:tc>
        <w:tc>
          <w:tcPr>
            <w:tcW w:w="1000" w:type="pct"/>
            <w:shd w:val="clear" w:color="auto" w:fill="auto"/>
            <w:noWrap/>
            <w:vAlign w:val="center"/>
          </w:tcPr>
          <w:p>
            <w:pPr>
              <w:pStyle w:val="63"/>
              <w:rPr>
                <w:rFonts w:ascii="宋体" w:hAnsi="宋体" w:eastAsia="宋体" w:cs="宋体"/>
              </w:rPr>
            </w:pPr>
            <w:r>
              <w:rPr>
                <w:rFonts w:hint="eastAsia"/>
              </w:rPr>
              <w:t>300</w:t>
            </w:r>
          </w:p>
        </w:tc>
        <w:tc>
          <w:tcPr>
            <w:tcW w:w="904" w:type="pct"/>
            <w:shd w:val="clear" w:color="auto" w:fill="auto"/>
            <w:noWrap/>
            <w:vAlign w:val="center"/>
          </w:tcPr>
          <w:p>
            <w:pPr>
              <w:pStyle w:val="63"/>
              <w:rPr>
                <w:rFonts w:ascii="宋体" w:hAnsi="宋体" w:eastAsia="宋体" w:cs="宋体"/>
              </w:rPr>
            </w:pPr>
            <w:r>
              <w:rPr>
                <w:rFonts w:hint="eastAsia"/>
              </w:rPr>
              <w:t>68.34</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龙家冲</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86.31</w:t>
            </w:r>
          </w:p>
        </w:tc>
        <w:tc>
          <w:tcPr>
            <w:tcW w:w="1000" w:type="pct"/>
            <w:shd w:val="clear" w:color="auto" w:fill="auto"/>
            <w:noWrap/>
            <w:vAlign w:val="center"/>
          </w:tcPr>
          <w:p>
            <w:pPr>
              <w:pStyle w:val="63"/>
              <w:rPr>
                <w:rFonts w:ascii="宋体" w:hAnsi="宋体" w:eastAsia="宋体" w:cs="宋体"/>
              </w:rPr>
            </w:pPr>
            <w:r>
              <w:rPr>
                <w:rFonts w:hint="eastAsia"/>
              </w:rPr>
              <w:t>300</w:t>
            </w:r>
          </w:p>
        </w:tc>
        <w:tc>
          <w:tcPr>
            <w:tcW w:w="904" w:type="pct"/>
            <w:shd w:val="clear" w:color="auto" w:fill="auto"/>
            <w:noWrap/>
            <w:vAlign w:val="center"/>
          </w:tcPr>
          <w:p>
            <w:pPr>
              <w:pStyle w:val="63"/>
              <w:rPr>
                <w:rFonts w:ascii="宋体" w:hAnsi="宋体" w:eastAsia="宋体" w:cs="宋体"/>
              </w:rPr>
            </w:pPr>
            <w:r>
              <w:rPr>
                <w:rFonts w:hint="eastAsia"/>
              </w:rPr>
              <w:t>28.77</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平田村</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79.57</w:t>
            </w:r>
          </w:p>
        </w:tc>
        <w:tc>
          <w:tcPr>
            <w:tcW w:w="1000" w:type="pct"/>
            <w:shd w:val="clear" w:color="auto" w:fill="auto"/>
            <w:noWrap/>
            <w:vAlign w:val="center"/>
          </w:tcPr>
          <w:p>
            <w:pPr>
              <w:pStyle w:val="63"/>
              <w:rPr>
                <w:rFonts w:ascii="宋体" w:hAnsi="宋体" w:eastAsia="宋体" w:cs="宋体"/>
              </w:rPr>
            </w:pPr>
            <w:r>
              <w:rPr>
                <w:rFonts w:hint="eastAsia"/>
              </w:rPr>
              <w:t>300</w:t>
            </w:r>
          </w:p>
        </w:tc>
        <w:tc>
          <w:tcPr>
            <w:tcW w:w="904" w:type="pct"/>
            <w:shd w:val="clear" w:color="auto" w:fill="auto"/>
            <w:noWrap/>
            <w:vAlign w:val="center"/>
          </w:tcPr>
          <w:p>
            <w:pPr>
              <w:pStyle w:val="63"/>
              <w:rPr>
                <w:rFonts w:ascii="宋体" w:hAnsi="宋体" w:eastAsia="宋体" w:cs="宋体"/>
              </w:rPr>
            </w:pPr>
            <w:r>
              <w:rPr>
                <w:rFonts w:hint="eastAsia"/>
              </w:rPr>
              <w:t>26.52</w:t>
            </w:r>
          </w:p>
        </w:tc>
        <w:tc>
          <w:tcPr>
            <w:tcW w:w="981" w:type="pct"/>
            <w:vAlign w:val="center"/>
          </w:tcPr>
          <w:p>
            <w:pPr>
              <w:pStyle w:val="63"/>
            </w:pPr>
            <w:r>
              <w:rPr>
                <w:rFonts w:hint="eastAsia"/>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shd w:val="clear" w:color="auto" w:fill="auto"/>
            <w:noWrap/>
            <w:vAlign w:val="center"/>
          </w:tcPr>
          <w:p>
            <w:pPr>
              <w:pStyle w:val="63"/>
              <w:rPr>
                <w:color w:val="000000"/>
              </w:rPr>
            </w:pPr>
            <w:r>
              <w:rPr>
                <w:color w:val="000000"/>
              </w:rPr>
              <w:t>彭家屋场</w:t>
            </w:r>
          </w:p>
        </w:tc>
        <w:tc>
          <w:tcPr>
            <w:tcW w:w="619" w:type="pct"/>
            <w:shd w:val="clear" w:color="auto" w:fill="auto"/>
            <w:noWrap/>
            <w:vAlign w:val="center"/>
          </w:tcPr>
          <w:p>
            <w:pPr>
              <w:pStyle w:val="63"/>
            </w:pPr>
            <w:r>
              <w:t>1小时</w:t>
            </w:r>
          </w:p>
        </w:tc>
        <w:tc>
          <w:tcPr>
            <w:tcW w:w="754" w:type="pct"/>
            <w:shd w:val="clear" w:color="auto" w:fill="auto"/>
            <w:noWrap/>
            <w:vAlign w:val="center"/>
          </w:tcPr>
          <w:p>
            <w:pPr>
              <w:pStyle w:val="63"/>
              <w:rPr>
                <w:rFonts w:ascii="宋体" w:hAnsi="宋体" w:eastAsia="宋体" w:cs="宋体"/>
              </w:rPr>
            </w:pPr>
            <w:r>
              <w:rPr>
                <w:rFonts w:hint="eastAsia"/>
              </w:rPr>
              <w:t>598.28</w:t>
            </w:r>
          </w:p>
        </w:tc>
        <w:tc>
          <w:tcPr>
            <w:tcW w:w="1000" w:type="pct"/>
            <w:shd w:val="clear" w:color="auto" w:fill="auto"/>
            <w:noWrap/>
            <w:vAlign w:val="center"/>
          </w:tcPr>
          <w:p>
            <w:pPr>
              <w:pStyle w:val="63"/>
              <w:rPr>
                <w:rFonts w:ascii="宋体" w:hAnsi="宋体" w:eastAsia="宋体" w:cs="宋体"/>
              </w:rPr>
            </w:pPr>
            <w:r>
              <w:rPr>
                <w:rFonts w:hint="eastAsia"/>
              </w:rPr>
              <w:t>300</w:t>
            </w:r>
          </w:p>
        </w:tc>
        <w:tc>
          <w:tcPr>
            <w:tcW w:w="904" w:type="pct"/>
            <w:shd w:val="clear" w:color="auto" w:fill="auto"/>
            <w:noWrap/>
            <w:vAlign w:val="center"/>
          </w:tcPr>
          <w:p>
            <w:pPr>
              <w:pStyle w:val="63"/>
              <w:rPr>
                <w:rFonts w:ascii="宋体" w:hAnsi="宋体" w:eastAsia="宋体" w:cs="宋体"/>
              </w:rPr>
            </w:pPr>
            <w:r>
              <w:rPr>
                <w:rFonts w:hint="eastAsia"/>
              </w:rPr>
              <w:t>199.43</w:t>
            </w:r>
          </w:p>
        </w:tc>
        <w:tc>
          <w:tcPr>
            <w:tcW w:w="981" w:type="pct"/>
            <w:vAlign w:val="center"/>
          </w:tcPr>
          <w:p>
            <w:pPr>
              <w:pStyle w:val="63"/>
            </w:pPr>
            <w:r>
              <w:rPr>
                <w:rFonts w:hint="eastAsia"/>
              </w:rPr>
              <w:t>超标</w:t>
            </w:r>
          </w:p>
        </w:tc>
      </w:tr>
    </w:tbl>
    <w:p>
      <w:pPr>
        <w:pStyle w:val="5"/>
        <w:ind w:firstLine="482"/>
        <w:rPr>
          <w:rFonts w:ascii="Times New Roman" w:hAnsi="Times New Roman" w:cs="Times New Roman" w:eastAsiaTheme="minorEastAsia"/>
        </w:rPr>
      </w:pPr>
      <w:r>
        <w:rPr>
          <w:rFonts w:ascii="Times New Roman" w:hAnsi="Times New Roman" w:cs="Times New Roman" w:eastAsiaTheme="minorEastAsia"/>
        </w:rPr>
        <w:t>6.2.1.8 大气环境影响预测小结</w:t>
      </w:r>
    </w:p>
    <w:p>
      <w:pPr>
        <w:spacing w:line="360" w:lineRule="auto"/>
        <w:ind w:firstLine="480" w:firstLineChars="200"/>
        <w:rPr>
          <w:rFonts w:ascii="Times New Roman" w:hAnsi="Times New Roman" w:cs="Times New Roman"/>
        </w:rPr>
      </w:pPr>
      <w:r>
        <w:rPr>
          <w:rFonts w:ascii="Times New Roman" w:hAnsi="Times New Roman" w:cs="Times New Roman"/>
        </w:rPr>
        <w:t>本项目所在区域环境质量现状属于达标区，根据《环境影响评价技术导则大气环境》（HJ2.2-2018）中第10.1.1条，达标区域的建设项目环境影响评价，当同时满足如下条件时，则认为环境影响可以接受：</w:t>
      </w:r>
    </w:p>
    <w:p>
      <w:pPr>
        <w:spacing w:line="360" w:lineRule="auto"/>
        <w:ind w:firstLine="480" w:firstLineChars="200"/>
        <w:rPr>
          <w:rFonts w:ascii="Times New Roman" w:hAnsi="Times New Roman" w:cs="Times New Roman"/>
        </w:rPr>
      </w:pPr>
      <w:r>
        <w:rPr>
          <w:rFonts w:ascii="Times New Roman" w:hAnsi="Times New Roman" w:cs="Times New Roman"/>
        </w:rPr>
        <w:t>a) 新增污染源正常排放下污染物短期浓度贡献值的最大浓度占标率≤100%；</w:t>
      </w:r>
    </w:p>
    <w:p>
      <w:pPr>
        <w:spacing w:line="360" w:lineRule="auto"/>
        <w:ind w:firstLine="480" w:firstLineChars="200"/>
        <w:rPr>
          <w:rFonts w:ascii="Times New Roman" w:hAnsi="Times New Roman" w:cs="Times New Roman"/>
        </w:rPr>
      </w:pPr>
      <w:r>
        <w:rPr>
          <w:rFonts w:ascii="Times New Roman" w:hAnsi="Times New Roman" w:cs="Times New Roman"/>
        </w:rPr>
        <w:t>b) 新增污染源正常排放下污染物年均浓度贡献值的最大浓度占标率≤30%（其中一类区≤10%）；</w:t>
      </w:r>
    </w:p>
    <w:p>
      <w:pPr>
        <w:spacing w:line="360" w:lineRule="auto"/>
        <w:ind w:firstLine="480" w:firstLineChars="200"/>
        <w:rPr>
          <w:rFonts w:ascii="Times New Roman" w:hAnsi="Times New Roman" w:cs="Times New Roman"/>
        </w:rPr>
      </w:pPr>
      <w:r>
        <w:rPr>
          <w:rFonts w:ascii="Times New Roman" w:hAnsi="Times New Roman" w:cs="Times New Roman"/>
        </w:rPr>
        <w:t>c) 项目环境影响符合环境功能区划。叠加现状浓度、区域削减污染源以及在建、拟建项目的环境影响后，主要污染物的保证率日平均质量浓度和年平均质量浓度均符合环境质量标准；对于项目排放的主要污染物仅有短期浓度限值的，叠加后的短期浓度符合环境质量标准。</w:t>
      </w:r>
    </w:p>
    <w:p>
      <w:pPr>
        <w:spacing w:line="360" w:lineRule="auto"/>
        <w:ind w:firstLine="480" w:firstLineChars="200"/>
        <w:rPr>
          <w:rFonts w:ascii="Times New Roman" w:hAnsi="Times New Roman" w:cs="Times New Roman"/>
        </w:rPr>
      </w:pPr>
      <w:r>
        <w:rPr>
          <w:rFonts w:ascii="Times New Roman" w:hAnsi="Times New Roman" w:cs="Times New Roman"/>
        </w:rPr>
        <w:t>根据前述计算结果，本项目正常排放下SO</w:t>
      </w:r>
      <w:r>
        <w:rPr>
          <w:rFonts w:ascii="Times New Roman" w:hAnsi="Times New Roman" w:cs="Times New Roman"/>
          <w:vertAlign w:val="subscript"/>
        </w:rPr>
        <w:t>2</w:t>
      </w:r>
      <w:r>
        <w:rPr>
          <w:rFonts w:ascii="Times New Roman" w:hAnsi="Times New Roman" w:cs="Times New Roman"/>
        </w:rPr>
        <w:t>、PM</w:t>
      </w:r>
      <w:r>
        <w:rPr>
          <w:rFonts w:ascii="Times New Roman" w:hAnsi="Times New Roman" w:cs="Times New Roman"/>
          <w:vertAlign w:val="subscript"/>
        </w:rPr>
        <w:t>10</w:t>
      </w:r>
      <w:r>
        <w:rPr>
          <w:rFonts w:ascii="Times New Roman" w:hAnsi="Times New Roman" w:cs="Times New Roman"/>
        </w:rPr>
        <w:t>的保证率日平均质量浓度和年平均质量浓度均符合《环境空气质量标准》（GB3095-2012）二级标准要求；NOx的1小时平均浓度和日平均浓度、氟化物的1小时平均浓度和日平均浓度均能够满足《环境空气质量标准》（GB3095-2012）二级标准要求；硫酸雾的1小时平均浓度和日平均</w:t>
      </w:r>
      <w:r>
        <w:rPr>
          <w:rFonts w:hint="eastAsia" w:ascii="Times New Roman" w:hAnsi="Times New Roman" w:cs="Times New Roman"/>
          <w:lang w:eastAsia="zh-CN"/>
        </w:rPr>
        <w:t>浓度</w:t>
      </w:r>
      <w:r>
        <w:rPr>
          <w:rFonts w:ascii="Times New Roman" w:hAnsi="Times New Roman" w:cs="Times New Roman"/>
        </w:rPr>
        <w:t>均能够满足《环境影响评价技术导则大气环境》（HJ2.2-2018）附录D中限值要求；镍及其化合物的日平均浓度、非甲烷总烃的1小时平均浓度均能够满足《大气污染物综合排放标准详解》中相关要求</w:t>
      </w:r>
    </w:p>
    <w:p>
      <w:pPr>
        <w:spacing w:line="360" w:lineRule="auto"/>
        <w:ind w:firstLine="480" w:firstLineChars="200"/>
        <w:rPr>
          <w:rFonts w:ascii="Times New Roman" w:hAnsi="Times New Roman" w:cs="Times New Roman"/>
        </w:rPr>
      </w:pPr>
      <w:r>
        <w:rPr>
          <w:rFonts w:ascii="Times New Roman" w:hAnsi="Times New Roman" w:cs="Times New Roman"/>
        </w:rPr>
        <w:t>因此，环评认为本项目的环境影响可以接受。</w:t>
      </w:r>
    </w:p>
    <w:p>
      <w:pPr>
        <w:pStyle w:val="5"/>
        <w:ind w:firstLine="482"/>
        <w:rPr>
          <w:rFonts w:ascii="Times New Roman" w:hAnsi="Times New Roman" w:cs="Times New Roman" w:eastAsiaTheme="minorEastAsia"/>
        </w:rPr>
      </w:pPr>
      <w:r>
        <w:rPr>
          <w:rFonts w:ascii="Times New Roman" w:hAnsi="Times New Roman" w:cs="Times New Roman" w:eastAsiaTheme="minorEastAsia"/>
        </w:rPr>
        <w:t>6.2.1.9 大气环境防护距离</w:t>
      </w:r>
    </w:p>
    <w:p>
      <w:pPr>
        <w:spacing w:line="360" w:lineRule="auto"/>
        <w:ind w:firstLine="480" w:firstLineChars="200"/>
        <w:rPr>
          <w:rFonts w:ascii="Times New Roman" w:hAnsi="Times New Roman" w:cs="Times New Roman"/>
        </w:rPr>
      </w:pPr>
      <w:r>
        <w:rPr>
          <w:rFonts w:ascii="Times New Roman" w:hAnsi="Times New Roman" w:cs="Times New Roman"/>
        </w:rPr>
        <w:t>本评价按照《环境影响评价技术导则-大气环境》（HJ2.2-2018）中关于大气防护距离的确定要求，采用Aermod预测模型模拟预测本项目实施后全厂所有污染源对厂界外主要污染物的短期浓度分布情况，预测结果表明各污染物短期浓度均无超标点，本项目无需设置大气防护距离。</w:t>
      </w:r>
    </w:p>
    <w:p>
      <w:pPr>
        <w:pStyle w:val="5"/>
        <w:ind w:firstLine="482"/>
        <w:rPr>
          <w:rFonts w:ascii="Times New Roman" w:hAnsi="Times New Roman" w:cs="Times New Roman" w:eastAsiaTheme="minorEastAsia"/>
        </w:rPr>
      </w:pPr>
      <w:r>
        <w:rPr>
          <w:rFonts w:ascii="Times New Roman" w:hAnsi="Times New Roman" w:cs="Times New Roman" w:eastAsiaTheme="minorEastAsia"/>
        </w:rPr>
        <w:t>6.2.1.10 污染物排放量核算</w:t>
      </w:r>
    </w:p>
    <w:p>
      <w:pPr>
        <w:spacing w:line="360" w:lineRule="auto"/>
        <w:ind w:firstLine="480" w:firstLineChars="200"/>
        <w:rPr>
          <w:rFonts w:ascii="Times New Roman" w:hAnsi="Times New Roman" w:cs="Times New Roman"/>
        </w:rPr>
      </w:pPr>
      <w:r>
        <w:rPr>
          <w:rFonts w:ascii="Times New Roman" w:hAnsi="Times New Roman" w:cs="Times New Roman"/>
        </w:rPr>
        <w:t>（1）有组织排放量核算</w:t>
      </w:r>
    </w:p>
    <w:p>
      <w:pPr>
        <w:spacing w:line="360" w:lineRule="auto"/>
        <w:ind w:firstLine="480" w:firstLineChars="200"/>
        <w:rPr>
          <w:rFonts w:ascii="Times New Roman" w:hAnsi="Times New Roman" w:cs="Times New Roman"/>
        </w:rPr>
      </w:pPr>
      <w:r>
        <w:rPr>
          <w:rFonts w:ascii="Times New Roman" w:hAnsi="Times New Roman" w:cs="Times New Roman"/>
        </w:rPr>
        <w:t>本项目大气污染物有组织排放量核算见下表。</w:t>
      </w:r>
    </w:p>
    <w:p>
      <w:pPr>
        <w:pStyle w:val="6"/>
        <w:rPr>
          <w:rFonts w:ascii="Times New Roman" w:hAnsi="Times New Roman" w:cs="Times New Roman"/>
        </w:rPr>
      </w:pPr>
      <w:r>
        <w:rPr>
          <w:rFonts w:ascii="Times New Roman" w:hAnsi="Times New Roman" w:cs="Times New Roman"/>
        </w:rPr>
        <w:t>表</w:t>
      </w:r>
      <w:r>
        <w:rPr>
          <w:rFonts w:hint="eastAsia"/>
        </w:rPr>
        <w:t xml:space="preserve">6.2.1-45  </w:t>
      </w:r>
      <w:r>
        <w:rPr>
          <w:rFonts w:ascii="Times New Roman" w:hAnsi="Times New Roman" w:cs="Times New Roman"/>
        </w:rPr>
        <w:t>大气污染物有组织排放量核算表</w:t>
      </w:r>
    </w:p>
    <w:tbl>
      <w:tblPr>
        <w:tblStyle w:val="3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068"/>
        <w:gridCol w:w="1701"/>
        <w:gridCol w:w="1560"/>
        <w:gridCol w:w="1636"/>
        <w:gridCol w:w="18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restart"/>
            <w:vAlign w:val="center"/>
          </w:tcPr>
          <w:p>
            <w:pPr>
              <w:pStyle w:val="63"/>
            </w:pPr>
            <w:bookmarkStart w:id="337" w:name="_Hlk82679945"/>
            <w:r>
              <w:t>序号</w:t>
            </w:r>
          </w:p>
        </w:tc>
        <w:tc>
          <w:tcPr>
            <w:tcW w:w="1068" w:type="dxa"/>
            <w:vMerge w:val="restart"/>
            <w:vAlign w:val="center"/>
          </w:tcPr>
          <w:p>
            <w:pPr>
              <w:pStyle w:val="63"/>
            </w:pPr>
            <w:r>
              <w:t>排放口编号</w:t>
            </w:r>
          </w:p>
        </w:tc>
        <w:tc>
          <w:tcPr>
            <w:tcW w:w="1701" w:type="dxa"/>
            <w:vMerge w:val="restart"/>
            <w:vAlign w:val="center"/>
          </w:tcPr>
          <w:p>
            <w:pPr>
              <w:pStyle w:val="63"/>
            </w:pPr>
            <w:r>
              <w:t>污染物</w:t>
            </w:r>
          </w:p>
        </w:tc>
        <w:tc>
          <w:tcPr>
            <w:tcW w:w="5018" w:type="dxa"/>
            <w:gridSpan w:val="3"/>
            <w:vAlign w:val="center"/>
          </w:tcPr>
          <w:p>
            <w:pPr>
              <w:pStyle w:val="63"/>
            </w:pPr>
            <w:r>
              <w:t>污染物排放情况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vAlign w:val="center"/>
          </w:tcPr>
          <w:p>
            <w:pPr>
              <w:pStyle w:val="63"/>
            </w:pPr>
          </w:p>
        </w:tc>
        <w:tc>
          <w:tcPr>
            <w:tcW w:w="1068" w:type="dxa"/>
            <w:vMerge w:val="continue"/>
            <w:vAlign w:val="center"/>
          </w:tcPr>
          <w:p>
            <w:pPr>
              <w:pStyle w:val="63"/>
            </w:pPr>
          </w:p>
        </w:tc>
        <w:tc>
          <w:tcPr>
            <w:tcW w:w="1701" w:type="dxa"/>
            <w:vMerge w:val="continue"/>
            <w:vAlign w:val="center"/>
          </w:tcPr>
          <w:p>
            <w:pPr>
              <w:pStyle w:val="63"/>
            </w:pPr>
          </w:p>
        </w:tc>
        <w:tc>
          <w:tcPr>
            <w:tcW w:w="1560" w:type="dxa"/>
            <w:vAlign w:val="center"/>
          </w:tcPr>
          <w:p>
            <w:pPr>
              <w:pStyle w:val="63"/>
            </w:pPr>
            <w:r>
              <w:t>核算排放浓度限值（mg/m</w:t>
            </w:r>
            <w:r>
              <w:rPr>
                <w:vertAlign w:val="superscript"/>
              </w:rPr>
              <w:t>3</w:t>
            </w:r>
            <w:r>
              <w:t>）</w:t>
            </w:r>
          </w:p>
        </w:tc>
        <w:tc>
          <w:tcPr>
            <w:tcW w:w="1636" w:type="dxa"/>
            <w:vAlign w:val="center"/>
          </w:tcPr>
          <w:p>
            <w:pPr>
              <w:pStyle w:val="63"/>
            </w:pPr>
            <w:r>
              <w:t>核算排放速率限值（kg/h）</w:t>
            </w:r>
          </w:p>
        </w:tc>
        <w:tc>
          <w:tcPr>
            <w:tcW w:w="1822" w:type="dxa"/>
            <w:vAlign w:val="center"/>
          </w:tcPr>
          <w:p>
            <w:pPr>
              <w:pStyle w:val="63"/>
            </w:pPr>
            <w:r>
              <w:t>核算年排放量</w:t>
            </w:r>
          </w:p>
          <w:p>
            <w:pPr>
              <w:pStyle w:val="63"/>
            </w:pPr>
            <w: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restart"/>
            <w:vAlign w:val="center"/>
          </w:tcPr>
          <w:p>
            <w:pPr>
              <w:pStyle w:val="63"/>
            </w:pPr>
            <w:r>
              <w:t>1</w:t>
            </w:r>
          </w:p>
        </w:tc>
        <w:tc>
          <w:tcPr>
            <w:tcW w:w="1068" w:type="dxa"/>
            <w:vMerge w:val="restart"/>
            <w:vAlign w:val="center"/>
          </w:tcPr>
          <w:p>
            <w:pPr>
              <w:pStyle w:val="63"/>
            </w:pPr>
            <w:r>
              <w:t>P1预处理车间</w:t>
            </w:r>
          </w:p>
        </w:tc>
        <w:tc>
          <w:tcPr>
            <w:tcW w:w="1701" w:type="dxa"/>
            <w:vAlign w:val="center"/>
          </w:tcPr>
          <w:p>
            <w:pPr>
              <w:jc w:val="center"/>
              <w:rPr>
                <w:rFonts w:ascii="Times New Roman" w:hAnsi="Times New Roman" w:cs="Times New Roman"/>
                <w:sz w:val="21"/>
              </w:rPr>
            </w:pPr>
            <w:r>
              <w:rPr>
                <w:rFonts w:ascii="Times New Roman" w:hAnsi="Times New Roman" w:cs="Times New Roman"/>
                <w:sz w:val="21"/>
              </w:rPr>
              <w:t>颗粒物</w:t>
            </w:r>
          </w:p>
        </w:tc>
        <w:tc>
          <w:tcPr>
            <w:tcW w:w="1560" w:type="dxa"/>
            <w:vAlign w:val="center"/>
          </w:tcPr>
          <w:p>
            <w:pPr>
              <w:jc w:val="center"/>
              <w:rPr>
                <w:rFonts w:ascii="Times New Roman" w:hAnsi="Times New Roman" w:cs="Times New Roman"/>
                <w:sz w:val="21"/>
              </w:rPr>
            </w:pPr>
            <w:r>
              <w:rPr>
                <w:rFonts w:ascii="Times New Roman" w:hAnsi="Times New Roman" w:cs="Times New Roman"/>
                <w:sz w:val="21"/>
                <w:szCs w:val="21"/>
              </w:rPr>
              <w:t>0.03844</w:t>
            </w:r>
          </w:p>
        </w:tc>
        <w:tc>
          <w:tcPr>
            <w:tcW w:w="1636" w:type="dxa"/>
            <w:vAlign w:val="center"/>
          </w:tcPr>
          <w:p>
            <w:pPr>
              <w:jc w:val="center"/>
              <w:rPr>
                <w:rFonts w:ascii="Times New Roman" w:hAnsi="Times New Roman" w:cs="Times New Roman"/>
                <w:sz w:val="21"/>
              </w:rPr>
            </w:pPr>
            <w:r>
              <w:rPr>
                <w:rFonts w:ascii="Times New Roman" w:hAnsi="Times New Roman" w:cs="Times New Roman"/>
                <w:sz w:val="22"/>
              </w:rPr>
              <w:t>0.00173</w:t>
            </w:r>
          </w:p>
        </w:tc>
        <w:tc>
          <w:tcPr>
            <w:tcW w:w="1822" w:type="dxa"/>
            <w:vAlign w:val="center"/>
          </w:tcPr>
          <w:p>
            <w:pPr>
              <w:jc w:val="center"/>
              <w:rPr>
                <w:rFonts w:ascii="Times New Roman" w:hAnsi="Times New Roman" w:cs="Times New Roman"/>
                <w:sz w:val="21"/>
              </w:rPr>
            </w:pPr>
            <w:r>
              <w:rPr>
                <w:rFonts w:ascii="Times New Roman" w:hAnsi="Times New Roman" w:cs="Times New Roman"/>
                <w:sz w:val="22"/>
              </w:rPr>
              <w:t>0.01371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vAlign w:val="center"/>
          </w:tcPr>
          <w:p>
            <w:pPr>
              <w:pStyle w:val="63"/>
            </w:pPr>
          </w:p>
        </w:tc>
        <w:tc>
          <w:tcPr>
            <w:tcW w:w="1068" w:type="dxa"/>
            <w:vMerge w:val="continue"/>
            <w:vAlign w:val="center"/>
          </w:tcPr>
          <w:p>
            <w:pPr>
              <w:pStyle w:val="63"/>
            </w:pPr>
          </w:p>
        </w:tc>
        <w:tc>
          <w:tcPr>
            <w:tcW w:w="1701" w:type="dxa"/>
            <w:vAlign w:val="center"/>
          </w:tcPr>
          <w:p>
            <w:pPr>
              <w:jc w:val="center"/>
              <w:rPr>
                <w:rFonts w:ascii="Times New Roman" w:hAnsi="Times New Roman" w:cs="Times New Roman"/>
                <w:sz w:val="21"/>
              </w:rPr>
            </w:pPr>
            <w:r>
              <w:rPr>
                <w:rFonts w:ascii="Times New Roman" w:hAnsi="Times New Roman" w:cs="Times New Roman"/>
                <w:sz w:val="21"/>
              </w:rPr>
              <w:t>非甲烷总烃</w:t>
            </w:r>
          </w:p>
        </w:tc>
        <w:tc>
          <w:tcPr>
            <w:tcW w:w="1560" w:type="dxa"/>
            <w:vAlign w:val="center"/>
          </w:tcPr>
          <w:p>
            <w:pPr>
              <w:jc w:val="center"/>
              <w:rPr>
                <w:rFonts w:ascii="Times New Roman" w:hAnsi="Times New Roman" w:cs="Times New Roman"/>
                <w:sz w:val="21"/>
              </w:rPr>
            </w:pPr>
            <w:r>
              <w:rPr>
                <w:rFonts w:ascii="Times New Roman" w:hAnsi="Times New Roman" w:cs="Times New Roman"/>
                <w:sz w:val="21"/>
                <w:szCs w:val="21"/>
              </w:rPr>
              <w:t>32.8844</w:t>
            </w:r>
          </w:p>
        </w:tc>
        <w:tc>
          <w:tcPr>
            <w:tcW w:w="1636" w:type="dxa"/>
            <w:vAlign w:val="center"/>
          </w:tcPr>
          <w:p>
            <w:pPr>
              <w:jc w:val="center"/>
              <w:rPr>
                <w:rFonts w:ascii="Times New Roman" w:hAnsi="Times New Roman" w:cs="Times New Roman"/>
                <w:sz w:val="21"/>
              </w:rPr>
            </w:pPr>
            <w:r>
              <w:rPr>
                <w:rFonts w:ascii="Times New Roman" w:hAnsi="Times New Roman" w:cs="Times New Roman"/>
                <w:sz w:val="21"/>
                <w:szCs w:val="21"/>
              </w:rPr>
              <w:t>1.4798</w:t>
            </w:r>
          </w:p>
        </w:tc>
        <w:tc>
          <w:tcPr>
            <w:tcW w:w="1822" w:type="dxa"/>
            <w:vAlign w:val="center"/>
          </w:tcPr>
          <w:p>
            <w:pPr>
              <w:jc w:val="center"/>
              <w:rPr>
                <w:rFonts w:ascii="Times New Roman" w:hAnsi="Times New Roman" w:cs="Times New Roman"/>
                <w:sz w:val="21"/>
              </w:rPr>
            </w:pPr>
            <w:r>
              <w:rPr>
                <w:rFonts w:ascii="Times New Roman" w:hAnsi="Times New Roman" w:cs="Times New Roman"/>
                <w:sz w:val="21"/>
                <w:szCs w:val="21"/>
              </w:rPr>
              <w:t>11.72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vAlign w:val="center"/>
          </w:tcPr>
          <w:p>
            <w:pPr>
              <w:pStyle w:val="63"/>
            </w:pPr>
          </w:p>
        </w:tc>
        <w:tc>
          <w:tcPr>
            <w:tcW w:w="1068" w:type="dxa"/>
            <w:vMerge w:val="continue"/>
            <w:vAlign w:val="center"/>
          </w:tcPr>
          <w:p>
            <w:pPr>
              <w:pStyle w:val="63"/>
            </w:pPr>
          </w:p>
        </w:tc>
        <w:tc>
          <w:tcPr>
            <w:tcW w:w="1701" w:type="dxa"/>
            <w:vAlign w:val="center"/>
          </w:tcPr>
          <w:p>
            <w:pPr>
              <w:jc w:val="center"/>
              <w:rPr>
                <w:rFonts w:ascii="Times New Roman" w:hAnsi="Times New Roman" w:cs="Times New Roman"/>
                <w:sz w:val="21"/>
              </w:rPr>
            </w:pPr>
            <w:r>
              <w:rPr>
                <w:rFonts w:ascii="Times New Roman" w:hAnsi="Times New Roman" w:cs="Times New Roman"/>
                <w:sz w:val="21"/>
              </w:rPr>
              <w:t>氟化物</w:t>
            </w:r>
          </w:p>
        </w:tc>
        <w:tc>
          <w:tcPr>
            <w:tcW w:w="1560" w:type="dxa"/>
            <w:vAlign w:val="center"/>
          </w:tcPr>
          <w:p>
            <w:pPr>
              <w:jc w:val="center"/>
              <w:rPr>
                <w:rFonts w:ascii="Times New Roman" w:hAnsi="Times New Roman" w:cs="Times New Roman"/>
                <w:sz w:val="21"/>
              </w:rPr>
            </w:pPr>
            <w:r>
              <w:rPr>
                <w:rFonts w:ascii="Times New Roman" w:hAnsi="Times New Roman" w:cs="Times New Roman"/>
                <w:sz w:val="21"/>
                <w:szCs w:val="21"/>
              </w:rPr>
              <w:t>3.30222</w:t>
            </w:r>
          </w:p>
        </w:tc>
        <w:tc>
          <w:tcPr>
            <w:tcW w:w="1636" w:type="dxa"/>
            <w:vAlign w:val="center"/>
          </w:tcPr>
          <w:p>
            <w:pPr>
              <w:jc w:val="center"/>
              <w:rPr>
                <w:rFonts w:ascii="Times New Roman" w:hAnsi="Times New Roman" w:cs="Times New Roman"/>
                <w:sz w:val="21"/>
              </w:rPr>
            </w:pPr>
            <w:r>
              <w:rPr>
                <w:rFonts w:ascii="Times New Roman" w:hAnsi="Times New Roman" w:cs="Times New Roman"/>
                <w:sz w:val="21"/>
                <w:szCs w:val="21"/>
              </w:rPr>
              <w:t>0.1486</w:t>
            </w:r>
          </w:p>
        </w:tc>
        <w:tc>
          <w:tcPr>
            <w:tcW w:w="1822" w:type="dxa"/>
            <w:vAlign w:val="center"/>
          </w:tcPr>
          <w:p>
            <w:pPr>
              <w:jc w:val="center"/>
              <w:rPr>
                <w:rFonts w:ascii="Times New Roman" w:hAnsi="Times New Roman" w:cs="Times New Roman"/>
                <w:sz w:val="21"/>
              </w:rPr>
            </w:pPr>
            <w:r>
              <w:rPr>
                <w:rFonts w:ascii="Times New Roman" w:hAnsi="Times New Roman" w:cs="Times New Roman"/>
                <w:sz w:val="21"/>
                <w:szCs w:val="21"/>
              </w:rPr>
              <w:t>1.07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vAlign w:val="center"/>
          </w:tcPr>
          <w:p>
            <w:pPr>
              <w:pStyle w:val="63"/>
            </w:pPr>
          </w:p>
        </w:tc>
        <w:tc>
          <w:tcPr>
            <w:tcW w:w="1068" w:type="dxa"/>
            <w:vMerge w:val="continue"/>
            <w:vAlign w:val="center"/>
          </w:tcPr>
          <w:p>
            <w:pPr>
              <w:pStyle w:val="63"/>
            </w:pPr>
          </w:p>
        </w:tc>
        <w:tc>
          <w:tcPr>
            <w:tcW w:w="1701" w:type="dxa"/>
            <w:vAlign w:val="center"/>
          </w:tcPr>
          <w:p>
            <w:pPr>
              <w:jc w:val="center"/>
              <w:rPr>
                <w:rFonts w:ascii="Times New Roman" w:hAnsi="Times New Roman" w:cs="Times New Roman"/>
                <w:sz w:val="21"/>
              </w:rPr>
            </w:pPr>
            <w:r>
              <w:rPr>
                <w:rFonts w:ascii="Times New Roman" w:hAnsi="Times New Roman" w:cs="Times New Roman"/>
                <w:sz w:val="21"/>
              </w:rPr>
              <w:t>镍及其化合物</w:t>
            </w:r>
          </w:p>
        </w:tc>
        <w:tc>
          <w:tcPr>
            <w:tcW w:w="1560" w:type="dxa"/>
            <w:vAlign w:val="center"/>
          </w:tcPr>
          <w:p>
            <w:pPr>
              <w:jc w:val="center"/>
              <w:rPr>
                <w:rFonts w:ascii="Times New Roman" w:hAnsi="Times New Roman" w:cs="Times New Roman"/>
                <w:sz w:val="21"/>
              </w:rPr>
            </w:pPr>
            <w:r>
              <w:rPr>
                <w:rFonts w:ascii="Times New Roman" w:hAnsi="Times New Roman" w:cs="Times New Roman"/>
                <w:sz w:val="21"/>
                <w:szCs w:val="21"/>
              </w:rPr>
              <w:t>0.00089</w:t>
            </w:r>
          </w:p>
        </w:tc>
        <w:tc>
          <w:tcPr>
            <w:tcW w:w="1636" w:type="dxa"/>
            <w:vAlign w:val="center"/>
          </w:tcPr>
          <w:p>
            <w:pPr>
              <w:jc w:val="center"/>
              <w:rPr>
                <w:rFonts w:ascii="Times New Roman" w:hAnsi="Times New Roman" w:cs="Times New Roman"/>
                <w:sz w:val="21"/>
              </w:rPr>
            </w:pPr>
            <w:r>
              <w:rPr>
                <w:rFonts w:ascii="Times New Roman" w:hAnsi="Times New Roman" w:cs="Times New Roman"/>
                <w:sz w:val="21"/>
                <w:szCs w:val="21"/>
              </w:rPr>
              <w:t>0.00004</w:t>
            </w:r>
          </w:p>
        </w:tc>
        <w:tc>
          <w:tcPr>
            <w:tcW w:w="1822" w:type="dxa"/>
            <w:vAlign w:val="center"/>
          </w:tcPr>
          <w:p>
            <w:pPr>
              <w:jc w:val="center"/>
              <w:rPr>
                <w:rFonts w:ascii="Times New Roman" w:hAnsi="Times New Roman" w:cs="Times New Roman"/>
                <w:sz w:val="21"/>
              </w:rPr>
            </w:pPr>
            <w:r>
              <w:rPr>
                <w:rFonts w:ascii="Times New Roman" w:hAnsi="Times New Roman" w:cs="Times New Roman"/>
                <w:sz w:val="21"/>
                <w:szCs w:val="21"/>
              </w:rPr>
              <w:t>0.324kg/a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vAlign w:val="center"/>
          </w:tcPr>
          <w:p>
            <w:pPr>
              <w:pStyle w:val="63"/>
            </w:pPr>
          </w:p>
        </w:tc>
        <w:tc>
          <w:tcPr>
            <w:tcW w:w="1068" w:type="dxa"/>
            <w:vMerge w:val="continue"/>
            <w:vAlign w:val="center"/>
          </w:tcPr>
          <w:p>
            <w:pPr>
              <w:pStyle w:val="63"/>
            </w:pPr>
          </w:p>
        </w:tc>
        <w:tc>
          <w:tcPr>
            <w:tcW w:w="1701" w:type="dxa"/>
            <w:vAlign w:val="center"/>
          </w:tcPr>
          <w:p>
            <w:pPr>
              <w:jc w:val="center"/>
              <w:rPr>
                <w:rFonts w:ascii="Times New Roman" w:hAnsi="Times New Roman" w:cs="Times New Roman"/>
                <w:sz w:val="21"/>
              </w:rPr>
            </w:pPr>
            <w:r>
              <w:rPr>
                <w:rFonts w:ascii="Times New Roman" w:hAnsi="Times New Roman" w:cs="Times New Roman"/>
                <w:sz w:val="21"/>
              </w:rPr>
              <w:t>钴及其化合物</w:t>
            </w:r>
          </w:p>
        </w:tc>
        <w:tc>
          <w:tcPr>
            <w:tcW w:w="1560" w:type="dxa"/>
            <w:vAlign w:val="center"/>
          </w:tcPr>
          <w:p>
            <w:pPr>
              <w:jc w:val="center"/>
              <w:rPr>
                <w:rFonts w:ascii="Times New Roman" w:hAnsi="Times New Roman" w:cs="Times New Roman"/>
                <w:sz w:val="21"/>
              </w:rPr>
            </w:pPr>
            <w:r>
              <w:rPr>
                <w:rFonts w:ascii="Times New Roman" w:hAnsi="Times New Roman" w:cs="Times New Roman"/>
                <w:sz w:val="21"/>
                <w:szCs w:val="21"/>
              </w:rPr>
              <w:t>0.00036</w:t>
            </w:r>
          </w:p>
        </w:tc>
        <w:tc>
          <w:tcPr>
            <w:tcW w:w="1636" w:type="dxa"/>
            <w:vAlign w:val="center"/>
          </w:tcPr>
          <w:p>
            <w:pPr>
              <w:jc w:val="center"/>
              <w:rPr>
                <w:rFonts w:ascii="Times New Roman" w:hAnsi="Times New Roman" w:cs="Times New Roman"/>
                <w:sz w:val="21"/>
              </w:rPr>
            </w:pPr>
            <w:r>
              <w:rPr>
                <w:rFonts w:ascii="Times New Roman" w:hAnsi="Times New Roman" w:cs="Times New Roman"/>
                <w:sz w:val="21"/>
                <w:szCs w:val="21"/>
              </w:rPr>
              <w:t>0.000016</w:t>
            </w:r>
          </w:p>
        </w:tc>
        <w:tc>
          <w:tcPr>
            <w:tcW w:w="1822" w:type="dxa"/>
            <w:vAlign w:val="center"/>
          </w:tcPr>
          <w:p>
            <w:pPr>
              <w:jc w:val="center"/>
              <w:rPr>
                <w:rFonts w:ascii="Times New Roman" w:hAnsi="Times New Roman" w:cs="Times New Roman"/>
                <w:sz w:val="21"/>
              </w:rPr>
            </w:pPr>
            <w:r>
              <w:rPr>
                <w:rFonts w:ascii="Times New Roman" w:hAnsi="Times New Roman" w:cs="Times New Roman"/>
                <w:sz w:val="21"/>
                <w:szCs w:val="21"/>
              </w:rPr>
              <w:t>0.128kg/a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vAlign w:val="center"/>
          </w:tcPr>
          <w:p>
            <w:pPr>
              <w:pStyle w:val="63"/>
            </w:pPr>
          </w:p>
        </w:tc>
        <w:tc>
          <w:tcPr>
            <w:tcW w:w="1068" w:type="dxa"/>
            <w:vMerge w:val="continue"/>
            <w:vAlign w:val="center"/>
          </w:tcPr>
          <w:p>
            <w:pPr>
              <w:pStyle w:val="63"/>
            </w:pPr>
          </w:p>
        </w:tc>
        <w:tc>
          <w:tcPr>
            <w:tcW w:w="1701" w:type="dxa"/>
            <w:vAlign w:val="center"/>
          </w:tcPr>
          <w:p>
            <w:pPr>
              <w:jc w:val="center"/>
              <w:rPr>
                <w:rFonts w:ascii="Times New Roman" w:hAnsi="Times New Roman" w:cs="Times New Roman"/>
                <w:sz w:val="21"/>
              </w:rPr>
            </w:pPr>
            <w:r>
              <w:rPr>
                <w:rFonts w:ascii="Times New Roman" w:hAnsi="Times New Roman" w:cs="Times New Roman"/>
                <w:sz w:val="21"/>
              </w:rPr>
              <w:t>锰及其化合物</w:t>
            </w:r>
          </w:p>
        </w:tc>
        <w:tc>
          <w:tcPr>
            <w:tcW w:w="1560" w:type="dxa"/>
            <w:vAlign w:val="center"/>
          </w:tcPr>
          <w:p>
            <w:pPr>
              <w:jc w:val="center"/>
              <w:rPr>
                <w:rFonts w:ascii="Times New Roman" w:hAnsi="Times New Roman" w:cs="Times New Roman"/>
                <w:sz w:val="21"/>
              </w:rPr>
            </w:pPr>
            <w:r>
              <w:rPr>
                <w:rFonts w:ascii="Times New Roman" w:hAnsi="Times New Roman" w:cs="Times New Roman"/>
                <w:sz w:val="21"/>
                <w:szCs w:val="21"/>
              </w:rPr>
              <w:t>0.00056</w:t>
            </w:r>
          </w:p>
        </w:tc>
        <w:tc>
          <w:tcPr>
            <w:tcW w:w="1636" w:type="dxa"/>
            <w:vAlign w:val="center"/>
          </w:tcPr>
          <w:p>
            <w:pPr>
              <w:jc w:val="center"/>
              <w:rPr>
                <w:rFonts w:ascii="Times New Roman" w:hAnsi="Times New Roman" w:cs="Times New Roman"/>
                <w:sz w:val="21"/>
              </w:rPr>
            </w:pPr>
            <w:r>
              <w:rPr>
                <w:rFonts w:ascii="Times New Roman" w:hAnsi="Times New Roman" w:cs="Times New Roman"/>
                <w:sz w:val="21"/>
                <w:szCs w:val="21"/>
              </w:rPr>
              <w:t>0.000025</w:t>
            </w:r>
          </w:p>
        </w:tc>
        <w:tc>
          <w:tcPr>
            <w:tcW w:w="1822" w:type="dxa"/>
            <w:vAlign w:val="center"/>
          </w:tcPr>
          <w:p>
            <w:pPr>
              <w:jc w:val="center"/>
              <w:rPr>
                <w:rFonts w:ascii="Times New Roman" w:hAnsi="Times New Roman" w:cs="Times New Roman"/>
                <w:sz w:val="21"/>
              </w:rPr>
            </w:pPr>
            <w:r>
              <w:rPr>
                <w:rFonts w:ascii="Times New Roman" w:hAnsi="Times New Roman" w:cs="Times New Roman"/>
                <w:sz w:val="21"/>
                <w:szCs w:val="21"/>
              </w:rPr>
              <w:t>0.196kg/a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vAlign w:val="center"/>
          </w:tcPr>
          <w:p>
            <w:pPr>
              <w:pStyle w:val="63"/>
            </w:pPr>
          </w:p>
        </w:tc>
        <w:tc>
          <w:tcPr>
            <w:tcW w:w="1068" w:type="dxa"/>
            <w:vMerge w:val="continue"/>
            <w:vAlign w:val="center"/>
          </w:tcPr>
          <w:p>
            <w:pPr>
              <w:pStyle w:val="63"/>
            </w:pPr>
          </w:p>
        </w:tc>
        <w:tc>
          <w:tcPr>
            <w:tcW w:w="1701" w:type="dxa"/>
            <w:vAlign w:val="center"/>
          </w:tcPr>
          <w:p>
            <w:pPr>
              <w:jc w:val="center"/>
              <w:rPr>
                <w:rFonts w:ascii="Times New Roman" w:hAnsi="Times New Roman" w:cs="Times New Roman"/>
                <w:sz w:val="21"/>
              </w:rPr>
            </w:pPr>
            <w:r>
              <w:rPr>
                <w:rFonts w:ascii="Times New Roman" w:hAnsi="Times New Roman" w:cs="Times New Roman"/>
                <w:sz w:val="21"/>
              </w:rPr>
              <w:t>SO2</w:t>
            </w:r>
          </w:p>
        </w:tc>
        <w:tc>
          <w:tcPr>
            <w:tcW w:w="1560" w:type="dxa"/>
            <w:vAlign w:val="center"/>
          </w:tcPr>
          <w:p>
            <w:pPr>
              <w:jc w:val="center"/>
              <w:rPr>
                <w:rFonts w:ascii="Times New Roman" w:hAnsi="Times New Roman" w:cs="Times New Roman"/>
                <w:sz w:val="21"/>
              </w:rPr>
            </w:pPr>
            <w:r>
              <w:rPr>
                <w:rFonts w:ascii="Times New Roman" w:hAnsi="Times New Roman" w:cs="Times New Roman"/>
                <w:sz w:val="21"/>
                <w:szCs w:val="21"/>
              </w:rPr>
              <w:t>0.00889</w:t>
            </w:r>
          </w:p>
        </w:tc>
        <w:tc>
          <w:tcPr>
            <w:tcW w:w="1636" w:type="dxa"/>
            <w:vAlign w:val="center"/>
          </w:tcPr>
          <w:p>
            <w:pPr>
              <w:jc w:val="center"/>
              <w:rPr>
                <w:rFonts w:ascii="Times New Roman" w:hAnsi="Times New Roman" w:cs="Times New Roman"/>
                <w:sz w:val="21"/>
              </w:rPr>
            </w:pPr>
            <w:r>
              <w:rPr>
                <w:rFonts w:ascii="Times New Roman" w:hAnsi="Times New Roman" w:cs="Times New Roman"/>
                <w:sz w:val="22"/>
              </w:rPr>
              <w:t>0.0004</w:t>
            </w:r>
          </w:p>
        </w:tc>
        <w:tc>
          <w:tcPr>
            <w:tcW w:w="1822" w:type="dxa"/>
            <w:vAlign w:val="center"/>
          </w:tcPr>
          <w:p>
            <w:pPr>
              <w:jc w:val="center"/>
              <w:rPr>
                <w:rFonts w:ascii="Times New Roman" w:hAnsi="Times New Roman" w:cs="Times New Roman"/>
                <w:sz w:val="21"/>
              </w:rPr>
            </w:pPr>
            <w:r>
              <w:rPr>
                <w:rFonts w:ascii="Times New Roman" w:hAnsi="Times New Roman" w:cs="Times New Roman"/>
                <w:sz w:val="22"/>
              </w:rPr>
              <w:t>0.0026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vAlign w:val="center"/>
          </w:tcPr>
          <w:p>
            <w:pPr>
              <w:pStyle w:val="63"/>
            </w:pPr>
          </w:p>
        </w:tc>
        <w:tc>
          <w:tcPr>
            <w:tcW w:w="1068" w:type="dxa"/>
            <w:vMerge w:val="continue"/>
            <w:vAlign w:val="center"/>
          </w:tcPr>
          <w:p>
            <w:pPr>
              <w:pStyle w:val="63"/>
            </w:pPr>
          </w:p>
        </w:tc>
        <w:tc>
          <w:tcPr>
            <w:tcW w:w="1701" w:type="dxa"/>
            <w:vAlign w:val="center"/>
          </w:tcPr>
          <w:p>
            <w:pPr>
              <w:jc w:val="center"/>
              <w:rPr>
                <w:rFonts w:ascii="Times New Roman" w:hAnsi="Times New Roman" w:cs="Times New Roman"/>
                <w:sz w:val="21"/>
              </w:rPr>
            </w:pPr>
            <w:r>
              <w:rPr>
                <w:rFonts w:ascii="Times New Roman" w:hAnsi="Times New Roman" w:cs="Times New Roman"/>
                <w:sz w:val="21"/>
              </w:rPr>
              <w:t>NOx</w:t>
            </w:r>
          </w:p>
        </w:tc>
        <w:tc>
          <w:tcPr>
            <w:tcW w:w="1560" w:type="dxa"/>
            <w:vAlign w:val="center"/>
          </w:tcPr>
          <w:p>
            <w:pPr>
              <w:jc w:val="center"/>
              <w:rPr>
                <w:rFonts w:ascii="Times New Roman" w:hAnsi="Times New Roman" w:cs="Times New Roman"/>
                <w:sz w:val="21"/>
              </w:rPr>
            </w:pPr>
            <w:r>
              <w:rPr>
                <w:rFonts w:ascii="Times New Roman" w:hAnsi="Times New Roman" w:cs="Times New Roman"/>
                <w:sz w:val="21"/>
                <w:szCs w:val="21"/>
              </w:rPr>
              <w:t>1.66667</w:t>
            </w:r>
          </w:p>
        </w:tc>
        <w:tc>
          <w:tcPr>
            <w:tcW w:w="1636" w:type="dxa"/>
            <w:vAlign w:val="center"/>
          </w:tcPr>
          <w:p>
            <w:pPr>
              <w:jc w:val="center"/>
              <w:rPr>
                <w:rFonts w:ascii="Times New Roman" w:hAnsi="Times New Roman" w:cs="Times New Roman"/>
                <w:sz w:val="21"/>
              </w:rPr>
            </w:pPr>
            <w:r>
              <w:rPr>
                <w:rFonts w:ascii="Times New Roman" w:hAnsi="Times New Roman" w:cs="Times New Roman"/>
                <w:sz w:val="22"/>
              </w:rPr>
              <w:t>0.075</w:t>
            </w:r>
          </w:p>
        </w:tc>
        <w:tc>
          <w:tcPr>
            <w:tcW w:w="1822" w:type="dxa"/>
            <w:vAlign w:val="center"/>
          </w:tcPr>
          <w:p>
            <w:pPr>
              <w:jc w:val="center"/>
              <w:rPr>
                <w:rFonts w:ascii="Times New Roman" w:hAnsi="Times New Roman" w:cs="Times New Roman"/>
                <w:sz w:val="21"/>
              </w:rPr>
            </w:pPr>
            <w:r>
              <w:rPr>
                <w:rFonts w:ascii="Times New Roman" w:hAnsi="Times New Roman" w:cs="Times New Roman"/>
                <w:sz w:val="22"/>
              </w:rPr>
              <w:t>0.593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Align w:val="center"/>
          </w:tcPr>
          <w:p>
            <w:pPr>
              <w:pStyle w:val="63"/>
            </w:pPr>
            <w:r>
              <w:rPr>
                <w:rFonts w:hint="eastAsia"/>
              </w:rPr>
              <w:t>2</w:t>
            </w:r>
          </w:p>
        </w:tc>
        <w:tc>
          <w:tcPr>
            <w:tcW w:w="1068" w:type="dxa"/>
            <w:vAlign w:val="center"/>
          </w:tcPr>
          <w:p>
            <w:pPr>
              <w:jc w:val="center"/>
              <w:rPr>
                <w:rFonts w:ascii="Times New Roman" w:hAnsi="Times New Roman" w:cs="Times New Roman"/>
                <w:sz w:val="21"/>
              </w:rPr>
            </w:pPr>
            <w:r>
              <w:rPr>
                <w:rFonts w:ascii="Times New Roman" w:hAnsi="Times New Roman" w:cs="Times New Roman"/>
                <w:sz w:val="21"/>
              </w:rPr>
              <w:t>P2浸出车间</w:t>
            </w:r>
          </w:p>
        </w:tc>
        <w:tc>
          <w:tcPr>
            <w:tcW w:w="1701" w:type="dxa"/>
            <w:vAlign w:val="center"/>
          </w:tcPr>
          <w:p>
            <w:pPr>
              <w:pStyle w:val="63"/>
            </w:pPr>
            <w:r>
              <w:t>硫酸雾</w:t>
            </w:r>
          </w:p>
        </w:tc>
        <w:tc>
          <w:tcPr>
            <w:tcW w:w="1560" w:type="dxa"/>
            <w:vAlign w:val="center"/>
          </w:tcPr>
          <w:p>
            <w:pPr>
              <w:jc w:val="center"/>
              <w:rPr>
                <w:rFonts w:ascii="Times New Roman" w:hAnsi="Times New Roman" w:cs="Times New Roman"/>
                <w:sz w:val="21"/>
              </w:rPr>
            </w:pPr>
            <w:r>
              <w:rPr>
                <w:rFonts w:ascii="Times New Roman" w:hAnsi="Times New Roman" w:cs="Times New Roman"/>
                <w:sz w:val="21"/>
              </w:rPr>
              <w:t>13.38</w:t>
            </w:r>
          </w:p>
        </w:tc>
        <w:tc>
          <w:tcPr>
            <w:tcW w:w="1636" w:type="dxa"/>
            <w:vAlign w:val="center"/>
          </w:tcPr>
          <w:p>
            <w:pPr>
              <w:jc w:val="center"/>
              <w:rPr>
                <w:rFonts w:ascii="Times New Roman" w:hAnsi="Times New Roman" w:cs="Times New Roman"/>
                <w:sz w:val="21"/>
              </w:rPr>
            </w:pPr>
            <w:r>
              <w:rPr>
                <w:rFonts w:ascii="Times New Roman" w:hAnsi="Times New Roman" w:cs="Times New Roman"/>
                <w:sz w:val="21"/>
              </w:rPr>
              <w:t>0.402</w:t>
            </w:r>
          </w:p>
        </w:tc>
        <w:tc>
          <w:tcPr>
            <w:tcW w:w="1822" w:type="dxa"/>
            <w:vAlign w:val="center"/>
          </w:tcPr>
          <w:p>
            <w:pPr>
              <w:jc w:val="center"/>
              <w:rPr>
                <w:rFonts w:ascii="Times New Roman" w:hAnsi="Times New Roman" w:cs="Times New Roman"/>
                <w:sz w:val="21"/>
              </w:rPr>
            </w:pPr>
            <w:r>
              <w:rPr>
                <w:rFonts w:ascii="Times New Roman" w:hAnsi="Times New Roman" w:cs="Times New Roman"/>
                <w:sz w:val="21"/>
              </w:rPr>
              <w:t>3.180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restart"/>
            <w:vAlign w:val="center"/>
          </w:tcPr>
          <w:p>
            <w:pPr>
              <w:pStyle w:val="63"/>
            </w:pPr>
            <w:r>
              <w:t>3</w:t>
            </w:r>
          </w:p>
        </w:tc>
        <w:tc>
          <w:tcPr>
            <w:tcW w:w="1068" w:type="dxa"/>
            <w:vMerge w:val="restart"/>
            <w:vAlign w:val="center"/>
          </w:tcPr>
          <w:p>
            <w:pPr>
              <w:pStyle w:val="63"/>
            </w:pPr>
            <w:r>
              <w:rPr>
                <w:rFonts w:hint="eastAsia"/>
              </w:rPr>
              <w:t>P3萃取车间</w:t>
            </w:r>
          </w:p>
        </w:tc>
        <w:tc>
          <w:tcPr>
            <w:tcW w:w="1701" w:type="dxa"/>
            <w:vAlign w:val="center"/>
          </w:tcPr>
          <w:p>
            <w:pPr>
              <w:pStyle w:val="63"/>
            </w:pPr>
            <w:r>
              <w:t>非甲烷总烃</w:t>
            </w:r>
          </w:p>
        </w:tc>
        <w:tc>
          <w:tcPr>
            <w:tcW w:w="1560" w:type="dxa"/>
            <w:vAlign w:val="center"/>
          </w:tcPr>
          <w:p>
            <w:pPr>
              <w:jc w:val="center"/>
              <w:rPr>
                <w:rFonts w:ascii="Times New Roman" w:hAnsi="Times New Roman" w:cs="Times New Roman"/>
                <w:sz w:val="21"/>
              </w:rPr>
            </w:pPr>
            <w:r>
              <w:rPr>
                <w:rFonts w:ascii="Times New Roman" w:hAnsi="Times New Roman" w:cs="Times New Roman"/>
                <w:sz w:val="21"/>
              </w:rPr>
              <w:t>15.75</w:t>
            </w:r>
          </w:p>
        </w:tc>
        <w:tc>
          <w:tcPr>
            <w:tcW w:w="1636" w:type="dxa"/>
            <w:vAlign w:val="center"/>
          </w:tcPr>
          <w:p>
            <w:pPr>
              <w:jc w:val="center"/>
              <w:rPr>
                <w:rFonts w:ascii="Times New Roman" w:hAnsi="Times New Roman" w:cs="Times New Roman"/>
                <w:sz w:val="21"/>
              </w:rPr>
            </w:pPr>
            <w:r>
              <w:rPr>
                <w:rFonts w:ascii="Times New Roman" w:hAnsi="Times New Roman" w:cs="Times New Roman"/>
                <w:sz w:val="21"/>
              </w:rPr>
              <w:t>0.315</w:t>
            </w:r>
          </w:p>
        </w:tc>
        <w:tc>
          <w:tcPr>
            <w:tcW w:w="1822" w:type="dxa"/>
            <w:vAlign w:val="center"/>
          </w:tcPr>
          <w:p>
            <w:pPr>
              <w:jc w:val="center"/>
              <w:rPr>
                <w:rFonts w:ascii="Times New Roman" w:hAnsi="Times New Roman" w:cs="Times New Roman"/>
                <w:sz w:val="21"/>
              </w:rPr>
            </w:pPr>
            <w:r>
              <w:rPr>
                <w:rFonts w:ascii="Times New Roman" w:hAnsi="Times New Roman" w:cs="Times New Roman"/>
                <w:sz w:val="21"/>
              </w:rPr>
              <w:t>2.268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vAlign w:val="center"/>
          </w:tcPr>
          <w:p>
            <w:pPr>
              <w:pStyle w:val="63"/>
            </w:pPr>
          </w:p>
        </w:tc>
        <w:tc>
          <w:tcPr>
            <w:tcW w:w="1068" w:type="dxa"/>
            <w:vMerge w:val="continue"/>
            <w:vAlign w:val="center"/>
          </w:tcPr>
          <w:p>
            <w:pPr>
              <w:pStyle w:val="63"/>
            </w:pPr>
          </w:p>
        </w:tc>
        <w:tc>
          <w:tcPr>
            <w:tcW w:w="1701" w:type="dxa"/>
            <w:vAlign w:val="center"/>
          </w:tcPr>
          <w:p>
            <w:pPr>
              <w:pStyle w:val="63"/>
            </w:pPr>
            <w:r>
              <w:t>硫酸雾</w:t>
            </w:r>
          </w:p>
        </w:tc>
        <w:tc>
          <w:tcPr>
            <w:tcW w:w="1560" w:type="dxa"/>
            <w:vAlign w:val="center"/>
          </w:tcPr>
          <w:p>
            <w:pPr>
              <w:jc w:val="center"/>
              <w:rPr>
                <w:rFonts w:ascii="Times New Roman" w:hAnsi="Times New Roman" w:cs="Times New Roman"/>
                <w:sz w:val="21"/>
              </w:rPr>
            </w:pPr>
            <w:r>
              <w:rPr>
                <w:rFonts w:ascii="Times New Roman" w:hAnsi="Times New Roman" w:cs="Times New Roman"/>
                <w:sz w:val="21"/>
              </w:rPr>
              <w:t>2.40</w:t>
            </w:r>
          </w:p>
        </w:tc>
        <w:tc>
          <w:tcPr>
            <w:tcW w:w="1636" w:type="dxa"/>
            <w:vAlign w:val="center"/>
          </w:tcPr>
          <w:p>
            <w:pPr>
              <w:jc w:val="center"/>
              <w:rPr>
                <w:rFonts w:ascii="Times New Roman" w:hAnsi="Times New Roman" w:cs="Times New Roman"/>
                <w:sz w:val="21"/>
              </w:rPr>
            </w:pPr>
            <w:r>
              <w:rPr>
                <w:rFonts w:ascii="Times New Roman" w:hAnsi="Times New Roman" w:cs="Times New Roman"/>
                <w:sz w:val="21"/>
              </w:rPr>
              <w:t>0.048</w:t>
            </w:r>
          </w:p>
        </w:tc>
        <w:tc>
          <w:tcPr>
            <w:tcW w:w="1822" w:type="dxa"/>
            <w:vAlign w:val="center"/>
          </w:tcPr>
          <w:p>
            <w:pPr>
              <w:jc w:val="center"/>
              <w:rPr>
                <w:rFonts w:ascii="Times New Roman" w:hAnsi="Times New Roman" w:cs="Times New Roman"/>
                <w:sz w:val="21"/>
              </w:rPr>
            </w:pPr>
            <w:r>
              <w:rPr>
                <w:rFonts w:ascii="Times New Roman" w:hAnsi="Times New Roman" w:cs="Times New Roman"/>
                <w:sz w:val="21"/>
              </w:rPr>
              <w:t>0.3450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restart"/>
            <w:vAlign w:val="center"/>
          </w:tcPr>
          <w:p>
            <w:pPr>
              <w:pStyle w:val="63"/>
            </w:pPr>
            <w:r>
              <w:rPr>
                <w:rFonts w:hint="eastAsia"/>
              </w:rPr>
              <w:t>4</w:t>
            </w:r>
          </w:p>
        </w:tc>
        <w:tc>
          <w:tcPr>
            <w:tcW w:w="1068" w:type="dxa"/>
            <w:vMerge w:val="restart"/>
            <w:vAlign w:val="center"/>
          </w:tcPr>
          <w:p>
            <w:pPr>
              <w:pStyle w:val="63"/>
            </w:pPr>
            <w:r>
              <w:t>P</w:t>
            </w:r>
            <w:r>
              <w:rPr>
                <w:rFonts w:hint="eastAsia"/>
              </w:rPr>
              <w:t>4</w:t>
            </w:r>
            <w:r>
              <w:t>锅炉</w:t>
            </w:r>
          </w:p>
        </w:tc>
        <w:tc>
          <w:tcPr>
            <w:tcW w:w="1701" w:type="dxa"/>
            <w:vAlign w:val="center"/>
          </w:tcPr>
          <w:p>
            <w:pPr>
              <w:pStyle w:val="63"/>
            </w:pPr>
            <w:r>
              <w:t>颗粒物</w:t>
            </w:r>
          </w:p>
        </w:tc>
        <w:tc>
          <w:tcPr>
            <w:tcW w:w="1560" w:type="dxa"/>
            <w:vAlign w:val="center"/>
          </w:tcPr>
          <w:p>
            <w:pPr>
              <w:jc w:val="center"/>
              <w:rPr>
                <w:rFonts w:ascii="Times New Roman" w:hAnsi="Times New Roman" w:cs="Times New Roman"/>
                <w:sz w:val="21"/>
              </w:rPr>
            </w:pPr>
            <w:r>
              <w:rPr>
                <w:rFonts w:ascii="Times New Roman" w:hAnsi="Times New Roman" w:cs="Times New Roman"/>
                <w:sz w:val="21"/>
                <w:szCs w:val="21"/>
              </w:rPr>
              <w:t>3.4</w:t>
            </w:r>
          </w:p>
        </w:tc>
        <w:tc>
          <w:tcPr>
            <w:tcW w:w="1636" w:type="dxa"/>
            <w:vAlign w:val="center"/>
          </w:tcPr>
          <w:p>
            <w:pPr>
              <w:jc w:val="center"/>
              <w:rPr>
                <w:rFonts w:ascii="Times New Roman" w:hAnsi="Times New Roman" w:cs="Times New Roman"/>
                <w:sz w:val="21"/>
              </w:rPr>
            </w:pPr>
            <w:r>
              <w:rPr>
                <w:rFonts w:ascii="Times New Roman" w:hAnsi="Times New Roman" w:cs="Times New Roman"/>
                <w:sz w:val="21"/>
                <w:szCs w:val="21"/>
              </w:rPr>
              <w:t>0.07</w:t>
            </w:r>
          </w:p>
        </w:tc>
        <w:tc>
          <w:tcPr>
            <w:tcW w:w="1822" w:type="dxa"/>
            <w:vAlign w:val="center"/>
          </w:tcPr>
          <w:p>
            <w:pPr>
              <w:jc w:val="center"/>
              <w:rPr>
                <w:rFonts w:ascii="Times New Roman" w:hAnsi="Times New Roman" w:cs="Times New Roman"/>
                <w:sz w:val="21"/>
              </w:rPr>
            </w:pPr>
            <w:r>
              <w:rPr>
                <w:rFonts w:ascii="Times New Roman" w:hAnsi="Times New Roman" w:cs="Times New Roman"/>
                <w:sz w:val="21"/>
                <w:szCs w:val="21"/>
              </w:rPr>
              <w:t>0.486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vAlign w:val="center"/>
          </w:tcPr>
          <w:p>
            <w:pPr>
              <w:pStyle w:val="63"/>
            </w:pPr>
          </w:p>
        </w:tc>
        <w:tc>
          <w:tcPr>
            <w:tcW w:w="1068" w:type="dxa"/>
            <w:vMerge w:val="continue"/>
            <w:vAlign w:val="center"/>
          </w:tcPr>
          <w:p>
            <w:pPr>
              <w:pStyle w:val="63"/>
            </w:pPr>
          </w:p>
        </w:tc>
        <w:tc>
          <w:tcPr>
            <w:tcW w:w="1701" w:type="dxa"/>
            <w:vAlign w:val="center"/>
          </w:tcPr>
          <w:p>
            <w:pPr>
              <w:pStyle w:val="63"/>
            </w:pPr>
            <w:r>
              <w:t>SO</w:t>
            </w:r>
            <w:r>
              <w:rPr>
                <w:vertAlign w:val="subscript"/>
              </w:rPr>
              <w:t>2</w:t>
            </w:r>
          </w:p>
        </w:tc>
        <w:tc>
          <w:tcPr>
            <w:tcW w:w="1560" w:type="dxa"/>
            <w:vAlign w:val="center"/>
          </w:tcPr>
          <w:p>
            <w:pPr>
              <w:jc w:val="center"/>
              <w:rPr>
                <w:rFonts w:ascii="Times New Roman" w:hAnsi="Times New Roman" w:cs="Times New Roman"/>
                <w:sz w:val="21"/>
              </w:rPr>
            </w:pPr>
            <w:r>
              <w:rPr>
                <w:rFonts w:ascii="Times New Roman" w:hAnsi="Times New Roman" w:cs="Times New Roman"/>
                <w:sz w:val="21"/>
                <w:szCs w:val="21"/>
              </w:rPr>
              <w:t>7.35</w:t>
            </w:r>
          </w:p>
        </w:tc>
        <w:tc>
          <w:tcPr>
            <w:tcW w:w="1636" w:type="dxa"/>
            <w:vAlign w:val="center"/>
          </w:tcPr>
          <w:p>
            <w:pPr>
              <w:jc w:val="center"/>
              <w:rPr>
                <w:rFonts w:ascii="Times New Roman" w:hAnsi="Times New Roman" w:cs="Times New Roman"/>
                <w:sz w:val="21"/>
              </w:rPr>
            </w:pPr>
            <w:r>
              <w:rPr>
                <w:rFonts w:ascii="Times New Roman" w:hAnsi="Times New Roman" w:cs="Times New Roman"/>
                <w:sz w:val="21"/>
                <w:szCs w:val="21"/>
              </w:rPr>
              <w:t>0.147</w:t>
            </w:r>
          </w:p>
        </w:tc>
        <w:tc>
          <w:tcPr>
            <w:tcW w:w="1822" w:type="dxa"/>
            <w:vAlign w:val="center"/>
          </w:tcPr>
          <w:p>
            <w:pPr>
              <w:jc w:val="center"/>
              <w:rPr>
                <w:rFonts w:ascii="Times New Roman" w:hAnsi="Times New Roman" w:cs="Times New Roman"/>
                <w:sz w:val="21"/>
              </w:rPr>
            </w:pPr>
            <w:r>
              <w:rPr>
                <w:rFonts w:ascii="Times New Roman" w:hAnsi="Times New Roman" w:cs="Times New Roman"/>
                <w:sz w:val="21"/>
                <w:szCs w:val="21"/>
              </w:rPr>
              <w:t>1.0584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1" w:type="dxa"/>
            <w:vMerge w:val="continue"/>
            <w:vAlign w:val="center"/>
          </w:tcPr>
          <w:p>
            <w:pPr>
              <w:pStyle w:val="63"/>
            </w:pPr>
          </w:p>
        </w:tc>
        <w:tc>
          <w:tcPr>
            <w:tcW w:w="1068" w:type="dxa"/>
            <w:vMerge w:val="continue"/>
            <w:vAlign w:val="center"/>
          </w:tcPr>
          <w:p>
            <w:pPr>
              <w:pStyle w:val="63"/>
            </w:pPr>
          </w:p>
        </w:tc>
        <w:tc>
          <w:tcPr>
            <w:tcW w:w="1701" w:type="dxa"/>
            <w:vAlign w:val="center"/>
          </w:tcPr>
          <w:p>
            <w:pPr>
              <w:pStyle w:val="63"/>
            </w:pPr>
            <w:r>
              <w:t>NOx</w:t>
            </w:r>
          </w:p>
        </w:tc>
        <w:tc>
          <w:tcPr>
            <w:tcW w:w="1560" w:type="dxa"/>
            <w:vAlign w:val="center"/>
          </w:tcPr>
          <w:p>
            <w:pPr>
              <w:jc w:val="center"/>
              <w:rPr>
                <w:rFonts w:ascii="Times New Roman" w:hAnsi="Times New Roman" w:cs="Times New Roman"/>
                <w:sz w:val="21"/>
              </w:rPr>
            </w:pPr>
            <w:r>
              <w:rPr>
                <w:rFonts w:ascii="Times New Roman" w:hAnsi="Times New Roman" w:cs="Times New Roman"/>
                <w:sz w:val="21"/>
                <w:szCs w:val="21"/>
              </w:rPr>
              <w:t>96.3</w:t>
            </w:r>
          </w:p>
        </w:tc>
        <w:tc>
          <w:tcPr>
            <w:tcW w:w="1636" w:type="dxa"/>
            <w:vAlign w:val="center"/>
          </w:tcPr>
          <w:p>
            <w:pPr>
              <w:jc w:val="center"/>
              <w:rPr>
                <w:rFonts w:ascii="Times New Roman" w:hAnsi="Times New Roman" w:cs="Times New Roman"/>
                <w:sz w:val="21"/>
              </w:rPr>
            </w:pPr>
            <w:r>
              <w:rPr>
                <w:rFonts w:ascii="Times New Roman" w:hAnsi="Times New Roman" w:cs="Times New Roman"/>
                <w:sz w:val="21"/>
                <w:szCs w:val="21"/>
              </w:rPr>
              <w:t>1.92</w:t>
            </w:r>
          </w:p>
        </w:tc>
        <w:tc>
          <w:tcPr>
            <w:tcW w:w="1822" w:type="dxa"/>
            <w:vAlign w:val="center"/>
          </w:tcPr>
          <w:p>
            <w:pPr>
              <w:jc w:val="center"/>
              <w:rPr>
                <w:rFonts w:ascii="Times New Roman" w:hAnsi="Times New Roman" w:cs="Times New Roman"/>
                <w:sz w:val="21"/>
              </w:rPr>
            </w:pPr>
            <w:r>
              <w:rPr>
                <w:rFonts w:ascii="Times New Roman" w:hAnsi="Times New Roman" w:cs="Times New Roman"/>
                <w:sz w:val="21"/>
                <w:szCs w:val="21"/>
              </w:rPr>
              <w:t>13.872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9" w:type="dxa"/>
            <w:gridSpan w:val="2"/>
            <w:vMerge w:val="restart"/>
            <w:vAlign w:val="center"/>
          </w:tcPr>
          <w:p>
            <w:pPr>
              <w:pStyle w:val="63"/>
            </w:pPr>
            <w:r>
              <w:t>排放口合计</w:t>
            </w:r>
          </w:p>
        </w:tc>
        <w:tc>
          <w:tcPr>
            <w:tcW w:w="4897" w:type="dxa"/>
            <w:gridSpan w:val="3"/>
            <w:vAlign w:val="center"/>
          </w:tcPr>
          <w:p>
            <w:pPr>
              <w:jc w:val="center"/>
              <w:rPr>
                <w:rFonts w:ascii="Times New Roman" w:hAnsi="Times New Roman" w:cs="Times New Roman"/>
                <w:sz w:val="21"/>
              </w:rPr>
            </w:pPr>
            <w:r>
              <w:rPr>
                <w:rFonts w:ascii="Times New Roman" w:hAnsi="Times New Roman" w:cs="Times New Roman"/>
                <w:sz w:val="21"/>
              </w:rPr>
              <w:t>颗粒物</w:t>
            </w:r>
          </w:p>
        </w:tc>
        <w:tc>
          <w:tcPr>
            <w:tcW w:w="1822" w:type="dxa"/>
            <w:vAlign w:val="center"/>
          </w:tcPr>
          <w:p>
            <w:pPr>
              <w:pStyle w:val="63"/>
            </w:pPr>
            <w:r>
              <w:t>0.50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9" w:type="dxa"/>
            <w:gridSpan w:val="2"/>
            <w:vMerge w:val="continue"/>
            <w:vAlign w:val="center"/>
          </w:tcPr>
          <w:p>
            <w:pPr>
              <w:pStyle w:val="63"/>
            </w:pPr>
          </w:p>
        </w:tc>
        <w:tc>
          <w:tcPr>
            <w:tcW w:w="4897" w:type="dxa"/>
            <w:gridSpan w:val="3"/>
            <w:vAlign w:val="center"/>
          </w:tcPr>
          <w:p>
            <w:pPr>
              <w:jc w:val="center"/>
              <w:rPr>
                <w:rFonts w:ascii="Times New Roman" w:hAnsi="Times New Roman" w:cs="Times New Roman"/>
                <w:sz w:val="21"/>
              </w:rPr>
            </w:pPr>
            <w:r>
              <w:rPr>
                <w:rFonts w:ascii="Times New Roman" w:hAnsi="Times New Roman" w:cs="Times New Roman"/>
                <w:sz w:val="21"/>
              </w:rPr>
              <w:t>非甲烷总烃</w:t>
            </w:r>
          </w:p>
        </w:tc>
        <w:tc>
          <w:tcPr>
            <w:tcW w:w="1822" w:type="dxa"/>
            <w:vAlign w:val="center"/>
          </w:tcPr>
          <w:p>
            <w:pPr>
              <w:pStyle w:val="63"/>
            </w:pPr>
            <w:r>
              <w:t>13.99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9" w:type="dxa"/>
            <w:gridSpan w:val="2"/>
            <w:vMerge w:val="continue"/>
            <w:vAlign w:val="center"/>
          </w:tcPr>
          <w:p>
            <w:pPr>
              <w:pStyle w:val="63"/>
            </w:pPr>
          </w:p>
        </w:tc>
        <w:tc>
          <w:tcPr>
            <w:tcW w:w="4897" w:type="dxa"/>
            <w:gridSpan w:val="3"/>
            <w:vAlign w:val="center"/>
          </w:tcPr>
          <w:p>
            <w:pPr>
              <w:jc w:val="center"/>
              <w:rPr>
                <w:rFonts w:ascii="Times New Roman" w:hAnsi="Times New Roman" w:cs="Times New Roman"/>
                <w:sz w:val="21"/>
              </w:rPr>
            </w:pPr>
            <w:r>
              <w:rPr>
                <w:rFonts w:ascii="Times New Roman" w:hAnsi="Times New Roman" w:cs="Times New Roman"/>
                <w:sz w:val="21"/>
              </w:rPr>
              <w:t>氟化物</w:t>
            </w:r>
          </w:p>
        </w:tc>
        <w:tc>
          <w:tcPr>
            <w:tcW w:w="1822" w:type="dxa"/>
            <w:vAlign w:val="center"/>
          </w:tcPr>
          <w:p>
            <w:pPr>
              <w:jc w:val="center"/>
              <w:rPr>
                <w:rFonts w:ascii="Times New Roman" w:hAnsi="Times New Roman" w:cs="Times New Roman"/>
                <w:sz w:val="21"/>
              </w:rPr>
            </w:pPr>
            <w:r>
              <w:rPr>
                <w:rFonts w:ascii="Times New Roman" w:hAnsi="Times New Roman" w:cs="Times New Roman"/>
                <w:sz w:val="21"/>
                <w:szCs w:val="21"/>
              </w:rPr>
              <w:t>1.07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9" w:type="dxa"/>
            <w:gridSpan w:val="2"/>
            <w:vMerge w:val="continue"/>
            <w:vAlign w:val="center"/>
          </w:tcPr>
          <w:p>
            <w:pPr>
              <w:pStyle w:val="63"/>
            </w:pPr>
          </w:p>
        </w:tc>
        <w:tc>
          <w:tcPr>
            <w:tcW w:w="4897" w:type="dxa"/>
            <w:gridSpan w:val="3"/>
            <w:vAlign w:val="center"/>
          </w:tcPr>
          <w:p>
            <w:pPr>
              <w:jc w:val="center"/>
              <w:rPr>
                <w:rFonts w:ascii="Times New Roman" w:hAnsi="Times New Roman" w:cs="Times New Roman"/>
                <w:sz w:val="21"/>
              </w:rPr>
            </w:pPr>
            <w:r>
              <w:rPr>
                <w:rFonts w:ascii="Times New Roman" w:hAnsi="Times New Roman" w:cs="Times New Roman"/>
                <w:sz w:val="21"/>
              </w:rPr>
              <w:t>镍及其化合物</w:t>
            </w:r>
          </w:p>
        </w:tc>
        <w:tc>
          <w:tcPr>
            <w:tcW w:w="1822" w:type="dxa"/>
            <w:vAlign w:val="center"/>
          </w:tcPr>
          <w:p>
            <w:pPr>
              <w:jc w:val="center"/>
              <w:rPr>
                <w:rFonts w:ascii="Times New Roman" w:hAnsi="Times New Roman" w:cs="Times New Roman"/>
                <w:sz w:val="21"/>
              </w:rPr>
            </w:pPr>
            <w:r>
              <w:rPr>
                <w:rFonts w:ascii="Times New Roman" w:hAnsi="Times New Roman" w:cs="Times New Roman"/>
                <w:sz w:val="21"/>
                <w:szCs w:val="21"/>
              </w:rPr>
              <w:t>0.324kg/a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9" w:type="dxa"/>
            <w:gridSpan w:val="2"/>
            <w:vMerge w:val="continue"/>
            <w:vAlign w:val="center"/>
          </w:tcPr>
          <w:p>
            <w:pPr>
              <w:pStyle w:val="63"/>
            </w:pPr>
          </w:p>
        </w:tc>
        <w:tc>
          <w:tcPr>
            <w:tcW w:w="4897" w:type="dxa"/>
            <w:gridSpan w:val="3"/>
            <w:vAlign w:val="center"/>
          </w:tcPr>
          <w:p>
            <w:pPr>
              <w:jc w:val="center"/>
              <w:rPr>
                <w:rFonts w:ascii="Times New Roman" w:hAnsi="Times New Roman" w:cs="Times New Roman"/>
                <w:sz w:val="21"/>
              </w:rPr>
            </w:pPr>
            <w:r>
              <w:rPr>
                <w:rFonts w:ascii="Times New Roman" w:hAnsi="Times New Roman" w:cs="Times New Roman"/>
                <w:sz w:val="21"/>
              </w:rPr>
              <w:t>钴及其化合物</w:t>
            </w:r>
          </w:p>
        </w:tc>
        <w:tc>
          <w:tcPr>
            <w:tcW w:w="1822" w:type="dxa"/>
            <w:vAlign w:val="center"/>
          </w:tcPr>
          <w:p>
            <w:pPr>
              <w:jc w:val="center"/>
              <w:rPr>
                <w:rFonts w:ascii="Times New Roman" w:hAnsi="Times New Roman" w:cs="Times New Roman"/>
                <w:sz w:val="21"/>
              </w:rPr>
            </w:pPr>
            <w:r>
              <w:rPr>
                <w:rFonts w:ascii="Times New Roman" w:hAnsi="Times New Roman" w:cs="Times New Roman"/>
                <w:sz w:val="21"/>
                <w:szCs w:val="21"/>
              </w:rPr>
              <w:t>0.128kg/a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9" w:type="dxa"/>
            <w:gridSpan w:val="2"/>
            <w:vMerge w:val="continue"/>
            <w:vAlign w:val="center"/>
          </w:tcPr>
          <w:p>
            <w:pPr>
              <w:pStyle w:val="63"/>
            </w:pPr>
          </w:p>
        </w:tc>
        <w:tc>
          <w:tcPr>
            <w:tcW w:w="4897" w:type="dxa"/>
            <w:gridSpan w:val="3"/>
            <w:vAlign w:val="center"/>
          </w:tcPr>
          <w:p>
            <w:pPr>
              <w:jc w:val="center"/>
              <w:rPr>
                <w:rFonts w:ascii="Times New Roman" w:hAnsi="Times New Roman" w:cs="Times New Roman"/>
                <w:sz w:val="21"/>
              </w:rPr>
            </w:pPr>
            <w:r>
              <w:rPr>
                <w:rFonts w:ascii="Times New Roman" w:hAnsi="Times New Roman" w:cs="Times New Roman"/>
                <w:sz w:val="21"/>
              </w:rPr>
              <w:t>锰及其化合物</w:t>
            </w:r>
          </w:p>
        </w:tc>
        <w:tc>
          <w:tcPr>
            <w:tcW w:w="1822" w:type="dxa"/>
            <w:vAlign w:val="center"/>
          </w:tcPr>
          <w:p>
            <w:pPr>
              <w:jc w:val="center"/>
              <w:rPr>
                <w:rFonts w:ascii="Times New Roman" w:hAnsi="Times New Roman" w:cs="Times New Roman"/>
                <w:sz w:val="21"/>
              </w:rPr>
            </w:pPr>
            <w:r>
              <w:rPr>
                <w:rFonts w:ascii="Times New Roman" w:hAnsi="Times New Roman" w:cs="Times New Roman"/>
                <w:sz w:val="21"/>
                <w:szCs w:val="21"/>
              </w:rPr>
              <w:t>0.196kg/a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9" w:type="dxa"/>
            <w:gridSpan w:val="2"/>
            <w:vMerge w:val="continue"/>
            <w:vAlign w:val="center"/>
          </w:tcPr>
          <w:p>
            <w:pPr>
              <w:pStyle w:val="63"/>
            </w:pPr>
          </w:p>
        </w:tc>
        <w:tc>
          <w:tcPr>
            <w:tcW w:w="4897" w:type="dxa"/>
            <w:gridSpan w:val="3"/>
            <w:vAlign w:val="center"/>
          </w:tcPr>
          <w:p>
            <w:pPr>
              <w:jc w:val="center"/>
              <w:rPr>
                <w:rFonts w:ascii="Times New Roman" w:hAnsi="Times New Roman" w:cs="Times New Roman"/>
                <w:sz w:val="21"/>
              </w:rPr>
            </w:pPr>
            <w:r>
              <w:rPr>
                <w:rFonts w:ascii="Times New Roman" w:hAnsi="Times New Roman" w:cs="Times New Roman"/>
                <w:sz w:val="21"/>
              </w:rPr>
              <w:t>SO2</w:t>
            </w:r>
          </w:p>
        </w:tc>
        <w:tc>
          <w:tcPr>
            <w:tcW w:w="1822" w:type="dxa"/>
            <w:vAlign w:val="center"/>
          </w:tcPr>
          <w:p>
            <w:pPr>
              <w:pStyle w:val="63"/>
            </w:pPr>
            <w:r>
              <w:t>1.06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9" w:type="dxa"/>
            <w:gridSpan w:val="2"/>
            <w:vMerge w:val="continue"/>
            <w:vAlign w:val="center"/>
          </w:tcPr>
          <w:p>
            <w:pPr>
              <w:pStyle w:val="63"/>
            </w:pPr>
          </w:p>
        </w:tc>
        <w:tc>
          <w:tcPr>
            <w:tcW w:w="4897" w:type="dxa"/>
            <w:gridSpan w:val="3"/>
            <w:vAlign w:val="center"/>
          </w:tcPr>
          <w:p>
            <w:pPr>
              <w:jc w:val="center"/>
              <w:rPr>
                <w:rFonts w:ascii="Times New Roman" w:hAnsi="Times New Roman" w:cs="Times New Roman"/>
                <w:sz w:val="21"/>
              </w:rPr>
            </w:pPr>
            <w:r>
              <w:rPr>
                <w:rFonts w:ascii="Times New Roman" w:hAnsi="Times New Roman" w:cs="Times New Roman"/>
                <w:sz w:val="21"/>
              </w:rPr>
              <w:t>NOx</w:t>
            </w:r>
          </w:p>
        </w:tc>
        <w:tc>
          <w:tcPr>
            <w:tcW w:w="1822" w:type="dxa"/>
            <w:vAlign w:val="center"/>
          </w:tcPr>
          <w:p>
            <w:pPr>
              <w:pStyle w:val="63"/>
            </w:pPr>
            <w:r>
              <w:t>14.47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9" w:type="dxa"/>
            <w:gridSpan w:val="2"/>
            <w:vMerge w:val="continue"/>
            <w:vAlign w:val="center"/>
          </w:tcPr>
          <w:p>
            <w:pPr>
              <w:pStyle w:val="63"/>
            </w:pPr>
          </w:p>
        </w:tc>
        <w:tc>
          <w:tcPr>
            <w:tcW w:w="4897" w:type="dxa"/>
            <w:gridSpan w:val="3"/>
            <w:vAlign w:val="center"/>
          </w:tcPr>
          <w:p>
            <w:pPr>
              <w:jc w:val="center"/>
              <w:rPr>
                <w:rFonts w:ascii="Times New Roman" w:hAnsi="Times New Roman" w:cs="Times New Roman"/>
                <w:sz w:val="21"/>
              </w:rPr>
            </w:pPr>
            <w:r>
              <w:t>硫酸雾</w:t>
            </w:r>
          </w:p>
        </w:tc>
        <w:tc>
          <w:tcPr>
            <w:tcW w:w="1822" w:type="dxa"/>
            <w:vAlign w:val="center"/>
          </w:tcPr>
          <w:p>
            <w:pPr>
              <w:pStyle w:val="63"/>
            </w:pPr>
            <w:r>
              <w:t>3.53</w:t>
            </w:r>
          </w:p>
        </w:tc>
      </w:tr>
      <w:bookmarkEnd w:id="337"/>
    </w:tbl>
    <w:p>
      <w:pPr>
        <w:spacing w:line="360" w:lineRule="auto"/>
        <w:ind w:firstLine="480" w:firstLineChars="200"/>
        <w:rPr>
          <w:rFonts w:ascii="Times New Roman" w:hAnsi="Times New Roman" w:cs="Times New Roman"/>
        </w:rPr>
      </w:pPr>
      <w:r>
        <w:rPr>
          <w:rFonts w:ascii="Times New Roman" w:hAnsi="Times New Roman" w:cs="Times New Roman"/>
        </w:rPr>
        <w:t>（2）无组织排放量核算</w:t>
      </w:r>
    </w:p>
    <w:p>
      <w:pPr>
        <w:spacing w:line="360" w:lineRule="auto"/>
        <w:ind w:firstLine="480" w:firstLineChars="200"/>
        <w:rPr>
          <w:rFonts w:ascii="Times New Roman" w:hAnsi="Times New Roman" w:cs="Times New Roman"/>
        </w:rPr>
      </w:pPr>
      <w:r>
        <w:rPr>
          <w:rFonts w:ascii="Times New Roman" w:hAnsi="Times New Roman" w:cs="Times New Roman"/>
        </w:rPr>
        <w:t>本项目大气污染物无组织排放量核算见下表。</w:t>
      </w:r>
    </w:p>
    <w:p>
      <w:pPr>
        <w:pStyle w:val="6"/>
        <w:rPr>
          <w:rFonts w:ascii="Times New Roman" w:hAnsi="Times New Roman" w:cs="Times New Roman"/>
        </w:rPr>
      </w:pPr>
      <w:bookmarkStart w:id="338" w:name="_Toc11097666"/>
      <w:r>
        <w:rPr>
          <w:rFonts w:ascii="Times New Roman" w:hAnsi="Times New Roman" w:cs="Times New Roman"/>
        </w:rPr>
        <w:t>表</w:t>
      </w:r>
      <w:r>
        <w:rPr>
          <w:rFonts w:hint="eastAsia"/>
        </w:rPr>
        <w:t>6.2.1-46</w:t>
      </w:r>
      <w:r>
        <w:rPr>
          <w:rFonts w:ascii="Times New Roman" w:hAnsi="Times New Roman" w:cs="Times New Roman"/>
        </w:rPr>
        <w:t xml:space="preserve">  大气污染物无组织排放量核算表</w:t>
      </w:r>
      <w:bookmarkEnd w:id="338"/>
    </w:p>
    <w:tbl>
      <w:tblPr>
        <w:tblStyle w:val="35"/>
        <w:tblW w:w="9072" w:type="dxa"/>
        <w:jc w:val="center"/>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13"/>
        <w:gridCol w:w="1591"/>
        <w:gridCol w:w="1210"/>
        <w:gridCol w:w="374"/>
        <w:gridCol w:w="1323"/>
        <w:gridCol w:w="1646"/>
        <w:gridCol w:w="1315"/>
        <w:gridCol w:w="1100"/>
      </w:tblGrid>
      <w:tr>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3" w:type="pct"/>
            <w:vMerge w:val="restart"/>
            <w:vAlign w:val="center"/>
          </w:tcPr>
          <w:p>
            <w:pPr>
              <w:pStyle w:val="63"/>
            </w:pPr>
            <w:r>
              <w:t>序号</w:t>
            </w:r>
          </w:p>
        </w:tc>
        <w:tc>
          <w:tcPr>
            <w:tcW w:w="877" w:type="pct"/>
            <w:vMerge w:val="restart"/>
            <w:vAlign w:val="center"/>
          </w:tcPr>
          <w:p>
            <w:pPr>
              <w:pStyle w:val="63"/>
            </w:pPr>
            <w:r>
              <w:t>产污环节</w:t>
            </w:r>
          </w:p>
        </w:tc>
        <w:tc>
          <w:tcPr>
            <w:tcW w:w="667" w:type="pct"/>
            <w:vMerge w:val="restart"/>
            <w:vAlign w:val="center"/>
          </w:tcPr>
          <w:p>
            <w:pPr>
              <w:pStyle w:val="63"/>
            </w:pPr>
            <w:r>
              <w:t>污染物</w:t>
            </w:r>
          </w:p>
        </w:tc>
        <w:tc>
          <w:tcPr>
            <w:tcW w:w="935" w:type="pct"/>
            <w:gridSpan w:val="2"/>
            <w:vMerge w:val="restart"/>
            <w:vAlign w:val="center"/>
          </w:tcPr>
          <w:p>
            <w:pPr>
              <w:pStyle w:val="63"/>
            </w:pPr>
            <w:r>
              <w:t>主要污染防治措施</w:t>
            </w:r>
          </w:p>
        </w:tc>
        <w:tc>
          <w:tcPr>
            <w:tcW w:w="1632" w:type="pct"/>
            <w:gridSpan w:val="2"/>
            <w:vAlign w:val="center"/>
          </w:tcPr>
          <w:p>
            <w:pPr>
              <w:pStyle w:val="63"/>
            </w:pPr>
            <w:r>
              <w:t>国家污染物排放标准</w:t>
            </w:r>
          </w:p>
        </w:tc>
        <w:tc>
          <w:tcPr>
            <w:tcW w:w="606" w:type="pct"/>
            <w:vMerge w:val="restart"/>
            <w:vAlign w:val="center"/>
          </w:tcPr>
          <w:p>
            <w:pPr>
              <w:pStyle w:val="63"/>
            </w:pPr>
            <w:r>
              <w:t>年排放量（t/a）</w:t>
            </w:r>
          </w:p>
        </w:tc>
      </w:tr>
      <w:tr>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vAlign w:val="center"/>
          </w:tcPr>
          <w:p>
            <w:pPr>
              <w:pStyle w:val="63"/>
              <w:rPr>
                <w:szCs w:val="21"/>
              </w:rPr>
            </w:pPr>
          </w:p>
        </w:tc>
        <w:tc>
          <w:tcPr>
            <w:tcW w:w="0" w:type="auto"/>
            <w:vMerge w:val="continue"/>
            <w:vAlign w:val="center"/>
          </w:tcPr>
          <w:p>
            <w:pPr>
              <w:pStyle w:val="63"/>
              <w:rPr>
                <w:szCs w:val="21"/>
              </w:rPr>
            </w:pPr>
          </w:p>
        </w:tc>
        <w:tc>
          <w:tcPr>
            <w:tcW w:w="0" w:type="auto"/>
            <w:vMerge w:val="continue"/>
            <w:vAlign w:val="center"/>
          </w:tcPr>
          <w:p>
            <w:pPr>
              <w:pStyle w:val="63"/>
              <w:rPr>
                <w:szCs w:val="21"/>
              </w:rPr>
            </w:pPr>
          </w:p>
        </w:tc>
        <w:tc>
          <w:tcPr>
            <w:tcW w:w="0" w:type="auto"/>
            <w:gridSpan w:val="2"/>
            <w:vMerge w:val="continue"/>
            <w:vAlign w:val="center"/>
          </w:tcPr>
          <w:p>
            <w:pPr>
              <w:pStyle w:val="63"/>
              <w:rPr>
                <w:szCs w:val="21"/>
              </w:rPr>
            </w:pPr>
          </w:p>
        </w:tc>
        <w:tc>
          <w:tcPr>
            <w:tcW w:w="907" w:type="pct"/>
            <w:vAlign w:val="center"/>
          </w:tcPr>
          <w:p>
            <w:pPr>
              <w:pStyle w:val="63"/>
            </w:pPr>
            <w:r>
              <w:t>标准名称</w:t>
            </w:r>
          </w:p>
        </w:tc>
        <w:tc>
          <w:tcPr>
            <w:tcW w:w="725" w:type="pct"/>
            <w:vAlign w:val="center"/>
          </w:tcPr>
          <w:p>
            <w:pPr>
              <w:pStyle w:val="63"/>
            </w:pPr>
            <w:r>
              <w:t>浓度限值（mg/m</w:t>
            </w:r>
            <w:r>
              <w:rPr>
                <w:vertAlign w:val="superscript"/>
              </w:rPr>
              <w:t>3</w:t>
            </w:r>
            <w:r>
              <w:t>）</w:t>
            </w:r>
          </w:p>
        </w:tc>
        <w:tc>
          <w:tcPr>
            <w:tcW w:w="0" w:type="auto"/>
            <w:vMerge w:val="continue"/>
            <w:vAlign w:val="center"/>
          </w:tcPr>
          <w:p>
            <w:pPr>
              <w:pStyle w:val="63"/>
              <w:rPr>
                <w:szCs w:val="21"/>
              </w:rPr>
            </w:pPr>
          </w:p>
        </w:tc>
      </w:tr>
      <w:tr>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3" w:type="pct"/>
            <w:vAlign w:val="center"/>
          </w:tcPr>
          <w:p>
            <w:pPr>
              <w:pStyle w:val="63"/>
            </w:pPr>
            <w:r>
              <w:t>1</w:t>
            </w:r>
          </w:p>
        </w:tc>
        <w:tc>
          <w:tcPr>
            <w:tcW w:w="877" w:type="pct"/>
            <w:vAlign w:val="center"/>
          </w:tcPr>
          <w:p>
            <w:pPr>
              <w:pStyle w:val="63"/>
            </w:pPr>
            <w:r>
              <w:rPr>
                <w:rFonts w:hint="eastAsia"/>
              </w:rPr>
              <w:t>罐区</w:t>
            </w:r>
          </w:p>
        </w:tc>
        <w:tc>
          <w:tcPr>
            <w:tcW w:w="667" w:type="pct"/>
            <w:vAlign w:val="center"/>
          </w:tcPr>
          <w:p>
            <w:pPr>
              <w:pStyle w:val="63"/>
            </w:pPr>
            <w:r>
              <w:rPr>
                <w:rFonts w:hint="eastAsia"/>
              </w:rPr>
              <w:t>硫酸雾</w:t>
            </w:r>
          </w:p>
        </w:tc>
        <w:tc>
          <w:tcPr>
            <w:tcW w:w="935" w:type="pct"/>
            <w:gridSpan w:val="2"/>
            <w:vAlign w:val="center"/>
          </w:tcPr>
          <w:p>
            <w:pPr>
              <w:pStyle w:val="63"/>
            </w:pPr>
            <w:r>
              <w:rPr>
                <w:rFonts w:hint="eastAsia"/>
              </w:rPr>
              <w:t>厂房阻隔、适当洒水抑尘</w:t>
            </w:r>
          </w:p>
        </w:tc>
        <w:tc>
          <w:tcPr>
            <w:tcW w:w="907" w:type="pct"/>
            <w:vMerge w:val="restart"/>
            <w:vAlign w:val="center"/>
          </w:tcPr>
          <w:p>
            <w:pPr>
              <w:pStyle w:val="63"/>
            </w:pPr>
            <w:r>
              <w:rPr>
                <w:rFonts w:hint="eastAsia"/>
              </w:rPr>
              <w:t>《大气污染物综合排放标准》</w:t>
            </w:r>
          </w:p>
        </w:tc>
        <w:tc>
          <w:tcPr>
            <w:tcW w:w="725" w:type="pct"/>
            <w:vAlign w:val="center"/>
          </w:tcPr>
          <w:p>
            <w:pPr>
              <w:pStyle w:val="63"/>
            </w:pPr>
            <w:r>
              <w:rPr>
                <w:bCs/>
                <w:sz w:val="18"/>
                <w:szCs w:val="18"/>
              </w:rPr>
              <w:t>1.2</w:t>
            </w:r>
          </w:p>
        </w:tc>
        <w:tc>
          <w:tcPr>
            <w:tcW w:w="606" w:type="pct"/>
            <w:vAlign w:val="center"/>
          </w:tcPr>
          <w:p>
            <w:pPr>
              <w:jc w:val="center"/>
              <w:rPr>
                <w:rFonts w:ascii="Times New Roman" w:hAnsi="Times New Roman" w:cs="Times New Roman"/>
                <w:sz w:val="21"/>
              </w:rPr>
            </w:pPr>
            <w:r>
              <w:rPr>
                <w:rFonts w:ascii="Times New Roman" w:hAnsi="Times New Roman" w:cs="Times New Roman"/>
                <w:sz w:val="21"/>
              </w:rPr>
              <w:t>0.57</w:t>
            </w:r>
          </w:p>
        </w:tc>
      </w:tr>
      <w:tr>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Align w:val="center"/>
          </w:tcPr>
          <w:p>
            <w:pPr>
              <w:pStyle w:val="63"/>
            </w:pPr>
            <w:r>
              <w:t>2</w:t>
            </w:r>
          </w:p>
        </w:tc>
        <w:tc>
          <w:tcPr>
            <w:tcW w:w="877" w:type="pct"/>
            <w:vAlign w:val="center"/>
          </w:tcPr>
          <w:p>
            <w:pPr>
              <w:pStyle w:val="63"/>
            </w:pPr>
            <w:r>
              <w:rPr>
                <w:rFonts w:hint="eastAsia"/>
                <w:kern w:val="20"/>
                <w:szCs w:val="21"/>
              </w:rPr>
              <w:t>车间废气</w:t>
            </w:r>
          </w:p>
        </w:tc>
        <w:tc>
          <w:tcPr>
            <w:tcW w:w="667" w:type="pct"/>
            <w:vAlign w:val="center"/>
          </w:tcPr>
          <w:p>
            <w:pPr>
              <w:pStyle w:val="63"/>
            </w:pPr>
            <w:r>
              <w:rPr>
                <w:rFonts w:hint="eastAsia"/>
              </w:rPr>
              <w:t>硫酸雾</w:t>
            </w:r>
          </w:p>
        </w:tc>
        <w:tc>
          <w:tcPr>
            <w:tcW w:w="0" w:type="auto"/>
            <w:gridSpan w:val="2"/>
            <w:vAlign w:val="center"/>
          </w:tcPr>
          <w:p>
            <w:pPr>
              <w:pStyle w:val="63"/>
            </w:pPr>
            <w:r>
              <w:rPr>
                <w:rFonts w:hint="eastAsia"/>
              </w:rPr>
              <w:t>厂房阻隔、适当洒水抑尘</w:t>
            </w:r>
          </w:p>
        </w:tc>
        <w:tc>
          <w:tcPr>
            <w:tcW w:w="907" w:type="pct"/>
            <w:vMerge w:val="continue"/>
            <w:vAlign w:val="center"/>
          </w:tcPr>
          <w:p>
            <w:pPr>
              <w:pStyle w:val="63"/>
            </w:pPr>
          </w:p>
        </w:tc>
        <w:tc>
          <w:tcPr>
            <w:tcW w:w="725" w:type="pct"/>
            <w:vAlign w:val="center"/>
          </w:tcPr>
          <w:p>
            <w:pPr>
              <w:pStyle w:val="63"/>
            </w:pPr>
            <w:r>
              <w:rPr>
                <w:bCs/>
                <w:sz w:val="18"/>
                <w:szCs w:val="18"/>
              </w:rPr>
              <w:t>1.2</w:t>
            </w:r>
          </w:p>
        </w:tc>
        <w:tc>
          <w:tcPr>
            <w:tcW w:w="606" w:type="pct"/>
            <w:vAlign w:val="center"/>
          </w:tcPr>
          <w:p>
            <w:pPr>
              <w:jc w:val="center"/>
              <w:rPr>
                <w:rFonts w:ascii="Times New Roman" w:hAnsi="Times New Roman" w:cs="Times New Roman"/>
                <w:sz w:val="21"/>
              </w:rPr>
            </w:pPr>
            <w:r>
              <w:rPr>
                <w:rFonts w:ascii="Times New Roman" w:hAnsi="Times New Roman" w:cs="Times New Roman"/>
                <w:sz w:val="21"/>
              </w:rPr>
              <w:t>0.1</w:t>
            </w:r>
          </w:p>
        </w:tc>
      </w:tr>
      <w:tr>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8"/>
            <w:vAlign w:val="center"/>
          </w:tcPr>
          <w:p>
            <w:pPr>
              <w:pStyle w:val="63"/>
            </w:pPr>
            <w:r>
              <w:t>无组织排放</w:t>
            </w:r>
          </w:p>
        </w:tc>
      </w:tr>
      <w:tr>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3" w:type="pct"/>
            <w:gridSpan w:val="4"/>
            <w:vAlign w:val="center"/>
          </w:tcPr>
          <w:p>
            <w:pPr>
              <w:pStyle w:val="63"/>
            </w:pPr>
            <w:r>
              <w:t>无组织排放总计</w:t>
            </w:r>
          </w:p>
        </w:tc>
        <w:tc>
          <w:tcPr>
            <w:tcW w:w="2361" w:type="pct"/>
            <w:gridSpan w:val="3"/>
            <w:vAlign w:val="center"/>
          </w:tcPr>
          <w:p>
            <w:pPr>
              <w:pStyle w:val="63"/>
            </w:pPr>
            <w:r>
              <w:rPr>
                <w:rFonts w:hint="eastAsia"/>
              </w:rPr>
              <w:t>硫酸雾</w:t>
            </w:r>
          </w:p>
        </w:tc>
        <w:tc>
          <w:tcPr>
            <w:tcW w:w="606" w:type="pct"/>
            <w:vAlign w:val="center"/>
          </w:tcPr>
          <w:p>
            <w:pPr>
              <w:pStyle w:val="63"/>
              <w:rPr>
                <w:szCs w:val="21"/>
              </w:rPr>
            </w:pPr>
            <w:r>
              <w:rPr>
                <w:rFonts w:hint="eastAsia"/>
                <w:szCs w:val="21"/>
              </w:rPr>
              <w:t>0.67</w:t>
            </w:r>
          </w:p>
        </w:tc>
      </w:tr>
    </w:tbl>
    <w:p>
      <w:pPr>
        <w:spacing w:line="360" w:lineRule="auto"/>
        <w:ind w:firstLine="480" w:firstLineChars="200"/>
        <w:rPr>
          <w:rFonts w:ascii="Times New Roman" w:hAnsi="Times New Roman" w:cs="Times New Roman"/>
        </w:rPr>
      </w:pPr>
      <w:r>
        <w:rPr>
          <w:rFonts w:ascii="Times New Roman" w:hAnsi="Times New Roman" w:cs="Times New Roman"/>
        </w:rPr>
        <w:t>（3）总排放量核算</w:t>
      </w:r>
    </w:p>
    <w:p>
      <w:pPr>
        <w:spacing w:line="360" w:lineRule="auto"/>
        <w:ind w:firstLine="480" w:firstLineChars="200"/>
        <w:rPr>
          <w:rFonts w:ascii="Times New Roman" w:hAnsi="Times New Roman" w:cs="Times New Roman"/>
        </w:rPr>
      </w:pPr>
      <w:r>
        <w:rPr>
          <w:rFonts w:ascii="Times New Roman" w:hAnsi="Times New Roman" w:cs="Times New Roman"/>
        </w:rPr>
        <w:t>本项目建成后，全厂总排放量核算见下表。</w:t>
      </w:r>
    </w:p>
    <w:p>
      <w:pPr>
        <w:pStyle w:val="6"/>
        <w:rPr>
          <w:rFonts w:ascii="Times New Roman" w:hAnsi="Times New Roman" w:cs="Times New Roman"/>
        </w:rPr>
      </w:pPr>
      <w:bookmarkStart w:id="339" w:name="_Toc11097667"/>
      <w:r>
        <w:rPr>
          <w:rFonts w:ascii="Times New Roman" w:hAnsi="Times New Roman" w:cs="Times New Roman"/>
        </w:rPr>
        <w:t>表</w:t>
      </w:r>
      <w:r>
        <w:rPr>
          <w:rFonts w:hint="eastAsia"/>
        </w:rPr>
        <w:t>6.2.1-47</w:t>
      </w:r>
      <w:r>
        <w:rPr>
          <w:rFonts w:ascii="Times New Roman" w:hAnsi="Times New Roman" w:cs="Times New Roman"/>
        </w:rPr>
        <w:t xml:space="preserve"> 本项目大气污染物年排放量核算表</w:t>
      </w:r>
      <w:bookmarkEnd w:id="339"/>
    </w:p>
    <w:tbl>
      <w:tblPr>
        <w:tblStyle w:val="35"/>
        <w:tblW w:w="907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019"/>
        <w:gridCol w:w="3025"/>
        <w:gridCol w:w="302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vAlign w:val="center"/>
          </w:tcPr>
          <w:p>
            <w:pPr>
              <w:pStyle w:val="63"/>
            </w:pPr>
            <w:r>
              <w:t>序号</w:t>
            </w:r>
          </w:p>
        </w:tc>
        <w:tc>
          <w:tcPr>
            <w:tcW w:w="1667" w:type="pct"/>
            <w:vAlign w:val="center"/>
          </w:tcPr>
          <w:p>
            <w:pPr>
              <w:pStyle w:val="63"/>
            </w:pPr>
            <w:r>
              <w:t>污染物</w:t>
            </w:r>
          </w:p>
        </w:tc>
        <w:tc>
          <w:tcPr>
            <w:tcW w:w="1669" w:type="pct"/>
            <w:vAlign w:val="center"/>
          </w:tcPr>
          <w:p>
            <w:pPr>
              <w:pStyle w:val="63"/>
            </w:pPr>
            <w:r>
              <w:t>年排放量（t/a）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vAlign w:val="center"/>
          </w:tcPr>
          <w:p>
            <w:pPr>
              <w:pStyle w:val="63"/>
            </w:pPr>
            <w:r>
              <w:t>1</w:t>
            </w:r>
          </w:p>
        </w:tc>
        <w:tc>
          <w:tcPr>
            <w:tcW w:w="1667" w:type="pct"/>
            <w:vAlign w:val="center"/>
          </w:tcPr>
          <w:p>
            <w:pPr>
              <w:jc w:val="center"/>
              <w:rPr>
                <w:rFonts w:ascii="Times New Roman" w:hAnsi="Times New Roman" w:cs="Times New Roman"/>
                <w:sz w:val="21"/>
              </w:rPr>
            </w:pPr>
            <w:r>
              <w:rPr>
                <w:rFonts w:ascii="Times New Roman" w:hAnsi="Times New Roman" w:cs="Times New Roman"/>
                <w:sz w:val="21"/>
              </w:rPr>
              <w:t>颗粒物</w:t>
            </w:r>
          </w:p>
        </w:tc>
        <w:tc>
          <w:tcPr>
            <w:tcW w:w="1669" w:type="pct"/>
            <w:vAlign w:val="center"/>
          </w:tcPr>
          <w:p>
            <w:pPr>
              <w:pStyle w:val="63"/>
            </w:pPr>
            <w:r>
              <w:t>0.50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vAlign w:val="center"/>
          </w:tcPr>
          <w:p>
            <w:pPr>
              <w:pStyle w:val="63"/>
            </w:pPr>
            <w:r>
              <w:t>2</w:t>
            </w:r>
          </w:p>
        </w:tc>
        <w:tc>
          <w:tcPr>
            <w:tcW w:w="1667" w:type="pct"/>
            <w:vAlign w:val="center"/>
          </w:tcPr>
          <w:p>
            <w:pPr>
              <w:jc w:val="center"/>
              <w:rPr>
                <w:rFonts w:ascii="Times New Roman" w:hAnsi="Times New Roman" w:cs="Times New Roman"/>
                <w:sz w:val="21"/>
              </w:rPr>
            </w:pPr>
            <w:r>
              <w:rPr>
                <w:rFonts w:ascii="Times New Roman" w:hAnsi="Times New Roman" w:cs="Times New Roman"/>
                <w:sz w:val="21"/>
              </w:rPr>
              <w:t>非甲烷总烃</w:t>
            </w:r>
          </w:p>
        </w:tc>
        <w:tc>
          <w:tcPr>
            <w:tcW w:w="1669" w:type="pct"/>
            <w:vAlign w:val="center"/>
          </w:tcPr>
          <w:p>
            <w:pPr>
              <w:pStyle w:val="63"/>
            </w:pPr>
            <w:r>
              <w:t>13.99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vAlign w:val="center"/>
          </w:tcPr>
          <w:p>
            <w:pPr>
              <w:pStyle w:val="63"/>
            </w:pPr>
            <w:r>
              <w:t>3</w:t>
            </w:r>
          </w:p>
        </w:tc>
        <w:tc>
          <w:tcPr>
            <w:tcW w:w="1667" w:type="pct"/>
            <w:vAlign w:val="center"/>
          </w:tcPr>
          <w:p>
            <w:pPr>
              <w:jc w:val="center"/>
              <w:rPr>
                <w:rFonts w:ascii="Times New Roman" w:hAnsi="Times New Roman" w:cs="Times New Roman"/>
                <w:sz w:val="21"/>
              </w:rPr>
            </w:pPr>
            <w:r>
              <w:rPr>
                <w:rFonts w:ascii="Times New Roman" w:hAnsi="Times New Roman" w:cs="Times New Roman"/>
                <w:sz w:val="21"/>
              </w:rPr>
              <w:t>氟化物</w:t>
            </w:r>
          </w:p>
        </w:tc>
        <w:tc>
          <w:tcPr>
            <w:tcW w:w="1669" w:type="pct"/>
            <w:vAlign w:val="center"/>
          </w:tcPr>
          <w:p>
            <w:pPr>
              <w:jc w:val="center"/>
              <w:rPr>
                <w:rFonts w:ascii="Times New Roman" w:hAnsi="Times New Roman" w:cs="Times New Roman"/>
                <w:sz w:val="21"/>
              </w:rPr>
            </w:pPr>
            <w:r>
              <w:rPr>
                <w:rFonts w:ascii="Times New Roman" w:hAnsi="Times New Roman" w:cs="Times New Roman"/>
                <w:sz w:val="21"/>
                <w:szCs w:val="21"/>
              </w:rPr>
              <w:t>1.07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vAlign w:val="center"/>
          </w:tcPr>
          <w:p>
            <w:pPr>
              <w:pStyle w:val="63"/>
            </w:pPr>
            <w:r>
              <w:t>4</w:t>
            </w:r>
          </w:p>
        </w:tc>
        <w:tc>
          <w:tcPr>
            <w:tcW w:w="1667" w:type="pct"/>
            <w:vAlign w:val="center"/>
          </w:tcPr>
          <w:p>
            <w:pPr>
              <w:jc w:val="center"/>
              <w:rPr>
                <w:rFonts w:ascii="Times New Roman" w:hAnsi="Times New Roman" w:cs="Times New Roman"/>
                <w:sz w:val="21"/>
              </w:rPr>
            </w:pPr>
            <w:r>
              <w:rPr>
                <w:rFonts w:ascii="Times New Roman" w:hAnsi="Times New Roman" w:cs="Times New Roman"/>
                <w:sz w:val="21"/>
              </w:rPr>
              <w:t>镍及其化合物</w:t>
            </w:r>
          </w:p>
        </w:tc>
        <w:tc>
          <w:tcPr>
            <w:tcW w:w="1669" w:type="pct"/>
            <w:vAlign w:val="center"/>
          </w:tcPr>
          <w:p>
            <w:pPr>
              <w:jc w:val="center"/>
              <w:rPr>
                <w:rFonts w:ascii="Times New Roman" w:hAnsi="Times New Roman" w:cs="Times New Roman"/>
                <w:sz w:val="21"/>
              </w:rPr>
            </w:pPr>
            <w:r>
              <w:rPr>
                <w:rFonts w:ascii="Times New Roman" w:hAnsi="Times New Roman" w:cs="Times New Roman"/>
                <w:sz w:val="21"/>
                <w:szCs w:val="21"/>
              </w:rPr>
              <w:t>0.324kg/a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vAlign w:val="center"/>
          </w:tcPr>
          <w:p>
            <w:pPr>
              <w:pStyle w:val="63"/>
            </w:pPr>
            <w:r>
              <w:t>5</w:t>
            </w:r>
          </w:p>
        </w:tc>
        <w:tc>
          <w:tcPr>
            <w:tcW w:w="1667" w:type="pct"/>
            <w:vAlign w:val="center"/>
          </w:tcPr>
          <w:p>
            <w:pPr>
              <w:jc w:val="center"/>
              <w:rPr>
                <w:rFonts w:ascii="Times New Roman" w:hAnsi="Times New Roman" w:cs="Times New Roman"/>
                <w:sz w:val="21"/>
              </w:rPr>
            </w:pPr>
            <w:r>
              <w:rPr>
                <w:rFonts w:ascii="Times New Roman" w:hAnsi="Times New Roman" w:cs="Times New Roman"/>
                <w:sz w:val="21"/>
              </w:rPr>
              <w:t>钴及其化合物</w:t>
            </w:r>
          </w:p>
        </w:tc>
        <w:tc>
          <w:tcPr>
            <w:tcW w:w="1669" w:type="pct"/>
            <w:vAlign w:val="center"/>
          </w:tcPr>
          <w:p>
            <w:pPr>
              <w:jc w:val="center"/>
              <w:rPr>
                <w:rFonts w:ascii="Times New Roman" w:hAnsi="Times New Roman" w:cs="Times New Roman"/>
                <w:sz w:val="21"/>
              </w:rPr>
            </w:pPr>
            <w:r>
              <w:rPr>
                <w:rFonts w:ascii="Times New Roman" w:hAnsi="Times New Roman" w:cs="Times New Roman"/>
                <w:sz w:val="21"/>
                <w:szCs w:val="21"/>
              </w:rPr>
              <w:t>0.128kg/a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vAlign w:val="center"/>
          </w:tcPr>
          <w:p>
            <w:pPr>
              <w:pStyle w:val="63"/>
            </w:pPr>
            <w:r>
              <w:t>6</w:t>
            </w:r>
          </w:p>
        </w:tc>
        <w:tc>
          <w:tcPr>
            <w:tcW w:w="1667" w:type="pct"/>
            <w:vAlign w:val="center"/>
          </w:tcPr>
          <w:p>
            <w:pPr>
              <w:jc w:val="center"/>
              <w:rPr>
                <w:rFonts w:ascii="Times New Roman" w:hAnsi="Times New Roman" w:cs="Times New Roman"/>
                <w:sz w:val="21"/>
              </w:rPr>
            </w:pPr>
            <w:r>
              <w:rPr>
                <w:rFonts w:ascii="Times New Roman" w:hAnsi="Times New Roman" w:cs="Times New Roman"/>
                <w:sz w:val="21"/>
              </w:rPr>
              <w:t>锰及其化合物</w:t>
            </w:r>
          </w:p>
        </w:tc>
        <w:tc>
          <w:tcPr>
            <w:tcW w:w="1669" w:type="pct"/>
            <w:vAlign w:val="center"/>
          </w:tcPr>
          <w:p>
            <w:pPr>
              <w:jc w:val="center"/>
              <w:rPr>
                <w:rFonts w:ascii="Times New Roman" w:hAnsi="Times New Roman" w:cs="Times New Roman"/>
                <w:sz w:val="21"/>
              </w:rPr>
            </w:pPr>
            <w:r>
              <w:rPr>
                <w:rFonts w:ascii="Times New Roman" w:hAnsi="Times New Roman" w:cs="Times New Roman"/>
                <w:sz w:val="21"/>
                <w:szCs w:val="21"/>
              </w:rPr>
              <w:t>0.196kg/a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vAlign w:val="center"/>
          </w:tcPr>
          <w:p>
            <w:pPr>
              <w:pStyle w:val="63"/>
            </w:pPr>
            <w:r>
              <w:rPr>
                <w:rFonts w:hint="eastAsia"/>
              </w:rPr>
              <w:t>7</w:t>
            </w:r>
          </w:p>
        </w:tc>
        <w:tc>
          <w:tcPr>
            <w:tcW w:w="1667" w:type="pct"/>
            <w:vAlign w:val="center"/>
          </w:tcPr>
          <w:p>
            <w:pPr>
              <w:jc w:val="center"/>
              <w:rPr>
                <w:rFonts w:ascii="Times New Roman" w:hAnsi="Times New Roman" w:cs="Times New Roman"/>
                <w:sz w:val="21"/>
              </w:rPr>
            </w:pPr>
            <w:r>
              <w:rPr>
                <w:rFonts w:ascii="Times New Roman" w:hAnsi="Times New Roman" w:cs="Times New Roman"/>
                <w:sz w:val="21"/>
              </w:rPr>
              <w:t>SO2</w:t>
            </w:r>
          </w:p>
        </w:tc>
        <w:tc>
          <w:tcPr>
            <w:tcW w:w="1669" w:type="pct"/>
            <w:vAlign w:val="center"/>
          </w:tcPr>
          <w:p>
            <w:pPr>
              <w:pStyle w:val="63"/>
            </w:pPr>
            <w:r>
              <w:t>1.06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vAlign w:val="center"/>
          </w:tcPr>
          <w:p>
            <w:pPr>
              <w:pStyle w:val="63"/>
            </w:pPr>
            <w:r>
              <w:t>8</w:t>
            </w:r>
          </w:p>
        </w:tc>
        <w:tc>
          <w:tcPr>
            <w:tcW w:w="1667" w:type="pct"/>
            <w:vAlign w:val="center"/>
          </w:tcPr>
          <w:p>
            <w:pPr>
              <w:jc w:val="center"/>
              <w:rPr>
                <w:rFonts w:ascii="Times New Roman" w:hAnsi="Times New Roman" w:cs="Times New Roman"/>
                <w:sz w:val="21"/>
              </w:rPr>
            </w:pPr>
            <w:r>
              <w:rPr>
                <w:rFonts w:ascii="Times New Roman" w:hAnsi="Times New Roman" w:cs="Times New Roman"/>
                <w:sz w:val="21"/>
              </w:rPr>
              <w:t>NOx</w:t>
            </w:r>
          </w:p>
        </w:tc>
        <w:tc>
          <w:tcPr>
            <w:tcW w:w="1669" w:type="pct"/>
            <w:vAlign w:val="center"/>
          </w:tcPr>
          <w:p>
            <w:pPr>
              <w:pStyle w:val="63"/>
            </w:pPr>
            <w:r>
              <w:t>14.47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vAlign w:val="center"/>
          </w:tcPr>
          <w:p>
            <w:pPr>
              <w:pStyle w:val="63"/>
            </w:pPr>
            <w:r>
              <w:rPr>
                <w:rFonts w:hint="eastAsia"/>
              </w:rPr>
              <w:t>9</w:t>
            </w:r>
          </w:p>
        </w:tc>
        <w:tc>
          <w:tcPr>
            <w:tcW w:w="1667" w:type="pct"/>
            <w:vAlign w:val="center"/>
          </w:tcPr>
          <w:p>
            <w:pPr>
              <w:jc w:val="center"/>
              <w:rPr>
                <w:rFonts w:ascii="Times New Roman" w:hAnsi="Times New Roman" w:cs="Times New Roman"/>
                <w:sz w:val="21"/>
              </w:rPr>
            </w:pPr>
            <w:r>
              <w:t>硫酸雾</w:t>
            </w:r>
          </w:p>
        </w:tc>
        <w:tc>
          <w:tcPr>
            <w:tcW w:w="1669" w:type="pct"/>
            <w:vAlign w:val="center"/>
          </w:tcPr>
          <w:p>
            <w:pPr>
              <w:pStyle w:val="63"/>
            </w:pPr>
            <w:r>
              <w:t>4.20</w:t>
            </w:r>
          </w:p>
        </w:tc>
      </w:tr>
    </w:tbl>
    <w:p>
      <w:pPr>
        <w:pStyle w:val="5"/>
        <w:ind w:firstLine="482"/>
        <w:rPr>
          <w:rFonts w:ascii="Times New Roman" w:hAnsi="Times New Roman" w:cs="Times New Roman" w:eastAsiaTheme="minorEastAsia"/>
        </w:rPr>
      </w:pPr>
      <w:r>
        <w:rPr>
          <w:rFonts w:ascii="Times New Roman" w:hAnsi="Times New Roman" w:cs="Times New Roman" w:eastAsiaTheme="minorEastAsia"/>
        </w:rPr>
        <w:t>6.2.1.11 食堂油烟</w:t>
      </w:r>
    </w:p>
    <w:p>
      <w:pPr>
        <w:spacing w:line="360" w:lineRule="auto"/>
        <w:ind w:firstLine="480" w:firstLineChars="200"/>
        <w:rPr>
          <w:rFonts w:ascii="Times New Roman" w:hAnsi="Times New Roman" w:cs="Times New Roman"/>
        </w:rPr>
      </w:pPr>
      <w:r>
        <w:rPr>
          <w:rFonts w:ascii="Times New Roman" w:hAnsi="Times New Roman" w:cs="Times New Roman"/>
        </w:rPr>
        <w:t>根据前述分析可知，本项目食堂油烟排放浓度为1.88mg/m</w:t>
      </w:r>
      <w:r>
        <w:rPr>
          <w:rFonts w:ascii="Times New Roman" w:hAnsi="Times New Roman" w:cs="Times New Roman"/>
          <w:vertAlign w:val="superscript"/>
        </w:rPr>
        <w:t>3</w:t>
      </w:r>
      <w:r>
        <w:rPr>
          <w:rFonts w:ascii="Times New Roman" w:hAnsi="Times New Roman" w:cs="Times New Roman"/>
        </w:rPr>
        <w:t>，其可满足《饮食业油烟排放标准(试行)》（GB18483-2001）的浓度限值要求（2.0mg/m</w:t>
      </w:r>
      <w:r>
        <w:rPr>
          <w:rFonts w:ascii="Times New Roman" w:hAnsi="Times New Roman" w:cs="Times New Roman"/>
          <w:vertAlign w:val="superscript"/>
        </w:rPr>
        <w:t>3</w:t>
      </w:r>
      <w:r>
        <w:rPr>
          <w:rFonts w:ascii="Times New Roman" w:hAnsi="Times New Roman" w:cs="Times New Roman"/>
        </w:rPr>
        <w:t>）。其对周围环境影响较小。</w:t>
      </w:r>
    </w:p>
    <w:bookmarkEnd w:id="336"/>
    <w:p>
      <w:pPr>
        <w:pStyle w:val="4"/>
        <w:rPr>
          <w:rFonts w:ascii="Times New Roman" w:hAnsi="Times New Roman" w:cs="Times New Roman"/>
        </w:rPr>
      </w:pPr>
      <w:bookmarkStart w:id="340" w:name="_Toc144276938"/>
      <w:bookmarkStart w:id="341" w:name="_Toc147848056"/>
      <w:bookmarkStart w:id="342" w:name="_Toc144236808"/>
      <w:r>
        <w:rPr>
          <w:rFonts w:ascii="Times New Roman" w:hAnsi="Times New Roman" w:cs="Times New Roman"/>
        </w:rPr>
        <w:t>6.2.2 运营期地表水环境影响分析</w:t>
      </w:r>
      <w:bookmarkEnd w:id="340"/>
      <w:bookmarkEnd w:id="341"/>
      <w:bookmarkEnd w:id="342"/>
    </w:p>
    <w:p>
      <w:pPr>
        <w:spacing w:line="360" w:lineRule="auto"/>
        <w:ind w:firstLine="480" w:firstLineChars="200"/>
        <w:rPr>
          <w:rFonts w:ascii="Times New Roman" w:hAnsi="Times New Roman" w:cs="Times New Roman"/>
        </w:rPr>
      </w:pPr>
      <w:r>
        <w:rPr>
          <w:rFonts w:ascii="Times New Roman" w:hAnsi="Times New Roman" w:cs="Times New Roman"/>
        </w:rPr>
        <w:t>本项目地表水评价等级为水污染影响型三级B，根据《环境影响评价技术导则地表水环境》（HJ2.3-2018），水污染影响型三级B评价可不进行水环境影响预测，主要评价内容包括：</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hint="eastAsia" w:ascii="宋体" w:hAnsi="宋体" w:eastAsia="宋体" w:cs="宋体"/>
        </w:rPr>
        <w:t>①</w:t>
      </w:r>
      <w:r>
        <w:rPr>
          <w:rFonts w:ascii="Times New Roman" w:hAnsi="Times New Roman" w:cs="Times New Roman"/>
        </w:rPr>
        <w:fldChar w:fldCharType="end"/>
      </w:r>
      <w:r>
        <w:rPr>
          <w:rFonts w:ascii="Times New Roman" w:hAnsi="Times New Roman" w:cs="Times New Roman"/>
        </w:rPr>
        <w:t>水污染控制和水环境影响减缓措施有效性评价；</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hint="eastAsia" w:ascii="宋体" w:hAnsi="宋体" w:eastAsia="宋体" w:cs="宋体"/>
        </w:rPr>
        <w:t>②</w:t>
      </w:r>
      <w:r>
        <w:rPr>
          <w:rFonts w:ascii="Times New Roman" w:hAnsi="Times New Roman" w:cs="Times New Roman"/>
        </w:rPr>
        <w:fldChar w:fldCharType="end"/>
      </w:r>
      <w:r>
        <w:rPr>
          <w:rFonts w:ascii="Times New Roman" w:hAnsi="Times New Roman" w:cs="Times New Roman"/>
        </w:rPr>
        <w:t>依托污水处理设施的环境可行性评价。</w:t>
      </w:r>
    </w:p>
    <w:p>
      <w:pPr>
        <w:pStyle w:val="5"/>
        <w:ind w:firstLine="482"/>
        <w:rPr>
          <w:rFonts w:ascii="Times New Roman" w:hAnsi="Times New Roman" w:cs="Times New Roman" w:eastAsiaTheme="minorEastAsia"/>
        </w:rPr>
      </w:pPr>
      <w:r>
        <w:rPr>
          <w:rFonts w:ascii="Times New Roman" w:hAnsi="Times New Roman" w:cs="Times New Roman" w:eastAsiaTheme="minorEastAsia"/>
        </w:rPr>
        <w:t>6.2.2.1 水污染控制和水环境影响减缓措施有效性分析</w:t>
      </w:r>
    </w:p>
    <w:p>
      <w:pPr>
        <w:spacing w:line="360" w:lineRule="auto"/>
        <w:ind w:firstLine="480" w:firstLineChars="200"/>
        <w:rPr>
          <w:rFonts w:ascii="Times New Roman" w:hAnsi="Times New Roman" w:cs="Times New Roman"/>
        </w:rPr>
      </w:pPr>
      <w:bookmarkStart w:id="343" w:name="_Hlk90304581"/>
      <w:r>
        <w:rPr>
          <w:rFonts w:ascii="Times New Roman" w:hAnsi="Times New Roman" w:cs="Times New Roman"/>
        </w:rPr>
        <w:t>本项目废水主要有纯水制备废水、锅炉排污水、生产废水（三级水喷淋废水、裂解烟气碱液喷淋塔废水、浸出车间铁铝渣和铜渣洗涤废水、浸出车间酸雾洗涤废水、萃取车间酸雾洗涤废水、蒸发结晶离心分离废水）、地面冲洗废水、初期雨水以及员工生活污水。</w:t>
      </w:r>
    </w:p>
    <w:p>
      <w:pPr>
        <w:spacing w:line="360" w:lineRule="auto"/>
        <w:ind w:firstLine="480" w:firstLineChars="200"/>
        <w:rPr>
          <w:rFonts w:ascii="Times New Roman" w:hAnsi="Times New Roman" w:cs="Times New Roman"/>
        </w:rPr>
      </w:pPr>
      <w:r>
        <w:rPr>
          <w:rFonts w:ascii="Times New Roman" w:hAnsi="Times New Roman" w:cs="Times New Roman"/>
        </w:rPr>
        <w:t>（1）生产废水</w:t>
      </w:r>
    </w:p>
    <w:p>
      <w:pPr>
        <w:spacing w:line="360" w:lineRule="auto"/>
        <w:ind w:firstLine="480" w:firstLineChars="200"/>
        <w:rPr>
          <w:rFonts w:ascii="Times New Roman" w:hAnsi="Times New Roman" w:cs="Times New Roman"/>
        </w:rPr>
      </w:pPr>
      <w:r>
        <w:rPr>
          <w:rFonts w:ascii="Times New Roman" w:hAnsi="Times New Roman" w:cs="Times New Roman"/>
        </w:rPr>
        <w:t>本项目纯水制备废水、锅炉排污水、浸出车间酸雾洗涤废水、萃取车间酸雾洗涤废水、蒸发结晶离心分离废水、地面冲洗废水、初期雨水经厂区废水处理站处理后全部回用，不外排；预处理车间废气处理废水经预处理车间旁的除氟设施处理全部回用于废气预处理车间，不外排；浸出车间铁铝渣和铜渣洗涤废水送至浸出车间的制浆工序，不外排。</w:t>
      </w:r>
    </w:p>
    <w:p>
      <w:pPr>
        <w:spacing w:line="360" w:lineRule="auto"/>
        <w:ind w:firstLine="480" w:firstLineChars="200"/>
        <w:rPr>
          <w:rFonts w:ascii="Times New Roman" w:hAnsi="Times New Roman" w:cs="Times New Roman"/>
        </w:rPr>
      </w:pPr>
      <w:r>
        <w:rPr>
          <w:rFonts w:ascii="Times New Roman" w:hAnsi="Times New Roman" w:cs="Times New Roman"/>
        </w:rPr>
        <w:t>（2）生活污水</w:t>
      </w:r>
    </w:p>
    <w:p>
      <w:pPr>
        <w:spacing w:line="360" w:lineRule="auto"/>
        <w:ind w:firstLine="480" w:firstLineChars="200"/>
        <w:rPr>
          <w:rFonts w:ascii="Times New Roman" w:hAnsi="Times New Roman" w:cs="Times New Roman"/>
        </w:rPr>
      </w:pPr>
      <w:r>
        <w:rPr>
          <w:rFonts w:ascii="Times New Roman" w:hAnsi="Times New Roman" w:cs="Times New Roman"/>
        </w:rPr>
        <w:t>本项目劳动定员188人，自有厂区生活污水产生量为6768m</w:t>
      </w:r>
      <w:r>
        <w:rPr>
          <w:rFonts w:ascii="Times New Roman" w:hAnsi="Times New Roman" w:cs="Times New Roman"/>
          <w:vertAlign w:val="superscript"/>
        </w:rPr>
        <w:t>3</w:t>
      </w:r>
      <w:r>
        <w:rPr>
          <w:rFonts w:ascii="Times New Roman" w:hAnsi="Times New Roman" w:cs="Times New Roman"/>
        </w:rPr>
        <w:t>/a，其经厂区化粪池处理满足《污水综合排放标准》（GB8978-1996）中“三级”标准后经市政污水管网排入园区污水处理厂进行深度处理。</w:t>
      </w:r>
    </w:p>
    <w:p>
      <w:pPr>
        <w:spacing w:line="360" w:lineRule="auto"/>
        <w:ind w:firstLine="480" w:firstLineChars="200"/>
      </w:pPr>
      <w:r>
        <w:rPr>
          <w:rFonts w:ascii="Times New Roman" w:hAnsi="Times New Roman" w:cs="Times New Roman"/>
        </w:rPr>
        <w:t>（</w:t>
      </w:r>
      <w:r>
        <w:rPr>
          <w:rFonts w:hint="eastAsia" w:ascii="Times New Roman" w:hAnsi="Times New Roman" w:cs="Times New Roman"/>
        </w:rPr>
        <w:t>3</w:t>
      </w:r>
      <w:r>
        <w:rPr>
          <w:rFonts w:ascii="Times New Roman" w:hAnsi="Times New Roman" w:cs="Times New Roman"/>
        </w:rPr>
        <w:t>）</w:t>
      </w:r>
      <w:r>
        <w:rPr>
          <w:rFonts w:hint="eastAsia"/>
        </w:rPr>
        <w:t>冷凝水</w:t>
      </w:r>
    </w:p>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根据项目工艺要求及用水分析，冷凝水可回用于三级水系、铁铝渣洗涤、反萃用水、地面冲洗，可用水量为</w:t>
      </w:r>
      <w:r>
        <w:rPr>
          <w:rFonts w:ascii="Times New Roman" w:hAnsi="Times New Roman" w:cs="Times New Roman"/>
          <w:u w:val="single"/>
        </w:rPr>
        <w:t>30070 m</w:t>
      </w:r>
      <w:r>
        <w:rPr>
          <w:rFonts w:ascii="Times New Roman" w:hAnsi="Times New Roman" w:cs="Times New Roman"/>
          <w:u w:val="single"/>
          <w:vertAlign w:val="superscript"/>
        </w:rPr>
        <w:t>3</w:t>
      </w:r>
      <w:r>
        <w:rPr>
          <w:rFonts w:ascii="Times New Roman" w:hAnsi="Times New Roman" w:cs="Times New Roman"/>
          <w:u w:val="single"/>
        </w:rPr>
        <w:t>/a</w:t>
      </w:r>
      <w:r>
        <w:rPr>
          <w:rFonts w:hint="eastAsia" w:ascii="Times New Roman" w:hAnsi="Times New Roman" w:cs="Times New Roman"/>
          <w:u w:val="single"/>
        </w:rPr>
        <w:t>，剩余</w:t>
      </w:r>
      <w:r>
        <w:rPr>
          <w:rFonts w:ascii="Times New Roman" w:hAnsi="Times New Roman" w:cs="Times New Roman"/>
          <w:u w:val="single"/>
        </w:rPr>
        <w:t>29930 m</w:t>
      </w:r>
      <w:r>
        <w:rPr>
          <w:rFonts w:ascii="Times New Roman" w:hAnsi="Times New Roman" w:cs="Times New Roman"/>
          <w:u w:val="single"/>
          <w:vertAlign w:val="superscript"/>
        </w:rPr>
        <w:t>3</w:t>
      </w:r>
      <w:r>
        <w:rPr>
          <w:rFonts w:ascii="Times New Roman" w:hAnsi="Times New Roman" w:cs="Times New Roman"/>
          <w:u w:val="single"/>
        </w:rPr>
        <w:t>/a</w:t>
      </w:r>
      <w:r>
        <w:rPr>
          <w:rFonts w:hint="eastAsia" w:ascii="Times New Roman" w:hAnsi="Times New Roman" w:cs="Times New Roman"/>
          <w:u w:val="single"/>
        </w:rPr>
        <w:t>（99.76</w:t>
      </w:r>
      <w:r>
        <w:rPr>
          <w:rFonts w:ascii="Times New Roman" w:hAnsi="Times New Roman" w:cs="Times New Roman"/>
          <w:u w:val="single"/>
        </w:rPr>
        <w:t xml:space="preserve"> m</w:t>
      </w:r>
      <w:r>
        <w:rPr>
          <w:rFonts w:ascii="Times New Roman" w:hAnsi="Times New Roman" w:cs="Times New Roman"/>
          <w:u w:val="single"/>
          <w:vertAlign w:val="superscript"/>
        </w:rPr>
        <w:t>3</w:t>
      </w:r>
      <w:r>
        <w:rPr>
          <w:rFonts w:ascii="Times New Roman" w:hAnsi="Times New Roman" w:cs="Times New Roman"/>
          <w:u w:val="single"/>
        </w:rPr>
        <w:t>/</w:t>
      </w:r>
      <w:r>
        <w:rPr>
          <w:rFonts w:hint="eastAsia" w:ascii="Times New Roman" w:hAnsi="Times New Roman" w:cs="Times New Roman"/>
          <w:u w:val="single"/>
        </w:rPr>
        <w:t>d）冷凝水需外排，冷凝水水质符合《无机化学工业污染物排放标准》（GB31573-2015），可以</w:t>
      </w:r>
      <w:r>
        <w:rPr>
          <w:rFonts w:ascii="Times New Roman" w:hAnsi="Times New Roman" w:cs="Times New Roman"/>
          <w:u w:val="single"/>
        </w:rPr>
        <w:t>经市政污水管网排入园区污水处理厂进行深度处理。</w:t>
      </w:r>
    </w:p>
    <w:bookmarkEnd w:id="343"/>
    <w:p>
      <w:pPr>
        <w:pStyle w:val="5"/>
        <w:ind w:firstLine="482"/>
        <w:rPr>
          <w:rFonts w:ascii="Times New Roman" w:hAnsi="Times New Roman" w:cs="Times New Roman" w:eastAsiaTheme="minorEastAsia"/>
          <w:u w:val="single"/>
        </w:rPr>
      </w:pPr>
      <w:r>
        <w:rPr>
          <w:rFonts w:ascii="Times New Roman" w:hAnsi="Times New Roman" w:cs="Times New Roman" w:eastAsiaTheme="minorEastAsia"/>
          <w:u w:val="single"/>
        </w:rPr>
        <w:t>6.2.2.2 依托园区污水处理厂处理可行性分析</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（1）园区污水处理厂的可行性分析</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fldChar w:fldCharType="begin"/>
      </w:r>
      <w:r>
        <w:rPr>
          <w:rFonts w:ascii="Times New Roman" w:hAnsi="Times New Roman" w:cs="Times New Roman"/>
          <w:u w:val="single"/>
        </w:rPr>
        <w:instrText xml:space="preserve"> = 1 \* GB3 </w:instrText>
      </w:r>
      <w:r>
        <w:rPr>
          <w:rFonts w:ascii="Times New Roman" w:hAnsi="Times New Roman" w:cs="Times New Roman"/>
          <w:u w:val="single"/>
        </w:rPr>
        <w:fldChar w:fldCharType="separate"/>
      </w:r>
      <w:r>
        <w:rPr>
          <w:rFonts w:hint="eastAsia" w:ascii="宋体" w:hAnsi="宋体" w:eastAsia="宋体" w:cs="宋体"/>
          <w:u w:val="single"/>
        </w:rPr>
        <w:t>①</w:t>
      </w:r>
      <w:r>
        <w:rPr>
          <w:rFonts w:ascii="Times New Roman" w:hAnsi="Times New Roman" w:cs="Times New Roman"/>
          <w:u w:val="single"/>
        </w:rPr>
        <w:fldChar w:fldCharType="end"/>
      </w:r>
      <w:r>
        <w:rPr>
          <w:rFonts w:ascii="Times New Roman" w:hAnsi="Times New Roman" w:cs="Times New Roman"/>
          <w:u w:val="single"/>
        </w:rPr>
        <w:t xml:space="preserve">工业园污水处理厂概况 </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大浦污水处理厂（一期）工程建设规模1万m</w:t>
      </w:r>
      <w:r>
        <w:rPr>
          <w:rFonts w:ascii="Times New Roman" w:hAnsi="Times New Roman" w:cs="Times New Roman"/>
          <w:u w:val="single"/>
          <w:vertAlign w:val="superscript"/>
        </w:rPr>
        <w:t>3</w:t>
      </w:r>
      <w:r>
        <w:rPr>
          <w:rFonts w:ascii="Times New Roman" w:hAnsi="Times New Roman" w:cs="Times New Roman"/>
          <w:u w:val="single"/>
        </w:rPr>
        <w:t>/d，一般污水处理工艺采用“预处理+水解酸化+CASS池+活性砂过滤池”，设计出水水质达到《城镇污水处理厂污染物排放标准》（GB18918-2002）中一级A标准要求，出水排入湘江。</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fldChar w:fldCharType="begin"/>
      </w:r>
      <w:r>
        <w:rPr>
          <w:rFonts w:ascii="Times New Roman" w:hAnsi="Times New Roman" w:cs="Times New Roman"/>
          <w:u w:val="single"/>
        </w:rPr>
        <w:instrText xml:space="preserve"> = 2 \* GB3 </w:instrText>
      </w:r>
      <w:r>
        <w:rPr>
          <w:rFonts w:ascii="Times New Roman" w:hAnsi="Times New Roman" w:cs="Times New Roman"/>
          <w:u w:val="single"/>
        </w:rPr>
        <w:fldChar w:fldCharType="separate"/>
      </w:r>
      <w:r>
        <w:rPr>
          <w:rFonts w:hint="eastAsia" w:ascii="宋体" w:hAnsi="宋体" w:eastAsia="宋体" w:cs="宋体"/>
          <w:u w:val="single"/>
        </w:rPr>
        <w:t>②</w:t>
      </w:r>
      <w:r>
        <w:rPr>
          <w:rFonts w:ascii="Times New Roman" w:hAnsi="Times New Roman" w:cs="Times New Roman"/>
          <w:u w:val="single"/>
        </w:rPr>
        <w:fldChar w:fldCharType="end"/>
      </w:r>
      <w:r>
        <w:rPr>
          <w:rFonts w:ascii="Times New Roman" w:hAnsi="Times New Roman" w:cs="Times New Roman"/>
          <w:u w:val="single"/>
        </w:rPr>
        <w:t>废水量接纳可行性分析</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本项目外排生活污水量为23.97m</w:t>
      </w:r>
      <w:r>
        <w:rPr>
          <w:rFonts w:ascii="Times New Roman" w:hAnsi="Times New Roman" w:cs="Times New Roman"/>
          <w:u w:val="single"/>
          <w:vertAlign w:val="superscript"/>
        </w:rPr>
        <w:t>3</w:t>
      </w:r>
      <w:r>
        <w:rPr>
          <w:rFonts w:ascii="Times New Roman" w:hAnsi="Times New Roman" w:cs="Times New Roman"/>
          <w:u w:val="single"/>
        </w:rPr>
        <w:t>/d，</w:t>
      </w:r>
      <w:r>
        <w:rPr>
          <w:rFonts w:hint="eastAsia" w:ascii="Times New Roman" w:hAnsi="Times New Roman" w:cs="Times New Roman"/>
          <w:u w:val="single"/>
        </w:rPr>
        <w:t>冷凝水水量为99.76</w:t>
      </w:r>
      <w:r>
        <w:rPr>
          <w:rFonts w:ascii="Times New Roman" w:hAnsi="Times New Roman" w:cs="Times New Roman"/>
          <w:u w:val="single"/>
        </w:rPr>
        <w:t xml:space="preserve"> m</w:t>
      </w:r>
      <w:r>
        <w:rPr>
          <w:rFonts w:ascii="Times New Roman" w:hAnsi="Times New Roman" w:cs="Times New Roman"/>
          <w:u w:val="single"/>
          <w:vertAlign w:val="superscript"/>
        </w:rPr>
        <w:t>3</w:t>
      </w:r>
      <w:r>
        <w:rPr>
          <w:rFonts w:ascii="Times New Roman" w:hAnsi="Times New Roman" w:cs="Times New Roman"/>
          <w:u w:val="single"/>
        </w:rPr>
        <w:t>/</w:t>
      </w:r>
      <w:r>
        <w:rPr>
          <w:rFonts w:hint="eastAsia" w:ascii="Times New Roman" w:hAnsi="Times New Roman" w:cs="Times New Roman"/>
          <w:u w:val="single"/>
        </w:rPr>
        <w:t>d，</w:t>
      </w:r>
      <w:r>
        <w:rPr>
          <w:rFonts w:ascii="Times New Roman" w:hAnsi="Times New Roman" w:cs="Times New Roman"/>
          <w:u w:val="single"/>
        </w:rPr>
        <w:t>园区污水处理厂处理规模为10000m</w:t>
      </w:r>
      <w:r>
        <w:rPr>
          <w:rFonts w:ascii="Times New Roman" w:hAnsi="Times New Roman" w:cs="Times New Roman"/>
          <w:u w:val="single"/>
          <w:vertAlign w:val="superscript"/>
        </w:rPr>
        <w:t>3</w:t>
      </w:r>
      <w:r>
        <w:rPr>
          <w:rFonts w:ascii="Times New Roman" w:hAnsi="Times New Roman" w:cs="Times New Roman"/>
          <w:u w:val="single"/>
        </w:rPr>
        <w:t>/d，根据该</w:t>
      </w:r>
      <w:r>
        <w:rPr>
          <w:rFonts w:hint="eastAsia" w:ascii="Times New Roman" w:hAnsi="Times New Roman" w:cs="Times New Roman"/>
          <w:u w:val="single"/>
          <w:lang w:eastAsia="zh-CN"/>
        </w:rPr>
        <w:t>污水处理厂</w:t>
      </w:r>
      <w:r>
        <w:rPr>
          <w:rFonts w:ascii="Times New Roman" w:hAnsi="Times New Roman" w:cs="Times New Roman"/>
          <w:u w:val="single"/>
        </w:rPr>
        <w:t>的调查数据，现状实际处理量为6500m</w:t>
      </w:r>
      <w:r>
        <w:rPr>
          <w:rFonts w:ascii="Times New Roman" w:hAnsi="Times New Roman" w:cs="Times New Roman"/>
          <w:u w:val="single"/>
          <w:vertAlign w:val="superscript"/>
        </w:rPr>
        <w:t>3</w:t>
      </w:r>
      <w:r>
        <w:rPr>
          <w:rFonts w:ascii="Times New Roman" w:hAnsi="Times New Roman" w:cs="Times New Roman"/>
          <w:u w:val="single"/>
        </w:rPr>
        <w:t>/d，尚有约35%的富余处理能力，本项目废水量占该污水处理厂处理量的</w:t>
      </w:r>
      <w:r>
        <w:rPr>
          <w:rFonts w:hint="eastAsia" w:ascii="Times New Roman" w:hAnsi="Times New Roman" w:cs="Times New Roman"/>
          <w:u w:val="single"/>
        </w:rPr>
        <w:t>1.23</w:t>
      </w:r>
      <w:r>
        <w:rPr>
          <w:rFonts w:ascii="Times New Roman" w:hAnsi="Times New Roman" w:cs="Times New Roman"/>
          <w:u w:val="single"/>
        </w:rPr>
        <w:t>%，占比很低，能满足水量的接纳要求。</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fldChar w:fldCharType="begin"/>
      </w:r>
      <w:r>
        <w:rPr>
          <w:rFonts w:ascii="Times New Roman" w:hAnsi="Times New Roman" w:cs="Times New Roman"/>
          <w:u w:val="single"/>
        </w:rPr>
        <w:instrText xml:space="preserve"> = 3 \* GB3 </w:instrText>
      </w:r>
      <w:r>
        <w:rPr>
          <w:rFonts w:ascii="Times New Roman" w:hAnsi="Times New Roman" w:cs="Times New Roman"/>
          <w:u w:val="single"/>
        </w:rPr>
        <w:fldChar w:fldCharType="separate"/>
      </w:r>
      <w:r>
        <w:rPr>
          <w:rFonts w:hint="eastAsia" w:ascii="宋体" w:hAnsi="宋体" w:eastAsia="宋体" w:cs="宋体"/>
          <w:u w:val="single"/>
        </w:rPr>
        <w:t>③</w:t>
      </w:r>
      <w:r>
        <w:rPr>
          <w:rFonts w:ascii="Times New Roman" w:hAnsi="Times New Roman" w:cs="Times New Roman"/>
          <w:u w:val="single"/>
        </w:rPr>
        <w:fldChar w:fldCharType="end"/>
      </w:r>
      <w:r>
        <w:rPr>
          <w:rFonts w:ascii="Times New Roman" w:hAnsi="Times New Roman" w:cs="Times New Roman"/>
          <w:u w:val="single"/>
        </w:rPr>
        <w:t>进水水质保证分析</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项目生活污水经化粪池预处理后，其水质可满足生活污水处理厂纳管标准——《污水综合排放标准》（GB8978-1996）表4中三级排放标准</w:t>
      </w:r>
      <w:r>
        <w:rPr>
          <w:rFonts w:hint="eastAsia" w:ascii="Times New Roman" w:hAnsi="Times New Roman" w:cs="Times New Roman"/>
          <w:u w:val="single"/>
        </w:rPr>
        <w:t>，冷凝水水质符合《无机化学工业污染物排放标准》（GB31573-2015）。</w:t>
      </w:r>
    </w:p>
    <w:p>
      <w:pPr>
        <w:spacing w:line="360" w:lineRule="auto"/>
        <w:ind w:firstLine="480" w:firstLineChars="200"/>
        <w:rPr>
          <w:rFonts w:ascii="Times New Roman" w:hAnsi="Times New Roman" w:cs="Times New Roman"/>
        </w:rPr>
      </w:pPr>
      <w:r>
        <w:rPr>
          <w:rFonts w:ascii="Times New Roman" w:hAnsi="Times New Roman" w:cs="Times New Roman"/>
        </w:rPr>
        <w:t>综合以上分析可知，本项目位于湖南衡东经济开发区现有的</w:t>
      </w:r>
      <w:r>
        <w:rPr>
          <w:rFonts w:hint="eastAsia" w:ascii="Times New Roman" w:hAnsi="Times New Roman" w:cs="Times New Roman"/>
          <w:lang w:eastAsia="zh-CN"/>
        </w:rPr>
        <w:t>污水处理厂</w:t>
      </w:r>
      <w:r>
        <w:rPr>
          <w:rFonts w:ascii="Times New Roman" w:hAnsi="Times New Roman" w:cs="Times New Roman"/>
        </w:rPr>
        <w:t>的纳污范围内，生活污水占园区生活</w:t>
      </w:r>
      <w:r>
        <w:rPr>
          <w:rFonts w:hint="eastAsia" w:ascii="Times New Roman" w:hAnsi="Times New Roman" w:cs="Times New Roman"/>
          <w:lang w:eastAsia="zh-CN"/>
        </w:rPr>
        <w:t>污水处理厂</w:t>
      </w:r>
      <w:r>
        <w:rPr>
          <w:rFonts w:ascii="Times New Roman" w:hAnsi="Times New Roman" w:cs="Times New Roman"/>
        </w:rPr>
        <w:t>剩余处理能力的</w:t>
      </w:r>
      <w:r>
        <w:rPr>
          <w:rFonts w:hint="eastAsia" w:ascii="Times New Roman" w:hAnsi="Times New Roman" w:cs="Times New Roman"/>
        </w:rPr>
        <w:t>1.23</w:t>
      </w:r>
      <w:r>
        <w:rPr>
          <w:rFonts w:ascii="Times New Roman" w:hAnsi="Times New Roman" w:cs="Times New Roman"/>
        </w:rPr>
        <w:t>%，占比低，能满足水量的接纳要求；本项目厂区处理后的生活污水满足园区污水处理厂的纳管标准，经园区生活</w:t>
      </w:r>
      <w:r>
        <w:rPr>
          <w:rFonts w:hint="eastAsia" w:ascii="Times New Roman" w:hAnsi="Times New Roman" w:cs="Times New Roman"/>
          <w:lang w:eastAsia="zh-CN"/>
        </w:rPr>
        <w:t>污水处理厂</w:t>
      </w:r>
      <w:r>
        <w:rPr>
          <w:rFonts w:ascii="Times New Roman" w:hAnsi="Times New Roman" w:cs="Times New Roman"/>
        </w:rPr>
        <w:t>分别深度处理后均达标排放，对湘江水质影响很小。</w:t>
      </w:r>
    </w:p>
    <w:p>
      <w:pPr>
        <w:spacing w:line="360" w:lineRule="auto"/>
        <w:ind w:firstLine="480" w:firstLineChars="200"/>
        <w:rPr>
          <w:rFonts w:ascii="Times New Roman" w:hAnsi="Times New Roman" w:cs="Times New Roman"/>
        </w:rPr>
      </w:pPr>
      <w:r>
        <w:rPr>
          <w:rFonts w:ascii="Times New Roman" w:hAnsi="Times New Roman" w:cs="Times New Roman"/>
        </w:rPr>
        <w:t>综上，本项目自有厂区生活污水经厂区化粪池处理后排入园区污水处理厂，对周围环境影响较小。</w:t>
      </w:r>
    </w:p>
    <w:p>
      <w:pPr>
        <w:spacing w:line="360" w:lineRule="auto"/>
        <w:ind w:firstLine="482" w:firstLineChars="200"/>
        <w:rPr>
          <w:rFonts w:ascii="Times New Roman" w:hAnsi="Times New Roman" w:cs="Times New Roman"/>
          <w:b/>
          <w:kern w:val="0"/>
        </w:rPr>
      </w:pPr>
      <w:r>
        <w:rPr>
          <w:rFonts w:ascii="Times New Roman" w:hAnsi="Times New Roman" w:cs="Times New Roman"/>
          <w:b/>
          <w:bCs/>
        </w:rPr>
        <w:t>4、</w:t>
      </w:r>
      <w:r>
        <w:rPr>
          <w:rFonts w:ascii="Times New Roman" w:hAnsi="Times New Roman" w:cs="Times New Roman"/>
          <w:b/>
          <w:kern w:val="0"/>
        </w:rPr>
        <w:t>废水类别、污染物及污染治理设施情况</w:t>
      </w:r>
    </w:p>
    <w:p>
      <w:pPr>
        <w:spacing w:line="360" w:lineRule="auto"/>
        <w:ind w:firstLine="480" w:firstLineChars="200"/>
        <w:rPr>
          <w:rFonts w:ascii="Times New Roman" w:hAnsi="Times New Roman" w:cs="Times New Roman"/>
          <w:kern w:val="0"/>
        </w:rPr>
      </w:pPr>
      <w:r>
        <w:rPr>
          <w:rFonts w:ascii="Times New Roman" w:hAnsi="Times New Roman" w:cs="Times New Roman"/>
          <w:kern w:val="0"/>
        </w:rPr>
        <w:t>本项目废水类别、污染物及污染治理设施情况见</w:t>
      </w:r>
      <w:r>
        <w:rPr>
          <w:rFonts w:hint="eastAsia" w:ascii="Times New Roman" w:hAnsi="Times New Roman" w:cs="Times New Roman"/>
          <w:kern w:val="0"/>
        </w:rPr>
        <w:t>下表</w:t>
      </w:r>
      <w:r>
        <w:rPr>
          <w:rFonts w:ascii="Times New Roman" w:hAnsi="Times New Roman" w:cs="Times New Roman"/>
          <w:kern w:val="0"/>
        </w:rPr>
        <w:t>。</w:t>
      </w:r>
    </w:p>
    <w:p>
      <w:pPr>
        <w:spacing w:line="360" w:lineRule="auto"/>
        <w:ind w:firstLine="482" w:firstLineChars="200"/>
        <w:jc w:val="center"/>
        <w:rPr>
          <w:rFonts w:ascii="Times New Roman" w:hAnsi="Times New Roman" w:cs="Times New Roman"/>
          <w:b/>
          <w:bCs/>
          <w:u w:val="single"/>
        </w:rPr>
      </w:pPr>
      <w:r>
        <w:rPr>
          <w:rFonts w:ascii="Times New Roman" w:hAnsi="Times New Roman" w:cs="Times New Roman"/>
          <w:b/>
          <w:bCs/>
          <w:u w:val="single"/>
        </w:rPr>
        <w:t>表6</w:t>
      </w:r>
      <w:r>
        <w:rPr>
          <w:rFonts w:hint="eastAsia" w:ascii="Times New Roman" w:hAnsi="Times New Roman" w:cs="Times New Roman"/>
          <w:b/>
          <w:bCs/>
          <w:u w:val="single"/>
        </w:rPr>
        <w:t>.2.2</w:t>
      </w:r>
      <w:r>
        <w:rPr>
          <w:rFonts w:ascii="Times New Roman" w:hAnsi="Times New Roman" w:cs="Times New Roman"/>
          <w:b/>
          <w:bCs/>
          <w:u w:val="single"/>
        </w:rPr>
        <w:t>-1  废水类别、污染物及污染治理设施信息表</w:t>
      </w:r>
    </w:p>
    <w:tbl>
      <w:tblPr>
        <w:tblStyle w:val="35"/>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26"/>
        <w:gridCol w:w="443"/>
        <w:gridCol w:w="811"/>
        <w:gridCol w:w="472"/>
        <w:gridCol w:w="1163"/>
        <w:gridCol w:w="588"/>
        <w:gridCol w:w="670"/>
        <w:gridCol w:w="714"/>
        <w:gridCol w:w="881"/>
        <w:gridCol w:w="848"/>
        <w:gridCol w:w="150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250" w:type="pct"/>
            <w:vMerge w:val="restart"/>
            <w:vAlign w:val="center"/>
          </w:tcPr>
          <w:p>
            <w:pPr>
              <w:pStyle w:val="63"/>
              <w:rPr>
                <w:u w:val="single"/>
              </w:rPr>
            </w:pPr>
            <w:r>
              <w:rPr>
                <w:u w:val="single"/>
              </w:rPr>
              <w:t>序号</w:t>
            </w:r>
          </w:p>
        </w:tc>
        <w:tc>
          <w:tcPr>
            <w:tcW w:w="260" w:type="pct"/>
            <w:vMerge w:val="restart"/>
            <w:vAlign w:val="center"/>
          </w:tcPr>
          <w:p>
            <w:pPr>
              <w:pStyle w:val="63"/>
              <w:rPr>
                <w:u w:val="single"/>
              </w:rPr>
            </w:pPr>
            <w:r>
              <w:rPr>
                <w:u w:val="single"/>
              </w:rPr>
              <w:t>废水类别</w:t>
            </w:r>
          </w:p>
        </w:tc>
        <w:tc>
          <w:tcPr>
            <w:tcW w:w="476" w:type="pct"/>
            <w:vMerge w:val="restart"/>
            <w:vAlign w:val="center"/>
          </w:tcPr>
          <w:p>
            <w:pPr>
              <w:pStyle w:val="63"/>
              <w:rPr>
                <w:u w:val="single"/>
              </w:rPr>
            </w:pPr>
            <w:r>
              <w:rPr>
                <w:u w:val="single"/>
              </w:rPr>
              <w:t>污染物种类</w:t>
            </w:r>
          </w:p>
        </w:tc>
        <w:tc>
          <w:tcPr>
            <w:tcW w:w="277" w:type="pct"/>
            <w:vMerge w:val="restart"/>
            <w:vAlign w:val="center"/>
          </w:tcPr>
          <w:p>
            <w:pPr>
              <w:pStyle w:val="63"/>
              <w:rPr>
                <w:u w:val="single"/>
              </w:rPr>
            </w:pPr>
            <w:r>
              <w:rPr>
                <w:u w:val="single"/>
              </w:rPr>
              <w:t>排放去向</w:t>
            </w:r>
          </w:p>
        </w:tc>
        <w:tc>
          <w:tcPr>
            <w:tcW w:w="682" w:type="pct"/>
            <w:vMerge w:val="restart"/>
            <w:vAlign w:val="center"/>
          </w:tcPr>
          <w:p>
            <w:pPr>
              <w:pStyle w:val="63"/>
              <w:rPr>
                <w:u w:val="single"/>
              </w:rPr>
            </w:pPr>
            <w:r>
              <w:rPr>
                <w:u w:val="single"/>
              </w:rPr>
              <w:t>排放</w:t>
            </w:r>
          </w:p>
          <w:p>
            <w:pPr>
              <w:pStyle w:val="63"/>
              <w:rPr>
                <w:u w:val="single"/>
              </w:rPr>
            </w:pPr>
            <w:r>
              <w:rPr>
                <w:u w:val="single"/>
              </w:rPr>
              <w:t>规律</w:t>
            </w:r>
          </w:p>
        </w:tc>
        <w:tc>
          <w:tcPr>
            <w:tcW w:w="1157" w:type="pct"/>
            <w:gridSpan w:val="3"/>
            <w:vAlign w:val="center"/>
          </w:tcPr>
          <w:p>
            <w:pPr>
              <w:pStyle w:val="63"/>
              <w:rPr>
                <w:u w:val="single"/>
              </w:rPr>
            </w:pPr>
            <w:r>
              <w:rPr>
                <w:u w:val="single"/>
              </w:rPr>
              <w:t>污染治理设施</w:t>
            </w:r>
          </w:p>
        </w:tc>
        <w:tc>
          <w:tcPr>
            <w:tcW w:w="517" w:type="pct"/>
            <w:vMerge w:val="restart"/>
            <w:vAlign w:val="center"/>
          </w:tcPr>
          <w:p>
            <w:pPr>
              <w:pStyle w:val="63"/>
              <w:rPr>
                <w:u w:val="single"/>
              </w:rPr>
            </w:pPr>
            <w:r>
              <w:rPr>
                <w:u w:val="single"/>
              </w:rPr>
              <w:t>排放口编号</w:t>
            </w:r>
          </w:p>
        </w:tc>
        <w:tc>
          <w:tcPr>
            <w:tcW w:w="497" w:type="pct"/>
            <w:vMerge w:val="restart"/>
            <w:vAlign w:val="center"/>
          </w:tcPr>
          <w:p>
            <w:pPr>
              <w:pStyle w:val="63"/>
              <w:rPr>
                <w:u w:val="single"/>
              </w:rPr>
            </w:pPr>
            <w:r>
              <w:rPr>
                <w:u w:val="single"/>
              </w:rPr>
              <w:t>排放口设施是否符合要求</w:t>
            </w:r>
          </w:p>
        </w:tc>
        <w:tc>
          <w:tcPr>
            <w:tcW w:w="884" w:type="pct"/>
            <w:vMerge w:val="restart"/>
            <w:vAlign w:val="center"/>
          </w:tcPr>
          <w:p>
            <w:pPr>
              <w:pStyle w:val="63"/>
              <w:rPr>
                <w:u w:val="single"/>
              </w:rPr>
            </w:pPr>
            <w:r>
              <w:rPr>
                <w:u w:val="single"/>
              </w:rPr>
              <w:t>排放口类型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250" w:type="pct"/>
            <w:vMerge w:val="continue"/>
            <w:vAlign w:val="center"/>
          </w:tcPr>
          <w:p>
            <w:pPr>
              <w:pStyle w:val="63"/>
              <w:rPr>
                <w:u w:val="single"/>
              </w:rPr>
            </w:pPr>
          </w:p>
        </w:tc>
        <w:tc>
          <w:tcPr>
            <w:tcW w:w="260" w:type="pct"/>
            <w:vMerge w:val="continue"/>
            <w:vAlign w:val="center"/>
          </w:tcPr>
          <w:p>
            <w:pPr>
              <w:pStyle w:val="63"/>
              <w:rPr>
                <w:u w:val="single"/>
              </w:rPr>
            </w:pPr>
          </w:p>
        </w:tc>
        <w:tc>
          <w:tcPr>
            <w:tcW w:w="476" w:type="pct"/>
            <w:vMerge w:val="continue"/>
            <w:vAlign w:val="center"/>
          </w:tcPr>
          <w:p>
            <w:pPr>
              <w:pStyle w:val="63"/>
              <w:rPr>
                <w:u w:val="single"/>
              </w:rPr>
            </w:pPr>
          </w:p>
        </w:tc>
        <w:tc>
          <w:tcPr>
            <w:tcW w:w="277" w:type="pct"/>
            <w:vMerge w:val="continue"/>
            <w:vAlign w:val="center"/>
          </w:tcPr>
          <w:p>
            <w:pPr>
              <w:pStyle w:val="63"/>
              <w:rPr>
                <w:u w:val="single"/>
              </w:rPr>
            </w:pPr>
          </w:p>
        </w:tc>
        <w:tc>
          <w:tcPr>
            <w:tcW w:w="682" w:type="pct"/>
            <w:vMerge w:val="continue"/>
            <w:vAlign w:val="center"/>
          </w:tcPr>
          <w:p>
            <w:pPr>
              <w:pStyle w:val="63"/>
              <w:rPr>
                <w:u w:val="single"/>
              </w:rPr>
            </w:pPr>
          </w:p>
        </w:tc>
        <w:tc>
          <w:tcPr>
            <w:tcW w:w="345" w:type="pct"/>
            <w:vAlign w:val="center"/>
          </w:tcPr>
          <w:p>
            <w:pPr>
              <w:pStyle w:val="63"/>
              <w:rPr>
                <w:u w:val="single"/>
              </w:rPr>
            </w:pPr>
            <w:r>
              <w:rPr>
                <w:u w:val="single"/>
              </w:rPr>
              <w:t>污染治理设施编号</w:t>
            </w:r>
          </w:p>
        </w:tc>
        <w:tc>
          <w:tcPr>
            <w:tcW w:w="393" w:type="pct"/>
            <w:vAlign w:val="center"/>
          </w:tcPr>
          <w:p>
            <w:pPr>
              <w:pStyle w:val="63"/>
              <w:rPr>
                <w:u w:val="single"/>
              </w:rPr>
            </w:pPr>
            <w:r>
              <w:rPr>
                <w:u w:val="single"/>
              </w:rPr>
              <w:t>污染治理设施名称</w:t>
            </w:r>
          </w:p>
        </w:tc>
        <w:tc>
          <w:tcPr>
            <w:tcW w:w="419" w:type="pct"/>
            <w:vAlign w:val="center"/>
          </w:tcPr>
          <w:p>
            <w:pPr>
              <w:pStyle w:val="63"/>
              <w:rPr>
                <w:u w:val="single"/>
              </w:rPr>
            </w:pPr>
            <w:r>
              <w:rPr>
                <w:u w:val="single"/>
              </w:rPr>
              <w:t>污染治理设施工艺</w:t>
            </w:r>
          </w:p>
        </w:tc>
        <w:tc>
          <w:tcPr>
            <w:tcW w:w="517" w:type="pct"/>
            <w:vMerge w:val="continue"/>
            <w:vAlign w:val="center"/>
          </w:tcPr>
          <w:p>
            <w:pPr>
              <w:pStyle w:val="63"/>
              <w:rPr>
                <w:u w:val="single"/>
              </w:rPr>
            </w:pPr>
          </w:p>
        </w:tc>
        <w:tc>
          <w:tcPr>
            <w:tcW w:w="497" w:type="pct"/>
            <w:vMerge w:val="continue"/>
            <w:vAlign w:val="center"/>
          </w:tcPr>
          <w:p>
            <w:pPr>
              <w:pStyle w:val="63"/>
              <w:rPr>
                <w:u w:val="single"/>
              </w:rPr>
            </w:pPr>
          </w:p>
        </w:tc>
        <w:tc>
          <w:tcPr>
            <w:tcW w:w="884" w:type="pct"/>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250" w:type="pct"/>
            <w:vAlign w:val="center"/>
          </w:tcPr>
          <w:p>
            <w:pPr>
              <w:pStyle w:val="63"/>
              <w:rPr>
                <w:u w:val="single"/>
              </w:rPr>
            </w:pPr>
            <w:r>
              <w:rPr>
                <w:u w:val="single"/>
              </w:rPr>
              <w:t>1</w:t>
            </w:r>
          </w:p>
        </w:tc>
        <w:tc>
          <w:tcPr>
            <w:tcW w:w="260" w:type="pct"/>
            <w:vAlign w:val="center"/>
          </w:tcPr>
          <w:p>
            <w:pPr>
              <w:pStyle w:val="63"/>
              <w:rPr>
                <w:u w:val="single"/>
              </w:rPr>
            </w:pPr>
            <w:r>
              <w:rPr>
                <w:u w:val="single"/>
              </w:rPr>
              <w:t>生活污水</w:t>
            </w:r>
          </w:p>
        </w:tc>
        <w:tc>
          <w:tcPr>
            <w:tcW w:w="476" w:type="pct"/>
            <w:vAlign w:val="center"/>
          </w:tcPr>
          <w:p>
            <w:pPr>
              <w:pStyle w:val="63"/>
              <w:rPr>
                <w:u w:val="single"/>
              </w:rPr>
            </w:pPr>
            <w:r>
              <w:rPr>
                <w:u w:val="single"/>
              </w:rPr>
              <w:t>COD</w:t>
            </w:r>
          </w:p>
          <w:p>
            <w:pPr>
              <w:pStyle w:val="63"/>
              <w:rPr>
                <w:u w:val="single"/>
              </w:rPr>
            </w:pPr>
            <w:r>
              <w:rPr>
                <w:u w:val="single"/>
              </w:rPr>
              <w:t>氨氮</w:t>
            </w:r>
          </w:p>
          <w:p>
            <w:pPr>
              <w:pStyle w:val="63"/>
              <w:rPr>
                <w:u w:val="single"/>
              </w:rPr>
            </w:pPr>
            <w:r>
              <w:rPr>
                <w:u w:val="single"/>
              </w:rPr>
              <w:t>SS</w:t>
            </w:r>
          </w:p>
          <w:p>
            <w:pPr>
              <w:pStyle w:val="63"/>
              <w:rPr>
                <w:u w:val="single"/>
              </w:rPr>
            </w:pPr>
            <w:r>
              <w:rPr>
                <w:u w:val="single"/>
              </w:rPr>
              <w:t>BOD</w:t>
            </w:r>
            <w:r>
              <w:rPr>
                <w:u w:val="single"/>
                <w:vertAlign w:val="subscript"/>
              </w:rPr>
              <w:t>5</w:t>
            </w:r>
          </w:p>
        </w:tc>
        <w:tc>
          <w:tcPr>
            <w:tcW w:w="277" w:type="pct"/>
            <w:vAlign w:val="center"/>
          </w:tcPr>
          <w:p>
            <w:pPr>
              <w:pStyle w:val="63"/>
              <w:rPr>
                <w:u w:val="single"/>
              </w:rPr>
            </w:pPr>
            <w:r>
              <w:rPr>
                <w:u w:val="single"/>
              </w:rPr>
              <w:t>大浦污水处理厂</w:t>
            </w:r>
          </w:p>
        </w:tc>
        <w:tc>
          <w:tcPr>
            <w:tcW w:w="682" w:type="pct"/>
            <w:vAlign w:val="center"/>
          </w:tcPr>
          <w:p>
            <w:pPr>
              <w:pStyle w:val="63"/>
              <w:rPr>
                <w:u w:val="single"/>
              </w:rPr>
            </w:pPr>
            <w:r>
              <w:rPr>
                <w:u w:val="single"/>
              </w:rPr>
              <w:t>间断排放，排放期间流量不稳定且无规律，但不属于冲击型排放</w:t>
            </w:r>
          </w:p>
        </w:tc>
        <w:tc>
          <w:tcPr>
            <w:tcW w:w="345" w:type="pct"/>
            <w:vAlign w:val="center"/>
          </w:tcPr>
          <w:p>
            <w:pPr>
              <w:pStyle w:val="63"/>
              <w:rPr>
                <w:u w:val="single"/>
              </w:rPr>
            </w:pPr>
            <w:r>
              <w:rPr>
                <w:u w:val="single"/>
              </w:rPr>
              <w:t>1#</w:t>
            </w:r>
          </w:p>
        </w:tc>
        <w:tc>
          <w:tcPr>
            <w:tcW w:w="393" w:type="pct"/>
            <w:vAlign w:val="center"/>
          </w:tcPr>
          <w:p>
            <w:pPr>
              <w:pStyle w:val="63"/>
              <w:rPr>
                <w:u w:val="single"/>
              </w:rPr>
            </w:pPr>
            <w:r>
              <w:rPr>
                <w:u w:val="single"/>
              </w:rPr>
              <w:t>化粪池</w:t>
            </w:r>
          </w:p>
        </w:tc>
        <w:tc>
          <w:tcPr>
            <w:tcW w:w="419" w:type="pct"/>
            <w:vAlign w:val="center"/>
          </w:tcPr>
          <w:p>
            <w:pPr>
              <w:pStyle w:val="63"/>
              <w:rPr>
                <w:u w:val="single"/>
              </w:rPr>
            </w:pPr>
            <w:r>
              <w:rPr>
                <w:u w:val="single"/>
              </w:rPr>
              <w:t>厌氧发酵</w:t>
            </w:r>
          </w:p>
        </w:tc>
        <w:tc>
          <w:tcPr>
            <w:tcW w:w="517" w:type="pct"/>
            <w:vAlign w:val="center"/>
          </w:tcPr>
          <w:p>
            <w:pPr>
              <w:pStyle w:val="63"/>
              <w:rPr>
                <w:u w:val="single"/>
              </w:rPr>
            </w:pPr>
            <w:r>
              <w:rPr>
                <w:u w:val="single"/>
              </w:rPr>
              <w:t>DW001</w:t>
            </w:r>
          </w:p>
        </w:tc>
        <w:tc>
          <w:tcPr>
            <w:tcW w:w="497" w:type="pct"/>
            <w:vAlign w:val="center"/>
          </w:tcPr>
          <w:p>
            <w:pPr>
              <w:pStyle w:val="63"/>
              <w:rPr>
                <w:u w:val="single"/>
              </w:rPr>
            </w:pPr>
            <w:r>
              <w:rPr>
                <w:u w:val="single"/>
              </w:rPr>
              <w:t>是</w:t>
            </w:r>
          </w:p>
        </w:tc>
        <w:tc>
          <w:tcPr>
            <w:tcW w:w="884" w:type="pct"/>
            <w:vAlign w:val="center"/>
          </w:tcPr>
          <w:p>
            <w:pPr>
              <w:pStyle w:val="63"/>
              <w:jc w:val="both"/>
              <w:rPr>
                <w:u w:val="single"/>
              </w:rPr>
            </w:pPr>
            <w:r>
              <w:rPr>
                <w:u w:val="single"/>
              </w:rPr>
              <w:sym w:font="Wingdings" w:char="00FE"/>
            </w:r>
            <w:r>
              <w:rPr>
                <w:u w:val="single"/>
              </w:rPr>
              <w:t>企业总排</w:t>
            </w:r>
          </w:p>
          <w:p>
            <w:pPr>
              <w:pStyle w:val="63"/>
              <w:jc w:val="both"/>
              <w:rPr>
                <w:u w:val="single"/>
              </w:rPr>
            </w:pPr>
            <w:r>
              <w:rPr>
                <w:u w:val="single"/>
              </w:rPr>
              <w:sym w:font="Wingdings" w:char="00A8"/>
            </w:r>
            <w:r>
              <w:rPr>
                <w:u w:val="single"/>
              </w:rPr>
              <w:t>雨水排放</w:t>
            </w:r>
          </w:p>
          <w:p>
            <w:pPr>
              <w:pStyle w:val="63"/>
              <w:jc w:val="both"/>
              <w:rPr>
                <w:u w:val="single"/>
              </w:rPr>
            </w:pPr>
            <w:r>
              <w:rPr>
                <w:u w:val="single"/>
              </w:rPr>
              <w:sym w:font="Wingdings" w:char="00A8"/>
            </w:r>
            <w:r>
              <w:rPr>
                <w:u w:val="single"/>
              </w:rPr>
              <w:t>清静下水排放</w:t>
            </w:r>
          </w:p>
          <w:p>
            <w:pPr>
              <w:pStyle w:val="63"/>
              <w:jc w:val="both"/>
              <w:rPr>
                <w:u w:val="single"/>
              </w:rPr>
            </w:pPr>
            <w:r>
              <w:rPr>
                <w:u w:val="single"/>
              </w:rPr>
              <w:sym w:font="Wingdings" w:char="00A8"/>
            </w:r>
            <w:r>
              <w:rPr>
                <w:u w:val="single"/>
              </w:rPr>
              <w:t>温排水排放</w:t>
            </w:r>
          </w:p>
          <w:p>
            <w:pPr>
              <w:pStyle w:val="63"/>
              <w:jc w:val="both"/>
              <w:rPr>
                <w:u w:val="single"/>
              </w:rPr>
            </w:pPr>
            <w:r>
              <w:rPr>
                <w:u w:val="single"/>
              </w:rPr>
              <w:sym w:font="Wingdings" w:char="00A8"/>
            </w:r>
            <w:r>
              <w:rPr>
                <w:u w:val="single"/>
              </w:rPr>
              <w:t>车间或车间处理设施排放口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250" w:type="pct"/>
            <w:vAlign w:val="center"/>
          </w:tcPr>
          <w:p>
            <w:pPr>
              <w:pStyle w:val="63"/>
              <w:rPr>
                <w:u w:val="single"/>
              </w:rPr>
            </w:pPr>
            <w:r>
              <w:rPr>
                <w:rFonts w:hint="eastAsia"/>
                <w:u w:val="single"/>
              </w:rPr>
              <w:t>2</w:t>
            </w:r>
          </w:p>
        </w:tc>
        <w:tc>
          <w:tcPr>
            <w:tcW w:w="260" w:type="pct"/>
            <w:vAlign w:val="center"/>
          </w:tcPr>
          <w:p>
            <w:pPr>
              <w:pStyle w:val="63"/>
              <w:rPr>
                <w:u w:val="single"/>
              </w:rPr>
            </w:pPr>
            <w:r>
              <w:rPr>
                <w:rFonts w:hint="eastAsia"/>
                <w:u w:val="single"/>
              </w:rPr>
              <w:t>冷凝水</w:t>
            </w:r>
          </w:p>
        </w:tc>
        <w:tc>
          <w:tcPr>
            <w:tcW w:w="476" w:type="pct"/>
            <w:vAlign w:val="center"/>
          </w:tcPr>
          <w:p>
            <w:pPr>
              <w:pStyle w:val="63"/>
              <w:rPr>
                <w:u w:val="single"/>
              </w:rPr>
            </w:pPr>
            <w:r>
              <w:rPr>
                <w:u w:val="single"/>
              </w:rPr>
              <w:t>COD</w:t>
            </w:r>
          </w:p>
          <w:p>
            <w:pPr>
              <w:pStyle w:val="63"/>
              <w:rPr>
                <w:u w:val="single"/>
              </w:rPr>
            </w:pPr>
            <w:r>
              <w:rPr>
                <w:u w:val="single"/>
              </w:rPr>
              <w:t>SS</w:t>
            </w:r>
          </w:p>
          <w:p>
            <w:pPr>
              <w:pStyle w:val="63"/>
              <w:rPr>
                <w:u w:val="single"/>
              </w:rPr>
            </w:pPr>
          </w:p>
        </w:tc>
        <w:tc>
          <w:tcPr>
            <w:tcW w:w="277" w:type="pct"/>
            <w:vAlign w:val="center"/>
          </w:tcPr>
          <w:p>
            <w:pPr>
              <w:pStyle w:val="63"/>
              <w:rPr>
                <w:u w:val="single"/>
              </w:rPr>
            </w:pPr>
            <w:r>
              <w:rPr>
                <w:u w:val="single"/>
              </w:rPr>
              <w:t>大浦污水处理厂</w:t>
            </w:r>
          </w:p>
        </w:tc>
        <w:tc>
          <w:tcPr>
            <w:tcW w:w="682" w:type="pct"/>
            <w:vAlign w:val="center"/>
          </w:tcPr>
          <w:p>
            <w:pPr>
              <w:pStyle w:val="63"/>
              <w:rPr>
                <w:u w:val="single"/>
              </w:rPr>
            </w:pPr>
            <w:r>
              <w:rPr>
                <w:rFonts w:hint="eastAsia"/>
                <w:u w:val="single"/>
              </w:rPr>
              <w:t>连续排放</w:t>
            </w:r>
          </w:p>
        </w:tc>
        <w:tc>
          <w:tcPr>
            <w:tcW w:w="345" w:type="pct"/>
            <w:vAlign w:val="center"/>
          </w:tcPr>
          <w:p>
            <w:pPr>
              <w:pStyle w:val="63"/>
              <w:rPr>
                <w:u w:val="single"/>
              </w:rPr>
            </w:pPr>
            <w:r>
              <w:rPr>
                <w:rFonts w:hint="eastAsia"/>
                <w:u w:val="single"/>
              </w:rPr>
              <w:t>2</w:t>
            </w:r>
            <w:r>
              <w:rPr>
                <w:u w:val="single"/>
              </w:rPr>
              <w:t>#</w:t>
            </w:r>
          </w:p>
        </w:tc>
        <w:tc>
          <w:tcPr>
            <w:tcW w:w="393" w:type="pct"/>
            <w:vAlign w:val="center"/>
          </w:tcPr>
          <w:p>
            <w:pPr>
              <w:pStyle w:val="63"/>
              <w:rPr>
                <w:u w:val="single"/>
              </w:rPr>
            </w:pPr>
            <w:r>
              <w:rPr>
                <w:rFonts w:hint="eastAsia"/>
                <w:u w:val="single"/>
              </w:rPr>
              <w:t>/</w:t>
            </w:r>
          </w:p>
        </w:tc>
        <w:tc>
          <w:tcPr>
            <w:tcW w:w="419" w:type="pct"/>
            <w:vAlign w:val="center"/>
          </w:tcPr>
          <w:p>
            <w:pPr>
              <w:pStyle w:val="63"/>
              <w:rPr>
                <w:u w:val="single"/>
              </w:rPr>
            </w:pPr>
            <w:r>
              <w:rPr>
                <w:rFonts w:hint="eastAsia"/>
                <w:u w:val="single"/>
              </w:rPr>
              <w:t>/</w:t>
            </w:r>
          </w:p>
        </w:tc>
        <w:tc>
          <w:tcPr>
            <w:tcW w:w="517" w:type="pct"/>
            <w:vAlign w:val="center"/>
          </w:tcPr>
          <w:p>
            <w:pPr>
              <w:pStyle w:val="63"/>
              <w:rPr>
                <w:u w:val="single"/>
              </w:rPr>
            </w:pPr>
            <w:r>
              <w:rPr>
                <w:u w:val="single"/>
              </w:rPr>
              <w:t>DW00</w:t>
            </w:r>
            <w:r>
              <w:rPr>
                <w:rFonts w:hint="eastAsia"/>
                <w:u w:val="single"/>
              </w:rPr>
              <w:t>2</w:t>
            </w:r>
          </w:p>
        </w:tc>
        <w:tc>
          <w:tcPr>
            <w:tcW w:w="497" w:type="pct"/>
            <w:vAlign w:val="center"/>
          </w:tcPr>
          <w:p>
            <w:pPr>
              <w:pStyle w:val="63"/>
              <w:rPr>
                <w:u w:val="single"/>
              </w:rPr>
            </w:pPr>
            <w:r>
              <w:rPr>
                <w:u w:val="single"/>
              </w:rPr>
              <w:t>是</w:t>
            </w:r>
          </w:p>
        </w:tc>
        <w:tc>
          <w:tcPr>
            <w:tcW w:w="884" w:type="pct"/>
            <w:vAlign w:val="center"/>
          </w:tcPr>
          <w:p>
            <w:pPr>
              <w:pStyle w:val="63"/>
              <w:jc w:val="both"/>
              <w:rPr>
                <w:u w:val="single"/>
              </w:rPr>
            </w:pPr>
            <w:r>
              <w:rPr>
                <w:u w:val="single"/>
              </w:rPr>
              <w:sym w:font="Wingdings" w:char="00A8"/>
            </w:r>
            <w:r>
              <w:rPr>
                <w:u w:val="single"/>
              </w:rPr>
              <w:t>企业总排</w:t>
            </w:r>
          </w:p>
          <w:p>
            <w:pPr>
              <w:pStyle w:val="63"/>
              <w:jc w:val="both"/>
              <w:rPr>
                <w:u w:val="single"/>
              </w:rPr>
            </w:pPr>
            <w:r>
              <w:rPr>
                <w:u w:val="single"/>
              </w:rPr>
              <w:sym w:font="Wingdings" w:char="00A8"/>
            </w:r>
            <w:r>
              <w:rPr>
                <w:u w:val="single"/>
              </w:rPr>
              <w:t>雨水排放</w:t>
            </w:r>
          </w:p>
          <w:p>
            <w:pPr>
              <w:pStyle w:val="63"/>
              <w:jc w:val="both"/>
              <w:rPr>
                <w:u w:val="single"/>
              </w:rPr>
            </w:pPr>
            <w:r>
              <w:rPr>
                <w:u w:val="single"/>
              </w:rPr>
              <w:sym w:font="Wingdings" w:char="00FE"/>
            </w:r>
            <w:r>
              <w:rPr>
                <w:u w:val="single"/>
              </w:rPr>
              <w:t>清静下水排放</w:t>
            </w:r>
          </w:p>
          <w:p>
            <w:pPr>
              <w:pStyle w:val="63"/>
              <w:jc w:val="both"/>
              <w:rPr>
                <w:u w:val="single"/>
              </w:rPr>
            </w:pPr>
            <w:r>
              <w:rPr>
                <w:u w:val="single"/>
              </w:rPr>
              <w:sym w:font="Wingdings" w:char="00A8"/>
            </w:r>
            <w:r>
              <w:rPr>
                <w:u w:val="single"/>
              </w:rPr>
              <w:t>温排水排放</w:t>
            </w:r>
          </w:p>
          <w:p>
            <w:pPr>
              <w:pStyle w:val="63"/>
              <w:jc w:val="both"/>
              <w:rPr>
                <w:u w:val="single"/>
              </w:rPr>
            </w:pPr>
            <w:r>
              <w:rPr>
                <w:u w:val="single"/>
              </w:rPr>
              <w:sym w:font="Wingdings" w:char="00A8"/>
            </w:r>
            <w:r>
              <w:rPr>
                <w:u w:val="single"/>
              </w:rPr>
              <w:t>车间或车间处理设施排放口</w:t>
            </w:r>
          </w:p>
        </w:tc>
      </w:tr>
    </w:tbl>
    <w:p>
      <w:pPr>
        <w:pStyle w:val="6"/>
        <w:rPr>
          <w:u w:val="single"/>
        </w:rPr>
      </w:pPr>
      <w:r>
        <w:rPr>
          <w:u w:val="single"/>
        </w:rPr>
        <w:t>表</w:t>
      </w:r>
      <w:r>
        <w:rPr>
          <w:rFonts w:cs="Times New Roman"/>
          <w:u w:val="single"/>
        </w:rPr>
        <w:t>6</w:t>
      </w:r>
      <w:r>
        <w:rPr>
          <w:rFonts w:hint="eastAsia" w:cs="Times New Roman"/>
          <w:u w:val="single"/>
        </w:rPr>
        <w:t>.2.2</w:t>
      </w:r>
      <w:r>
        <w:rPr>
          <w:rFonts w:cs="Times New Roman"/>
          <w:u w:val="single"/>
        </w:rPr>
        <w:t>-</w:t>
      </w:r>
      <w:r>
        <w:rPr>
          <w:u w:val="single"/>
        </w:rPr>
        <w:t>2 废水间接排放口基本情况表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07"/>
        <w:gridCol w:w="713"/>
        <w:gridCol w:w="832"/>
        <w:gridCol w:w="892"/>
        <w:gridCol w:w="751"/>
        <w:gridCol w:w="867"/>
        <w:gridCol w:w="878"/>
        <w:gridCol w:w="403"/>
        <w:gridCol w:w="524"/>
        <w:gridCol w:w="653"/>
        <w:gridCol w:w="901"/>
        <w:gridCol w:w="70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39" w:type="pct"/>
            <w:vMerge w:val="restart"/>
            <w:vAlign w:val="center"/>
          </w:tcPr>
          <w:p>
            <w:pPr>
              <w:pStyle w:val="63"/>
              <w:rPr>
                <w:u w:val="single"/>
              </w:rPr>
            </w:pPr>
            <w:r>
              <w:rPr>
                <w:u w:val="single"/>
              </w:rPr>
              <w:t>序号</w:t>
            </w:r>
          </w:p>
        </w:tc>
        <w:tc>
          <w:tcPr>
            <w:tcW w:w="418" w:type="pct"/>
            <w:vMerge w:val="restart"/>
            <w:vAlign w:val="center"/>
          </w:tcPr>
          <w:p>
            <w:pPr>
              <w:pStyle w:val="63"/>
              <w:rPr>
                <w:u w:val="single"/>
              </w:rPr>
            </w:pPr>
            <w:r>
              <w:rPr>
                <w:u w:val="single"/>
              </w:rPr>
              <w:t>排放口编号</w:t>
            </w:r>
          </w:p>
        </w:tc>
        <w:tc>
          <w:tcPr>
            <w:tcW w:w="1011" w:type="pct"/>
            <w:gridSpan w:val="2"/>
            <w:vAlign w:val="center"/>
          </w:tcPr>
          <w:p>
            <w:pPr>
              <w:pStyle w:val="63"/>
              <w:rPr>
                <w:u w:val="single"/>
              </w:rPr>
            </w:pPr>
            <w:r>
              <w:rPr>
                <w:u w:val="single"/>
              </w:rPr>
              <w:t>排放口地理坐标</w:t>
            </w:r>
          </w:p>
        </w:tc>
        <w:tc>
          <w:tcPr>
            <w:tcW w:w="440" w:type="pct"/>
            <w:vMerge w:val="restart"/>
            <w:vAlign w:val="center"/>
          </w:tcPr>
          <w:p>
            <w:pPr>
              <w:pStyle w:val="63"/>
              <w:rPr>
                <w:u w:val="single"/>
              </w:rPr>
            </w:pPr>
            <w:r>
              <w:rPr>
                <w:u w:val="single"/>
              </w:rPr>
              <w:t>排放去向</w:t>
            </w:r>
          </w:p>
        </w:tc>
        <w:tc>
          <w:tcPr>
            <w:tcW w:w="508" w:type="pct"/>
            <w:vMerge w:val="restart"/>
            <w:vAlign w:val="center"/>
          </w:tcPr>
          <w:p>
            <w:pPr>
              <w:pStyle w:val="63"/>
              <w:rPr>
                <w:u w:val="single"/>
              </w:rPr>
            </w:pPr>
            <w:r>
              <w:rPr>
                <w:u w:val="single"/>
              </w:rPr>
              <w:t>名称</w:t>
            </w:r>
          </w:p>
        </w:tc>
        <w:tc>
          <w:tcPr>
            <w:tcW w:w="515" w:type="pct"/>
            <w:vMerge w:val="restart"/>
            <w:vAlign w:val="center"/>
          </w:tcPr>
          <w:p>
            <w:pPr>
              <w:pStyle w:val="63"/>
              <w:rPr>
                <w:u w:val="single"/>
              </w:rPr>
            </w:pPr>
            <w:r>
              <w:rPr>
                <w:u w:val="single"/>
              </w:rPr>
              <w:t>排放规律</w:t>
            </w:r>
          </w:p>
        </w:tc>
        <w:tc>
          <w:tcPr>
            <w:tcW w:w="236" w:type="pct"/>
            <w:vMerge w:val="restart"/>
            <w:vAlign w:val="center"/>
          </w:tcPr>
          <w:p>
            <w:pPr>
              <w:pStyle w:val="63"/>
              <w:rPr>
                <w:u w:val="single"/>
              </w:rPr>
            </w:pPr>
            <w:r>
              <w:rPr>
                <w:u w:val="single"/>
              </w:rPr>
              <w:t>间歇排放时段</w:t>
            </w:r>
          </w:p>
        </w:tc>
        <w:tc>
          <w:tcPr>
            <w:tcW w:w="690" w:type="pct"/>
            <w:gridSpan w:val="2"/>
            <w:vMerge w:val="restart"/>
            <w:vAlign w:val="center"/>
          </w:tcPr>
          <w:p>
            <w:pPr>
              <w:pStyle w:val="63"/>
              <w:rPr>
                <w:u w:val="single"/>
              </w:rPr>
            </w:pPr>
            <w:r>
              <w:rPr>
                <w:u w:val="single"/>
              </w:rPr>
              <w:t>受纳自然水体信息</w:t>
            </w:r>
          </w:p>
        </w:tc>
        <w:tc>
          <w:tcPr>
            <w:tcW w:w="943" w:type="pct"/>
            <w:gridSpan w:val="2"/>
            <w:vMerge w:val="restart"/>
            <w:vAlign w:val="center"/>
          </w:tcPr>
          <w:p>
            <w:pPr>
              <w:pStyle w:val="63"/>
              <w:rPr>
                <w:u w:val="single"/>
              </w:rPr>
            </w:pPr>
            <w:r>
              <w:rPr>
                <w:u w:val="single"/>
              </w:rPr>
              <w:t>《城镇污水处理厂污染物排放标准》（GB18918-2002）一级A标准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1" w:hRule="atLeast"/>
          <w:jc w:val="center"/>
        </w:trPr>
        <w:tc>
          <w:tcPr>
            <w:tcW w:w="239" w:type="pct"/>
            <w:vMerge w:val="continue"/>
            <w:vAlign w:val="center"/>
          </w:tcPr>
          <w:p>
            <w:pPr>
              <w:pStyle w:val="63"/>
              <w:rPr>
                <w:u w:val="single"/>
              </w:rPr>
            </w:pPr>
          </w:p>
        </w:tc>
        <w:tc>
          <w:tcPr>
            <w:tcW w:w="418" w:type="pct"/>
            <w:vMerge w:val="continue"/>
            <w:vAlign w:val="center"/>
          </w:tcPr>
          <w:p>
            <w:pPr>
              <w:pStyle w:val="63"/>
              <w:rPr>
                <w:u w:val="single"/>
              </w:rPr>
            </w:pPr>
          </w:p>
        </w:tc>
        <w:tc>
          <w:tcPr>
            <w:tcW w:w="488" w:type="pct"/>
            <w:vMerge w:val="restart"/>
            <w:vAlign w:val="center"/>
          </w:tcPr>
          <w:p>
            <w:pPr>
              <w:pStyle w:val="63"/>
              <w:rPr>
                <w:u w:val="single"/>
              </w:rPr>
            </w:pPr>
            <w:r>
              <w:rPr>
                <w:u w:val="single"/>
              </w:rPr>
              <w:t>经度</w:t>
            </w:r>
          </w:p>
        </w:tc>
        <w:tc>
          <w:tcPr>
            <w:tcW w:w="523" w:type="pct"/>
            <w:vMerge w:val="restart"/>
            <w:vAlign w:val="center"/>
          </w:tcPr>
          <w:p>
            <w:pPr>
              <w:pStyle w:val="63"/>
              <w:rPr>
                <w:u w:val="single"/>
              </w:rPr>
            </w:pPr>
            <w:r>
              <w:rPr>
                <w:u w:val="single"/>
              </w:rPr>
              <w:t>纬度</w:t>
            </w:r>
          </w:p>
        </w:tc>
        <w:tc>
          <w:tcPr>
            <w:tcW w:w="440" w:type="pct"/>
            <w:vMerge w:val="continue"/>
            <w:vAlign w:val="center"/>
          </w:tcPr>
          <w:p>
            <w:pPr>
              <w:pStyle w:val="63"/>
              <w:rPr>
                <w:u w:val="single"/>
              </w:rPr>
            </w:pPr>
          </w:p>
        </w:tc>
        <w:tc>
          <w:tcPr>
            <w:tcW w:w="508" w:type="pct"/>
            <w:vMerge w:val="continue"/>
            <w:vAlign w:val="center"/>
          </w:tcPr>
          <w:p>
            <w:pPr>
              <w:pStyle w:val="63"/>
              <w:rPr>
                <w:u w:val="single"/>
              </w:rPr>
            </w:pPr>
          </w:p>
        </w:tc>
        <w:tc>
          <w:tcPr>
            <w:tcW w:w="515" w:type="pct"/>
            <w:vMerge w:val="continue"/>
            <w:vAlign w:val="center"/>
          </w:tcPr>
          <w:p>
            <w:pPr>
              <w:pStyle w:val="63"/>
              <w:rPr>
                <w:u w:val="single"/>
              </w:rPr>
            </w:pPr>
          </w:p>
        </w:tc>
        <w:tc>
          <w:tcPr>
            <w:tcW w:w="236" w:type="pct"/>
            <w:vMerge w:val="continue"/>
            <w:vAlign w:val="center"/>
          </w:tcPr>
          <w:p>
            <w:pPr>
              <w:pStyle w:val="63"/>
              <w:rPr>
                <w:u w:val="single"/>
              </w:rPr>
            </w:pPr>
          </w:p>
        </w:tc>
        <w:tc>
          <w:tcPr>
            <w:tcW w:w="690" w:type="pct"/>
            <w:gridSpan w:val="2"/>
            <w:vMerge w:val="continue"/>
            <w:vAlign w:val="center"/>
          </w:tcPr>
          <w:p>
            <w:pPr>
              <w:pStyle w:val="63"/>
              <w:rPr>
                <w:u w:val="single"/>
              </w:rPr>
            </w:pPr>
          </w:p>
        </w:tc>
        <w:tc>
          <w:tcPr>
            <w:tcW w:w="943" w:type="pct"/>
            <w:gridSpan w:val="2"/>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39" w:type="pct"/>
            <w:vMerge w:val="continue"/>
            <w:vAlign w:val="center"/>
          </w:tcPr>
          <w:p>
            <w:pPr>
              <w:pStyle w:val="63"/>
              <w:rPr>
                <w:u w:val="single"/>
              </w:rPr>
            </w:pPr>
          </w:p>
        </w:tc>
        <w:tc>
          <w:tcPr>
            <w:tcW w:w="418" w:type="pct"/>
            <w:vMerge w:val="continue"/>
            <w:vAlign w:val="center"/>
          </w:tcPr>
          <w:p>
            <w:pPr>
              <w:pStyle w:val="63"/>
              <w:rPr>
                <w:u w:val="single"/>
              </w:rPr>
            </w:pPr>
          </w:p>
        </w:tc>
        <w:tc>
          <w:tcPr>
            <w:tcW w:w="488" w:type="pct"/>
            <w:vMerge w:val="continue"/>
            <w:vAlign w:val="center"/>
          </w:tcPr>
          <w:p>
            <w:pPr>
              <w:pStyle w:val="63"/>
              <w:rPr>
                <w:u w:val="single"/>
              </w:rPr>
            </w:pPr>
          </w:p>
        </w:tc>
        <w:tc>
          <w:tcPr>
            <w:tcW w:w="523" w:type="pct"/>
            <w:vMerge w:val="continue"/>
            <w:vAlign w:val="center"/>
          </w:tcPr>
          <w:p>
            <w:pPr>
              <w:pStyle w:val="63"/>
              <w:rPr>
                <w:u w:val="single"/>
              </w:rPr>
            </w:pPr>
          </w:p>
        </w:tc>
        <w:tc>
          <w:tcPr>
            <w:tcW w:w="440" w:type="pct"/>
            <w:vMerge w:val="continue"/>
            <w:vAlign w:val="center"/>
          </w:tcPr>
          <w:p>
            <w:pPr>
              <w:pStyle w:val="63"/>
              <w:rPr>
                <w:u w:val="single"/>
              </w:rPr>
            </w:pPr>
          </w:p>
        </w:tc>
        <w:tc>
          <w:tcPr>
            <w:tcW w:w="508" w:type="pct"/>
            <w:vMerge w:val="continue"/>
            <w:vAlign w:val="center"/>
          </w:tcPr>
          <w:p>
            <w:pPr>
              <w:pStyle w:val="63"/>
              <w:rPr>
                <w:u w:val="single"/>
              </w:rPr>
            </w:pPr>
          </w:p>
        </w:tc>
        <w:tc>
          <w:tcPr>
            <w:tcW w:w="515" w:type="pct"/>
            <w:vMerge w:val="continue"/>
            <w:vAlign w:val="center"/>
          </w:tcPr>
          <w:p>
            <w:pPr>
              <w:pStyle w:val="63"/>
              <w:rPr>
                <w:u w:val="single"/>
              </w:rPr>
            </w:pPr>
          </w:p>
        </w:tc>
        <w:tc>
          <w:tcPr>
            <w:tcW w:w="236" w:type="pct"/>
            <w:vMerge w:val="continue"/>
            <w:vAlign w:val="center"/>
          </w:tcPr>
          <w:p>
            <w:pPr>
              <w:pStyle w:val="63"/>
              <w:rPr>
                <w:u w:val="single"/>
              </w:rPr>
            </w:pPr>
          </w:p>
        </w:tc>
        <w:tc>
          <w:tcPr>
            <w:tcW w:w="307" w:type="pct"/>
            <w:vAlign w:val="center"/>
          </w:tcPr>
          <w:p>
            <w:pPr>
              <w:pStyle w:val="63"/>
              <w:rPr>
                <w:u w:val="single"/>
              </w:rPr>
            </w:pPr>
            <w:r>
              <w:rPr>
                <w:u w:val="single"/>
              </w:rPr>
              <w:t>名称</w:t>
            </w:r>
          </w:p>
        </w:tc>
        <w:tc>
          <w:tcPr>
            <w:tcW w:w="383" w:type="pct"/>
            <w:vAlign w:val="center"/>
          </w:tcPr>
          <w:p>
            <w:pPr>
              <w:pStyle w:val="63"/>
              <w:rPr>
                <w:u w:val="single"/>
              </w:rPr>
            </w:pPr>
            <w:r>
              <w:rPr>
                <w:u w:val="single"/>
              </w:rPr>
              <w:t>受纳水体功能目标</w:t>
            </w:r>
          </w:p>
        </w:tc>
        <w:tc>
          <w:tcPr>
            <w:tcW w:w="943" w:type="pct"/>
            <w:gridSpan w:val="2"/>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39" w:type="pct"/>
            <w:vMerge w:val="restart"/>
            <w:vAlign w:val="center"/>
          </w:tcPr>
          <w:p>
            <w:pPr>
              <w:pStyle w:val="63"/>
              <w:rPr>
                <w:u w:val="single"/>
              </w:rPr>
            </w:pPr>
            <w:r>
              <w:rPr>
                <w:u w:val="single"/>
              </w:rPr>
              <w:t>1</w:t>
            </w:r>
          </w:p>
        </w:tc>
        <w:tc>
          <w:tcPr>
            <w:tcW w:w="418" w:type="pct"/>
            <w:vMerge w:val="restart"/>
            <w:vAlign w:val="center"/>
          </w:tcPr>
          <w:p>
            <w:pPr>
              <w:pStyle w:val="63"/>
              <w:rPr>
                <w:u w:val="single"/>
              </w:rPr>
            </w:pPr>
            <w:r>
              <w:rPr>
                <w:u w:val="single"/>
              </w:rPr>
              <w:t>DW001</w:t>
            </w:r>
          </w:p>
        </w:tc>
        <w:tc>
          <w:tcPr>
            <w:tcW w:w="488" w:type="pct"/>
            <w:vMerge w:val="restart"/>
            <w:vAlign w:val="center"/>
          </w:tcPr>
          <w:p>
            <w:pPr>
              <w:pStyle w:val="63"/>
              <w:rPr>
                <w:u w:val="single"/>
              </w:rPr>
            </w:pPr>
            <w:r>
              <w:rPr>
                <w:u w:val="single"/>
              </w:rPr>
              <w:t>112°48′19.24084″</w:t>
            </w:r>
          </w:p>
        </w:tc>
        <w:tc>
          <w:tcPr>
            <w:tcW w:w="523" w:type="pct"/>
            <w:vMerge w:val="restart"/>
            <w:vAlign w:val="center"/>
          </w:tcPr>
          <w:p>
            <w:pPr>
              <w:pStyle w:val="63"/>
              <w:rPr>
                <w:u w:val="single"/>
              </w:rPr>
            </w:pPr>
            <w:r>
              <w:rPr>
                <w:u w:val="single"/>
              </w:rPr>
              <w:t>27°0′50.59797″</w:t>
            </w:r>
          </w:p>
        </w:tc>
        <w:tc>
          <w:tcPr>
            <w:tcW w:w="440" w:type="pct"/>
            <w:vMerge w:val="restart"/>
            <w:vAlign w:val="center"/>
          </w:tcPr>
          <w:p>
            <w:pPr>
              <w:pStyle w:val="63"/>
              <w:rPr>
                <w:rFonts w:hint="eastAsia" w:eastAsiaTheme="minorEastAsia"/>
                <w:u w:val="single"/>
                <w:lang w:eastAsia="zh-CN"/>
              </w:rPr>
            </w:pPr>
            <w:r>
              <w:rPr>
                <w:u w:val="single"/>
              </w:rPr>
              <w:t>进入城镇</w:t>
            </w:r>
            <w:r>
              <w:rPr>
                <w:rFonts w:hint="eastAsia"/>
                <w:u w:val="single"/>
                <w:lang w:eastAsia="zh-CN"/>
              </w:rPr>
              <w:t>污水处理厂</w:t>
            </w:r>
          </w:p>
        </w:tc>
        <w:tc>
          <w:tcPr>
            <w:tcW w:w="508" w:type="pct"/>
            <w:vMerge w:val="restart"/>
            <w:vAlign w:val="center"/>
          </w:tcPr>
          <w:p>
            <w:pPr>
              <w:pStyle w:val="63"/>
              <w:rPr>
                <w:u w:val="single"/>
              </w:rPr>
            </w:pPr>
            <w:r>
              <w:rPr>
                <w:u w:val="single"/>
              </w:rPr>
              <w:t>大浦污水处理厂</w:t>
            </w:r>
          </w:p>
        </w:tc>
        <w:tc>
          <w:tcPr>
            <w:tcW w:w="515" w:type="pct"/>
            <w:vMerge w:val="restart"/>
            <w:vAlign w:val="center"/>
          </w:tcPr>
          <w:p>
            <w:pPr>
              <w:pStyle w:val="63"/>
              <w:rPr>
                <w:u w:val="single"/>
              </w:rPr>
            </w:pPr>
            <w:r>
              <w:rPr>
                <w:u w:val="single"/>
              </w:rPr>
              <w:t>间断排放，流量不稳定</w:t>
            </w:r>
          </w:p>
        </w:tc>
        <w:tc>
          <w:tcPr>
            <w:tcW w:w="236" w:type="pct"/>
            <w:vMerge w:val="restart"/>
            <w:vAlign w:val="center"/>
          </w:tcPr>
          <w:p>
            <w:pPr>
              <w:pStyle w:val="63"/>
              <w:rPr>
                <w:u w:val="single"/>
              </w:rPr>
            </w:pPr>
            <w:r>
              <w:rPr>
                <w:u w:val="single"/>
              </w:rPr>
              <w:t>/</w:t>
            </w:r>
          </w:p>
        </w:tc>
        <w:tc>
          <w:tcPr>
            <w:tcW w:w="307" w:type="pct"/>
            <w:vMerge w:val="restart"/>
            <w:vAlign w:val="center"/>
          </w:tcPr>
          <w:p>
            <w:pPr>
              <w:pStyle w:val="63"/>
              <w:rPr>
                <w:u w:val="single"/>
              </w:rPr>
            </w:pPr>
            <w:r>
              <w:rPr>
                <w:u w:val="single"/>
              </w:rPr>
              <w:t>湘江</w:t>
            </w:r>
          </w:p>
        </w:tc>
        <w:tc>
          <w:tcPr>
            <w:tcW w:w="383" w:type="pct"/>
            <w:vMerge w:val="restart"/>
            <w:vAlign w:val="center"/>
          </w:tcPr>
          <w:p>
            <w:pPr>
              <w:pStyle w:val="63"/>
              <w:rPr>
                <w:u w:val="single"/>
              </w:rPr>
            </w:pPr>
            <w:r>
              <w:rPr>
                <w:u w:val="single"/>
              </w:rPr>
              <w:t>工业用水</w:t>
            </w:r>
          </w:p>
        </w:tc>
        <w:tc>
          <w:tcPr>
            <w:tcW w:w="528" w:type="pct"/>
            <w:vAlign w:val="center"/>
          </w:tcPr>
          <w:p>
            <w:pPr>
              <w:pStyle w:val="63"/>
              <w:rPr>
                <w:u w:val="single"/>
              </w:rPr>
            </w:pPr>
            <w:r>
              <w:rPr>
                <w:color w:val="000000"/>
                <w:kern w:val="0"/>
                <w:u w:val="single"/>
                <w:lang w:bidi="ar"/>
              </w:rPr>
              <w:t>COD</w:t>
            </w:r>
          </w:p>
        </w:tc>
        <w:tc>
          <w:tcPr>
            <w:tcW w:w="415" w:type="pct"/>
            <w:vAlign w:val="center"/>
          </w:tcPr>
          <w:p>
            <w:pPr>
              <w:pStyle w:val="63"/>
              <w:rPr>
                <w:u w:val="single"/>
              </w:rPr>
            </w:pPr>
            <w:r>
              <w:rPr>
                <w:color w:val="000000"/>
                <w:kern w:val="0"/>
                <w:u w:val="single"/>
                <w:lang w:bidi="ar"/>
              </w:rPr>
              <w:t>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39" w:type="pct"/>
            <w:vMerge w:val="continue"/>
            <w:vAlign w:val="center"/>
          </w:tcPr>
          <w:p>
            <w:pPr>
              <w:pStyle w:val="63"/>
              <w:rPr>
                <w:u w:val="single"/>
              </w:rPr>
            </w:pPr>
          </w:p>
        </w:tc>
        <w:tc>
          <w:tcPr>
            <w:tcW w:w="418" w:type="pct"/>
            <w:vMerge w:val="continue"/>
            <w:vAlign w:val="center"/>
          </w:tcPr>
          <w:p>
            <w:pPr>
              <w:pStyle w:val="63"/>
              <w:rPr>
                <w:u w:val="single"/>
              </w:rPr>
            </w:pPr>
          </w:p>
        </w:tc>
        <w:tc>
          <w:tcPr>
            <w:tcW w:w="488" w:type="pct"/>
            <w:vMerge w:val="continue"/>
            <w:vAlign w:val="center"/>
          </w:tcPr>
          <w:p>
            <w:pPr>
              <w:pStyle w:val="63"/>
              <w:rPr>
                <w:u w:val="single"/>
              </w:rPr>
            </w:pPr>
          </w:p>
        </w:tc>
        <w:tc>
          <w:tcPr>
            <w:tcW w:w="523" w:type="pct"/>
            <w:vMerge w:val="continue"/>
            <w:vAlign w:val="center"/>
          </w:tcPr>
          <w:p>
            <w:pPr>
              <w:pStyle w:val="63"/>
              <w:rPr>
                <w:u w:val="single"/>
              </w:rPr>
            </w:pPr>
          </w:p>
        </w:tc>
        <w:tc>
          <w:tcPr>
            <w:tcW w:w="440" w:type="pct"/>
            <w:vMerge w:val="continue"/>
            <w:vAlign w:val="center"/>
          </w:tcPr>
          <w:p>
            <w:pPr>
              <w:pStyle w:val="63"/>
              <w:rPr>
                <w:u w:val="single"/>
              </w:rPr>
            </w:pPr>
          </w:p>
        </w:tc>
        <w:tc>
          <w:tcPr>
            <w:tcW w:w="508" w:type="pct"/>
            <w:vMerge w:val="continue"/>
            <w:vAlign w:val="center"/>
          </w:tcPr>
          <w:p>
            <w:pPr>
              <w:pStyle w:val="63"/>
              <w:rPr>
                <w:u w:val="single"/>
              </w:rPr>
            </w:pPr>
          </w:p>
        </w:tc>
        <w:tc>
          <w:tcPr>
            <w:tcW w:w="515" w:type="pct"/>
            <w:vMerge w:val="continue"/>
            <w:vAlign w:val="center"/>
          </w:tcPr>
          <w:p>
            <w:pPr>
              <w:pStyle w:val="63"/>
              <w:rPr>
                <w:u w:val="single"/>
              </w:rPr>
            </w:pPr>
          </w:p>
        </w:tc>
        <w:tc>
          <w:tcPr>
            <w:tcW w:w="236" w:type="pct"/>
            <w:vMerge w:val="continue"/>
            <w:vAlign w:val="center"/>
          </w:tcPr>
          <w:p>
            <w:pPr>
              <w:pStyle w:val="63"/>
              <w:rPr>
                <w:u w:val="single"/>
              </w:rPr>
            </w:pPr>
          </w:p>
        </w:tc>
        <w:tc>
          <w:tcPr>
            <w:tcW w:w="307" w:type="pct"/>
            <w:vMerge w:val="continue"/>
            <w:vAlign w:val="center"/>
          </w:tcPr>
          <w:p>
            <w:pPr>
              <w:pStyle w:val="63"/>
              <w:rPr>
                <w:u w:val="single"/>
              </w:rPr>
            </w:pPr>
          </w:p>
        </w:tc>
        <w:tc>
          <w:tcPr>
            <w:tcW w:w="383" w:type="pct"/>
            <w:vMerge w:val="continue"/>
            <w:vAlign w:val="center"/>
          </w:tcPr>
          <w:p>
            <w:pPr>
              <w:pStyle w:val="63"/>
              <w:rPr>
                <w:u w:val="single"/>
              </w:rPr>
            </w:pPr>
          </w:p>
        </w:tc>
        <w:tc>
          <w:tcPr>
            <w:tcW w:w="528" w:type="pct"/>
            <w:vAlign w:val="center"/>
          </w:tcPr>
          <w:p>
            <w:pPr>
              <w:pStyle w:val="63"/>
              <w:rPr>
                <w:u w:val="single"/>
              </w:rPr>
            </w:pPr>
            <w:r>
              <w:rPr>
                <w:color w:val="000000"/>
                <w:kern w:val="0"/>
                <w:u w:val="single"/>
                <w:lang w:bidi="ar"/>
              </w:rPr>
              <w:t>BOD</w:t>
            </w:r>
            <w:r>
              <w:rPr>
                <w:rStyle w:val="56"/>
                <w:rFonts w:ascii="Times New Roman" w:cs="Times New Roman" w:eastAsiaTheme="minorEastAsia"/>
                <w:bCs/>
                <w:sz w:val="21"/>
                <w:szCs w:val="21"/>
                <w:u w:val="single"/>
                <w:vertAlign w:val="subscript"/>
                <w:lang w:bidi="ar"/>
              </w:rPr>
              <w:t>5</w:t>
            </w:r>
          </w:p>
        </w:tc>
        <w:tc>
          <w:tcPr>
            <w:tcW w:w="415" w:type="pct"/>
            <w:vAlign w:val="center"/>
          </w:tcPr>
          <w:p>
            <w:pPr>
              <w:pStyle w:val="63"/>
              <w:rPr>
                <w:u w:val="single"/>
              </w:rPr>
            </w:pPr>
            <w:r>
              <w:rPr>
                <w:color w:val="000000"/>
                <w:kern w:val="0"/>
                <w:u w:val="single"/>
                <w:lang w:bidi="ar"/>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39" w:type="pct"/>
            <w:vMerge w:val="continue"/>
            <w:vAlign w:val="center"/>
          </w:tcPr>
          <w:p>
            <w:pPr>
              <w:pStyle w:val="63"/>
              <w:rPr>
                <w:u w:val="single"/>
              </w:rPr>
            </w:pPr>
          </w:p>
        </w:tc>
        <w:tc>
          <w:tcPr>
            <w:tcW w:w="418" w:type="pct"/>
            <w:vMerge w:val="continue"/>
            <w:vAlign w:val="center"/>
          </w:tcPr>
          <w:p>
            <w:pPr>
              <w:pStyle w:val="63"/>
              <w:rPr>
                <w:u w:val="single"/>
              </w:rPr>
            </w:pPr>
          </w:p>
        </w:tc>
        <w:tc>
          <w:tcPr>
            <w:tcW w:w="488" w:type="pct"/>
            <w:vMerge w:val="continue"/>
            <w:vAlign w:val="center"/>
          </w:tcPr>
          <w:p>
            <w:pPr>
              <w:pStyle w:val="63"/>
              <w:rPr>
                <w:u w:val="single"/>
              </w:rPr>
            </w:pPr>
          </w:p>
        </w:tc>
        <w:tc>
          <w:tcPr>
            <w:tcW w:w="523" w:type="pct"/>
            <w:vMerge w:val="continue"/>
            <w:vAlign w:val="center"/>
          </w:tcPr>
          <w:p>
            <w:pPr>
              <w:pStyle w:val="63"/>
              <w:rPr>
                <w:u w:val="single"/>
              </w:rPr>
            </w:pPr>
          </w:p>
        </w:tc>
        <w:tc>
          <w:tcPr>
            <w:tcW w:w="440" w:type="pct"/>
            <w:vMerge w:val="continue"/>
            <w:vAlign w:val="center"/>
          </w:tcPr>
          <w:p>
            <w:pPr>
              <w:pStyle w:val="63"/>
              <w:rPr>
                <w:u w:val="single"/>
              </w:rPr>
            </w:pPr>
          </w:p>
        </w:tc>
        <w:tc>
          <w:tcPr>
            <w:tcW w:w="508" w:type="pct"/>
            <w:vMerge w:val="continue"/>
            <w:vAlign w:val="center"/>
          </w:tcPr>
          <w:p>
            <w:pPr>
              <w:pStyle w:val="63"/>
              <w:rPr>
                <w:u w:val="single"/>
              </w:rPr>
            </w:pPr>
          </w:p>
        </w:tc>
        <w:tc>
          <w:tcPr>
            <w:tcW w:w="515" w:type="pct"/>
            <w:vMerge w:val="continue"/>
            <w:vAlign w:val="center"/>
          </w:tcPr>
          <w:p>
            <w:pPr>
              <w:pStyle w:val="63"/>
              <w:rPr>
                <w:u w:val="single"/>
              </w:rPr>
            </w:pPr>
          </w:p>
        </w:tc>
        <w:tc>
          <w:tcPr>
            <w:tcW w:w="236" w:type="pct"/>
            <w:vMerge w:val="continue"/>
            <w:vAlign w:val="center"/>
          </w:tcPr>
          <w:p>
            <w:pPr>
              <w:pStyle w:val="63"/>
              <w:rPr>
                <w:u w:val="single"/>
              </w:rPr>
            </w:pPr>
          </w:p>
        </w:tc>
        <w:tc>
          <w:tcPr>
            <w:tcW w:w="307" w:type="pct"/>
            <w:vMerge w:val="continue"/>
            <w:vAlign w:val="center"/>
          </w:tcPr>
          <w:p>
            <w:pPr>
              <w:pStyle w:val="63"/>
              <w:rPr>
                <w:u w:val="single"/>
              </w:rPr>
            </w:pPr>
          </w:p>
        </w:tc>
        <w:tc>
          <w:tcPr>
            <w:tcW w:w="383" w:type="pct"/>
            <w:vMerge w:val="continue"/>
            <w:vAlign w:val="center"/>
          </w:tcPr>
          <w:p>
            <w:pPr>
              <w:pStyle w:val="63"/>
              <w:rPr>
                <w:u w:val="single"/>
              </w:rPr>
            </w:pPr>
          </w:p>
        </w:tc>
        <w:tc>
          <w:tcPr>
            <w:tcW w:w="528" w:type="pct"/>
            <w:vAlign w:val="center"/>
          </w:tcPr>
          <w:p>
            <w:pPr>
              <w:pStyle w:val="63"/>
              <w:rPr>
                <w:u w:val="single"/>
              </w:rPr>
            </w:pPr>
            <w:r>
              <w:rPr>
                <w:color w:val="000000"/>
                <w:kern w:val="0"/>
                <w:u w:val="single"/>
                <w:lang w:bidi="ar"/>
              </w:rPr>
              <w:t>SS</w:t>
            </w:r>
          </w:p>
        </w:tc>
        <w:tc>
          <w:tcPr>
            <w:tcW w:w="415" w:type="pct"/>
            <w:vAlign w:val="center"/>
          </w:tcPr>
          <w:p>
            <w:pPr>
              <w:pStyle w:val="63"/>
              <w:rPr>
                <w:u w:val="single"/>
              </w:rPr>
            </w:pPr>
            <w:r>
              <w:rPr>
                <w:color w:val="000000"/>
                <w:kern w:val="0"/>
                <w:u w:val="single"/>
                <w:lang w:bidi="ar"/>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39" w:type="pct"/>
            <w:vMerge w:val="continue"/>
            <w:vAlign w:val="center"/>
          </w:tcPr>
          <w:p>
            <w:pPr>
              <w:pStyle w:val="63"/>
              <w:rPr>
                <w:u w:val="single"/>
              </w:rPr>
            </w:pPr>
          </w:p>
        </w:tc>
        <w:tc>
          <w:tcPr>
            <w:tcW w:w="418" w:type="pct"/>
            <w:vMerge w:val="continue"/>
            <w:vAlign w:val="center"/>
          </w:tcPr>
          <w:p>
            <w:pPr>
              <w:pStyle w:val="63"/>
              <w:rPr>
                <w:u w:val="single"/>
              </w:rPr>
            </w:pPr>
          </w:p>
        </w:tc>
        <w:tc>
          <w:tcPr>
            <w:tcW w:w="488" w:type="pct"/>
            <w:vMerge w:val="continue"/>
            <w:vAlign w:val="center"/>
          </w:tcPr>
          <w:p>
            <w:pPr>
              <w:pStyle w:val="63"/>
              <w:rPr>
                <w:u w:val="single"/>
              </w:rPr>
            </w:pPr>
          </w:p>
        </w:tc>
        <w:tc>
          <w:tcPr>
            <w:tcW w:w="523" w:type="pct"/>
            <w:vMerge w:val="continue"/>
            <w:vAlign w:val="center"/>
          </w:tcPr>
          <w:p>
            <w:pPr>
              <w:pStyle w:val="63"/>
              <w:rPr>
                <w:u w:val="single"/>
              </w:rPr>
            </w:pPr>
          </w:p>
        </w:tc>
        <w:tc>
          <w:tcPr>
            <w:tcW w:w="440" w:type="pct"/>
            <w:vMerge w:val="continue"/>
            <w:vAlign w:val="center"/>
          </w:tcPr>
          <w:p>
            <w:pPr>
              <w:pStyle w:val="63"/>
              <w:rPr>
                <w:u w:val="single"/>
              </w:rPr>
            </w:pPr>
          </w:p>
        </w:tc>
        <w:tc>
          <w:tcPr>
            <w:tcW w:w="508" w:type="pct"/>
            <w:vMerge w:val="continue"/>
            <w:vAlign w:val="center"/>
          </w:tcPr>
          <w:p>
            <w:pPr>
              <w:pStyle w:val="63"/>
              <w:rPr>
                <w:u w:val="single"/>
              </w:rPr>
            </w:pPr>
          </w:p>
        </w:tc>
        <w:tc>
          <w:tcPr>
            <w:tcW w:w="515" w:type="pct"/>
            <w:vMerge w:val="continue"/>
            <w:vAlign w:val="center"/>
          </w:tcPr>
          <w:p>
            <w:pPr>
              <w:pStyle w:val="63"/>
              <w:rPr>
                <w:u w:val="single"/>
              </w:rPr>
            </w:pPr>
          </w:p>
        </w:tc>
        <w:tc>
          <w:tcPr>
            <w:tcW w:w="236" w:type="pct"/>
            <w:vMerge w:val="continue"/>
            <w:vAlign w:val="center"/>
          </w:tcPr>
          <w:p>
            <w:pPr>
              <w:pStyle w:val="63"/>
              <w:rPr>
                <w:u w:val="single"/>
              </w:rPr>
            </w:pPr>
          </w:p>
        </w:tc>
        <w:tc>
          <w:tcPr>
            <w:tcW w:w="307" w:type="pct"/>
            <w:vMerge w:val="continue"/>
            <w:vAlign w:val="center"/>
          </w:tcPr>
          <w:p>
            <w:pPr>
              <w:pStyle w:val="63"/>
              <w:rPr>
                <w:u w:val="single"/>
              </w:rPr>
            </w:pPr>
          </w:p>
        </w:tc>
        <w:tc>
          <w:tcPr>
            <w:tcW w:w="383" w:type="pct"/>
            <w:vMerge w:val="continue"/>
            <w:vAlign w:val="center"/>
          </w:tcPr>
          <w:p>
            <w:pPr>
              <w:pStyle w:val="63"/>
              <w:rPr>
                <w:u w:val="single"/>
              </w:rPr>
            </w:pPr>
          </w:p>
        </w:tc>
        <w:tc>
          <w:tcPr>
            <w:tcW w:w="528" w:type="pct"/>
            <w:vAlign w:val="center"/>
          </w:tcPr>
          <w:p>
            <w:pPr>
              <w:pStyle w:val="63"/>
              <w:rPr>
                <w:u w:val="single"/>
              </w:rPr>
            </w:pPr>
            <w:r>
              <w:rPr>
                <w:color w:val="000000"/>
                <w:kern w:val="0"/>
                <w:u w:val="single"/>
                <w:lang w:bidi="ar"/>
              </w:rPr>
              <w:t>NH</w:t>
            </w:r>
            <w:r>
              <w:rPr>
                <w:color w:val="000000"/>
                <w:kern w:val="0"/>
                <w:u w:val="single"/>
                <w:vertAlign w:val="subscript"/>
                <w:lang w:bidi="ar"/>
              </w:rPr>
              <w:t>3</w:t>
            </w:r>
            <w:r>
              <w:rPr>
                <w:color w:val="000000"/>
                <w:kern w:val="0"/>
                <w:u w:val="single"/>
                <w:lang w:bidi="ar"/>
              </w:rPr>
              <w:t>-N</w:t>
            </w:r>
          </w:p>
        </w:tc>
        <w:tc>
          <w:tcPr>
            <w:tcW w:w="415" w:type="pct"/>
            <w:vAlign w:val="center"/>
          </w:tcPr>
          <w:p>
            <w:pPr>
              <w:pStyle w:val="63"/>
              <w:rPr>
                <w:u w:val="single"/>
              </w:rPr>
            </w:pPr>
            <w:r>
              <w:rPr>
                <w:color w:val="000000"/>
                <w:kern w:val="0"/>
                <w:u w:val="single"/>
                <w:lang w:bidi="ar"/>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39" w:type="pct"/>
            <w:vMerge w:val="continue"/>
            <w:vAlign w:val="center"/>
          </w:tcPr>
          <w:p>
            <w:pPr>
              <w:pStyle w:val="63"/>
              <w:rPr>
                <w:u w:val="single"/>
              </w:rPr>
            </w:pPr>
          </w:p>
        </w:tc>
        <w:tc>
          <w:tcPr>
            <w:tcW w:w="418" w:type="pct"/>
            <w:vMerge w:val="continue"/>
            <w:vAlign w:val="center"/>
          </w:tcPr>
          <w:p>
            <w:pPr>
              <w:pStyle w:val="63"/>
              <w:rPr>
                <w:u w:val="single"/>
              </w:rPr>
            </w:pPr>
          </w:p>
        </w:tc>
        <w:tc>
          <w:tcPr>
            <w:tcW w:w="488" w:type="pct"/>
            <w:vMerge w:val="continue"/>
            <w:vAlign w:val="center"/>
          </w:tcPr>
          <w:p>
            <w:pPr>
              <w:pStyle w:val="63"/>
              <w:rPr>
                <w:u w:val="single"/>
              </w:rPr>
            </w:pPr>
          </w:p>
        </w:tc>
        <w:tc>
          <w:tcPr>
            <w:tcW w:w="523" w:type="pct"/>
            <w:vMerge w:val="continue"/>
            <w:vAlign w:val="center"/>
          </w:tcPr>
          <w:p>
            <w:pPr>
              <w:pStyle w:val="63"/>
              <w:rPr>
                <w:u w:val="single"/>
              </w:rPr>
            </w:pPr>
          </w:p>
        </w:tc>
        <w:tc>
          <w:tcPr>
            <w:tcW w:w="440" w:type="pct"/>
            <w:vMerge w:val="continue"/>
            <w:vAlign w:val="center"/>
          </w:tcPr>
          <w:p>
            <w:pPr>
              <w:pStyle w:val="63"/>
              <w:rPr>
                <w:u w:val="single"/>
              </w:rPr>
            </w:pPr>
          </w:p>
        </w:tc>
        <w:tc>
          <w:tcPr>
            <w:tcW w:w="508" w:type="pct"/>
            <w:vMerge w:val="continue"/>
            <w:vAlign w:val="center"/>
          </w:tcPr>
          <w:p>
            <w:pPr>
              <w:pStyle w:val="63"/>
              <w:rPr>
                <w:u w:val="single"/>
              </w:rPr>
            </w:pPr>
          </w:p>
        </w:tc>
        <w:tc>
          <w:tcPr>
            <w:tcW w:w="515" w:type="pct"/>
            <w:vMerge w:val="continue"/>
            <w:vAlign w:val="center"/>
          </w:tcPr>
          <w:p>
            <w:pPr>
              <w:pStyle w:val="63"/>
              <w:rPr>
                <w:u w:val="single"/>
              </w:rPr>
            </w:pPr>
          </w:p>
        </w:tc>
        <w:tc>
          <w:tcPr>
            <w:tcW w:w="236" w:type="pct"/>
            <w:vMerge w:val="continue"/>
            <w:vAlign w:val="center"/>
          </w:tcPr>
          <w:p>
            <w:pPr>
              <w:pStyle w:val="63"/>
              <w:rPr>
                <w:u w:val="single"/>
              </w:rPr>
            </w:pPr>
          </w:p>
        </w:tc>
        <w:tc>
          <w:tcPr>
            <w:tcW w:w="307" w:type="pct"/>
            <w:vMerge w:val="continue"/>
            <w:vAlign w:val="center"/>
          </w:tcPr>
          <w:p>
            <w:pPr>
              <w:pStyle w:val="63"/>
              <w:rPr>
                <w:u w:val="single"/>
              </w:rPr>
            </w:pPr>
          </w:p>
        </w:tc>
        <w:tc>
          <w:tcPr>
            <w:tcW w:w="383" w:type="pct"/>
            <w:vMerge w:val="continue"/>
            <w:vAlign w:val="center"/>
          </w:tcPr>
          <w:p>
            <w:pPr>
              <w:pStyle w:val="63"/>
              <w:rPr>
                <w:u w:val="single"/>
              </w:rPr>
            </w:pPr>
          </w:p>
        </w:tc>
        <w:tc>
          <w:tcPr>
            <w:tcW w:w="528" w:type="pct"/>
            <w:vAlign w:val="center"/>
          </w:tcPr>
          <w:p>
            <w:pPr>
              <w:pStyle w:val="63"/>
              <w:rPr>
                <w:u w:val="single"/>
              </w:rPr>
            </w:pPr>
            <w:r>
              <w:rPr>
                <w:color w:val="000000"/>
                <w:kern w:val="0"/>
                <w:u w:val="single"/>
                <w:lang w:bidi="ar"/>
              </w:rPr>
              <w:t>动植物油</w:t>
            </w:r>
          </w:p>
        </w:tc>
        <w:tc>
          <w:tcPr>
            <w:tcW w:w="415" w:type="pct"/>
            <w:vAlign w:val="center"/>
          </w:tcPr>
          <w:p>
            <w:pPr>
              <w:pStyle w:val="63"/>
              <w:rPr>
                <w:u w:val="single"/>
              </w:rPr>
            </w:pPr>
            <w:r>
              <w:rPr>
                <w:color w:val="000000"/>
                <w:kern w:val="0"/>
                <w:u w:val="single"/>
                <w:lang w:bidi="ar"/>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39" w:type="pct"/>
            <w:vMerge w:val="continue"/>
            <w:vAlign w:val="center"/>
          </w:tcPr>
          <w:p>
            <w:pPr>
              <w:pStyle w:val="63"/>
              <w:rPr>
                <w:u w:val="single"/>
              </w:rPr>
            </w:pPr>
          </w:p>
        </w:tc>
        <w:tc>
          <w:tcPr>
            <w:tcW w:w="418" w:type="pct"/>
            <w:vMerge w:val="continue"/>
            <w:vAlign w:val="center"/>
          </w:tcPr>
          <w:p>
            <w:pPr>
              <w:pStyle w:val="63"/>
              <w:rPr>
                <w:u w:val="single"/>
              </w:rPr>
            </w:pPr>
          </w:p>
        </w:tc>
        <w:tc>
          <w:tcPr>
            <w:tcW w:w="488" w:type="pct"/>
            <w:vMerge w:val="continue"/>
            <w:vAlign w:val="center"/>
          </w:tcPr>
          <w:p>
            <w:pPr>
              <w:pStyle w:val="63"/>
              <w:rPr>
                <w:u w:val="single"/>
              </w:rPr>
            </w:pPr>
          </w:p>
        </w:tc>
        <w:tc>
          <w:tcPr>
            <w:tcW w:w="523" w:type="pct"/>
            <w:vMerge w:val="continue"/>
            <w:vAlign w:val="center"/>
          </w:tcPr>
          <w:p>
            <w:pPr>
              <w:pStyle w:val="63"/>
              <w:rPr>
                <w:u w:val="single"/>
              </w:rPr>
            </w:pPr>
          </w:p>
        </w:tc>
        <w:tc>
          <w:tcPr>
            <w:tcW w:w="440" w:type="pct"/>
            <w:vMerge w:val="continue"/>
            <w:vAlign w:val="center"/>
          </w:tcPr>
          <w:p>
            <w:pPr>
              <w:pStyle w:val="63"/>
              <w:rPr>
                <w:u w:val="single"/>
              </w:rPr>
            </w:pPr>
          </w:p>
        </w:tc>
        <w:tc>
          <w:tcPr>
            <w:tcW w:w="508" w:type="pct"/>
            <w:vMerge w:val="continue"/>
            <w:vAlign w:val="center"/>
          </w:tcPr>
          <w:p>
            <w:pPr>
              <w:pStyle w:val="63"/>
              <w:rPr>
                <w:u w:val="single"/>
              </w:rPr>
            </w:pPr>
          </w:p>
        </w:tc>
        <w:tc>
          <w:tcPr>
            <w:tcW w:w="515" w:type="pct"/>
            <w:vMerge w:val="continue"/>
            <w:vAlign w:val="center"/>
          </w:tcPr>
          <w:p>
            <w:pPr>
              <w:pStyle w:val="63"/>
              <w:rPr>
                <w:u w:val="single"/>
              </w:rPr>
            </w:pPr>
          </w:p>
        </w:tc>
        <w:tc>
          <w:tcPr>
            <w:tcW w:w="236" w:type="pct"/>
            <w:vMerge w:val="continue"/>
            <w:vAlign w:val="center"/>
          </w:tcPr>
          <w:p>
            <w:pPr>
              <w:pStyle w:val="63"/>
              <w:rPr>
                <w:u w:val="single"/>
              </w:rPr>
            </w:pPr>
          </w:p>
        </w:tc>
        <w:tc>
          <w:tcPr>
            <w:tcW w:w="307" w:type="pct"/>
            <w:vMerge w:val="continue"/>
            <w:vAlign w:val="center"/>
          </w:tcPr>
          <w:p>
            <w:pPr>
              <w:pStyle w:val="63"/>
              <w:rPr>
                <w:u w:val="single"/>
              </w:rPr>
            </w:pPr>
          </w:p>
        </w:tc>
        <w:tc>
          <w:tcPr>
            <w:tcW w:w="383" w:type="pct"/>
            <w:vMerge w:val="continue"/>
            <w:vAlign w:val="center"/>
          </w:tcPr>
          <w:p>
            <w:pPr>
              <w:pStyle w:val="63"/>
              <w:rPr>
                <w:u w:val="single"/>
              </w:rPr>
            </w:pPr>
          </w:p>
        </w:tc>
        <w:tc>
          <w:tcPr>
            <w:tcW w:w="528" w:type="pct"/>
            <w:vAlign w:val="center"/>
          </w:tcPr>
          <w:p>
            <w:pPr>
              <w:pStyle w:val="63"/>
              <w:rPr>
                <w:u w:val="single"/>
              </w:rPr>
            </w:pPr>
            <w:r>
              <w:rPr>
                <w:color w:val="000000"/>
                <w:kern w:val="0"/>
                <w:u w:val="single"/>
                <w:lang w:bidi="ar"/>
              </w:rPr>
              <w:t>TP</w:t>
            </w:r>
          </w:p>
        </w:tc>
        <w:tc>
          <w:tcPr>
            <w:tcW w:w="415" w:type="pct"/>
            <w:vAlign w:val="center"/>
          </w:tcPr>
          <w:p>
            <w:pPr>
              <w:pStyle w:val="63"/>
              <w:rPr>
                <w:u w:val="single"/>
              </w:rPr>
            </w:pPr>
            <w:r>
              <w:rPr>
                <w:color w:val="000000"/>
                <w:kern w:val="0"/>
                <w:u w:val="single"/>
                <w:lang w:bidi="ar"/>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39" w:type="pct"/>
            <w:vMerge w:val="restart"/>
            <w:vAlign w:val="center"/>
          </w:tcPr>
          <w:p>
            <w:pPr>
              <w:pStyle w:val="63"/>
              <w:rPr>
                <w:u w:val="single"/>
              </w:rPr>
            </w:pPr>
            <w:r>
              <w:rPr>
                <w:rFonts w:hint="eastAsia"/>
                <w:u w:val="single"/>
              </w:rPr>
              <w:t>2</w:t>
            </w:r>
          </w:p>
        </w:tc>
        <w:tc>
          <w:tcPr>
            <w:tcW w:w="418" w:type="pct"/>
            <w:vMerge w:val="restart"/>
            <w:vAlign w:val="center"/>
          </w:tcPr>
          <w:p>
            <w:pPr>
              <w:pStyle w:val="63"/>
              <w:rPr>
                <w:u w:val="single"/>
              </w:rPr>
            </w:pPr>
            <w:r>
              <w:rPr>
                <w:u w:val="single"/>
              </w:rPr>
              <w:t>DW00</w:t>
            </w:r>
            <w:r>
              <w:rPr>
                <w:rFonts w:hint="eastAsia"/>
                <w:u w:val="single"/>
              </w:rPr>
              <w:t>2</w:t>
            </w:r>
          </w:p>
        </w:tc>
        <w:tc>
          <w:tcPr>
            <w:tcW w:w="488" w:type="pct"/>
            <w:vMerge w:val="restart"/>
            <w:vAlign w:val="center"/>
          </w:tcPr>
          <w:p>
            <w:pPr>
              <w:pStyle w:val="63"/>
              <w:rPr>
                <w:u w:val="single"/>
              </w:rPr>
            </w:pPr>
            <w:r>
              <w:rPr>
                <w:rFonts w:hint="eastAsia"/>
                <w:u w:val="single"/>
              </w:rPr>
              <w:t>112</w:t>
            </w:r>
            <w:r>
              <w:rPr>
                <w:u w:val="single"/>
              </w:rPr>
              <w:t>°</w:t>
            </w:r>
            <w:r>
              <w:rPr>
                <w:rFonts w:hint="eastAsia"/>
                <w:u w:val="single"/>
              </w:rPr>
              <w:t>48</w:t>
            </w:r>
            <w:r>
              <w:rPr>
                <w:u w:val="single"/>
              </w:rPr>
              <w:t>′</w:t>
            </w:r>
            <w:r>
              <w:rPr>
                <w:rFonts w:hint="eastAsia"/>
                <w:u w:val="single"/>
              </w:rPr>
              <w:t>13.24215</w:t>
            </w:r>
            <w:r>
              <w:rPr>
                <w:u w:val="single"/>
              </w:rPr>
              <w:t>″</w:t>
            </w:r>
          </w:p>
        </w:tc>
        <w:tc>
          <w:tcPr>
            <w:tcW w:w="523" w:type="pct"/>
            <w:vMerge w:val="restart"/>
            <w:vAlign w:val="center"/>
          </w:tcPr>
          <w:p>
            <w:pPr>
              <w:pStyle w:val="63"/>
              <w:rPr>
                <w:u w:val="single"/>
              </w:rPr>
            </w:pPr>
            <w:r>
              <w:rPr>
                <w:rFonts w:hint="eastAsia"/>
                <w:u w:val="single"/>
              </w:rPr>
              <w:t>27</w:t>
            </w:r>
            <w:r>
              <w:rPr>
                <w:u w:val="single"/>
              </w:rPr>
              <w:t>°</w:t>
            </w:r>
            <w:r>
              <w:rPr>
                <w:rFonts w:hint="eastAsia"/>
                <w:u w:val="single"/>
              </w:rPr>
              <w:t>0</w:t>
            </w:r>
            <w:r>
              <w:rPr>
                <w:u w:val="single"/>
              </w:rPr>
              <w:t>′</w:t>
            </w:r>
            <w:r>
              <w:rPr>
                <w:rFonts w:hint="eastAsia"/>
                <w:u w:val="single"/>
              </w:rPr>
              <w:t>50.40916</w:t>
            </w:r>
            <w:r>
              <w:rPr>
                <w:u w:val="single"/>
              </w:rPr>
              <w:t>″</w:t>
            </w:r>
          </w:p>
        </w:tc>
        <w:tc>
          <w:tcPr>
            <w:tcW w:w="440" w:type="pct"/>
            <w:vMerge w:val="restart"/>
            <w:vAlign w:val="center"/>
          </w:tcPr>
          <w:p>
            <w:pPr>
              <w:pStyle w:val="63"/>
              <w:rPr>
                <w:rFonts w:hint="eastAsia" w:eastAsiaTheme="minorEastAsia"/>
                <w:u w:val="single"/>
                <w:lang w:eastAsia="zh-CN"/>
              </w:rPr>
            </w:pPr>
            <w:r>
              <w:rPr>
                <w:u w:val="single"/>
              </w:rPr>
              <w:t>进入城镇</w:t>
            </w:r>
            <w:r>
              <w:rPr>
                <w:rFonts w:hint="eastAsia"/>
                <w:u w:val="single"/>
                <w:lang w:eastAsia="zh-CN"/>
              </w:rPr>
              <w:t>污水处理厂</w:t>
            </w:r>
          </w:p>
        </w:tc>
        <w:tc>
          <w:tcPr>
            <w:tcW w:w="508" w:type="pct"/>
            <w:vMerge w:val="restart"/>
            <w:vAlign w:val="center"/>
          </w:tcPr>
          <w:p>
            <w:pPr>
              <w:pStyle w:val="63"/>
              <w:rPr>
                <w:u w:val="single"/>
              </w:rPr>
            </w:pPr>
            <w:r>
              <w:rPr>
                <w:u w:val="single"/>
              </w:rPr>
              <w:t>大浦污水处理厂</w:t>
            </w:r>
          </w:p>
        </w:tc>
        <w:tc>
          <w:tcPr>
            <w:tcW w:w="515" w:type="pct"/>
            <w:vMerge w:val="restart"/>
            <w:vAlign w:val="center"/>
          </w:tcPr>
          <w:p>
            <w:pPr>
              <w:pStyle w:val="63"/>
              <w:rPr>
                <w:u w:val="single"/>
              </w:rPr>
            </w:pPr>
            <w:r>
              <w:rPr>
                <w:rFonts w:hint="eastAsia"/>
                <w:u w:val="single"/>
              </w:rPr>
              <w:t>连续排放</w:t>
            </w:r>
          </w:p>
        </w:tc>
        <w:tc>
          <w:tcPr>
            <w:tcW w:w="236" w:type="pct"/>
            <w:vMerge w:val="restart"/>
            <w:vAlign w:val="center"/>
          </w:tcPr>
          <w:p>
            <w:pPr>
              <w:pStyle w:val="63"/>
              <w:rPr>
                <w:u w:val="single"/>
              </w:rPr>
            </w:pPr>
            <w:r>
              <w:rPr>
                <w:u w:val="single"/>
              </w:rPr>
              <w:t>/</w:t>
            </w:r>
          </w:p>
        </w:tc>
        <w:tc>
          <w:tcPr>
            <w:tcW w:w="307" w:type="pct"/>
            <w:vMerge w:val="restart"/>
            <w:vAlign w:val="center"/>
          </w:tcPr>
          <w:p>
            <w:pPr>
              <w:pStyle w:val="63"/>
              <w:rPr>
                <w:u w:val="single"/>
              </w:rPr>
            </w:pPr>
            <w:r>
              <w:rPr>
                <w:u w:val="single"/>
              </w:rPr>
              <w:t>湘江</w:t>
            </w:r>
          </w:p>
        </w:tc>
        <w:tc>
          <w:tcPr>
            <w:tcW w:w="383" w:type="pct"/>
            <w:vMerge w:val="restart"/>
            <w:vAlign w:val="center"/>
          </w:tcPr>
          <w:p>
            <w:pPr>
              <w:pStyle w:val="63"/>
              <w:rPr>
                <w:u w:val="single"/>
              </w:rPr>
            </w:pPr>
            <w:r>
              <w:rPr>
                <w:u w:val="single"/>
              </w:rPr>
              <w:t>工业用水</w:t>
            </w:r>
          </w:p>
        </w:tc>
        <w:tc>
          <w:tcPr>
            <w:tcW w:w="528" w:type="pct"/>
            <w:vAlign w:val="center"/>
          </w:tcPr>
          <w:p>
            <w:pPr>
              <w:pStyle w:val="63"/>
              <w:rPr>
                <w:color w:val="000000"/>
                <w:kern w:val="0"/>
                <w:u w:val="single"/>
                <w:lang w:bidi="ar"/>
              </w:rPr>
            </w:pPr>
            <w:r>
              <w:rPr>
                <w:color w:val="000000"/>
                <w:kern w:val="0"/>
                <w:u w:val="single"/>
                <w:lang w:bidi="ar"/>
              </w:rPr>
              <w:t>COD</w:t>
            </w:r>
          </w:p>
        </w:tc>
        <w:tc>
          <w:tcPr>
            <w:tcW w:w="415" w:type="pct"/>
            <w:vAlign w:val="center"/>
          </w:tcPr>
          <w:p>
            <w:pPr>
              <w:pStyle w:val="63"/>
              <w:rPr>
                <w:color w:val="000000"/>
                <w:kern w:val="0"/>
                <w:u w:val="single"/>
                <w:lang w:bidi="ar"/>
              </w:rPr>
            </w:pPr>
            <w:r>
              <w:rPr>
                <w:color w:val="000000"/>
                <w:kern w:val="0"/>
                <w:u w:val="single"/>
                <w:lang w:bidi="ar"/>
              </w:rPr>
              <w:t>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39" w:type="pct"/>
            <w:vMerge w:val="continue"/>
            <w:vAlign w:val="center"/>
          </w:tcPr>
          <w:p>
            <w:pPr>
              <w:pStyle w:val="63"/>
              <w:rPr>
                <w:u w:val="single"/>
              </w:rPr>
            </w:pPr>
          </w:p>
        </w:tc>
        <w:tc>
          <w:tcPr>
            <w:tcW w:w="418" w:type="pct"/>
            <w:vMerge w:val="continue"/>
            <w:vAlign w:val="center"/>
          </w:tcPr>
          <w:p>
            <w:pPr>
              <w:pStyle w:val="63"/>
              <w:rPr>
                <w:u w:val="single"/>
              </w:rPr>
            </w:pPr>
          </w:p>
        </w:tc>
        <w:tc>
          <w:tcPr>
            <w:tcW w:w="488" w:type="pct"/>
            <w:vMerge w:val="continue"/>
            <w:vAlign w:val="center"/>
          </w:tcPr>
          <w:p>
            <w:pPr>
              <w:pStyle w:val="63"/>
              <w:rPr>
                <w:u w:val="single"/>
              </w:rPr>
            </w:pPr>
          </w:p>
        </w:tc>
        <w:tc>
          <w:tcPr>
            <w:tcW w:w="523" w:type="pct"/>
            <w:vMerge w:val="continue"/>
            <w:vAlign w:val="center"/>
          </w:tcPr>
          <w:p>
            <w:pPr>
              <w:pStyle w:val="63"/>
              <w:rPr>
                <w:u w:val="single"/>
              </w:rPr>
            </w:pPr>
          </w:p>
        </w:tc>
        <w:tc>
          <w:tcPr>
            <w:tcW w:w="440" w:type="pct"/>
            <w:vMerge w:val="continue"/>
            <w:vAlign w:val="center"/>
          </w:tcPr>
          <w:p>
            <w:pPr>
              <w:pStyle w:val="63"/>
              <w:rPr>
                <w:u w:val="single"/>
              </w:rPr>
            </w:pPr>
          </w:p>
        </w:tc>
        <w:tc>
          <w:tcPr>
            <w:tcW w:w="508" w:type="pct"/>
            <w:vMerge w:val="continue"/>
            <w:vAlign w:val="center"/>
          </w:tcPr>
          <w:p>
            <w:pPr>
              <w:pStyle w:val="63"/>
              <w:rPr>
                <w:u w:val="single"/>
              </w:rPr>
            </w:pPr>
          </w:p>
        </w:tc>
        <w:tc>
          <w:tcPr>
            <w:tcW w:w="515" w:type="pct"/>
            <w:vMerge w:val="continue"/>
            <w:vAlign w:val="center"/>
          </w:tcPr>
          <w:p>
            <w:pPr>
              <w:pStyle w:val="63"/>
              <w:rPr>
                <w:u w:val="single"/>
              </w:rPr>
            </w:pPr>
          </w:p>
        </w:tc>
        <w:tc>
          <w:tcPr>
            <w:tcW w:w="236" w:type="pct"/>
            <w:vMerge w:val="continue"/>
            <w:vAlign w:val="center"/>
          </w:tcPr>
          <w:p>
            <w:pPr>
              <w:pStyle w:val="63"/>
              <w:rPr>
                <w:u w:val="single"/>
              </w:rPr>
            </w:pPr>
          </w:p>
        </w:tc>
        <w:tc>
          <w:tcPr>
            <w:tcW w:w="307" w:type="pct"/>
            <w:vMerge w:val="continue"/>
            <w:vAlign w:val="center"/>
          </w:tcPr>
          <w:p>
            <w:pPr>
              <w:pStyle w:val="63"/>
              <w:rPr>
                <w:u w:val="single"/>
              </w:rPr>
            </w:pPr>
          </w:p>
        </w:tc>
        <w:tc>
          <w:tcPr>
            <w:tcW w:w="383" w:type="pct"/>
            <w:vMerge w:val="continue"/>
            <w:vAlign w:val="center"/>
          </w:tcPr>
          <w:p>
            <w:pPr>
              <w:pStyle w:val="63"/>
              <w:rPr>
                <w:u w:val="single"/>
              </w:rPr>
            </w:pPr>
          </w:p>
        </w:tc>
        <w:tc>
          <w:tcPr>
            <w:tcW w:w="528" w:type="pct"/>
            <w:vAlign w:val="center"/>
          </w:tcPr>
          <w:p>
            <w:pPr>
              <w:pStyle w:val="63"/>
              <w:rPr>
                <w:color w:val="000000"/>
                <w:kern w:val="0"/>
                <w:u w:val="single"/>
                <w:lang w:bidi="ar"/>
              </w:rPr>
            </w:pPr>
            <w:r>
              <w:rPr>
                <w:color w:val="000000"/>
                <w:kern w:val="0"/>
                <w:u w:val="single"/>
                <w:lang w:bidi="ar"/>
              </w:rPr>
              <w:t>SS</w:t>
            </w:r>
          </w:p>
        </w:tc>
        <w:tc>
          <w:tcPr>
            <w:tcW w:w="415" w:type="pct"/>
            <w:vAlign w:val="center"/>
          </w:tcPr>
          <w:p>
            <w:pPr>
              <w:pStyle w:val="63"/>
              <w:rPr>
                <w:color w:val="000000"/>
                <w:kern w:val="0"/>
                <w:u w:val="single"/>
                <w:lang w:bidi="ar"/>
              </w:rPr>
            </w:pPr>
            <w:r>
              <w:rPr>
                <w:color w:val="000000"/>
                <w:kern w:val="0"/>
                <w:u w:val="single"/>
                <w:lang w:bidi="ar"/>
              </w:rPr>
              <w:t>10</w:t>
            </w:r>
          </w:p>
        </w:tc>
      </w:tr>
    </w:tbl>
    <w:p>
      <w:pPr>
        <w:spacing w:line="500" w:lineRule="exact"/>
        <w:ind w:firstLine="480" w:firstLineChars="200"/>
        <w:rPr>
          <w:rFonts w:ascii="Times New Roman" w:hAnsi="Times New Roman" w:cs="Times New Roman"/>
          <w:u w:val="single"/>
        </w:rPr>
      </w:pPr>
      <w:r>
        <w:rPr>
          <w:rFonts w:ascii="Times New Roman" w:hAnsi="Times New Roman" w:cs="Times New Roman"/>
          <w:u w:val="single"/>
        </w:rPr>
        <w:t>本项目废水污染物排放执行标准</w:t>
      </w:r>
      <w:r>
        <w:rPr>
          <w:rFonts w:ascii="Times New Roman" w:hAnsi="Times New Roman" w:cs="Times New Roman"/>
          <w:kern w:val="0"/>
          <w:u w:val="single"/>
        </w:rPr>
        <w:t>见</w:t>
      </w:r>
      <w:r>
        <w:rPr>
          <w:rFonts w:hint="eastAsia" w:ascii="Times New Roman" w:hAnsi="Times New Roman" w:cs="Times New Roman"/>
          <w:kern w:val="0"/>
          <w:u w:val="single"/>
        </w:rPr>
        <w:t>下表</w:t>
      </w:r>
      <w:r>
        <w:rPr>
          <w:rFonts w:ascii="Times New Roman" w:hAnsi="Times New Roman" w:cs="Times New Roman"/>
          <w:u w:val="single"/>
        </w:rPr>
        <w:t>。</w:t>
      </w:r>
    </w:p>
    <w:p>
      <w:pPr>
        <w:pStyle w:val="6"/>
        <w:rPr>
          <w:u w:val="single"/>
        </w:rPr>
      </w:pPr>
      <w:r>
        <w:rPr>
          <w:u w:val="single"/>
        </w:rPr>
        <w:t>表</w:t>
      </w:r>
      <w:r>
        <w:rPr>
          <w:rFonts w:cs="Times New Roman"/>
          <w:u w:val="single"/>
        </w:rPr>
        <w:t>6</w:t>
      </w:r>
      <w:r>
        <w:rPr>
          <w:rFonts w:hint="eastAsia" w:cs="Times New Roman"/>
          <w:u w:val="single"/>
        </w:rPr>
        <w:t>.2.2</w:t>
      </w:r>
      <w:r>
        <w:rPr>
          <w:rFonts w:cs="Times New Roman"/>
          <w:u w:val="single"/>
        </w:rPr>
        <w:t>-</w:t>
      </w:r>
      <w:r>
        <w:rPr>
          <w:u w:val="single"/>
        </w:rPr>
        <w:t>3废水污染物排放执行标准表</w:t>
      </w:r>
    </w:p>
    <w:tbl>
      <w:tblPr>
        <w:tblStyle w:val="35"/>
        <w:tblW w:w="5016"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71"/>
        <w:gridCol w:w="1061"/>
        <w:gridCol w:w="1562"/>
        <w:gridCol w:w="3119"/>
        <w:gridCol w:w="195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01" w:type="pct"/>
            <w:vMerge w:val="restart"/>
            <w:vAlign w:val="center"/>
          </w:tcPr>
          <w:p>
            <w:pPr>
              <w:pStyle w:val="63"/>
              <w:rPr>
                <w:u w:val="single"/>
              </w:rPr>
            </w:pPr>
            <w:r>
              <w:rPr>
                <w:u w:val="single"/>
              </w:rPr>
              <w:t>序号</w:t>
            </w:r>
          </w:p>
        </w:tc>
        <w:tc>
          <w:tcPr>
            <w:tcW w:w="634" w:type="pct"/>
            <w:vMerge w:val="restart"/>
            <w:vAlign w:val="center"/>
          </w:tcPr>
          <w:p>
            <w:pPr>
              <w:pStyle w:val="63"/>
              <w:rPr>
                <w:u w:val="single"/>
              </w:rPr>
            </w:pPr>
            <w:r>
              <w:rPr>
                <w:u w:val="single"/>
              </w:rPr>
              <w:t>排放口编号</w:t>
            </w:r>
          </w:p>
        </w:tc>
        <w:tc>
          <w:tcPr>
            <w:tcW w:w="933" w:type="pct"/>
            <w:vMerge w:val="restart"/>
            <w:vAlign w:val="center"/>
          </w:tcPr>
          <w:p>
            <w:pPr>
              <w:pStyle w:val="63"/>
              <w:rPr>
                <w:u w:val="single"/>
              </w:rPr>
            </w:pPr>
            <w:r>
              <w:rPr>
                <w:u w:val="single"/>
              </w:rPr>
              <w:t>污染物种类</w:t>
            </w:r>
          </w:p>
        </w:tc>
        <w:tc>
          <w:tcPr>
            <w:tcW w:w="3032" w:type="pct"/>
            <w:gridSpan w:val="2"/>
            <w:vAlign w:val="center"/>
          </w:tcPr>
          <w:p>
            <w:pPr>
              <w:pStyle w:val="63"/>
              <w:rPr>
                <w:u w:val="single"/>
              </w:rPr>
            </w:pPr>
            <w:r>
              <w:rPr>
                <w:u w:val="single"/>
              </w:rPr>
              <w:t>标准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01" w:type="pct"/>
            <w:vMerge w:val="continue"/>
            <w:vAlign w:val="center"/>
          </w:tcPr>
          <w:p>
            <w:pPr>
              <w:pStyle w:val="63"/>
              <w:rPr>
                <w:u w:val="single"/>
              </w:rPr>
            </w:pPr>
          </w:p>
        </w:tc>
        <w:tc>
          <w:tcPr>
            <w:tcW w:w="634" w:type="pct"/>
            <w:vMerge w:val="continue"/>
            <w:vAlign w:val="center"/>
          </w:tcPr>
          <w:p>
            <w:pPr>
              <w:pStyle w:val="63"/>
              <w:rPr>
                <w:u w:val="single"/>
              </w:rPr>
            </w:pPr>
          </w:p>
        </w:tc>
        <w:tc>
          <w:tcPr>
            <w:tcW w:w="933" w:type="pct"/>
            <w:vMerge w:val="continue"/>
            <w:vAlign w:val="center"/>
          </w:tcPr>
          <w:p>
            <w:pPr>
              <w:pStyle w:val="63"/>
              <w:rPr>
                <w:u w:val="single"/>
              </w:rPr>
            </w:pPr>
          </w:p>
        </w:tc>
        <w:tc>
          <w:tcPr>
            <w:tcW w:w="1863" w:type="pct"/>
            <w:vAlign w:val="center"/>
          </w:tcPr>
          <w:p>
            <w:pPr>
              <w:pStyle w:val="63"/>
              <w:rPr>
                <w:u w:val="single"/>
              </w:rPr>
            </w:pPr>
            <w:r>
              <w:rPr>
                <w:u w:val="single"/>
              </w:rPr>
              <w:t>名称</w:t>
            </w:r>
          </w:p>
        </w:tc>
        <w:tc>
          <w:tcPr>
            <w:tcW w:w="1169" w:type="pct"/>
            <w:vAlign w:val="center"/>
          </w:tcPr>
          <w:p>
            <w:pPr>
              <w:pStyle w:val="63"/>
              <w:rPr>
                <w:u w:val="single"/>
              </w:rPr>
            </w:pPr>
            <w:r>
              <w:rPr>
                <w:u w:val="single"/>
              </w:rPr>
              <w:t>浓度限值/（mg/L）</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01" w:type="pct"/>
            <w:vMerge w:val="restart"/>
            <w:vAlign w:val="center"/>
          </w:tcPr>
          <w:p>
            <w:pPr>
              <w:pStyle w:val="63"/>
              <w:rPr>
                <w:u w:val="single"/>
              </w:rPr>
            </w:pPr>
            <w:r>
              <w:rPr>
                <w:u w:val="single"/>
              </w:rPr>
              <w:t>1#</w:t>
            </w:r>
          </w:p>
        </w:tc>
        <w:tc>
          <w:tcPr>
            <w:tcW w:w="634" w:type="pct"/>
            <w:vMerge w:val="restart"/>
            <w:vAlign w:val="center"/>
          </w:tcPr>
          <w:p>
            <w:pPr>
              <w:pStyle w:val="63"/>
              <w:rPr>
                <w:u w:val="single"/>
              </w:rPr>
            </w:pPr>
            <w:r>
              <w:rPr>
                <w:u w:val="single"/>
              </w:rPr>
              <w:t>DW001</w:t>
            </w:r>
          </w:p>
        </w:tc>
        <w:tc>
          <w:tcPr>
            <w:tcW w:w="933" w:type="pct"/>
            <w:vAlign w:val="center"/>
          </w:tcPr>
          <w:p>
            <w:pPr>
              <w:pStyle w:val="63"/>
              <w:rPr>
                <w:u w:val="single"/>
              </w:rPr>
            </w:pPr>
            <w:r>
              <w:rPr>
                <w:u w:val="single"/>
              </w:rPr>
              <w:t>COD</w:t>
            </w:r>
          </w:p>
        </w:tc>
        <w:tc>
          <w:tcPr>
            <w:tcW w:w="1863" w:type="pct"/>
            <w:vMerge w:val="restart"/>
            <w:vAlign w:val="center"/>
          </w:tcPr>
          <w:p>
            <w:pPr>
              <w:pStyle w:val="63"/>
              <w:rPr>
                <w:u w:val="single"/>
              </w:rPr>
            </w:pPr>
            <w:r>
              <w:rPr>
                <w:u w:val="single"/>
              </w:rPr>
              <w:t>《污水综合排放标准》（GB8978-1996）表4中三级标准</w:t>
            </w:r>
          </w:p>
        </w:tc>
        <w:tc>
          <w:tcPr>
            <w:tcW w:w="1169" w:type="pct"/>
            <w:vAlign w:val="center"/>
          </w:tcPr>
          <w:p>
            <w:pPr>
              <w:pStyle w:val="63"/>
              <w:rPr>
                <w:u w:val="single"/>
              </w:rPr>
            </w:pPr>
            <w:r>
              <w:rPr>
                <w:u w:val="single"/>
              </w:rPr>
              <w:t>500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01" w:type="pct"/>
            <w:vMerge w:val="continue"/>
            <w:vAlign w:val="center"/>
          </w:tcPr>
          <w:p>
            <w:pPr>
              <w:pStyle w:val="63"/>
              <w:rPr>
                <w:u w:val="single"/>
              </w:rPr>
            </w:pPr>
          </w:p>
        </w:tc>
        <w:tc>
          <w:tcPr>
            <w:tcW w:w="634" w:type="pct"/>
            <w:vMerge w:val="continue"/>
            <w:vAlign w:val="center"/>
          </w:tcPr>
          <w:p>
            <w:pPr>
              <w:pStyle w:val="63"/>
              <w:rPr>
                <w:u w:val="single"/>
              </w:rPr>
            </w:pPr>
          </w:p>
        </w:tc>
        <w:tc>
          <w:tcPr>
            <w:tcW w:w="933" w:type="pct"/>
            <w:vAlign w:val="center"/>
          </w:tcPr>
          <w:p>
            <w:pPr>
              <w:pStyle w:val="63"/>
              <w:rPr>
                <w:u w:val="single"/>
              </w:rPr>
            </w:pPr>
            <w:r>
              <w:rPr>
                <w:u w:val="single"/>
              </w:rPr>
              <w:t>SS</w:t>
            </w:r>
          </w:p>
        </w:tc>
        <w:tc>
          <w:tcPr>
            <w:tcW w:w="1863" w:type="pct"/>
            <w:vMerge w:val="continue"/>
            <w:vAlign w:val="center"/>
          </w:tcPr>
          <w:p>
            <w:pPr>
              <w:pStyle w:val="63"/>
              <w:rPr>
                <w:u w:val="single"/>
              </w:rPr>
            </w:pPr>
          </w:p>
        </w:tc>
        <w:tc>
          <w:tcPr>
            <w:tcW w:w="1169" w:type="pct"/>
            <w:vAlign w:val="center"/>
          </w:tcPr>
          <w:p>
            <w:pPr>
              <w:pStyle w:val="63"/>
              <w:rPr>
                <w:u w:val="single"/>
              </w:rPr>
            </w:pPr>
            <w:r>
              <w:rPr>
                <w:u w:val="single"/>
              </w:rPr>
              <w:t>400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01" w:type="pct"/>
            <w:vMerge w:val="continue"/>
            <w:vAlign w:val="center"/>
          </w:tcPr>
          <w:p>
            <w:pPr>
              <w:pStyle w:val="63"/>
              <w:rPr>
                <w:u w:val="single"/>
              </w:rPr>
            </w:pPr>
          </w:p>
        </w:tc>
        <w:tc>
          <w:tcPr>
            <w:tcW w:w="634" w:type="pct"/>
            <w:vMerge w:val="continue"/>
            <w:vAlign w:val="center"/>
          </w:tcPr>
          <w:p>
            <w:pPr>
              <w:pStyle w:val="63"/>
              <w:rPr>
                <w:u w:val="single"/>
              </w:rPr>
            </w:pPr>
          </w:p>
        </w:tc>
        <w:tc>
          <w:tcPr>
            <w:tcW w:w="933" w:type="pct"/>
            <w:vAlign w:val="center"/>
          </w:tcPr>
          <w:p>
            <w:pPr>
              <w:pStyle w:val="63"/>
              <w:rPr>
                <w:u w:val="single"/>
              </w:rPr>
            </w:pPr>
            <w:r>
              <w:rPr>
                <w:u w:val="single"/>
              </w:rPr>
              <w:t>BOD</w:t>
            </w:r>
            <w:r>
              <w:rPr>
                <w:u w:val="single"/>
                <w:vertAlign w:val="subscript"/>
              </w:rPr>
              <w:t>5</w:t>
            </w:r>
          </w:p>
        </w:tc>
        <w:tc>
          <w:tcPr>
            <w:tcW w:w="1863" w:type="pct"/>
            <w:vMerge w:val="continue"/>
            <w:vAlign w:val="center"/>
          </w:tcPr>
          <w:p>
            <w:pPr>
              <w:pStyle w:val="63"/>
              <w:rPr>
                <w:u w:val="single"/>
              </w:rPr>
            </w:pPr>
          </w:p>
        </w:tc>
        <w:tc>
          <w:tcPr>
            <w:tcW w:w="1169" w:type="pct"/>
            <w:vAlign w:val="center"/>
          </w:tcPr>
          <w:p>
            <w:pPr>
              <w:pStyle w:val="63"/>
              <w:rPr>
                <w:u w:val="single"/>
              </w:rPr>
            </w:pPr>
            <w:r>
              <w:rPr>
                <w:u w:val="single"/>
              </w:rPr>
              <w:t>300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01" w:type="pct"/>
            <w:vMerge w:val="continue"/>
            <w:vAlign w:val="center"/>
          </w:tcPr>
          <w:p>
            <w:pPr>
              <w:pStyle w:val="63"/>
              <w:rPr>
                <w:u w:val="single"/>
              </w:rPr>
            </w:pPr>
          </w:p>
        </w:tc>
        <w:tc>
          <w:tcPr>
            <w:tcW w:w="634" w:type="pct"/>
            <w:vMerge w:val="continue"/>
            <w:vAlign w:val="center"/>
          </w:tcPr>
          <w:p>
            <w:pPr>
              <w:pStyle w:val="63"/>
              <w:rPr>
                <w:u w:val="single"/>
              </w:rPr>
            </w:pPr>
          </w:p>
        </w:tc>
        <w:tc>
          <w:tcPr>
            <w:tcW w:w="933" w:type="pct"/>
            <w:vAlign w:val="center"/>
          </w:tcPr>
          <w:p>
            <w:pPr>
              <w:pStyle w:val="63"/>
              <w:rPr>
                <w:u w:val="single"/>
              </w:rPr>
            </w:pPr>
            <w:r>
              <w:rPr>
                <w:u w:val="single"/>
              </w:rPr>
              <w:t>NH</w:t>
            </w:r>
            <w:r>
              <w:rPr>
                <w:u w:val="single"/>
                <w:vertAlign w:val="subscript"/>
              </w:rPr>
              <w:t>3</w:t>
            </w:r>
            <w:r>
              <w:rPr>
                <w:u w:val="single"/>
              </w:rPr>
              <w:t>-N</w:t>
            </w:r>
          </w:p>
        </w:tc>
        <w:tc>
          <w:tcPr>
            <w:tcW w:w="1863" w:type="pct"/>
            <w:vMerge w:val="continue"/>
            <w:vAlign w:val="center"/>
          </w:tcPr>
          <w:p>
            <w:pPr>
              <w:pStyle w:val="63"/>
              <w:rPr>
                <w:u w:val="single"/>
              </w:rPr>
            </w:pPr>
          </w:p>
        </w:tc>
        <w:tc>
          <w:tcPr>
            <w:tcW w:w="1169" w:type="pct"/>
            <w:vAlign w:val="center"/>
          </w:tcPr>
          <w:p>
            <w:pPr>
              <w:pStyle w:val="63"/>
              <w:rPr>
                <w:u w:val="single"/>
              </w:rPr>
            </w:pPr>
            <w:r>
              <w:rPr>
                <w:u w:val="singl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01" w:type="pct"/>
            <w:vMerge w:val="continue"/>
            <w:vAlign w:val="center"/>
          </w:tcPr>
          <w:p>
            <w:pPr>
              <w:pStyle w:val="63"/>
              <w:rPr>
                <w:u w:val="single"/>
              </w:rPr>
            </w:pPr>
          </w:p>
        </w:tc>
        <w:tc>
          <w:tcPr>
            <w:tcW w:w="634" w:type="pct"/>
            <w:vMerge w:val="continue"/>
            <w:vAlign w:val="center"/>
          </w:tcPr>
          <w:p>
            <w:pPr>
              <w:pStyle w:val="63"/>
              <w:rPr>
                <w:u w:val="single"/>
              </w:rPr>
            </w:pPr>
          </w:p>
        </w:tc>
        <w:tc>
          <w:tcPr>
            <w:tcW w:w="933" w:type="pct"/>
            <w:vAlign w:val="center"/>
          </w:tcPr>
          <w:p>
            <w:pPr>
              <w:pStyle w:val="63"/>
              <w:rPr>
                <w:u w:val="single"/>
              </w:rPr>
            </w:pPr>
            <w:r>
              <w:rPr>
                <w:color w:val="000000"/>
                <w:kern w:val="0"/>
                <w:u w:val="single"/>
                <w:lang w:bidi="ar"/>
              </w:rPr>
              <w:t>动植物油</w:t>
            </w:r>
          </w:p>
        </w:tc>
        <w:tc>
          <w:tcPr>
            <w:tcW w:w="1863" w:type="pct"/>
            <w:vMerge w:val="continue"/>
            <w:vAlign w:val="center"/>
          </w:tcPr>
          <w:p>
            <w:pPr>
              <w:pStyle w:val="63"/>
              <w:rPr>
                <w:u w:val="single"/>
              </w:rPr>
            </w:pPr>
          </w:p>
        </w:tc>
        <w:tc>
          <w:tcPr>
            <w:tcW w:w="1169" w:type="pct"/>
            <w:vAlign w:val="center"/>
          </w:tcPr>
          <w:p>
            <w:pPr>
              <w:pStyle w:val="63"/>
              <w:rPr>
                <w:u w:val="single"/>
              </w:rPr>
            </w:pPr>
            <w:r>
              <w:rPr>
                <w:u w:val="single"/>
              </w:rPr>
              <w:t>100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01" w:type="pct"/>
            <w:vMerge w:val="restart"/>
            <w:vAlign w:val="center"/>
          </w:tcPr>
          <w:p>
            <w:pPr>
              <w:pStyle w:val="63"/>
              <w:rPr>
                <w:u w:val="single"/>
              </w:rPr>
            </w:pPr>
            <w:r>
              <w:rPr>
                <w:u w:val="single"/>
              </w:rPr>
              <w:t>1#</w:t>
            </w:r>
          </w:p>
        </w:tc>
        <w:tc>
          <w:tcPr>
            <w:tcW w:w="634" w:type="pct"/>
            <w:vMerge w:val="restart"/>
            <w:vAlign w:val="center"/>
          </w:tcPr>
          <w:p>
            <w:pPr>
              <w:pStyle w:val="63"/>
              <w:rPr>
                <w:u w:val="single"/>
              </w:rPr>
            </w:pPr>
            <w:r>
              <w:rPr>
                <w:u w:val="single"/>
              </w:rPr>
              <w:t>DW001</w:t>
            </w:r>
          </w:p>
        </w:tc>
        <w:tc>
          <w:tcPr>
            <w:tcW w:w="933" w:type="pct"/>
            <w:vAlign w:val="center"/>
          </w:tcPr>
          <w:p>
            <w:pPr>
              <w:pStyle w:val="63"/>
              <w:rPr>
                <w:color w:val="000000"/>
                <w:kern w:val="0"/>
                <w:u w:val="single"/>
                <w:lang w:bidi="ar"/>
              </w:rPr>
            </w:pPr>
            <w:r>
              <w:rPr>
                <w:u w:val="single"/>
              </w:rPr>
              <w:t>COD</w:t>
            </w:r>
          </w:p>
        </w:tc>
        <w:tc>
          <w:tcPr>
            <w:tcW w:w="1863" w:type="pct"/>
            <w:vMerge w:val="restart"/>
            <w:vAlign w:val="center"/>
          </w:tcPr>
          <w:p>
            <w:pPr>
              <w:pStyle w:val="63"/>
              <w:rPr>
                <w:u w:val="single"/>
              </w:rPr>
            </w:pPr>
            <w:r>
              <w:rPr>
                <w:rFonts w:hint="eastAsia"/>
                <w:u w:val="single"/>
              </w:rPr>
              <w:t>《无机化学工业污染物排放标准》（GB31573-2015）</w:t>
            </w:r>
          </w:p>
        </w:tc>
        <w:tc>
          <w:tcPr>
            <w:tcW w:w="1169" w:type="pct"/>
            <w:vAlign w:val="center"/>
          </w:tcPr>
          <w:p>
            <w:pPr>
              <w:pStyle w:val="63"/>
              <w:rPr>
                <w:u w:val="single"/>
              </w:rPr>
            </w:pPr>
            <w:r>
              <w:rPr>
                <w:u w:val="single"/>
              </w:rPr>
              <w:t>200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01" w:type="pct"/>
            <w:vMerge w:val="continue"/>
            <w:vAlign w:val="center"/>
          </w:tcPr>
          <w:p>
            <w:pPr>
              <w:pStyle w:val="63"/>
              <w:rPr>
                <w:u w:val="single"/>
              </w:rPr>
            </w:pPr>
          </w:p>
        </w:tc>
        <w:tc>
          <w:tcPr>
            <w:tcW w:w="634" w:type="pct"/>
            <w:vMerge w:val="continue"/>
            <w:vAlign w:val="center"/>
          </w:tcPr>
          <w:p>
            <w:pPr>
              <w:pStyle w:val="63"/>
              <w:rPr>
                <w:u w:val="single"/>
              </w:rPr>
            </w:pPr>
          </w:p>
        </w:tc>
        <w:tc>
          <w:tcPr>
            <w:tcW w:w="933" w:type="pct"/>
            <w:vAlign w:val="center"/>
          </w:tcPr>
          <w:p>
            <w:pPr>
              <w:pStyle w:val="63"/>
              <w:rPr>
                <w:color w:val="000000"/>
                <w:kern w:val="0"/>
                <w:u w:val="single"/>
                <w:lang w:bidi="ar"/>
              </w:rPr>
            </w:pPr>
            <w:r>
              <w:rPr>
                <w:u w:val="single"/>
              </w:rPr>
              <w:t>SS</w:t>
            </w:r>
          </w:p>
        </w:tc>
        <w:tc>
          <w:tcPr>
            <w:tcW w:w="1863" w:type="pct"/>
            <w:vMerge w:val="continue"/>
            <w:vAlign w:val="center"/>
          </w:tcPr>
          <w:p>
            <w:pPr>
              <w:pStyle w:val="63"/>
              <w:rPr>
                <w:u w:val="single"/>
              </w:rPr>
            </w:pPr>
          </w:p>
        </w:tc>
        <w:tc>
          <w:tcPr>
            <w:tcW w:w="1169" w:type="pct"/>
            <w:vAlign w:val="center"/>
          </w:tcPr>
          <w:p>
            <w:pPr>
              <w:pStyle w:val="63"/>
              <w:rPr>
                <w:u w:val="single"/>
              </w:rPr>
            </w:pPr>
            <w:r>
              <w:rPr>
                <w:rFonts w:hint="eastAsia"/>
                <w:u w:val="single"/>
              </w:rPr>
              <w:t>100</w:t>
            </w:r>
          </w:p>
        </w:tc>
      </w:tr>
    </w:tbl>
    <w:p>
      <w:pPr>
        <w:spacing w:line="500" w:lineRule="exact"/>
        <w:ind w:firstLine="480" w:firstLineChars="200"/>
        <w:rPr>
          <w:rFonts w:ascii="Times New Roman" w:hAnsi="Times New Roman" w:cs="Times New Roman"/>
          <w:u w:val="single"/>
        </w:rPr>
      </w:pPr>
      <w:r>
        <w:rPr>
          <w:rFonts w:ascii="Times New Roman" w:hAnsi="Times New Roman" w:cs="Times New Roman"/>
          <w:u w:val="single"/>
        </w:rPr>
        <w:t>本项目废水污染物排放信息</w:t>
      </w:r>
      <w:r>
        <w:rPr>
          <w:rFonts w:ascii="Times New Roman" w:hAnsi="Times New Roman" w:cs="Times New Roman"/>
          <w:kern w:val="0"/>
          <w:u w:val="single"/>
        </w:rPr>
        <w:t>见</w:t>
      </w:r>
      <w:r>
        <w:rPr>
          <w:rFonts w:hint="eastAsia" w:ascii="Times New Roman" w:hAnsi="Times New Roman" w:cs="Times New Roman"/>
          <w:kern w:val="0"/>
          <w:u w:val="single"/>
        </w:rPr>
        <w:t>下表</w:t>
      </w:r>
      <w:r>
        <w:rPr>
          <w:rFonts w:ascii="Times New Roman" w:hAnsi="Times New Roman" w:cs="Times New Roman"/>
          <w:u w:val="single"/>
        </w:rPr>
        <w:t>。</w:t>
      </w:r>
    </w:p>
    <w:p>
      <w:pPr>
        <w:pStyle w:val="6"/>
        <w:rPr>
          <w:u w:val="single"/>
        </w:rPr>
      </w:pPr>
      <w:r>
        <w:rPr>
          <w:u w:val="single"/>
        </w:rPr>
        <w:t>表</w:t>
      </w:r>
      <w:r>
        <w:rPr>
          <w:rFonts w:cs="Times New Roman"/>
          <w:u w:val="single"/>
        </w:rPr>
        <w:t>6</w:t>
      </w:r>
      <w:r>
        <w:rPr>
          <w:rFonts w:hint="eastAsia" w:cs="Times New Roman"/>
          <w:u w:val="single"/>
        </w:rPr>
        <w:t>.2.2</w:t>
      </w:r>
      <w:r>
        <w:rPr>
          <w:rFonts w:cs="Times New Roman"/>
          <w:u w:val="single"/>
        </w:rPr>
        <w:t>-</w:t>
      </w:r>
      <w:r>
        <w:rPr>
          <w:u w:val="single"/>
        </w:rPr>
        <w:t>4 废水污染物排放信息表</w:t>
      </w:r>
    </w:p>
    <w:tbl>
      <w:tblPr>
        <w:tblStyle w:val="35"/>
        <w:tblW w:w="5146"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39"/>
        <w:gridCol w:w="1384"/>
        <w:gridCol w:w="1300"/>
        <w:gridCol w:w="1894"/>
        <w:gridCol w:w="1714"/>
        <w:gridCol w:w="165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72" w:type="pct"/>
            <w:vAlign w:val="center"/>
          </w:tcPr>
          <w:p>
            <w:pPr>
              <w:pStyle w:val="63"/>
              <w:rPr>
                <w:u w:val="single"/>
              </w:rPr>
            </w:pPr>
            <w:r>
              <w:rPr>
                <w:u w:val="single"/>
              </w:rPr>
              <w:t>序号</w:t>
            </w:r>
          </w:p>
        </w:tc>
        <w:tc>
          <w:tcPr>
            <w:tcW w:w="806" w:type="pct"/>
            <w:vAlign w:val="center"/>
          </w:tcPr>
          <w:p>
            <w:pPr>
              <w:pStyle w:val="63"/>
              <w:rPr>
                <w:u w:val="single"/>
              </w:rPr>
            </w:pPr>
            <w:r>
              <w:rPr>
                <w:u w:val="single"/>
              </w:rPr>
              <w:t>排放口编号</w:t>
            </w:r>
          </w:p>
        </w:tc>
        <w:tc>
          <w:tcPr>
            <w:tcW w:w="757" w:type="pct"/>
            <w:vAlign w:val="center"/>
          </w:tcPr>
          <w:p>
            <w:pPr>
              <w:pStyle w:val="63"/>
              <w:rPr>
                <w:u w:val="single"/>
              </w:rPr>
            </w:pPr>
            <w:r>
              <w:rPr>
                <w:u w:val="single"/>
              </w:rPr>
              <w:t>污染物种类</w:t>
            </w:r>
          </w:p>
        </w:tc>
        <w:tc>
          <w:tcPr>
            <w:tcW w:w="1103" w:type="pct"/>
            <w:vAlign w:val="center"/>
          </w:tcPr>
          <w:p>
            <w:pPr>
              <w:pStyle w:val="63"/>
              <w:rPr>
                <w:u w:val="single"/>
              </w:rPr>
            </w:pPr>
            <w:r>
              <w:rPr>
                <w:u w:val="single"/>
              </w:rPr>
              <w:t>排放浓度/（mg/L）</w:t>
            </w:r>
          </w:p>
        </w:tc>
        <w:tc>
          <w:tcPr>
            <w:tcW w:w="998" w:type="pct"/>
            <w:vAlign w:val="center"/>
          </w:tcPr>
          <w:p>
            <w:pPr>
              <w:pStyle w:val="63"/>
              <w:rPr>
                <w:u w:val="single"/>
              </w:rPr>
            </w:pPr>
            <w:r>
              <w:rPr>
                <w:u w:val="single"/>
              </w:rPr>
              <w:t>日排放量/（t/d）</w:t>
            </w:r>
          </w:p>
        </w:tc>
        <w:tc>
          <w:tcPr>
            <w:tcW w:w="964" w:type="pct"/>
            <w:vAlign w:val="center"/>
          </w:tcPr>
          <w:p>
            <w:pPr>
              <w:pStyle w:val="63"/>
              <w:rPr>
                <w:u w:val="single"/>
              </w:rPr>
            </w:pPr>
            <w:r>
              <w:rPr>
                <w:u w:val="single"/>
              </w:rPr>
              <w:t>年排放量/（t/a）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72" w:type="pct"/>
            <w:vMerge w:val="restart"/>
            <w:vAlign w:val="center"/>
          </w:tcPr>
          <w:p>
            <w:pPr>
              <w:pStyle w:val="63"/>
              <w:rPr>
                <w:u w:val="single"/>
              </w:rPr>
            </w:pPr>
            <w:r>
              <w:rPr>
                <w:u w:val="single"/>
              </w:rPr>
              <w:t>1</w:t>
            </w:r>
          </w:p>
        </w:tc>
        <w:tc>
          <w:tcPr>
            <w:tcW w:w="806" w:type="pct"/>
            <w:vMerge w:val="restart"/>
            <w:vAlign w:val="center"/>
          </w:tcPr>
          <w:p>
            <w:pPr>
              <w:pStyle w:val="63"/>
              <w:rPr>
                <w:u w:val="single"/>
              </w:rPr>
            </w:pPr>
            <w:r>
              <w:rPr>
                <w:u w:val="single"/>
              </w:rPr>
              <w:t>DW001</w:t>
            </w:r>
          </w:p>
        </w:tc>
        <w:tc>
          <w:tcPr>
            <w:tcW w:w="757" w:type="pct"/>
            <w:vAlign w:val="center"/>
          </w:tcPr>
          <w:p>
            <w:pPr>
              <w:pStyle w:val="63"/>
              <w:rPr>
                <w:u w:val="single"/>
              </w:rPr>
            </w:pPr>
            <w:r>
              <w:rPr>
                <w:color w:val="000000"/>
                <w:kern w:val="0"/>
                <w:u w:val="single"/>
                <w:lang w:bidi="ar"/>
              </w:rPr>
              <w:t>COD</w:t>
            </w:r>
          </w:p>
        </w:tc>
        <w:tc>
          <w:tcPr>
            <w:tcW w:w="1103" w:type="pct"/>
            <w:vAlign w:val="center"/>
          </w:tcPr>
          <w:p>
            <w:pPr>
              <w:pStyle w:val="63"/>
              <w:rPr>
                <w:rFonts w:eastAsia="宋体"/>
                <w:color w:val="000000"/>
                <w:u w:val="single"/>
              </w:rPr>
            </w:pPr>
            <w:r>
              <w:rPr>
                <w:color w:val="000000"/>
                <w:u w:val="single"/>
              </w:rPr>
              <w:t>255</w:t>
            </w:r>
          </w:p>
        </w:tc>
        <w:tc>
          <w:tcPr>
            <w:tcW w:w="998" w:type="pct"/>
            <w:vAlign w:val="center"/>
          </w:tcPr>
          <w:p>
            <w:pPr>
              <w:pStyle w:val="63"/>
              <w:rPr>
                <w:color w:val="000000"/>
                <w:u w:val="single"/>
              </w:rPr>
            </w:pPr>
            <w:r>
              <w:rPr>
                <w:color w:val="000000"/>
                <w:u w:val="single"/>
              </w:rPr>
              <w:t>0.0057528</w:t>
            </w:r>
          </w:p>
        </w:tc>
        <w:tc>
          <w:tcPr>
            <w:tcW w:w="964" w:type="pct"/>
            <w:vAlign w:val="center"/>
          </w:tcPr>
          <w:p>
            <w:pPr>
              <w:pStyle w:val="63"/>
              <w:rPr>
                <w:rFonts w:eastAsia="宋体"/>
                <w:color w:val="000000"/>
                <w:u w:val="single"/>
              </w:rPr>
            </w:pPr>
            <w:r>
              <w:rPr>
                <w:color w:val="000000"/>
                <w:u w:val="single"/>
              </w:rPr>
              <w:t>1.72584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72" w:type="pct"/>
            <w:vMerge w:val="continue"/>
            <w:vAlign w:val="center"/>
          </w:tcPr>
          <w:p>
            <w:pPr>
              <w:pStyle w:val="63"/>
              <w:rPr>
                <w:u w:val="single"/>
              </w:rPr>
            </w:pPr>
          </w:p>
        </w:tc>
        <w:tc>
          <w:tcPr>
            <w:tcW w:w="806" w:type="pct"/>
            <w:vMerge w:val="continue"/>
            <w:vAlign w:val="center"/>
          </w:tcPr>
          <w:p>
            <w:pPr>
              <w:pStyle w:val="63"/>
              <w:rPr>
                <w:u w:val="single"/>
              </w:rPr>
            </w:pPr>
          </w:p>
        </w:tc>
        <w:tc>
          <w:tcPr>
            <w:tcW w:w="757" w:type="pct"/>
            <w:vAlign w:val="center"/>
          </w:tcPr>
          <w:p>
            <w:pPr>
              <w:pStyle w:val="63"/>
              <w:rPr>
                <w:u w:val="single"/>
              </w:rPr>
            </w:pPr>
            <w:r>
              <w:rPr>
                <w:color w:val="000000"/>
                <w:kern w:val="0"/>
                <w:u w:val="single"/>
                <w:lang w:bidi="ar"/>
              </w:rPr>
              <w:t>BOD</w:t>
            </w:r>
            <w:r>
              <w:rPr>
                <w:rStyle w:val="56"/>
                <w:rFonts w:ascii="Times New Roman" w:cs="Times New Roman" w:eastAsiaTheme="minorEastAsia"/>
                <w:sz w:val="21"/>
                <w:szCs w:val="21"/>
                <w:u w:val="single"/>
                <w:vertAlign w:val="subscript"/>
                <w:lang w:bidi="ar"/>
              </w:rPr>
              <w:t>5</w:t>
            </w:r>
          </w:p>
        </w:tc>
        <w:tc>
          <w:tcPr>
            <w:tcW w:w="1103" w:type="pct"/>
            <w:vAlign w:val="center"/>
          </w:tcPr>
          <w:p>
            <w:pPr>
              <w:pStyle w:val="63"/>
              <w:rPr>
                <w:rFonts w:eastAsia="宋体"/>
                <w:color w:val="000000"/>
                <w:u w:val="single"/>
              </w:rPr>
            </w:pPr>
            <w:r>
              <w:rPr>
                <w:color w:val="000000"/>
                <w:u w:val="single"/>
              </w:rPr>
              <w:t>136.5</w:t>
            </w:r>
          </w:p>
        </w:tc>
        <w:tc>
          <w:tcPr>
            <w:tcW w:w="998" w:type="pct"/>
            <w:vAlign w:val="center"/>
          </w:tcPr>
          <w:p>
            <w:pPr>
              <w:pStyle w:val="63"/>
              <w:rPr>
                <w:color w:val="000000"/>
                <w:u w:val="single"/>
              </w:rPr>
            </w:pPr>
            <w:r>
              <w:rPr>
                <w:color w:val="000000"/>
                <w:u w:val="single"/>
              </w:rPr>
              <w:t>0.00307944</w:t>
            </w:r>
          </w:p>
        </w:tc>
        <w:tc>
          <w:tcPr>
            <w:tcW w:w="964" w:type="pct"/>
            <w:vAlign w:val="center"/>
          </w:tcPr>
          <w:p>
            <w:pPr>
              <w:pStyle w:val="63"/>
              <w:rPr>
                <w:rFonts w:eastAsia="宋体"/>
                <w:color w:val="000000"/>
                <w:u w:val="single"/>
              </w:rPr>
            </w:pPr>
            <w:r>
              <w:rPr>
                <w:color w:val="000000"/>
                <w:u w:val="single"/>
              </w:rPr>
              <w:t>0.923832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72" w:type="pct"/>
            <w:vMerge w:val="continue"/>
            <w:vAlign w:val="center"/>
          </w:tcPr>
          <w:p>
            <w:pPr>
              <w:pStyle w:val="63"/>
              <w:rPr>
                <w:u w:val="single"/>
              </w:rPr>
            </w:pPr>
          </w:p>
        </w:tc>
        <w:tc>
          <w:tcPr>
            <w:tcW w:w="806" w:type="pct"/>
            <w:vMerge w:val="continue"/>
            <w:vAlign w:val="center"/>
          </w:tcPr>
          <w:p>
            <w:pPr>
              <w:pStyle w:val="63"/>
              <w:rPr>
                <w:u w:val="single"/>
              </w:rPr>
            </w:pPr>
          </w:p>
        </w:tc>
        <w:tc>
          <w:tcPr>
            <w:tcW w:w="757" w:type="pct"/>
            <w:vAlign w:val="center"/>
          </w:tcPr>
          <w:p>
            <w:pPr>
              <w:pStyle w:val="63"/>
              <w:rPr>
                <w:u w:val="single"/>
              </w:rPr>
            </w:pPr>
            <w:r>
              <w:rPr>
                <w:color w:val="000000"/>
                <w:kern w:val="0"/>
                <w:u w:val="single"/>
                <w:lang w:bidi="ar"/>
              </w:rPr>
              <w:t>SS</w:t>
            </w:r>
          </w:p>
        </w:tc>
        <w:tc>
          <w:tcPr>
            <w:tcW w:w="1103" w:type="pct"/>
            <w:vAlign w:val="center"/>
          </w:tcPr>
          <w:p>
            <w:pPr>
              <w:pStyle w:val="63"/>
              <w:rPr>
                <w:rFonts w:eastAsia="宋体"/>
                <w:color w:val="000000"/>
                <w:u w:val="single"/>
              </w:rPr>
            </w:pPr>
            <w:r>
              <w:rPr>
                <w:color w:val="000000"/>
                <w:u w:val="single"/>
              </w:rPr>
              <w:t>140</w:t>
            </w:r>
          </w:p>
        </w:tc>
        <w:tc>
          <w:tcPr>
            <w:tcW w:w="998" w:type="pct"/>
            <w:vAlign w:val="center"/>
          </w:tcPr>
          <w:p>
            <w:pPr>
              <w:pStyle w:val="63"/>
              <w:rPr>
                <w:color w:val="000000"/>
                <w:u w:val="single"/>
              </w:rPr>
            </w:pPr>
            <w:r>
              <w:rPr>
                <w:color w:val="000000"/>
                <w:u w:val="single"/>
              </w:rPr>
              <w:t>0.0031584</w:t>
            </w:r>
          </w:p>
        </w:tc>
        <w:tc>
          <w:tcPr>
            <w:tcW w:w="964" w:type="pct"/>
            <w:vAlign w:val="center"/>
          </w:tcPr>
          <w:p>
            <w:pPr>
              <w:pStyle w:val="63"/>
              <w:rPr>
                <w:rFonts w:eastAsia="宋体"/>
                <w:color w:val="000000"/>
                <w:u w:val="single"/>
              </w:rPr>
            </w:pPr>
            <w:r>
              <w:rPr>
                <w:color w:val="000000"/>
                <w:u w:val="single"/>
              </w:rPr>
              <w:t>0.94752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72" w:type="pct"/>
            <w:vMerge w:val="continue"/>
            <w:vAlign w:val="center"/>
          </w:tcPr>
          <w:p>
            <w:pPr>
              <w:pStyle w:val="63"/>
              <w:rPr>
                <w:u w:val="single"/>
              </w:rPr>
            </w:pPr>
          </w:p>
        </w:tc>
        <w:tc>
          <w:tcPr>
            <w:tcW w:w="806" w:type="pct"/>
            <w:vMerge w:val="continue"/>
            <w:vAlign w:val="center"/>
          </w:tcPr>
          <w:p>
            <w:pPr>
              <w:pStyle w:val="63"/>
              <w:rPr>
                <w:u w:val="single"/>
              </w:rPr>
            </w:pPr>
          </w:p>
        </w:tc>
        <w:tc>
          <w:tcPr>
            <w:tcW w:w="757" w:type="pct"/>
            <w:vAlign w:val="center"/>
          </w:tcPr>
          <w:p>
            <w:pPr>
              <w:pStyle w:val="63"/>
              <w:rPr>
                <w:u w:val="single"/>
              </w:rPr>
            </w:pPr>
            <w:r>
              <w:rPr>
                <w:color w:val="000000"/>
                <w:kern w:val="0"/>
                <w:u w:val="single"/>
                <w:lang w:bidi="ar"/>
              </w:rPr>
              <w:t>NH</w:t>
            </w:r>
            <w:r>
              <w:rPr>
                <w:color w:val="000000"/>
                <w:kern w:val="0"/>
                <w:u w:val="single"/>
                <w:vertAlign w:val="subscript"/>
                <w:lang w:bidi="ar"/>
              </w:rPr>
              <w:t>3</w:t>
            </w:r>
            <w:r>
              <w:rPr>
                <w:color w:val="000000"/>
                <w:kern w:val="0"/>
                <w:u w:val="single"/>
                <w:lang w:bidi="ar"/>
              </w:rPr>
              <w:t>-N</w:t>
            </w:r>
          </w:p>
        </w:tc>
        <w:tc>
          <w:tcPr>
            <w:tcW w:w="1103" w:type="pct"/>
            <w:vAlign w:val="center"/>
          </w:tcPr>
          <w:p>
            <w:pPr>
              <w:pStyle w:val="63"/>
              <w:rPr>
                <w:rFonts w:eastAsia="宋体"/>
                <w:color w:val="000000"/>
                <w:u w:val="single"/>
              </w:rPr>
            </w:pPr>
            <w:r>
              <w:rPr>
                <w:color w:val="000000"/>
                <w:u w:val="single"/>
              </w:rPr>
              <w:t>38.8</w:t>
            </w:r>
          </w:p>
        </w:tc>
        <w:tc>
          <w:tcPr>
            <w:tcW w:w="998" w:type="pct"/>
            <w:vAlign w:val="center"/>
          </w:tcPr>
          <w:p>
            <w:pPr>
              <w:pStyle w:val="63"/>
              <w:rPr>
                <w:color w:val="000000"/>
                <w:u w:val="single"/>
              </w:rPr>
            </w:pPr>
            <w:r>
              <w:rPr>
                <w:color w:val="000000"/>
                <w:u w:val="single"/>
              </w:rPr>
              <w:t>0.00087533</w:t>
            </w:r>
          </w:p>
        </w:tc>
        <w:tc>
          <w:tcPr>
            <w:tcW w:w="964" w:type="pct"/>
            <w:vAlign w:val="center"/>
          </w:tcPr>
          <w:p>
            <w:pPr>
              <w:pStyle w:val="63"/>
              <w:rPr>
                <w:rFonts w:eastAsia="宋体"/>
                <w:color w:val="000000"/>
                <w:u w:val="single"/>
              </w:rPr>
            </w:pPr>
            <w:r>
              <w:rPr>
                <w:color w:val="000000"/>
                <w:u w:val="single"/>
              </w:rPr>
              <w:t>0.2625984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72" w:type="pct"/>
            <w:vMerge w:val="continue"/>
            <w:vAlign w:val="center"/>
          </w:tcPr>
          <w:p>
            <w:pPr>
              <w:pStyle w:val="63"/>
              <w:rPr>
                <w:u w:val="single"/>
              </w:rPr>
            </w:pPr>
          </w:p>
        </w:tc>
        <w:tc>
          <w:tcPr>
            <w:tcW w:w="806" w:type="pct"/>
            <w:vMerge w:val="continue"/>
            <w:vAlign w:val="center"/>
          </w:tcPr>
          <w:p>
            <w:pPr>
              <w:pStyle w:val="63"/>
              <w:rPr>
                <w:u w:val="single"/>
              </w:rPr>
            </w:pPr>
          </w:p>
        </w:tc>
        <w:tc>
          <w:tcPr>
            <w:tcW w:w="757" w:type="pct"/>
            <w:vAlign w:val="center"/>
          </w:tcPr>
          <w:p>
            <w:pPr>
              <w:pStyle w:val="63"/>
              <w:rPr>
                <w:u w:val="single"/>
              </w:rPr>
            </w:pPr>
            <w:r>
              <w:rPr>
                <w:color w:val="000000"/>
                <w:kern w:val="0"/>
                <w:u w:val="single"/>
                <w:lang w:bidi="ar"/>
              </w:rPr>
              <w:t>动植物油</w:t>
            </w:r>
          </w:p>
        </w:tc>
        <w:tc>
          <w:tcPr>
            <w:tcW w:w="1103" w:type="pct"/>
            <w:vAlign w:val="center"/>
          </w:tcPr>
          <w:p>
            <w:pPr>
              <w:pStyle w:val="63"/>
              <w:rPr>
                <w:rFonts w:eastAsia="宋体"/>
                <w:color w:val="000000"/>
                <w:u w:val="single"/>
              </w:rPr>
            </w:pPr>
            <w:r>
              <w:rPr>
                <w:color w:val="000000"/>
                <w:u w:val="single"/>
              </w:rPr>
              <w:t>85</w:t>
            </w:r>
          </w:p>
        </w:tc>
        <w:tc>
          <w:tcPr>
            <w:tcW w:w="998" w:type="pct"/>
            <w:vAlign w:val="center"/>
          </w:tcPr>
          <w:p>
            <w:pPr>
              <w:pStyle w:val="63"/>
              <w:rPr>
                <w:color w:val="000000"/>
                <w:u w:val="single"/>
              </w:rPr>
            </w:pPr>
            <w:r>
              <w:rPr>
                <w:color w:val="000000"/>
                <w:u w:val="single"/>
              </w:rPr>
              <w:t>0.0019176</w:t>
            </w:r>
          </w:p>
        </w:tc>
        <w:tc>
          <w:tcPr>
            <w:tcW w:w="964" w:type="pct"/>
            <w:vAlign w:val="center"/>
          </w:tcPr>
          <w:p>
            <w:pPr>
              <w:pStyle w:val="63"/>
              <w:rPr>
                <w:rFonts w:eastAsia="宋体"/>
                <w:color w:val="000000"/>
                <w:u w:val="single"/>
              </w:rPr>
            </w:pPr>
            <w:r>
              <w:rPr>
                <w:color w:val="000000"/>
                <w:u w:val="single"/>
              </w:rPr>
              <w:t>0.57528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72" w:type="pct"/>
            <w:vMerge w:val="restart"/>
            <w:vAlign w:val="center"/>
          </w:tcPr>
          <w:p>
            <w:pPr>
              <w:pStyle w:val="63"/>
              <w:rPr>
                <w:u w:val="single"/>
              </w:rPr>
            </w:pPr>
            <w:r>
              <w:rPr>
                <w:rFonts w:hint="eastAsia"/>
                <w:u w:val="single"/>
              </w:rPr>
              <w:t>2</w:t>
            </w:r>
          </w:p>
        </w:tc>
        <w:tc>
          <w:tcPr>
            <w:tcW w:w="806" w:type="pct"/>
            <w:vMerge w:val="restart"/>
            <w:vAlign w:val="center"/>
          </w:tcPr>
          <w:p>
            <w:pPr>
              <w:pStyle w:val="63"/>
              <w:rPr>
                <w:u w:val="single"/>
              </w:rPr>
            </w:pPr>
            <w:r>
              <w:rPr>
                <w:u w:val="single"/>
              </w:rPr>
              <w:t>DW001</w:t>
            </w:r>
          </w:p>
        </w:tc>
        <w:tc>
          <w:tcPr>
            <w:tcW w:w="757" w:type="pct"/>
            <w:vAlign w:val="center"/>
          </w:tcPr>
          <w:p>
            <w:pPr>
              <w:pStyle w:val="63"/>
              <w:rPr>
                <w:color w:val="000000"/>
                <w:kern w:val="0"/>
                <w:u w:val="single"/>
                <w:lang w:bidi="ar"/>
              </w:rPr>
            </w:pPr>
            <w:r>
              <w:rPr>
                <w:color w:val="000000"/>
                <w:kern w:val="0"/>
                <w:u w:val="single"/>
                <w:lang w:bidi="ar"/>
              </w:rPr>
              <w:t>COD</w:t>
            </w:r>
          </w:p>
        </w:tc>
        <w:tc>
          <w:tcPr>
            <w:tcW w:w="1103" w:type="pct"/>
            <w:vAlign w:val="center"/>
          </w:tcPr>
          <w:p>
            <w:pPr>
              <w:pStyle w:val="63"/>
              <w:rPr>
                <w:color w:val="000000"/>
                <w:u w:val="single"/>
              </w:rPr>
            </w:pPr>
            <w:r>
              <w:rPr>
                <w:rFonts w:hint="eastAsia"/>
                <w:color w:val="000000"/>
                <w:u w:val="single"/>
              </w:rPr>
              <w:t>30</w:t>
            </w:r>
          </w:p>
        </w:tc>
        <w:tc>
          <w:tcPr>
            <w:tcW w:w="998" w:type="pct"/>
            <w:vAlign w:val="center"/>
          </w:tcPr>
          <w:p>
            <w:pPr>
              <w:pStyle w:val="63"/>
              <w:rPr>
                <w:color w:val="000000"/>
                <w:u w:val="single"/>
              </w:rPr>
            </w:pPr>
            <w:r>
              <w:rPr>
                <w:rFonts w:hint="eastAsia"/>
                <w:color w:val="000000"/>
                <w:u w:val="single"/>
              </w:rPr>
              <w:t>0.003</w:t>
            </w:r>
          </w:p>
        </w:tc>
        <w:tc>
          <w:tcPr>
            <w:tcW w:w="964" w:type="pct"/>
            <w:vAlign w:val="center"/>
          </w:tcPr>
          <w:p>
            <w:pPr>
              <w:pStyle w:val="63"/>
              <w:rPr>
                <w:color w:val="000000"/>
                <w:u w:val="single"/>
              </w:rPr>
            </w:pPr>
            <w:r>
              <w:rPr>
                <w:rFonts w:hint="eastAsia"/>
                <w:color w:val="000000"/>
                <w:u w:val="single"/>
              </w:rPr>
              <w:t>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72" w:type="pct"/>
            <w:vMerge w:val="continue"/>
            <w:vAlign w:val="center"/>
          </w:tcPr>
          <w:p>
            <w:pPr>
              <w:pStyle w:val="63"/>
              <w:rPr>
                <w:u w:val="single"/>
              </w:rPr>
            </w:pPr>
          </w:p>
        </w:tc>
        <w:tc>
          <w:tcPr>
            <w:tcW w:w="806" w:type="pct"/>
            <w:vMerge w:val="continue"/>
            <w:vAlign w:val="center"/>
          </w:tcPr>
          <w:p>
            <w:pPr>
              <w:pStyle w:val="63"/>
              <w:rPr>
                <w:u w:val="single"/>
              </w:rPr>
            </w:pPr>
          </w:p>
        </w:tc>
        <w:tc>
          <w:tcPr>
            <w:tcW w:w="757" w:type="pct"/>
            <w:vAlign w:val="center"/>
          </w:tcPr>
          <w:p>
            <w:pPr>
              <w:pStyle w:val="63"/>
              <w:rPr>
                <w:color w:val="000000"/>
                <w:kern w:val="0"/>
                <w:u w:val="single"/>
                <w:lang w:bidi="ar"/>
              </w:rPr>
            </w:pPr>
            <w:r>
              <w:rPr>
                <w:color w:val="000000"/>
                <w:kern w:val="0"/>
                <w:u w:val="single"/>
                <w:lang w:bidi="ar"/>
              </w:rPr>
              <w:t>SS</w:t>
            </w:r>
          </w:p>
        </w:tc>
        <w:tc>
          <w:tcPr>
            <w:tcW w:w="1103" w:type="pct"/>
            <w:vAlign w:val="center"/>
          </w:tcPr>
          <w:p>
            <w:pPr>
              <w:pStyle w:val="63"/>
              <w:rPr>
                <w:color w:val="000000"/>
                <w:u w:val="single"/>
              </w:rPr>
            </w:pPr>
            <w:r>
              <w:rPr>
                <w:rFonts w:hint="eastAsia"/>
                <w:color w:val="000000"/>
                <w:u w:val="single"/>
              </w:rPr>
              <w:t>10</w:t>
            </w:r>
          </w:p>
        </w:tc>
        <w:tc>
          <w:tcPr>
            <w:tcW w:w="998" w:type="pct"/>
            <w:vAlign w:val="center"/>
          </w:tcPr>
          <w:p>
            <w:pPr>
              <w:pStyle w:val="63"/>
              <w:rPr>
                <w:color w:val="000000"/>
                <w:u w:val="single"/>
              </w:rPr>
            </w:pPr>
            <w:r>
              <w:rPr>
                <w:rFonts w:hint="eastAsia"/>
                <w:color w:val="000000"/>
                <w:u w:val="single"/>
              </w:rPr>
              <w:t>0.001</w:t>
            </w:r>
          </w:p>
        </w:tc>
        <w:tc>
          <w:tcPr>
            <w:tcW w:w="964" w:type="pct"/>
            <w:vAlign w:val="center"/>
          </w:tcPr>
          <w:p>
            <w:pPr>
              <w:pStyle w:val="63"/>
              <w:rPr>
                <w:color w:val="000000"/>
                <w:u w:val="single"/>
              </w:rPr>
            </w:pPr>
            <w:r>
              <w:rPr>
                <w:rFonts w:hint="eastAsia"/>
                <w:color w:val="000000"/>
                <w:u w:val="single"/>
              </w:rPr>
              <w:t>0.3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178" w:type="pct"/>
            <w:gridSpan w:val="2"/>
            <w:vMerge w:val="restart"/>
            <w:vAlign w:val="center"/>
          </w:tcPr>
          <w:p>
            <w:pPr>
              <w:pStyle w:val="63"/>
              <w:rPr>
                <w:u w:val="single"/>
              </w:rPr>
            </w:pPr>
            <w:r>
              <w:rPr>
                <w:u w:val="single"/>
              </w:rPr>
              <w:t>全厂排放口合计</w:t>
            </w:r>
          </w:p>
        </w:tc>
        <w:tc>
          <w:tcPr>
            <w:tcW w:w="2858" w:type="pct"/>
            <w:gridSpan w:val="3"/>
            <w:vAlign w:val="center"/>
          </w:tcPr>
          <w:p>
            <w:pPr>
              <w:pStyle w:val="63"/>
              <w:rPr>
                <w:u w:val="single"/>
              </w:rPr>
            </w:pPr>
            <w:r>
              <w:rPr>
                <w:color w:val="000000"/>
                <w:kern w:val="0"/>
                <w:u w:val="single"/>
                <w:lang w:bidi="ar"/>
              </w:rPr>
              <w:t>COD</w:t>
            </w:r>
          </w:p>
        </w:tc>
        <w:tc>
          <w:tcPr>
            <w:tcW w:w="964" w:type="pct"/>
            <w:vAlign w:val="center"/>
          </w:tcPr>
          <w:p>
            <w:pPr>
              <w:pStyle w:val="63"/>
              <w:rPr>
                <w:rFonts w:eastAsia="宋体"/>
                <w:color w:val="000000"/>
                <w:u w:val="single"/>
              </w:rPr>
            </w:pPr>
            <w:r>
              <w:rPr>
                <w:rFonts w:hint="eastAsia"/>
                <w:color w:val="000000"/>
                <w:u w:val="single"/>
              </w:rPr>
              <w:t>2.62584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178" w:type="pct"/>
            <w:gridSpan w:val="2"/>
            <w:vMerge w:val="continue"/>
            <w:vAlign w:val="center"/>
          </w:tcPr>
          <w:p>
            <w:pPr>
              <w:pStyle w:val="63"/>
              <w:rPr>
                <w:u w:val="single"/>
              </w:rPr>
            </w:pPr>
          </w:p>
        </w:tc>
        <w:tc>
          <w:tcPr>
            <w:tcW w:w="2858" w:type="pct"/>
            <w:gridSpan w:val="3"/>
            <w:vAlign w:val="center"/>
          </w:tcPr>
          <w:p>
            <w:pPr>
              <w:pStyle w:val="63"/>
              <w:rPr>
                <w:u w:val="single"/>
              </w:rPr>
            </w:pPr>
            <w:r>
              <w:rPr>
                <w:color w:val="000000"/>
                <w:kern w:val="0"/>
                <w:u w:val="single"/>
                <w:lang w:bidi="ar"/>
              </w:rPr>
              <w:t>BOD</w:t>
            </w:r>
            <w:r>
              <w:rPr>
                <w:rStyle w:val="56"/>
                <w:rFonts w:ascii="Times New Roman" w:cs="Times New Roman" w:eastAsiaTheme="minorEastAsia"/>
                <w:sz w:val="21"/>
                <w:szCs w:val="21"/>
                <w:u w:val="single"/>
                <w:vertAlign w:val="subscript"/>
                <w:lang w:bidi="ar"/>
              </w:rPr>
              <w:t>5</w:t>
            </w:r>
          </w:p>
        </w:tc>
        <w:tc>
          <w:tcPr>
            <w:tcW w:w="964" w:type="pct"/>
            <w:vAlign w:val="center"/>
          </w:tcPr>
          <w:p>
            <w:pPr>
              <w:pStyle w:val="63"/>
              <w:rPr>
                <w:rFonts w:eastAsia="宋体"/>
                <w:color w:val="000000"/>
                <w:u w:val="single"/>
              </w:rPr>
            </w:pPr>
            <w:r>
              <w:rPr>
                <w:color w:val="000000"/>
                <w:u w:val="single"/>
              </w:rPr>
              <w:t>0.923832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178" w:type="pct"/>
            <w:gridSpan w:val="2"/>
            <w:vMerge w:val="continue"/>
            <w:vAlign w:val="center"/>
          </w:tcPr>
          <w:p>
            <w:pPr>
              <w:pStyle w:val="63"/>
              <w:rPr>
                <w:u w:val="single"/>
              </w:rPr>
            </w:pPr>
          </w:p>
        </w:tc>
        <w:tc>
          <w:tcPr>
            <w:tcW w:w="2858" w:type="pct"/>
            <w:gridSpan w:val="3"/>
            <w:vAlign w:val="center"/>
          </w:tcPr>
          <w:p>
            <w:pPr>
              <w:pStyle w:val="63"/>
              <w:rPr>
                <w:u w:val="single"/>
              </w:rPr>
            </w:pPr>
            <w:r>
              <w:rPr>
                <w:color w:val="000000"/>
                <w:kern w:val="0"/>
                <w:u w:val="single"/>
                <w:lang w:bidi="ar"/>
              </w:rPr>
              <w:t>SS</w:t>
            </w:r>
          </w:p>
        </w:tc>
        <w:tc>
          <w:tcPr>
            <w:tcW w:w="964" w:type="pct"/>
            <w:vAlign w:val="center"/>
          </w:tcPr>
          <w:p>
            <w:pPr>
              <w:pStyle w:val="63"/>
              <w:rPr>
                <w:rFonts w:eastAsia="宋体"/>
                <w:color w:val="000000"/>
                <w:u w:val="single"/>
              </w:rPr>
            </w:pPr>
            <w:r>
              <w:rPr>
                <w:rFonts w:hint="eastAsia"/>
                <w:color w:val="000000"/>
                <w:u w:val="single"/>
              </w:rPr>
              <w:t>1.24752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178" w:type="pct"/>
            <w:gridSpan w:val="2"/>
            <w:vMerge w:val="continue"/>
            <w:vAlign w:val="center"/>
          </w:tcPr>
          <w:p>
            <w:pPr>
              <w:pStyle w:val="63"/>
              <w:rPr>
                <w:u w:val="single"/>
              </w:rPr>
            </w:pPr>
          </w:p>
        </w:tc>
        <w:tc>
          <w:tcPr>
            <w:tcW w:w="2858" w:type="pct"/>
            <w:gridSpan w:val="3"/>
            <w:vAlign w:val="center"/>
          </w:tcPr>
          <w:p>
            <w:pPr>
              <w:pStyle w:val="63"/>
              <w:rPr>
                <w:u w:val="single"/>
              </w:rPr>
            </w:pPr>
            <w:r>
              <w:rPr>
                <w:color w:val="000000"/>
                <w:kern w:val="0"/>
                <w:u w:val="single"/>
                <w:lang w:bidi="ar"/>
              </w:rPr>
              <w:t>NH</w:t>
            </w:r>
            <w:r>
              <w:rPr>
                <w:color w:val="000000"/>
                <w:kern w:val="0"/>
                <w:u w:val="single"/>
                <w:vertAlign w:val="subscript"/>
                <w:lang w:bidi="ar"/>
              </w:rPr>
              <w:t>3</w:t>
            </w:r>
            <w:r>
              <w:rPr>
                <w:color w:val="000000"/>
                <w:kern w:val="0"/>
                <w:u w:val="single"/>
                <w:lang w:bidi="ar"/>
              </w:rPr>
              <w:t>-N</w:t>
            </w:r>
          </w:p>
        </w:tc>
        <w:tc>
          <w:tcPr>
            <w:tcW w:w="964" w:type="pct"/>
            <w:vAlign w:val="center"/>
          </w:tcPr>
          <w:p>
            <w:pPr>
              <w:pStyle w:val="63"/>
              <w:rPr>
                <w:rFonts w:eastAsia="宋体"/>
                <w:color w:val="000000"/>
                <w:u w:val="single"/>
              </w:rPr>
            </w:pPr>
            <w:r>
              <w:rPr>
                <w:color w:val="000000"/>
                <w:u w:val="single"/>
              </w:rPr>
              <w:t>0.2625984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178" w:type="pct"/>
            <w:gridSpan w:val="2"/>
            <w:vMerge w:val="continue"/>
            <w:vAlign w:val="center"/>
          </w:tcPr>
          <w:p>
            <w:pPr>
              <w:pStyle w:val="63"/>
              <w:rPr>
                <w:u w:val="single"/>
              </w:rPr>
            </w:pPr>
          </w:p>
        </w:tc>
        <w:tc>
          <w:tcPr>
            <w:tcW w:w="2858" w:type="pct"/>
            <w:gridSpan w:val="3"/>
            <w:vAlign w:val="center"/>
          </w:tcPr>
          <w:p>
            <w:pPr>
              <w:pStyle w:val="63"/>
              <w:rPr>
                <w:u w:val="single"/>
              </w:rPr>
            </w:pPr>
            <w:r>
              <w:rPr>
                <w:color w:val="000000"/>
                <w:kern w:val="0"/>
                <w:u w:val="single"/>
                <w:lang w:bidi="ar"/>
              </w:rPr>
              <w:t>动植物油</w:t>
            </w:r>
          </w:p>
        </w:tc>
        <w:tc>
          <w:tcPr>
            <w:tcW w:w="964" w:type="pct"/>
            <w:vAlign w:val="center"/>
          </w:tcPr>
          <w:p>
            <w:pPr>
              <w:pStyle w:val="63"/>
              <w:rPr>
                <w:rFonts w:eastAsia="宋体"/>
                <w:color w:val="000000"/>
                <w:u w:val="single"/>
              </w:rPr>
            </w:pPr>
            <w:r>
              <w:rPr>
                <w:color w:val="000000"/>
                <w:u w:val="single"/>
              </w:rPr>
              <w:t>0.57528</w:t>
            </w:r>
          </w:p>
        </w:tc>
      </w:tr>
    </w:tbl>
    <w:p>
      <w:pPr>
        <w:pStyle w:val="4"/>
        <w:rPr>
          <w:rFonts w:ascii="Times New Roman" w:hAnsi="Times New Roman" w:cs="Times New Roman"/>
        </w:rPr>
      </w:pPr>
      <w:bookmarkStart w:id="344" w:name="_Toc144236809"/>
      <w:bookmarkStart w:id="345" w:name="_Toc144276939"/>
      <w:bookmarkStart w:id="346" w:name="_Toc147848057"/>
      <w:r>
        <w:rPr>
          <w:rFonts w:ascii="Times New Roman" w:hAnsi="Times New Roman" w:cs="Times New Roman"/>
        </w:rPr>
        <w:t>6.2.3 运营期地下水环境影响分析</w:t>
      </w:r>
      <w:bookmarkEnd w:id="344"/>
      <w:bookmarkEnd w:id="345"/>
      <w:bookmarkEnd w:id="346"/>
    </w:p>
    <w:p>
      <w:pPr>
        <w:spacing w:line="360" w:lineRule="auto"/>
        <w:ind w:firstLine="480" w:firstLineChars="200"/>
        <w:rPr>
          <w:rFonts w:ascii="Times New Roman" w:hAnsi="Times New Roman" w:cs="Times New Roman"/>
        </w:rPr>
      </w:pPr>
      <w:r>
        <w:rPr>
          <w:rFonts w:ascii="Times New Roman" w:hAnsi="Times New Roman" w:cs="Times New Roman"/>
        </w:rPr>
        <w:t>项目场地位于衡东经济开发区内，勘察期间，大部分场地已基本平整至设计标高，本建筑场原始地貌单元原属冲积地貌，基底为白垩系泥岩。</w:t>
      </w:r>
    </w:p>
    <w:p>
      <w:pPr>
        <w:pStyle w:val="5"/>
        <w:ind w:firstLine="482"/>
        <w:rPr>
          <w:rFonts w:ascii="Times New Roman" w:hAnsi="Times New Roman" w:cs="Times New Roman" w:eastAsiaTheme="minorEastAsia"/>
        </w:rPr>
      </w:pPr>
      <w:r>
        <w:rPr>
          <w:rFonts w:ascii="Times New Roman" w:hAnsi="Times New Roman" w:cs="Times New Roman" w:eastAsiaTheme="minorEastAsia"/>
        </w:rPr>
        <w:t>6.2.3.1 地层岩性</w:t>
      </w:r>
    </w:p>
    <w:p>
      <w:pPr>
        <w:spacing w:line="360" w:lineRule="auto"/>
        <w:ind w:firstLine="480" w:firstLineChars="200"/>
        <w:rPr>
          <w:rFonts w:ascii="Times New Roman" w:hAnsi="Times New Roman" w:cs="Times New Roman"/>
        </w:rPr>
      </w:pPr>
      <w:r>
        <w:rPr>
          <w:rFonts w:ascii="Times New Roman" w:hAnsi="Times New Roman" w:cs="Times New Roman"/>
        </w:rPr>
        <w:t>据本次调查、勘探和前人工作成果，本次拟建项目场地主要分布有第四系全新统人工堆积层（Q</w:t>
      </w:r>
      <w:r>
        <w:rPr>
          <w:rFonts w:ascii="Times New Roman" w:hAnsi="Times New Roman" w:cs="Times New Roman"/>
          <w:vertAlign w:val="subscript"/>
        </w:rPr>
        <w:t>4</w:t>
      </w:r>
      <w:r>
        <w:rPr>
          <w:rFonts w:ascii="Times New Roman" w:hAnsi="Times New Roman" w:cs="Times New Roman"/>
          <w:vertAlign w:val="superscript"/>
        </w:rPr>
        <w:t>ml</w:t>
      </w:r>
      <w:r>
        <w:rPr>
          <w:rFonts w:ascii="Times New Roman" w:hAnsi="Times New Roman" w:cs="Times New Roman"/>
        </w:rPr>
        <w:t>）、第四系更新统冲积层（Q</w:t>
      </w:r>
      <w:r>
        <w:rPr>
          <w:rFonts w:ascii="Times New Roman" w:hAnsi="Times New Roman" w:cs="Times New Roman"/>
          <w:vertAlign w:val="subscript"/>
        </w:rPr>
        <w:t>4</w:t>
      </w:r>
      <w:r>
        <w:rPr>
          <w:rFonts w:ascii="Times New Roman" w:hAnsi="Times New Roman" w:cs="Times New Roman"/>
          <w:vertAlign w:val="superscript"/>
        </w:rPr>
        <w:t>al</w:t>
      </w:r>
      <w:r>
        <w:rPr>
          <w:rFonts w:ascii="Times New Roman" w:hAnsi="Times New Roman" w:cs="Times New Roman"/>
        </w:rPr>
        <w:t>）、下第三系（E），各地层由新到老描述如下：</w:t>
      </w:r>
    </w:p>
    <w:p>
      <w:pPr>
        <w:spacing w:line="360" w:lineRule="auto"/>
        <w:ind w:firstLine="480" w:firstLineChars="200"/>
        <w:rPr>
          <w:rFonts w:ascii="Times New Roman" w:hAnsi="Times New Roman" w:cs="Times New Roman"/>
        </w:rPr>
      </w:pPr>
      <w:r>
        <w:rPr>
          <w:rFonts w:ascii="Times New Roman" w:hAnsi="Times New Roman" w:cs="Times New Roman"/>
        </w:rPr>
        <w:t>1）第四系全新统人工堆积层（Q</w:t>
      </w:r>
      <w:r>
        <w:rPr>
          <w:rFonts w:ascii="Times New Roman" w:hAnsi="Times New Roman" w:cs="Times New Roman"/>
          <w:vertAlign w:val="subscript"/>
        </w:rPr>
        <w:t>4</w:t>
      </w:r>
      <w:r>
        <w:rPr>
          <w:rFonts w:ascii="Times New Roman" w:hAnsi="Times New Roman" w:cs="Times New Roman"/>
          <w:vertAlign w:val="superscript"/>
        </w:rPr>
        <w:t>ml</w:t>
      </w:r>
      <w:r>
        <w:rPr>
          <w:rFonts w:ascii="Times New Roman" w:hAnsi="Times New Roman" w:cs="Times New Roman"/>
        </w:rPr>
        <w:t>）</w:t>
      </w:r>
    </w:p>
    <w:p>
      <w:pPr>
        <w:spacing w:line="360" w:lineRule="auto"/>
        <w:ind w:firstLine="480" w:firstLineChars="200"/>
        <w:rPr>
          <w:rFonts w:ascii="Times New Roman" w:hAnsi="Times New Roman" w:cs="Times New Roman"/>
        </w:rPr>
      </w:pPr>
      <w:r>
        <w:rPr>
          <w:rFonts w:ascii="Times New Roman" w:hAnsi="Times New Roman" w:cs="Times New Roman"/>
        </w:rPr>
        <w:t>素填土：工新近堆填而成，黄褐色，松散，稍湿，主要成分为粘性土，局部含少量植物根系，未完成自重固结，层厚0.4～5.3m。</w:t>
      </w:r>
    </w:p>
    <w:p>
      <w:pPr>
        <w:spacing w:line="360" w:lineRule="auto"/>
        <w:ind w:firstLine="480" w:firstLineChars="200"/>
        <w:rPr>
          <w:rFonts w:ascii="Times New Roman" w:hAnsi="Times New Roman" w:cs="Times New Roman"/>
        </w:rPr>
      </w:pPr>
      <w:r>
        <w:rPr>
          <w:rFonts w:ascii="Times New Roman" w:hAnsi="Times New Roman" w:cs="Times New Roman"/>
        </w:rPr>
        <w:t>2）第四系更新统冲积层（Q</w:t>
      </w:r>
      <w:r>
        <w:rPr>
          <w:rFonts w:ascii="Times New Roman" w:hAnsi="Times New Roman" w:cs="Times New Roman"/>
          <w:vertAlign w:val="subscript"/>
        </w:rPr>
        <w:t>4</w:t>
      </w:r>
      <w:r>
        <w:rPr>
          <w:rFonts w:ascii="Times New Roman" w:hAnsi="Times New Roman" w:cs="Times New Roman"/>
          <w:vertAlign w:val="superscript"/>
        </w:rPr>
        <w:t>al</w:t>
      </w:r>
      <w:r>
        <w:rPr>
          <w:rFonts w:ascii="Times New Roman" w:hAnsi="Times New Roman" w:cs="Times New Roman"/>
        </w:rPr>
        <w:t>）</w:t>
      </w:r>
    </w:p>
    <w:p>
      <w:pPr>
        <w:spacing w:line="360" w:lineRule="auto"/>
        <w:ind w:firstLine="480" w:firstLineChars="200"/>
        <w:rPr>
          <w:rFonts w:ascii="Times New Roman" w:hAnsi="Times New Roman" w:cs="Times New Roman"/>
        </w:rPr>
      </w:pPr>
      <w:r>
        <w:rPr>
          <w:rFonts w:hint="eastAsia" w:ascii="宋体" w:hAnsi="宋体" w:eastAsia="宋体" w:cs="宋体"/>
        </w:rPr>
        <w:t>①</w:t>
      </w:r>
      <w:r>
        <w:rPr>
          <w:rFonts w:ascii="Times New Roman" w:hAnsi="Times New Roman" w:cs="Times New Roman"/>
        </w:rPr>
        <w:t>粉质黏土：褐黄色、灰黄色，稍湿-湿，可塑-硬塑状态为主，含云母等矿物成分及高岭土，稍有光泽反映，无摇震反应，干强度中等，韧性中等，层厚4.1～11.0m，平均厚度7.74m。</w:t>
      </w:r>
    </w:p>
    <w:p>
      <w:pPr>
        <w:spacing w:line="360" w:lineRule="auto"/>
        <w:ind w:firstLine="480" w:firstLineChars="200"/>
        <w:rPr>
          <w:rFonts w:ascii="Times New Roman" w:hAnsi="Times New Roman" w:cs="Times New Roman"/>
        </w:rPr>
      </w:pPr>
      <w:r>
        <w:rPr>
          <w:rFonts w:hint="eastAsia" w:ascii="宋体" w:hAnsi="宋体" w:eastAsia="宋体" w:cs="宋体"/>
        </w:rPr>
        <w:t>②</w:t>
      </w:r>
      <w:r>
        <w:rPr>
          <w:rFonts w:ascii="Times New Roman" w:hAnsi="Times New Roman" w:cs="Times New Roman"/>
        </w:rPr>
        <w:t>圆砾：黄色，亚圆形、球度较好，中密状态，湿，砾石含量一般为25-56%，最大达60%以上，砾径2-15mm，最大可达65mm，成分为硅质岩及石英，为次棱角状及亚圆形，颗粒之间由中粗砂及泥质充填，层厚7.5～9.8m，平均厚度8.8m。</w:t>
      </w:r>
    </w:p>
    <w:p>
      <w:pPr>
        <w:spacing w:line="360" w:lineRule="auto"/>
        <w:ind w:firstLine="480" w:firstLineChars="200"/>
        <w:rPr>
          <w:rFonts w:ascii="Times New Roman" w:hAnsi="Times New Roman" w:cs="Times New Roman"/>
        </w:rPr>
      </w:pPr>
      <w:r>
        <w:rPr>
          <w:rFonts w:ascii="Times New Roman" w:hAnsi="Times New Roman" w:cs="Times New Roman"/>
        </w:rPr>
        <w:t>3）下第三系（E）</w:t>
      </w:r>
    </w:p>
    <w:p>
      <w:pPr>
        <w:spacing w:line="360" w:lineRule="auto"/>
        <w:ind w:firstLine="480" w:firstLineChars="200"/>
        <w:rPr>
          <w:rFonts w:ascii="Times New Roman" w:hAnsi="Times New Roman" w:cs="Times New Roman"/>
        </w:rPr>
      </w:pPr>
      <w:r>
        <w:rPr>
          <w:rFonts w:ascii="Times New Roman" w:hAnsi="Times New Roman" w:cs="Times New Roman"/>
        </w:rPr>
        <w:t>强风化泥质粉砂岩：紫红色，泥质结构，中薄层构造，节理裂隙极发育，裂隙面具铁锰质浸染，岩石风化成土状，岩质软，可折断或捏碎，遇水易软化、泥化，久露易崩解，上部岩芯呈土状，往下逐渐呈碎块状。</w:t>
      </w:r>
    </w:p>
    <w:p>
      <w:pPr>
        <w:pStyle w:val="5"/>
        <w:ind w:firstLine="482"/>
        <w:rPr>
          <w:rFonts w:ascii="Times New Roman" w:hAnsi="Times New Roman" w:cs="Times New Roman" w:eastAsiaTheme="minorEastAsia"/>
        </w:rPr>
      </w:pPr>
      <w:r>
        <w:rPr>
          <w:rFonts w:ascii="Times New Roman" w:hAnsi="Times New Roman" w:cs="Times New Roman" w:eastAsiaTheme="minorEastAsia"/>
        </w:rPr>
        <w:t>6.2.3.2 地层构造</w:t>
      </w:r>
    </w:p>
    <w:p>
      <w:pPr>
        <w:spacing w:line="360" w:lineRule="auto"/>
        <w:ind w:firstLine="480" w:firstLineChars="200"/>
        <w:rPr>
          <w:rFonts w:ascii="Times New Roman" w:hAnsi="Times New Roman" w:cs="Times New Roman"/>
        </w:rPr>
      </w:pPr>
      <w:r>
        <w:rPr>
          <w:rFonts w:ascii="Times New Roman" w:hAnsi="Times New Roman" w:cs="Times New Roman"/>
        </w:rPr>
        <w:t>厂区距区域性断裂较远，场地内无断裂构造通过，不会对拟建项目产生影响，因此项目场地内断裂构造较为稳定，地壳稳定性良好。</w:t>
      </w:r>
    </w:p>
    <w:p>
      <w:pPr>
        <w:pStyle w:val="5"/>
        <w:ind w:firstLine="482"/>
        <w:rPr>
          <w:rFonts w:ascii="Times New Roman" w:hAnsi="Times New Roman" w:cs="Times New Roman" w:eastAsiaTheme="minorEastAsia"/>
        </w:rPr>
      </w:pPr>
      <w:r>
        <w:rPr>
          <w:rFonts w:ascii="Times New Roman" w:hAnsi="Times New Roman" w:cs="Times New Roman" w:eastAsiaTheme="minorEastAsia"/>
        </w:rPr>
        <w:t>6.2.3.3 项目区地下水类型</w:t>
      </w:r>
    </w:p>
    <w:p>
      <w:pPr>
        <w:spacing w:line="360" w:lineRule="auto"/>
        <w:ind w:firstLine="480" w:firstLineChars="200"/>
        <w:rPr>
          <w:rFonts w:ascii="Times New Roman" w:hAnsi="Times New Roman" w:cs="Times New Roman"/>
        </w:rPr>
      </w:pPr>
      <w:r>
        <w:rPr>
          <w:rFonts w:ascii="Times New Roman" w:hAnsi="Times New Roman" w:cs="Times New Roman"/>
        </w:rPr>
        <w:t>根据厂区各岩土层的水文地质特征，厂区的地下水类型主要分为：松散岩类孔隙水。</w:t>
      </w:r>
    </w:p>
    <w:p>
      <w:pPr>
        <w:spacing w:line="360" w:lineRule="auto"/>
        <w:ind w:firstLine="480" w:firstLineChars="200"/>
        <w:rPr>
          <w:rFonts w:ascii="Times New Roman" w:hAnsi="Times New Roman" w:cs="Times New Roman"/>
        </w:rPr>
      </w:pPr>
      <w:r>
        <w:rPr>
          <w:rFonts w:ascii="Times New Roman" w:hAnsi="Times New Roman" w:cs="Times New Roman"/>
        </w:rPr>
        <w:t>松散岩类孔隙水：该层地下水赋存于圆砾层的孔隙中，属孔隙潜水，略具承压性，水量中等。据6月份统测水位显示，初见水位在圆砾层顶面，标高在77.31m～79.34m（埋深18.50m～19.10m）；而稳定水位标高在74.63m～76.05m（埋深12.00m～13.10m）。据钻孔抽水试验资料：该层地下水的渗透系数为K=8.72×10</w:t>
      </w:r>
      <w:r>
        <w:rPr>
          <w:rFonts w:ascii="Times New Roman" w:hAnsi="Times New Roman" w:cs="Times New Roman"/>
          <w:vertAlign w:val="superscript"/>
        </w:rPr>
        <w:t>-2</w:t>
      </w:r>
      <w:r>
        <w:rPr>
          <w:rFonts w:ascii="Times New Roman" w:hAnsi="Times New Roman" w:cs="Times New Roman"/>
        </w:rPr>
        <w:t>～9.54×10</w:t>
      </w:r>
      <w:r>
        <w:rPr>
          <w:rFonts w:ascii="Times New Roman" w:hAnsi="Times New Roman" w:cs="Times New Roman"/>
          <w:vertAlign w:val="superscript"/>
        </w:rPr>
        <w:t>-2</w:t>
      </w:r>
      <w:r>
        <w:rPr>
          <w:rFonts w:ascii="Times New Roman" w:hAnsi="Times New Roman" w:cs="Times New Roman"/>
        </w:rPr>
        <w:t>cm/s，属强透水层。该含水层主要由圆砾组成，中密状态。该含水层属厂区的包气带，据6月份统测水位显示，含水层厚度7.5～9.8m，平均厚度8.1m。</w:t>
      </w:r>
    </w:p>
    <w:p>
      <w:pPr>
        <w:pStyle w:val="5"/>
        <w:ind w:firstLine="482"/>
        <w:rPr>
          <w:rFonts w:ascii="Times New Roman" w:hAnsi="Times New Roman" w:cs="Times New Roman" w:eastAsiaTheme="minorEastAsia"/>
        </w:rPr>
      </w:pPr>
      <w:r>
        <w:rPr>
          <w:rFonts w:ascii="Times New Roman" w:hAnsi="Times New Roman" w:cs="Times New Roman" w:eastAsiaTheme="minorEastAsia"/>
        </w:rPr>
        <w:t>6.2.3.4 地下水补径排条件及动态特征</w:t>
      </w:r>
    </w:p>
    <w:p>
      <w:pPr>
        <w:spacing w:line="360" w:lineRule="auto"/>
        <w:ind w:firstLine="480" w:firstLineChars="200"/>
        <w:rPr>
          <w:rFonts w:ascii="Times New Roman" w:hAnsi="Times New Roman" w:cs="Times New Roman"/>
        </w:rPr>
      </w:pPr>
      <w:r>
        <w:rPr>
          <w:rFonts w:ascii="Times New Roman" w:hAnsi="Times New Roman" w:cs="Times New Roman"/>
        </w:rPr>
        <w:t>地下水补给、径流、排泄条件厂区位于“衡东水文地质单元”径流-排泄区，场地内已开展土地平整工作，完成清表，总体利于大气降水入渗补给地下水，大气降水是项目区地下水的重要补给源。项目区内地下水流向与地形坡向基本一致，本项目区地形坡度较为平缓，项目区内地下水经长距离径流后排入白衣港，最终排入湘江，因此地下水具有渗透途径短、就地补给、就地排泄的特征。</w:t>
      </w:r>
    </w:p>
    <w:p>
      <w:pPr>
        <w:spacing w:line="360" w:lineRule="auto"/>
        <w:ind w:firstLine="480" w:firstLineChars="200"/>
        <w:rPr>
          <w:rFonts w:ascii="Times New Roman" w:hAnsi="Times New Roman" w:cs="Times New Roman"/>
        </w:rPr>
      </w:pPr>
      <w:r>
        <w:rPr>
          <w:rFonts w:ascii="Times New Roman" w:hAnsi="Times New Roman" w:cs="Times New Roman"/>
        </w:rPr>
        <w:t>项目区内各含水岩组地下水均为潜水地下水系统，区内地下水主要接受大气降水的入渗补给，地下水主要赋存和运移于松散岩孔隙中。自然条件下地下水径流主要受地形地貌控制，主要自西向东径流，排入白衣港。</w:t>
      </w:r>
    </w:p>
    <w:p>
      <w:pPr>
        <w:spacing w:line="360" w:lineRule="auto"/>
        <w:ind w:firstLine="480" w:firstLineChars="200"/>
        <w:rPr>
          <w:rFonts w:ascii="Times New Roman" w:hAnsi="Times New Roman" w:cs="Times New Roman"/>
        </w:rPr>
      </w:pPr>
      <w:r>
        <w:rPr>
          <w:rFonts w:ascii="Times New Roman" w:hAnsi="Times New Roman" w:cs="Times New Roman"/>
        </w:rPr>
        <w:t>地下水的形成主要来自大气降水，其动态变化与降雨量关系密切，地下水的水位变幅在2.0～3.0之间。由于测区内的各类地下水之间存在互补关系，地下水动态呈现滞后现象，强降水后，水位丰值出现时间一般滞后降雨峰值1～2天。</w:t>
      </w:r>
    </w:p>
    <w:p>
      <w:pPr>
        <w:pStyle w:val="5"/>
        <w:ind w:firstLine="482"/>
        <w:rPr>
          <w:rFonts w:ascii="Times New Roman" w:hAnsi="Times New Roman" w:cs="Times New Roman" w:eastAsiaTheme="minorEastAsia"/>
        </w:rPr>
      </w:pPr>
      <w:r>
        <w:rPr>
          <w:rFonts w:ascii="Times New Roman" w:hAnsi="Times New Roman" w:cs="Times New Roman" w:eastAsiaTheme="minorEastAsia"/>
        </w:rPr>
        <w:t>6.2.3.5 地下水与地表水补排关系</w:t>
      </w:r>
    </w:p>
    <w:p>
      <w:pPr>
        <w:spacing w:line="360" w:lineRule="auto"/>
        <w:ind w:firstLine="480" w:firstLineChars="200"/>
        <w:rPr>
          <w:rFonts w:ascii="Times New Roman" w:hAnsi="Times New Roman" w:cs="Times New Roman"/>
        </w:rPr>
      </w:pPr>
      <w:r>
        <w:rPr>
          <w:rFonts w:ascii="Times New Roman" w:hAnsi="Times New Roman" w:cs="Times New Roman"/>
        </w:rPr>
        <w:t>本项目区地表水与地下水之间存在相互转化、相互补给的关系。大气降水在地表以地表径流方式形成地表水，地表水通过冲积层的孔隙入渗补给地下水，地下水沿孔隙作层流运动，汇入西南侧的新民湖，新民湖为项目区地下水的最终排泄边界。</w:t>
      </w:r>
    </w:p>
    <w:p>
      <w:pPr>
        <w:pStyle w:val="5"/>
        <w:ind w:firstLine="482"/>
        <w:rPr>
          <w:rFonts w:ascii="Times New Roman" w:hAnsi="Times New Roman" w:cs="Times New Roman" w:eastAsiaTheme="minorEastAsia"/>
        </w:rPr>
      </w:pPr>
      <w:r>
        <w:rPr>
          <w:rFonts w:ascii="Times New Roman" w:hAnsi="Times New Roman" w:cs="Times New Roman" w:eastAsiaTheme="minorEastAsia"/>
        </w:rPr>
        <w:t>6.2.3.6 地下水开发利用现状</w:t>
      </w:r>
    </w:p>
    <w:p>
      <w:pPr>
        <w:spacing w:line="360" w:lineRule="auto"/>
        <w:ind w:firstLine="480" w:firstLineChars="200"/>
        <w:rPr>
          <w:rFonts w:ascii="Times New Roman" w:hAnsi="Times New Roman" w:cs="Times New Roman"/>
        </w:rPr>
      </w:pPr>
      <w:r>
        <w:rPr>
          <w:rFonts w:ascii="Times New Roman" w:hAnsi="Times New Roman" w:cs="Times New Roman"/>
        </w:rPr>
        <w:t>根据本工程所在地水文地质调查情况，所在地位于衡东经济开发区内，基本城镇化，周边多为住宅和厂房，主要饮用衡东县城区自来水，其水源不在本工程所在地水文地质单元内。</w:t>
      </w:r>
    </w:p>
    <w:p>
      <w:pPr>
        <w:spacing w:line="360" w:lineRule="auto"/>
        <w:ind w:firstLine="480" w:firstLineChars="200"/>
        <w:rPr>
          <w:rFonts w:ascii="Times New Roman" w:hAnsi="Times New Roman" w:cs="Times New Roman"/>
        </w:rPr>
      </w:pPr>
      <w:r>
        <w:rPr>
          <w:rFonts w:ascii="Times New Roman" w:hAnsi="Times New Roman" w:cs="Times New Roman"/>
        </w:rPr>
        <w:t>通过水文地质调查，本工程所在地水文地质单元内无民井和泉水，因此本工程的生产使用基本不会对周边村屯的饮用水源产生影响，但可能会影响下游地表水质，未来需要加强项目区下游排泄区范围的地下水的水质监测工作。</w:t>
      </w:r>
    </w:p>
    <w:p>
      <w:pPr>
        <w:rPr>
          <w:rFonts w:ascii="Times New Roman" w:hAnsi="Times New Roman" w:cs="Times New Roman"/>
        </w:rPr>
      </w:pPr>
      <w:r>
        <w:rPr>
          <w:rFonts w:ascii="Times New Roman" w:hAnsi="Times New Roman" w:cs="Times New Roman"/>
        </w:rPr>
        <w:drawing>
          <wp:inline distT="0" distB="0" distL="0" distR="0">
            <wp:extent cx="5747385" cy="3831590"/>
            <wp:effectExtent l="0" t="0" r="5715" b="0"/>
            <wp:docPr id="62" name="图片 62" descr="区域水文地质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区域水文地质图"/>
                    <pic:cNvPicPr>
                      <a:picLocks noChangeAspect="1" noChangeArrowheads="1"/>
                    </pic:cNvPicPr>
                  </pic:nvPicPr>
                  <pic:blipFill>
                    <a:blip r:embed="rId98">
                      <a:extLst>
                        <a:ext uri="{28A0092B-C50C-407E-A947-70E740481C1C}">
                          <a14:useLocalDpi xmlns:a14="http://schemas.microsoft.com/office/drawing/2010/main" val="0"/>
                        </a:ext>
                      </a:extLst>
                    </a:blip>
                    <a:srcRect t="6326"/>
                    <a:stretch>
                      <a:fillRect/>
                    </a:stretch>
                  </pic:blipFill>
                  <pic:spPr>
                    <a:xfrm>
                      <a:off x="0" y="0"/>
                      <a:ext cx="5747385" cy="3831590"/>
                    </a:xfrm>
                    <a:prstGeom prst="rect">
                      <a:avLst/>
                    </a:prstGeom>
                    <a:noFill/>
                    <a:ln>
                      <a:noFill/>
                    </a:ln>
                  </pic:spPr>
                </pic:pic>
              </a:graphicData>
            </a:graphic>
          </wp:inline>
        </w:drawing>
      </w:r>
    </w:p>
    <w:p>
      <w:pPr>
        <w:pStyle w:val="6"/>
        <w:rPr>
          <w:rFonts w:ascii="Times New Roman" w:hAnsi="Times New Roman" w:cs="Times New Roman"/>
        </w:rPr>
      </w:pPr>
      <w:r>
        <w:rPr>
          <w:rFonts w:ascii="Times New Roman" w:hAnsi="Times New Roman" w:cs="Times New Roman"/>
        </w:rPr>
        <w:t>图6.</w:t>
      </w:r>
      <w:r>
        <w:rPr>
          <w:rFonts w:hint="eastAsia" w:ascii="Times New Roman" w:hAnsi="Times New Roman" w:cs="Times New Roman"/>
        </w:rPr>
        <w:t>2.3</w:t>
      </w:r>
      <w:r>
        <w:rPr>
          <w:rFonts w:ascii="Times New Roman" w:hAnsi="Times New Roman" w:cs="Times New Roman"/>
        </w:rPr>
        <w:t>-1  区域水文地质图</w:t>
      </w:r>
    </w:p>
    <w:p>
      <w:pPr>
        <w:pStyle w:val="5"/>
        <w:ind w:firstLine="482"/>
        <w:rPr>
          <w:rFonts w:ascii="Times New Roman" w:hAnsi="Times New Roman" w:cs="Times New Roman" w:eastAsiaTheme="minorEastAsia"/>
        </w:rPr>
      </w:pPr>
      <w:r>
        <w:rPr>
          <w:rFonts w:ascii="Times New Roman" w:hAnsi="Times New Roman" w:cs="Times New Roman" w:eastAsiaTheme="minorEastAsia"/>
        </w:rPr>
        <w:t>6.2.3.7 地下水环境影响分析</w:t>
      </w:r>
    </w:p>
    <w:p>
      <w:pPr>
        <w:spacing w:line="360" w:lineRule="auto"/>
        <w:ind w:firstLine="480" w:firstLineChars="200"/>
        <w:rPr>
          <w:rFonts w:ascii="Times New Roman" w:hAnsi="Times New Roman" w:cs="Times New Roman"/>
        </w:rPr>
      </w:pPr>
      <w:r>
        <w:rPr>
          <w:rFonts w:ascii="Times New Roman" w:hAnsi="Times New Roman" w:cs="Times New Roman"/>
        </w:rPr>
        <w:t>污染物对地下水的影响主要是由于浸出和萃取车间各槽体、废水收集处理设施以及危险废物贮存等在非正常状况下（贮槽发生破裂，车间内防渗膜由于系统老化、腐蚀等原因达不到防渗要求）通过垂直渗透进入包气带，进入包气带的污染物在物理、化学和生物作用下经吸附、转化、迁移和分解后输入地下水，污染地下水水质。</w:t>
      </w:r>
    </w:p>
    <w:p>
      <w:pPr>
        <w:spacing w:line="360" w:lineRule="auto"/>
        <w:ind w:firstLine="482" w:firstLineChars="200"/>
        <w:rPr>
          <w:rFonts w:ascii="Times New Roman" w:hAnsi="Times New Roman" w:cs="Times New Roman"/>
          <w:b/>
        </w:rPr>
      </w:pPr>
      <w:r>
        <w:rPr>
          <w:rFonts w:ascii="Times New Roman" w:hAnsi="Times New Roman" w:cs="Times New Roman"/>
          <w:b/>
        </w:rPr>
        <w:t>（1）评价工作等级</w:t>
      </w:r>
    </w:p>
    <w:p>
      <w:pPr>
        <w:spacing w:line="360" w:lineRule="auto"/>
        <w:ind w:firstLine="480" w:firstLineChars="200"/>
        <w:rPr>
          <w:rFonts w:ascii="Times New Roman" w:hAnsi="Times New Roman" w:cs="Times New Roman"/>
        </w:rPr>
      </w:pPr>
      <w:r>
        <w:rPr>
          <w:rFonts w:ascii="Times New Roman" w:hAnsi="Times New Roman" w:cs="Times New Roman"/>
        </w:rPr>
        <w:t>根据前述分析，本项目地下水环境影响评价工作级别为三级。</w:t>
      </w:r>
    </w:p>
    <w:p>
      <w:pPr>
        <w:spacing w:line="360" w:lineRule="auto"/>
        <w:ind w:firstLine="482" w:firstLineChars="200"/>
        <w:rPr>
          <w:rFonts w:ascii="Times New Roman" w:hAnsi="Times New Roman" w:cs="Times New Roman"/>
          <w:b/>
        </w:rPr>
      </w:pPr>
      <w:r>
        <w:rPr>
          <w:rFonts w:ascii="Times New Roman" w:hAnsi="Times New Roman" w:cs="Times New Roman"/>
          <w:b/>
        </w:rPr>
        <w:t>（2）污染途径</w:t>
      </w:r>
    </w:p>
    <w:p>
      <w:pPr>
        <w:spacing w:line="360" w:lineRule="auto"/>
        <w:ind w:firstLine="480" w:firstLineChars="200"/>
        <w:rPr>
          <w:rFonts w:ascii="Times New Roman" w:hAnsi="Times New Roman" w:cs="Times New Roman"/>
        </w:rPr>
      </w:pPr>
      <w:r>
        <w:rPr>
          <w:rFonts w:ascii="Times New Roman" w:hAnsi="Times New Roman" w:cs="Times New Roman"/>
        </w:rPr>
        <w:t>污染物从污染源进入地下水所经过路径称为地下水污染途径，地下水污染途径是多种多样的。根据项目工程所处区域的地质情况，项目可能对地下水造成污染的途径主要有：浸出车间和萃取车间各槽体、废水收集及处理设施非正常状况下（贮槽发生破裂，车间内防渗膜由于系统老化、腐蚀等原因达不到防渗要求）下渗对地下水造成的污染以及危险废物贮存对地下水的影响。</w:t>
      </w:r>
    </w:p>
    <w:p>
      <w:pPr>
        <w:spacing w:line="360" w:lineRule="auto"/>
        <w:ind w:firstLine="482" w:firstLineChars="200"/>
        <w:rPr>
          <w:rFonts w:ascii="Times New Roman" w:hAnsi="Times New Roman" w:cs="Times New Roman"/>
          <w:b/>
        </w:rPr>
      </w:pPr>
      <w:r>
        <w:rPr>
          <w:rFonts w:ascii="Times New Roman" w:hAnsi="Times New Roman" w:cs="Times New Roman"/>
          <w:b/>
        </w:rPr>
        <w:t>（3）影响分析</w:t>
      </w:r>
    </w:p>
    <w:p>
      <w:pPr>
        <w:spacing w:line="360" w:lineRule="auto"/>
        <w:ind w:firstLine="480" w:firstLineChars="200"/>
        <w:rPr>
          <w:rFonts w:ascii="Times New Roman" w:hAnsi="Times New Roman" w:cs="Times New Roman"/>
        </w:rPr>
      </w:pPr>
      <w:r>
        <w:rPr>
          <w:rFonts w:ascii="Times New Roman" w:hAnsi="Times New Roman" w:cs="Times New Roman"/>
        </w:rPr>
        <w:t>1）危险废物贮存对地下水的影响</w:t>
      </w:r>
    </w:p>
    <w:p>
      <w:pPr>
        <w:spacing w:line="360" w:lineRule="auto"/>
        <w:ind w:firstLine="480" w:firstLineChars="200"/>
        <w:rPr>
          <w:rFonts w:ascii="Times New Roman" w:hAnsi="Times New Roman" w:cs="Times New Roman"/>
        </w:rPr>
      </w:pPr>
      <w:r>
        <w:rPr>
          <w:rFonts w:ascii="Times New Roman" w:hAnsi="Times New Roman" w:cs="Times New Roman"/>
        </w:rPr>
        <w:t>危险废物对地下水的影响主要体现在渗滤液或雨水冲刷水渗入地下，对地下水环境造成的不利影响。本项目生产过程中涉及的各种危险废物分类贮存于严格按照《危险废物贮存污染控制标准》（GB18597-20</w:t>
      </w:r>
      <w:r>
        <w:rPr>
          <w:rFonts w:hint="eastAsia" w:ascii="Times New Roman" w:hAnsi="Times New Roman" w:cs="Times New Roman"/>
        </w:rPr>
        <w:t>23</w:t>
      </w:r>
      <w:r>
        <w:rPr>
          <w:rFonts w:ascii="Times New Roman" w:hAnsi="Times New Roman" w:cs="Times New Roman"/>
        </w:rPr>
        <w:t>）要求建设的危险废物渣库内。库内地面全部硬化并进行了防渗处理。建设方应严格控制各危险废物贮存和转运过程，避免露天堆存和沿途撒落，同时加强危险废物渣库的日常管理与维护，进行定期安全检查，一旦发生问题及时处理，以确保危险废物渣库安全可靠的运行。因此，在满足上述要求的前提下，本项目危险废物贮存过程中对地下水环境造成不利影响的可能性很小。</w:t>
      </w:r>
    </w:p>
    <w:p>
      <w:pPr>
        <w:spacing w:line="360" w:lineRule="auto"/>
        <w:ind w:firstLine="480" w:firstLineChars="200"/>
        <w:rPr>
          <w:rFonts w:ascii="Times New Roman" w:hAnsi="Times New Roman" w:cs="Times New Roman"/>
        </w:rPr>
      </w:pPr>
      <w:r>
        <w:rPr>
          <w:rFonts w:ascii="Times New Roman" w:hAnsi="Times New Roman" w:cs="Times New Roman"/>
        </w:rPr>
        <w:t>2）生产废水收集处理设施对地下水的影响</w:t>
      </w:r>
    </w:p>
    <w:p>
      <w:pPr>
        <w:spacing w:line="360" w:lineRule="auto"/>
        <w:ind w:firstLine="480" w:firstLineChars="200"/>
        <w:rPr>
          <w:rFonts w:ascii="Times New Roman" w:hAnsi="Times New Roman" w:cs="Times New Roman"/>
        </w:rPr>
      </w:pPr>
      <w:r>
        <w:rPr>
          <w:rFonts w:ascii="Times New Roman" w:hAnsi="Times New Roman" w:cs="Times New Roman"/>
        </w:rPr>
        <w:t>生产废水收集处理设施对地下水的影响主要体现在因废水收集管道、废水池渗漏造成生产废水渗入地下，对地下水环境产生的不利影响。本项目通过对各生产系统反应槽、生产废水收集管道、废水处理站和雨排设施进行防渗处理；对各事故池以及废水收集管道进行防腐处理；对各车间地面做硬化防腐防渗处理；对厂区内道路采取硬化、防渗处理；同时加强生产废水收集处理设施日常管理和维护的前提下，本项目生产废水收集处理设施产生渗漏的几率很小，对地下水环境的影响很小。</w:t>
      </w:r>
    </w:p>
    <w:p>
      <w:pPr>
        <w:spacing w:line="360" w:lineRule="auto"/>
        <w:ind w:firstLine="480" w:firstLineChars="200"/>
        <w:rPr>
          <w:rFonts w:ascii="Times New Roman" w:hAnsi="Times New Roman" w:cs="Times New Roman"/>
        </w:rPr>
      </w:pPr>
      <w:r>
        <w:rPr>
          <w:rFonts w:ascii="Times New Roman" w:hAnsi="Times New Roman" w:cs="Times New Roman"/>
        </w:rPr>
        <w:t>3）浸出和萃取车间对地下水的影响</w:t>
      </w:r>
    </w:p>
    <w:p>
      <w:pPr>
        <w:spacing w:line="360" w:lineRule="auto"/>
        <w:ind w:firstLine="480" w:firstLineChars="200"/>
        <w:rPr>
          <w:rFonts w:ascii="Times New Roman" w:hAnsi="Times New Roman" w:cs="Times New Roman"/>
        </w:rPr>
      </w:pPr>
      <w:r>
        <w:rPr>
          <w:rFonts w:ascii="Times New Roman" w:hAnsi="Times New Roman" w:cs="Times New Roman"/>
        </w:rPr>
        <w:t xml:space="preserve">正常情况下，对地下水的污染主要是由于污染物迁移穿过包气带进入含水层造成。项目场地包气带防污性能为中级，说明浅层地下水不太容易受到污染。 </w:t>
      </w:r>
    </w:p>
    <w:p>
      <w:pPr>
        <w:spacing w:line="360" w:lineRule="auto"/>
        <w:ind w:firstLine="480" w:firstLineChars="200"/>
        <w:rPr>
          <w:rFonts w:ascii="Times New Roman" w:hAnsi="Times New Roman" w:cs="Times New Roman"/>
        </w:rPr>
      </w:pPr>
      <w:r>
        <w:rPr>
          <w:rFonts w:ascii="Times New Roman" w:hAnsi="Times New Roman" w:cs="Times New Roman"/>
        </w:rPr>
        <w:t>非正常工况是指厂区的湿法工段各浸出槽非正常状况下，贮槽发生破裂，车间内防渗膜由于系统老化、腐蚀等原因达不到防渗要求出现漏洞的情况，可能会对地下水含水层造成污染，本项目湿法工段各浸出槽均在地面上安置，储槽等发生破裂时容易被发现，且项目生产车间地面进行了防渗，因此对地下水污染影响较小。</w:t>
      </w:r>
    </w:p>
    <w:p>
      <w:pPr>
        <w:pStyle w:val="4"/>
        <w:rPr>
          <w:rFonts w:ascii="Times New Roman" w:hAnsi="Times New Roman" w:cs="Times New Roman"/>
          <w:u w:val="single"/>
        </w:rPr>
      </w:pPr>
      <w:bookmarkStart w:id="347" w:name="_Toc147848058"/>
      <w:bookmarkStart w:id="348" w:name="_Toc144276940"/>
      <w:bookmarkStart w:id="349" w:name="_Toc144236810"/>
      <w:r>
        <w:rPr>
          <w:rFonts w:ascii="Times New Roman" w:hAnsi="Times New Roman" w:cs="Times New Roman"/>
          <w:u w:val="single"/>
        </w:rPr>
        <w:t>6.2.4 运营期声环境影响分析</w:t>
      </w:r>
      <w:bookmarkEnd w:id="347"/>
      <w:bookmarkEnd w:id="348"/>
      <w:bookmarkEnd w:id="349"/>
    </w:p>
    <w:p>
      <w:pPr>
        <w:pStyle w:val="5"/>
        <w:ind w:firstLine="482"/>
        <w:rPr>
          <w:rFonts w:ascii="Times New Roman" w:hAnsi="Times New Roman" w:cs="Times New Roman" w:eastAsiaTheme="minorEastAsia"/>
          <w:u w:val="single"/>
        </w:rPr>
      </w:pPr>
      <w:r>
        <w:rPr>
          <w:rFonts w:ascii="Times New Roman" w:hAnsi="Times New Roman" w:cs="Times New Roman" w:eastAsiaTheme="minorEastAsia"/>
          <w:u w:val="single"/>
        </w:rPr>
        <w:t>6.2.4.1 主要噪声源</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（1）预测因子</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等效连续A声级。</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（2）预测范围</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建设项目厂界外200m。</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（3）噪声源强</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本项目新增主要噪声源为空压机、泵类、风机等，对产生较大噪声的泵类设备采取基础减震、消声器、建筑物隔离等隔音措施。本项目噪声源强具体情况及具体治理措施见下表所示。</w:t>
      </w:r>
    </w:p>
    <w:p>
      <w:pPr>
        <w:pStyle w:val="6"/>
        <w:rPr>
          <w:rFonts w:ascii="Times New Roman" w:hAnsi="Times New Roman" w:cs="Times New Roman"/>
          <w:u w:val="single"/>
        </w:rPr>
      </w:pPr>
      <w:r>
        <w:rPr>
          <w:rFonts w:ascii="Times New Roman" w:hAnsi="Times New Roman" w:cs="Times New Roman"/>
          <w:u w:val="single"/>
        </w:rPr>
        <w:t>表</w:t>
      </w:r>
      <w:r>
        <w:rPr>
          <w:rFonts w:hint="eastAsia" w:ascii="Times New Roman" w:hAnsi="Times New Roman" w:cs="Times New Roman"/>
          <w:u w:val="single"/>
        </w:rPr>
        <w:t xml:space="preserve">6.2.4-1 </w:t>
      </w:r>
      <w:r>
        <w:rPr>
          <w:rFonts w:ascii="Times New Roman" w:hAnsi="Times New Roman" w:cs="Times New Roman"/>
          <w:u w:val="single"/>
        </w:rPr>
        <w:t xml:space="preserve"> 综合利用厂区主要新增噪声源统计结果表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0" w:type="dxa"/>
          <w:bottom w:w="0" w:type="dxa"/>
          <w:right w:w="0" w:type="dxa"/>
        </w:tblCellMar>
      </w:tblPr>
      <w:tblGrid>
        <w:gridCol w:w="602"/>
        <w:gridCol w:w="1422"/>
        <w:gridCol w:w="1422"/>
        <w:gridCol w:w="1001"/>
        <w:gridCol w:w="1994"/>
        <w:gridCol w:w="1004"/>
        <w:gridCol w:w="898"/>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序号</w:t>
            </w:r>
          </w:p>
        </w:tc>
        <w:tc>
          <w:tcPr>
            <w:tcW w:w="852" w:type="pct"/>
            <w:vAlign w:val="center"/>
          </w:tcPr>
          <w:p>
            <w:pPr>
              <w:pStyle w:val="63"/>
              <w:rPr>
                <w:u w:val="single"/>
              </w:rPr>
            </w:pPr>
            <w:r>
              <w:rPr>
                <w:u w:val="single"/>
              </w:rPr>
              <w:t>建筑物名称</w:t>
            </w:r>
          </w:p>
        </w:tc>
        <w:tc>
          <w:tcPr>
            <w:tcW w:w="852" w:type="pct"/>
            <w:vAlign w:val="center"/>
          </w:tcPr>
          <w:p>
            <w:pPr>
              <w:pStyle w:val="63"/>
              <w:rPr>
                <w:u w:val="single"/>
              </w:rPr>
            </w:pPr>
            <w:r>
              <w:rPr>
                <w:u w:val="single"/>
              </w:rPr>
              <w:t>噪声源</w:t>
            </w:r>
          </w:p>
        </w:tc>
        <w:tc>
          <w:tcPr>
            <w:tcW w:w="600" w:type="pct"/>
            <w:vAlign w:val="center"/>
          </w:tcPr>
          <w:p>
            <w:pPr>
              <w:pStyle w:val="63"/>
              <w:rPr>
                <w:u w:val="single"/>
              </w:rPr>
            </w:pPr>
            <w:r>
              <w:rPr>
                <w:u w:val="single"/>
              </w:rPr>
              <w:t>噪声强度</w:t>
            </w:r>
          </w:p>
        </w:tc>
        <w:tc>
          <w:tcPr>
            <w:tcW w:w="1195" w:type="pct"/>
            <w:vAlign w:val="center"/>
          </w:tcPr>
          <w:p>
            <w:pPr>
              <w:pStyle w:val="63"/>
              <w:rPr>
                <w:u w:val="single"/>
              </w:rPr>
            </w:pPr>
            <w:r>
              <w:rPr>
                <w:u w:val="single"/>
              </w:rPr>
              <w:t>声源控制措施</w:t>
            </w:r>
          </w:p>
        </w:tc>
        <w:tc>
          <w:tcPr>
            <w:tcW w:w="602" w:type="pct"/>
            <w:vAlign w:val="center"/>
          </w:tcPr>
          <w:p>
            <w:pPr>
              <w:pStyle w:val="63"/>
              <w:rPr>
                <w:u w:val="single"/>
              </w:rPr>
            </w:pPr>
            <w:r>
              <w:rPr>
                <w:u w:val="single"/>
              </w:rPr>
              <w:t>降噪量</w:t>
            </w:r>
          </w:p>
        </w:tc>
        <w:tc>
          <w:tcPr>
            <w:tcW w:w="538" w:type="pct"/>
            <w:vAlign w:val="center"/>
          </w:tcPr>
          <w:p>
            <w:pPr>
              <w:pStyle w:val="63"/>
              <w:rPr>
                <w:u w:val="single"/>
              </w:rPr>
            </w:pPr>
            <w:r>
              <w:rPr>
                <w:u w:val="single"/>
              </w:rPr>
              <w:t>排放噪声</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1</w:t>
            </w:r>
          </w:p>
        </w:tc>
        <w:tc>
          <w:tcPr>
            <w:tcW w:w="852" w:type="pct"/>
            <w:vMerge w:val="restart"/>
            <w:vAlign w:val="center"/>
          </w:tcPr>
          <w:p>
            <w:pPr>
              <w:pStyle w:val="63"/>
              <w:rPr>
                <w:u w:val="single"/>
              </w:rPr>
            </w:pPr>
            <w:r>
              <w:rPr>
                <w:u w:val="single"/>
              </w:rPr>
              <w:t>预处理车间</w:t>
            </w:r>
          </w:p>
        </w:tc>
        <w:tc>
          <w:tcPr>
            <w:tcW w:w="852" w:type="pct"/>
            <w:vAlign w:val="center"/>
          </w:tcPr>
          <w:p>
            <w:pPr>
              <w:pStyle w:val="63"/>
              <w:rPr>
                <w:u w:val="single"/>
              </w:rPr>
            </w:pPr>
            <w:r>
              <w:rPr>
                <w:u w:val="single"/>
              </w:rPr>
              <w:t>输送线</w:t>
            </w:r>
          </w:p>
        </w:tc>
        <w:tc>
          <w:tcPr>
            <w:tcW w:w="600" w:type="pct"/>
            <w:vAlign w:val="center"/>
          </w:tcPr>
          <w:p>
            <w:pPr>
              <w:pStyle w:val="63"/>
              <w:rPr>
                <w:u w:val="single"/>
              </w:rPr>
            </w:pPr>
            <w:r>
              <w:rPr>
                <w:u w:val="single"/>
              </w:rPr>
              <w:t>75~85</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2</w:t>
            </w:r>
          </w:p>
        </w:tc>
        <w:tc>
          <w:tcPr>
            <w:tcW w:w="852" w:type="pct"/>
            <w:vMerge w:val="continue"/>
            <w:vAlign w:val="center"/>
          </w:tcPr>
          <w:p>
            <w:pPr>
              <w:pStyle w:val="63"/>
              <w:rPr>
                <w:u w:val="single"/>
              </w:rPr>
            </w:pPr>
          </w:p>
        </w:tc>
        <w:tc>
          <w:tcPr>
            <w:tcW w:w="852" w:type="pct"/>
            <w:vAlign w:val="center"/>
          </w:tcPr>
          <w:p>
            <w:pPr>
              <w:pStyle w:val="63"/>
              <w:rPr>
                <w:u w:val="single"/>
              </w:rPr>
            </w:pPr>
            <w:r>
              <w:rPr>
                <w:u w:val="single"/>
              </w:rPr>
              <w:t>多功能破碎拆解设备</w:t>
            </w:r>
          </w:p>
        </w:tc>
        <w:tc>
          <w:tcPr>
            <w:tcW w:w="600" w:type="pct"/>
            <w:vAlign w:val="center"/>
          </w:tcPr>
          <w:p>
            <w:pPr>
              <w:pStyle w:val="63"/>
              <w:rPr>
                <w:u w:val="single"/>
              </w:rPr>
            </w:pPr>
            <w:r>
              <w:rPr>
                <w:u w:val="single"/>
              </w:rPr>
              <w:t>80～90</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65~75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3</w:t>
            </w:r>
          </w:p>
        </w:tc>
        <w:tc>
          <w:tcPr>
            <w:tcW w:w="852" w:type="pct"/>
            <w:vMerge w:val="continue"/>
            <w:vAlign w:val="center"/>
          </w:tcPr>
          <w:p>
            <w:pPr>
              <w:pStyle w:val="63"/>
              <w:rPr>
                <w:u w:val="single"/>
              </w:rPr>
            </w:pPr>
          </w:p>
        </w:tc>
        <w:tc>
          <w:tcPr>
            <w:tcW w:w="852" w:type="pct"/>
            <w:vAlign w:val="center"/>
          </w:tcPr>
          <w:p>
            <w:pPr>
              <w:pStyle w:val="63"/>
              <w:rPr>
                <w:u w:val="single"/>
              </w:rPr>
            </w:pPr>
            <w:r>
              <w:rPr>
                <w:u w:val="single"/>
              </w:rPr>
              <w:t>引风机</w:t>
            </w:r>
          </w:p>
        </w:tc>
        <w:tc>
          <w:tcPr>
            <w:tcW w:w="600" w:type="pct"/>
            <w:vAlign w:val="center"/>
          </w:tcPr>
          <w:p>
            <w:pPr>
              <w:pStyle w:val="63"/>
              <w:rPr>
                <w:u w:val="single"/>
              </w:rPr>
            </w:pPr>
            <w:r>
              <w:rPr>
                <w:u w:val="single"/>
              </w:rPr>
              <w:t>85~95</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70~80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4</w:t>
            </w:r>
          </w:p>
        </w:tc>
        <w:tc>
          <w:tcPr>
            <w:tcW w:w="852" w:type="pct"/>
            <w:vMerge w:val="continue"/>
            <w:vAlign w:val="center"/>
          </w:tcPr>
          <w:p>
            <w:pPr>
              <w:pStyle w:val="63"/>
              <w:rPr>
                <w:u w:val="single"/>
              </w:rPr>
            </w:pPr>
          </w:p>
        </w:tc>
        <w:tc>
          <w:tcPr>
            <w:tcW w:w="852" w:type="pct"/>
            <w:vAlign w:val="center"/>
          </w:tcPr>
          <w:p>
            <w:pPr>
              <w:pStyle w:val="63"/>
              <w:rPr>
                <w:u w:val="single"/>
              </w:rPr>
            </w:pPr>
            <w:r>
              <w:rPr>
                <w:u w:val="single"/>
              </w:rPr>
              <w:t>压滤机</w:t>
            </w:r>
          </w:p>
        </w:tc>
        <w:tc>
          <w:tcPr>
            <w:tcW w:w="600" w:type="pct"/>
            <w:vAlign w:val="center"/>
          </w:tcPr>
          <w:p>
            <w:pPr>
              <w:pStyle w:val="63"/>
              <w:rPr>
                <w:u w:val="single"/>
              </w:rPr>
            </w:pPr>
            <w:r>
              <w:rPr>
                <w:u w:val="single"/>
              </w:rPr>
              <w:t>80~90</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65~75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5</w:t>
            </w:r>
          </w:p>
        </w:tc>
        <w:tc>
          <w:tcPr>
            <w:tcW w:w="852" w:type="pct"/>
            <w:vMerge w:val="continue"/>
            <w:vAlign w:val="center"/>
          </w:tcPr>
          <w:p>
            <w:pPr>
              <w:pStyle w:val="63"/>
              <w:rPr>
                <w:u w:val="single"/>
              </w:rPr>
            </w:pPr>
          </w:p>
        </w:tc>
        <w:tc>
          <w:tcPr>
            <w:tcW w:w="852" w:type="pct"/>
            <w:vAlign w:val="center"/>
          </w:tcPr>
          <w:p>
            <w:pPr>
              <w:pStyle w:val="63"/>
              <w:rPr>
                <w:u w:val="single"/>
              </w:rPr>
            </w:pPr>
            <w:r>
              <w:rPr>
                <w:u w:val="single"/>
              </w:rPr>
              <w:t>工程塑料泵</w:t>
            </w:r>
          </w:p>
        </w:tc>
        <w:tc>
          <w:tcPr>
            <w:tcW w:w="600" w:type="pct"/>
            <w:vAlign w:val="center"/>
          </w:tcPr>
          <w:p>
            <w:pPr>
              <w:pStyle w:val="63"/>
              <w:rPr>
                <w:u w:val="single"/>
              </w:rPr>
            </w:pPr>
            <w:r>
              <w:rPr>
                <w:u w:val="single"/>
              </w:rPr>
              <w:t>85~95</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70~80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6</w:t>
            </w:r>
          </w:p>
        </w:tc>
        <w:tc>
          <w:tcPr>
            <w:tcW w:w="852" w:type="pct"/>
            <w:vMerge w:val="continue"/>
            <w:vAlign w:val="center"/>
          </w:tcPr>
          <w:p>
            <w:pPr>
              <w:pStyle w:val="63"/>
              <w:rPr>
                <w:u w:val="single"/>
              </w:rPr>
            </w:pPr>
          </w:p>
        </w:tc>
        <w:tc>
          <w:tcPr>
            <w:tcW w:w="852" w:type="pct"/>
            <w:vAlign w:val="center"/>
          </w:tcPr>
          <w:p>
            <w:pPr>
              <w:pStyle w:val="63"/>
              <w:rPr>
                <w:u w:val="single"/>
              </w:rPr>
            </w:pPr>
            <w:r>
              <w:rPr>
                <w:u w:val="single"/>
              </w:rPr>
              <w:t>叉车</w:t>
            </w:r>
          </w:p>
        </w:tc>
        <w:tc>
          <w:tcPr>
            <w:tcW w:w="600" w:type="pct"/>
            <w:vAlign w:val="center"/>
          </w:tcPr>
          <w:p>
            <w:pPr>
              <w:pStyle w:val="63"/>
              <w:rPr>
                <w:u w:val="single"/>
              </w:rPr>
            </w:pPr>
            <w:r>
              <w:rPr>
                <w:u w:val="single"/>
              </w:rPr>
              <w:t>75~85</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55~65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7</w:t>
            </w:r>
          </w:p>
        </w:tc>
        <w:tc>
          <w:tcPr>
            <w:tcW w:w="852" w:type="pct"/>
            <w:vMerge w:val="continue"/>
            <w:vAlign w:val="center"/>
          </w:tcPr>
          <w:p>
            <w:pPr>
              <w:pStyle w:val="63"/>
              <w:rPr>
                <w:u w:val="single"/>
              </w:rPr>
            </w:pPr>
          </w:p>
        </w:tc>
        <w:tc>
          <w:tcPr>
            <w:tcW w:w="852" w:type="pct"/>
            <w:vAlign w:val="center"/>
          </w:tcPr>
          <w:p>
            <w:pPr>
              <w:pStyle w:val="63"/>
              <w:rPr>
                <w:u w:val="single"/>
              </w:rPr>
            </w:pPr>
            <w:r>
              <w:rPr>
                <w:u w:val="single"/>
              </w:rPr>
              <w:t>废气处理设施</w:t>
            </w:r>
          </w:p>
        </w:tc>
        <w:tc>
          <w:tcPr>
            <w:tcW w:w="600" w:type="pct"/>
            <w:vAlign w:val="center"/>
          </w:tcPr>
          <w:p>
            <w:pPr>
              <w:pStyle w:val="63"/>
              <w:rPr>
                <w:u w:val="single"/>
              </w:rPr>
            </w:pPr>
            <w:r>
              <w:rPr>
                <w:u w:val="single"/>
              </w:rPr>
              <w:t>70~80</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55~65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8</w:t>
            </w:r>
          </w:p>
        </w:tc>
        <w:tc>
          <w:tcPr>
            <w:tcW w:w="852" w:type="pct"/>
            <w:vMerge w:val="restart"/>
            <w:vAlign w:val="center"/>
          </w:tcPr>
          <w:p>
            <w:pPr>
              <w:pStyle w:val="63"/>
              <w:rPr>
                <w:u w:val="single"/>
              </w:rPr>
            </w:pPr>
            <w:r>
              <w:rPr>
                <w:u w:val="single"/>
              </w:rPr>
              <w:t>浸出车间</w:t>
            </w:r>
          </w:p>
        </w:tc>
        <w:tc>
          <w:tcPr>
            <w:tcW w:w="852" w:type="pct"/>
            <w:vAlign w:val="center"/>
          </w:tcPr>
          <w:p>
            <w:pPr>
              <w:pStyle w:val="63"/>
              <w:rPr>
                <w:u w:val="single"/>
              </w:rPr>
            </w:pPr>
            <w:r>
              <w:rPr>
                <w:u w:val="single"/>
              </w:rPr>
              <w:t>输送线</w:t>
            </w:r>
          </w:p>
        </w:tc>
        <w:tc>
          <w:tcPr>
            <w:tcW w:w="600" w:type="pct"/>
            <w:vAlign w:val="center"/>
          </w:tcPr>
          <w:p>
            <w:pPr>
              <w:pStyle w:val="63"/>
              <w:rPr>
                <w:u w:val="single"/>
              </w:rPr>
            </w:pPr>
            <w:r>
              <w:rPr>
                <w:u w:val="single"/>
              </w:rPr>
              <w:t>75~85</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9</w:t>
            </w:r>
          </w:p>
        </w:tc>
        <w:tc>
          <w:tcPr>
            <w:tcW w:w="852" w:type="pct"/>
            <w:vMerge w:val="continue"/>
            <w:vAlign w:val="center"/>
          </w:tcPr>
          <w:p>
            <w:pPr>
              <w:pStyle w:val="63"/>
              <w:rPr>
                <w:u w:val="single"/>
              </w:rPr>
            </w:pPr>
          </w:p>
        </w:tc>
        <w:tc>
          <w:tcPr>
            <w:tcW w:w="852" w:type="pct"/>
            <w:vAlign w:val="center"/>
          </w:tcPr>
          <w:p>
            <w:pPr>
              <w:pStyle w:val="63"/>
              <w:rPr>
                <w:u w:val="single"/>
              </w:rPr>
            </w:pPr>
            <w:r>
              <w:rPr>
                <w:u w:val="single"/>
              </w:rPr>
              <w:t>电动葫芦</w:t>
            </w:r>
          </w:p>
        </w:tc>
        <w:tc>
          <w:tcPr>
            <w:tcW w:w="600" w:type="pct"/>
            <w:vAlign w:val="center"/>
          </w:tcPr>
          <w:p>
            <w:pPr>
              <w:pStyle w:val="63"/>
              <w:rPr>
                <w:u w:val="single"/>
              </w:rPr>
            </w:pPr>
            <w:r>
              <w:rPr>
                <w:u w:val="single"/>
              </w:rPr>
              <w:t>75~85</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10</w:t>
            </w:r>
          </w:p>
        </w:tc>
        <w:tc>
          <w:tcPr>
            <w:tcW w:w="852" w:type="pct"/>
            <w:vMerge w:val="continue"/>
            <w:vAlign w:val="center"/>
          </w:tcPr>
          <w:p>
            <w:pPr>
              <w:pStyle w:val="63"/>
              <w:rPr>
                <w:u w:val="single"/>
              </w:rPr>
            </w:pPr>
          </w:p>
        </w:tc>
        <w:tc>
          <w:tcPr>
            <w:tcW w:w="852" w:type="pct"/>
            <w:vAlign w:val="center"/>
          </w:tcPr>
          <w:p>
            <w:pPr>
              <w:pStyle w:val="63"/>
              <w:rPr>
                <w:u w:val="single"/>
              </w:rPr>
            </w:pPr>
            <w:r>
              <w:rPr>
                <w:u w:val="single"/>
              </w:rPr>
              <w:t>离心机</w:t>
            </w:r>
          </w:p>
        </w:tc>
        <w:tc>
          <w:tcPr>
            <w:tcW w:w="600" w:type="pct"/>
            <w:vAlign w:val="center"/>
          </w:tcPr>
          <w:p>
            <w:pPr>
              <w:pStyle w:val="63"/>
              <w:rPr>
                <w:u w:val="single"/>
              </w:rPr>
            </w:pPr>
            <w:r>
              <w:rPr>
                <w:u w:val="single"/>
              </w:rPr>
              <w:t>80~85</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65~70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11</w:t>
            </w:r>
          </w:p>
        </w:tc>
        <w:tc>
          <w:tcPr>
            <w:tcW w:w="852" w:type="pct"/>
            <w:vMerge w:val="continue"/>
            <w:vAlign w:val="center"/>
          </w:tcPr>
          <w:p>
            <w:pPr>
              <w:pStyle w:val="63"/>
              <w:rPr>
                <w:u w:val="single"/>
              </w:rPr>
            </w:pPr>
          </w:p>
        </w:tc>
        <w:tc>
          <w:tcPr>
            <w:tcW w:w="852" w:type="pct"/>
            <w:vAlign w:val="center"/>
          </w:tcPr>
          <w:p>
            <w:pPr>
              <w:pStyle w:val="63"/>
              <w:rPr>
                <w:u w:val="single"/>
              </w:rPr>
            </w:pPr>
            <w:r>
              <w:rPr>
                <w:u w:val="single"/>
              </w:rPr>
              <w:t>板框压滤机</w:t>
            </w:r>
          </w:p>
        </w:tc>
        <w:tc>
          <w:tcPr>
            <w:tcW w:w="600" w:type="pct"/>
            <w:vAlign w:val="center"/>
          </w:tcPr>
          <w:p>
            <w:pPr>
              <w:pStyle w:val="63"/>
              <w:rPr>
                <w:u w:val="single"/>
              </w:rPr>
            </w:pPr>
            <w:r>
              <w:rPr>
                <w:u w:val="single"/>
              </w:rPr>
              <w:t>75~85</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12</w:t>
            </w:r>
          </w:p>
        </w:tc>
        <w:tc>
          <w:tcPr>
            <w:tcW w:w="852" w:type="pct"/>
            <w:vMerge w:val="continue"/>
            <w:vAlign w:val="center"/>
          </w:tcPr>
          <w:p>
            <w:pPr>
              <w:pStyle w:val="63"/>
              <w:rPr>
                <w:u w:val="single"/>
              </w:rPr>
            </w:pPr>
          </w:p>
        </w:tc>
        <w:tc>
          <w:tcPr>
            <w:tcW w:w="852" w:type="pct"/>
            <w:vAlign w:val="center"/>
          </w:tcPr>
          <w:p>
            <w:pPr>
              <w:pStyle w:val="63"/>
              <w:rPr>
                <w:u w:val="single"/>
              </w:rPr>
            </w:pPr>
            <w:r>
              <w:rPr>
                <w:u w:val="single"/>
              </w:rPr>
              <w:t>浸出搅拌槽</w:t>
            </w:r>
          </w:p>
        </w:tc>
        <w:tc>
          <w:tcPr>
            <w:tcW w:w="600" w:type="pct"/>
            <w:vAlign w:val="center"/>
          </w:tcPr>
          <w:p>
            <w:pPr>
              <w:pStyle w:val="63"/>
              <w:rPr>
                <w:u w:val="single"/>
              </w:rPr>
            </w:pPr>
            <w:r>
              <w:rPr>
                <w:u w:val="single"/>
              </w:rPr>
              <w:t>75~85</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13</w:t>
            </w:r>
          </w:p>
        </w:tc>
        <w:tc>
          <w:tcPr>
            <w:tcW w:w="852" w:type="pct"/>
            <w:vMerge w:val="continue"/>
            <w:vAlign w:val="center"/>
          </w:tcPr>
          <w:p>
            <w:pPr>
              <w:pStyle w:val="63"/>
              <w:rPr>
                <w:u w:val="single"/>
              </w:rPr>
            </w:pPr>
          </w:p>
        </w:tc>
        <w:tc>
          <w:tcPr>
            <w:tcW w:w="852" w:type="pct"/>
            <w:vAlign w:val="center"/>
          </w:tcPr>
          <w:p>
            <w:pPr>
              <w:pStyle w:val="63"/>
              <w:rPr>
                <w:u w:val="single"/>
              </w:rPr>
            </w:pPr>
            <w:r>
              <w:rPr>
                <w:u w:val="single"/>
              </w:rPr>
              <w:t>洗槽搅拌</w:t>
            </w:r>
          </w:p>
        </w:tc>
        <w:tc>
          <w:tcPr>
            <w:tcW w:w="600" w:type="pct"/>
            <w:vAlign w:val="center"/>
          </w:tcPr>
          <w:p>
            <w:pPr>
              <w:pStyle w:val="63"/>
              <w:rPr>
                <w:u w:val="single"/>
              </w:rPr>
            </w:pPr>
            <w:r>
              <w:rPr>
                <w:u w:val="single"/>
              </w:rPr>
              <w:t>75~85</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14</w:t>
            </w:r>
          </w:p>
        </w:tc>
        <w:tc>
          <w:tcPr>
            <w:tcW w:w="852" w:type="pct"/>
            <w:vMerge w:val="restart"/>
            <w:vAlign w:val="center"/>
          </w:tcPr>
          <w:p>
            <w:pPr>
              <w:pStyle w:val="63"/>
              <w:rPr>
                <w:u w:val="single"/>
              </w:rPr>
            </w:pPr>
            <w:r>
              <w:rPr>
                <w:u w:val="single"/>
              </w:rPr>
              <w:t>萃取车间</w:t>
            </w:r>
          </w:p>
        </w:tc>
        <w:tc>
          <w:tcPr>
            <w:tcW w:w="852" w:type="pct"/>
            <w:vAlign w:val="center"/>
          </w:tcPr>
          <w:p>
            <w:pPr>
              <w:pStyle w:val="63"/>
              <w:rPr>
                <w:u w:val="single"/>
              </w:rPr>
            </w:pPr>
            <w:r>
              <w:rPr>
                <w:u w:val="single"/>
              </w:rPr>
              <w:t>输送线</w:t>
            </w:r>
          </w:p>
        </w:tc>
        <w:tc>
          <w:tcPr>
            <w:tcW w:w="600" w:type="pct"/>
            <w:vAlign w:val="center"/>
          </w:tcPr>
          <w:p>
            <w:pPr>
              <w:pStyle w:val="63"/>
              <w:rPr>
                <w:u w:val="single"/>
              </w:rPr>
            </w:pPr>
            <w:r>
              <w:rPr>
                <w:u w:val="single"/>
              </w:rPr>
              <w:t>75~85</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15</w:t>
            </w:r>
          </w:p>
        </w:tc>
        <w:tc>
          <w:tcPr>
            <w:tcW w:w="852" w:type="pct"/>
            <w:vMerge w:val="continue"/>
            <w:vAlign w:val="center"/>
          </w:tcPr>
          <w:p>
            <w:pPr>
              <w:pStyle w:val="63"/>
              <w:rPr>
                <w:u w:val="single"/>
              </w:rPr>
            </w:pPr>
          </w:p>
        </w:tc>
        <w:tc>
          <w:tcPr>
            <w:tcW w:w="852" w:type="pct"/>
            <w:vAlign w:val="center"/>
          </w:tcPr>
          <w:p>
            <w:pPr>
              <w:pStyle w:val="63"/>
              <w:rPr>
                <w:u w:val="single"/>
              </w:rPr>
            </w:pPr>
            <w:r>
              <w:rPr>
                <w:u w:val="single"/>
              </w:rPr>
              <w:t>真空上料系统</w:t>
            </w:r>
          </w:p>
        </w:tc>
        <w:tc>
          <w:tcPr>
            <w:tcW w:w="600" w:type="pct"/>
            <w:vAlign w:val="center"/>
          </w:tcPr>
          <w:p>
            <w:pPr>
              <w:pStyle w:val="63"/>
              <w:rPr>
                <w:u w:val="single"/>
              </w:rPr>
            </w:pPr>
            <w:r>
              <w:rPr>
                <w:u w:val="single"/>
              </w:rPr>
              <w:t>85~95</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70~80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16</w:t>
            </w:r>
          </w:p>
        </w:tc>
        <w:tc>
          <w:tcPr>
            <w:tcW w:w="852" w:type="pct"/>
            <w:vMerge w:val="continue"/>
            <w:vAlign w:val="center"/>
          </w:tcPr>
          <w:p>
            <w:pPr>
              <w:pStyle w:val="63"/>
              <w:rPr>
                <w:u w:val="single"/>
              </w:rPr>
            </w:pPr>
          </w:p>
        </w:tc>
        <w:tc>
          <w:tcPr>
            <w:tcW w:w="852" w:type="pct"/>
            <w:vAlign w:val="center"/>
          </w:tcPr>
          <w:p>
            <w:pPr>
              <w:pStyle w:val="63"/>
              <w:rPr>
                <w:u w:val="single"/>
              </w:rPr>
            </w:pPr>
            <w:r>
              <w:rPr>
                <w:u w:val="single"/>
              </w:rPr>
              <w:t>浆化搅拌槽</w:t>
            </w:r>
          </w:p>
        </w:tc>
        <w:tc>
          <w:tcPr>
            <w:tcW w:w="600" w:type="pct"/>
            <w:vAlign w:val="center"/>
          </w:tcPr>
          <w:p>
            <w:pPr>
              <w:pStyle w:val="63"/>
              <w:rPr>
                <w:u w:val="single"/>
              </w:rPr>
            </w:pPr>
            <w:r>
              <w:rPr>
                <w:u w:val="single"/>
              </w:rPr>
              <w:t>75~85</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17</w:t>
            </w:r>
          </w:p>
        </w:tc>
        <w:tc>
          <w:tcPr>
            <w:tcW w:w="852" w:type="pct"/>
            <w:vMerge w:val="continue"/>
            <w:vAlign w:val="center"/>
          </w:tcPr>
          <w:p>
            <w:pPr>
              <w:pStyle w:val="63"/>
              <w:rPr>
                <w:u w:val="single"/>
              </w:rPr>
            </w:pPr>
          </w:p>
        </w:tc>
        <w:tc>
          <w:tcPr>
            <w:tcW w:w="852" w:type="pct"/>
            <w:vAlign w:val="center"/>
          </w:tcPr>
          <w:p>
            <w:pPr>
              <w:pStyle w:val="63"/>
              <w:rPr>
                <w:u w:val="single"/>
              </w:rPr>
            </w:pPr>
            <w:r>
              <w:rPr>
                <w:u w:val="single"/>
              </w:rPr>
              <w:t>萃取线</w:t>
            </w:r>
          </w:p>
        </w:tc>
        <w:tc>
          <w:tcPr>
            <w:tcW w:w="600" w:type="pct"/>
            <w:vAlign w:val="center"/>
          </w:tcPr>
          <w:p>
            <w:pPr>
              <w:pStyle w:val="63"/>
              <w:rPr>
                <w:u w:val="single"/>
              </w:rPr>
            </w:pPr>
            <w:r>
              <w:rPr>
                <w:u w:val="single"/>
              </w:rPr>
              <w:t>75~85</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18</w:t>
            </w:r>
          </w:p>
        </w:tc>
        <w:tc>
          <w:tcPr>
            <w:tcW w:w="852" w:type="pct"/>
            <w:vMerge w:val="restart"/>
            <w:vAlign w:val="center"/>
          </w:tcPr>
          <w:p>
            <w:pPr>
              <w:pStyle w:val="63"/>
              <w:rPr>
                <w:u w:val="single"/>
              </w:rPr>
            </w:pPr>
            <w:r>
              <w:rPr>
                <w:u w:val="single"/>
              </w:rPr>
              <w:t>结晶车间</w:t>
            </w:r>
          </w:p>
        </w:tc>
        <w:tc>
          <w:tcPr>
            <w:tcW w:w="852" w:type="pct"/>
            <w:vAlign w:val="center"/>
          </w:tcPr>
          <w:p>
            <w:pPr>
              <w:pStyle w:val="63"/>
              <w:rPr>
                <w:u w:val="single"/>
              </w:rPr>
            </w:pPr>
            <w:r>
              <w:rPr>
                <w:u w:val="single"/>
              </w:rPr>
              <w:t>沉锂反应</w:t>
            </w:r>
          </w:p>
        </w:tc>
        <w:tc>
          <w:tcPr>
            <w:tcW w:w="600" w:type="pct"/>
            <w:vAlign w:val="center"/>
          </w:tcPr>
          <w:p>
            <w:pPr>
              <w:pStyle w:val="63"/>
              <w:rPr>
                <w:u w:val="single"/>
              </w:rPr>
            </w:pPr>
            <w:r>
              <w:rPr>
                <w:u w:val="single"/>
              </w:rPr>
              <w:t>75~85</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19</w:t>
            </w:r>
          </w:p>
        </w:tc>
        <w:tc>
          <w:tcPr>
            <w:tcW w:w="852" w:type="pct"/>
            <w:vMerge w:val="continue"/>
            <w:vAlign w:val="center"/>
          </w:tcPr>
          <w:p>
            <w:pPr>
              <w:pStyle w:val="63"/>
              <w:rPr>
                <w:u w:val="single"/>
              </w:rPr>
            </w:pPr>
          </w:p>
        </w:tc>
        <w:tc>
          <w:tcPr>
            <w:tcW w:w="852" w:type="pct"/>
            <w:vAlign w:val="center"/>
          </w:tcPr>
          <w:p>
            <w:pPr>
              <w:pStyle w:val="63"/>
              <w:rPr>
                <w:u w:val="single"/>
              </w:rPr>
            </w:pPr>
            <w:r>
              <w:rPr>
                <w:u w:val="single"/>
              </w:rPr>
              <w:t>包装机</w:t>
            </w:r>
          </w:p>
        </w:tc>
        <w:tc>
          <w:tcPr>
            <w:tcW w:w="600" w:type="pct"/>
            <w:vAlign w:val="center"/>
          </w:tcPr>
          <w:p>
            <w:pPr>
              <w:pStyle w:val="63"/>
              <w:rPr>
                <w:u w:val="single"/>
              </w:rPr>
            </w:pPr>
            <w:r>
              <w:rPr>
                <w:u w:val="single"/>
              </w:rPr>
              <w:t>75~85</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361" w:type="pct"/>
            <w:vAlign w:val="center"/>
          </w:tcPr>
          <w:p>
            <w:pPr>
              <w:pStyle w:val="63"/>
              <w:rPr>
                <w:u w:val="single"/>
              </w:rPr>
            </w:pPr>
            <w:r>
              <w:rPr>
                <w:u w:val="single"/>
              </w:rPr>
              <w:t>20</w:t>
            </w:r>
          </w:p>
        </w:tc>
        <w:tc>
          <w:tcPr>
            <w:tcW w:w="852" w:type="pct"/>
            <w:vAlign w:val="center"/>
          </w:tcPr>
          <w:p>
            <w:pPr>
              <w:pStyle w:val="63"/>
              <w:rPr>
                <w:u w:val="single"/>
              </w:rPr>
            </w:pPr>
            <w:r>
              <w:rPr>
                <w:u w:val="single"/>
              </w:rPr>
              <w:t>MVR车间</w:t>
            </w:r>
          </w:p>
        </w:tc>
        <w:tc>
          <w:tcPr>
            <w:tcW w:w="852" w:type="pct"/>
            <w:vAlign w:val="center"/>
          </w:tcPr>
          <w:p>
            <w:pPr>
              <w:pStyle w:val="63"/>
              <w:rPr>
                <w:u w:val="single"/>
              </w:rPr>
            </w:pPr>
            <w:r>
              <w:rPr>
                <w:u w:val="single"/>
              </w:rPr>
              <w:t>MVR</w:t>
            </w:r>
          </w:p>
        </w:tc>
        <w:tc>
          <w:tcPr>
            <w:tcW w:w="600" w:type="pct"/>
            <w:vAlign w:val="center"/>
          </w:tcPr>
          <w:p>
            <w:pPr>
              <w:pStyle w:val="63"/>
              <w:rPr>
                <w:u w:val="single"/>
              </w:rPr>
            </w:pPr>
            <w:r>
              <w:rPr>
                <w:u w:val="single"/>
              </w:rPr>
              <w:t>75~85</w:t>
            </w:r>
          </w:p>
        </w:tc>
        <w:tc>
          <w:tcPr>
            <w:tcW w:w="1195" w:type="pct"/>
            <w:vAlign w:val="center"/>
          </w:tcPr>
          <w:p>
            <w:pPr>
              <w:pStyle w:val="63"/>
              <w:rPr>
                <w:u w:val="single"/>
              </w:rPr>
            </w:pPr>
            <w:r>
              <w:rPr>
                <w:u w:val="single"/>
              </w:rPr>
              <w:t>基础减振、厂房隔声</w:t>
            </w:r>
          </w:p>
        </w:tc>
        <w:tc>
          <w:tcPr>
            <w:tcW w:w="602" w:type="pct"/>
            <w:vAlign w:val="center"/>
          </w:tcPr>
          <w:p>
            <w:pPr>
              <w:pStyle w:val="63"/>
              <w:rPr>
                <w:u w:val="single"/>
              </w:rPr>
            </w:pPr>
            <w:r>
              <w:rPr>
                <w:u w:val="single"/>
              </w:rPr>
              <w:t>15</w:t>
            </w:r>
          </w:p>
        </w:tc>
        <w:tc>
          <w:tcPr>
            <w:tcW w:w="538" w:type="pct"/>
            <w:vAlign w:val="center"/>
          </w:tcPr>
          <w:p>
            <w:pPr>
              <w:pStyle w:val="63"/>
              <w:rPr>
                <w:u w:val="single"/>
              </w:rPr>
            </w:pPr>
            <w:r>
              <w:rPr>
                <w:u w:val="single"/>
              </w:rPr>
              <w:t>60~70</w:t>
            </w:r>
          </w:p>
        </w:tc>
      </w:tr>
    </w:tbl>
    <w:p>
      <w:pPr>
        <w:spacing w:line="360" w:lineRule="auto"/>
        <w:ind w:firstLine="480" w:firstLineChars="200"/>
        <w:rPr>
          <w:rFonts w:ascii="Times New Roman" w:hAnsi="Times New Roman" w:cs="Times New Roman"/>
          <w:u w:val="single"/>
        </w:rPr>
      </w:pPr>
      <w:r>
        <w:rPr>
          <w:rFonts w:ascii="Times New Roman" w:hAnsi="Times New Roman" w:cs="Times New Roman"/>
          <w:u w:val="single"/>
        </w:rPr>
        <w:t>（4）声源的简化</w:t>
      </w:r>
    </w:p>
    <w:p>
      <w:pPr>
        <w:spacing w:line="360" w:lineRule="auto"/>
        <w:ind w:firstLine="480" w:firstLineChars="200"/>
        <w:rPr>
          <w:rFonts w:ascii="Times New Roman" w:hAnsi="Times New Roman" w:cs="Times New Roman"/>
          <w:b/>
          <w:u w:val="single"/>
        </w:rPr>
      </w:pPr>
      <w:r>
        <w:rPr>
          <w:rFonts w:ascii="Times New Roman" w:hAnsi="Times New Roman" w:cs="Times New Roman"/>
          <w:color w:val="000000"/>
          <w:u w:val="single"/>
        </w:rPr>
        <w:t>根据《环境影响评价技术导则声环境》（HJ2.4-2021）推荐的计算方法，并结合噪声源 的空间分布形式以及预测点的位置，本次评价将各声源分别简化为若干点声源处理，室内源 室内声源可采用等效室外声源声功率级法进行计算，预测室外源衰减至厂界处的噪声值。</w:t>
      </w:r>
    </w:p>
    <w:p>
      <w:pPr>
        <w:pStyle w:val="5"/>
        <w:ind w:firstLine="482"/>
        <w:rPr>
          <w:rFonts w:ascii="Times New Roman" w:hAnsi="Times New Roman" w:cs="Times New Roman" w:eastAsiaTheme="minorEastAsia"/>
          <w:u w:val="single"/>
        </w:rPr>
      </w:pPr>
      <w:r>
        <w:rPr>
          <w:rFonts w:ascii="Times New Roman" w:hAnsi="Times New Roman" w:cs="Times New Roman" w:eastAsiaTheme="minorEastAsia"/>
          <w:u w:val="single"/>
        </w:rPr>
        <w:t>6.2.4.2 预测模式</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（1）室内声源</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对于室内声源根据《环境影响评价技术导则声环境》（HJ2.4-2009）推荐的室内声源的声传播模式，将室内声源等效为等效室外点声源，据此，室内声源传播衰减公式为：</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object>
          <v:shape id="_x0000_i1033" o:spt="75" type="#_x0000_t75" style="height:33.65pt;width:187.85pt;" o:ole="t" filled="f" o:preferrelative="t" stroked="f" coordsize="21600,21600">
            <v:path/>
            <v:fill on="f" focussize="0,0"/>
            <v:stroke on="f" joinstyle="miter"/>
            <v:imagedata r:id="rId100" o:title=""/>
            <o:lock v:ext="edit" aspectratio="t"/>
            <w10:wrap type="none"/>
            <w10:anchorlock/>
          </v:shape>
          <o:OLEObject Type="Embed" ProgID="Equation.DSMT4" ShapeID="_x0000_i1033" DrawAspect="Content" ObjectID="_1468075733" r:id="rId99">
            <o:LockedField>false</o:LockedField>
          </o:OLEObject>
        </w:object>
      </w:r>
      <w:r>
        <w:rPr>
          <w:rFonts w:ascii="Times New Roman" w:hAnsi="Times New Roman" w:cs="Times New Roman"/>
          <w:u w:val="single"/>
        </w:rPr>
        <w:t>（1）</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式中：</w:t>
      </w:r>
      <w:r>
        <w:rPr>
          <w:rFonts w:ascii="Times New Roman" w:hAnsi="Times New Roman" w:cs="Times New Roman"/>
          <w:u w:val="single"/>
        </w:rPr>
        <w:object>
          <v:shape id="_x0000_i1034" o:spt="75" type="#_x0000_t75" style="height:18pt;width:30.5pt;" o:ole="t" filled="f" o:preferrelative="t" stroked="f" coordsize="21600,21600">
            <v:path/>
            <v:fill on="f" focussize="0,0"/>
            <v:stroke on="f" joinstyle="miter"/>
            <v:imagedata r:id="rId102" o:title=""/>
            <o:lock v:ext="edit" aspectratio="t"/>
            <w10:wrap type="none"/>
            <w10:anchorlock/>
          </v:shape>
          <o:OLEObject Type="Embed" ProgID="Equation.3" ShapeID="_x0000_i1034" DrawAspect="Content" ObjectID="_1468075734" r:id="rId101">
            <o:LockedField>false</o:LockedField>
          </o:OLEObject>
        </w:object>
      </w:r>
      <w:r>
        <w:rPr>
          <w:rFonts w:ascii="Times New Roman" w:hAnsi="Times New Roman" w:cs="Times New Roman"/>
          <w:u w:val="single"/>
        </w:rPr>
        <w:t>——距离噪声源rm处的声压级，dB（A）；</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object>
          <v:shape id="_x0000_i1035" o:spt="75" type="#_x0000_t75" style="height:18pt;width:18pt;" o:ole="t" filled="f" o:preferrelative="t" stroked="f" coordsize="21600,21600">
            <v:path/>
            <v:fill on="f" focussize="0,0"/>
            <v:stroke on="f" joinstyle="miter"/>
            <v:imagedata r:id="rId104" o:title=""/>
            <o:lock v:ext="edit" aspectratio="t"/>
            <w10:wrap type="none"/>
            <w10:anchorlock/>
          </v:shape>
          <o:OLEObject Type="Embed" ProgID="Equation.3" ShapeID="_x0000_i1035" DrawAspect="Content" ObjectID="_1468075735" r:id="rId103">
            <o:LockedField>false</o:LockedField>
          </o:OLEObject>
        </w:object>
      </w:r>
      <w:r>
        <w:rPr>
          <w:rFonts w:ascii="Times New Roman" w:hAnsi="Times New Roman" w:cs="Times New Roman"/>
          <w:u w:val="single"/>
        </w:rPr>
        <w:t>——为距声源中心r0处测的声压级，dB（A）；</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TL——墙壁隔声量，本项目生产车间为南北敞开式，东、西侧隔声量取15dB（A），南北侧取0dB（A）；</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object>
          <v:shape id="_x0000_i1036" o:spt="75" type="#_x0000_t75" style="height:10.15pt;width:10.15pt;" o:ole="t" filled="f" o:preferrelative="t" stroked="f" coordsize="21600,21600">
            <v:path/>
            <v:fill on="f" focussize="0,0"/>
            <v:stroke on="f" joinstyle="miter"/>
            <v:imagedata r:id="rId106" o:title=""/>
            <o:lock v:ext="edit" aspectratio="t"/>
            <w10:wrap type="none"/>
            <w10:anchorlock/>
          </v:shape>
          <o:OLEObject Type="Embed" ProgID="Equation.3" ShapeID="_x0000_i1036" DrawAspect="Content" ObjectID="_1468075736" r:id="rId105">
            <o:LockedField>false</o:LockedField>
          </o:OLEObject>
        </w:object>
      </w:r>
      <w:r>
        <w:rPr>
          <w:rFonts w:ascii="Times New Roman" w:hAnsi="Times New Roman" w:cs="Times New Roman"/>
          <w:u w:val="single"/>
        </w:rPr>
        <w:t>——平均吸声系数，本项目中取0.15；</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r——参考位置距噪声源的距离，（车间中心至预测点距离）m；</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r0——（测量Lp0时距设备中心的距离）墙外1m处至预测点的距离，参数距离为1m。</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（2）室外声源</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某个噪声源在预测点的声压级为</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object>
          <v:shape id="_x0000_i1037" o:spt="75" type="#_x0000_t75" style="height:18pt;width:165.15pt;" o:ole="t" filled="f" o:preferrelative="t" stroked="f" coordsize="21600,21600">
            <v:path/>
            <v:fill on="f" focussize="0,0"/>
            <v:stroke on="f" joinstyle="miter"/>
            <v:imagedata r:id="rId108" o:title=""/>
            <o:lock v:ext="edit" aspectratio="t"/>
            <w10:wrap type="none"/>
            <w10:anchorlock/>
          </v:shape>
          <o:OLEObject Type="Embed" ProgID="Equation.3" ShapeID="_x0000_i1037" DrawAspect="Content" ObjectID="_1468075737" r:id="rId107">
            <o:LockedField>false</o:LockedField>
          </o:OLEObject>
        </w:object>
      </w:r>
      <w:r>
        <w:rPr>
          <w:rFonts w:ascii="Times New Roman" w:hAnsi="Times New Roman" w:cs="Times New Roman"/>
          <w:u w:val="single"/>
        </w:rPr>
        <w:t>（2）</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式中：</w:t>
      </w:r>
      <w:r>
        <w:rPr>
          <w:rFonts w:ascii="Times New Roman" w:hAnsi="Times New Roman" w:cs="Times New Roman"/>
          <w:u w:val="single"/>
        </w:rPr>
        <w:object>
          <v:shape id="_x0000_i1038" o:spt="75" type="#_x0000_t75" style="height:18pt;width:30.5pt;" o:ole="t" filled="f" o:preferrelative="t" stroked="f" coordsize="21600,21600">
            <v:path/>
            <v:fill on="f" focussize="0,0"/>
            <v:stroke on="f" joinstyle="miter"/>
            <v:imagedata r:id="rId110" o:title=""/>
            <o:lock v:ext="edit" aspectratio="t"/>
            <w10:wrap type="none"/>
            <w10:anchorlock/>
          </v:shape>
          <o:OLEObject Type="Embed" ProgID="Equation.3" ShapeID="_x0000_i1038" DrawAspect="Content" ObjectID="_1468075738" r:id="rId109">
            <o:LockedField>false</o:LockedField>
          </o:OLEObject>
        </w:object>
      </w:r>
      <w:r>
        <w:rPr>
          <w:rFonts w:ascii="Times New Roman" w:hAnsi="Times New Roman" w:cs="Times New Roman"/>
          <w:u w:val="single"/>
        </w:rPr>
        <w:t>——噪声源在预测点产生的声压级，dB(A)；</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object>
          <v:shape id="_x0000_i1039" o:spt="75" type="#_x0000_t75" style="height:18pt;width:33.65pt;" o:ole="t" filled="f" o:preferrelative="t" stroked="f" coordsize="21600,21600">
            <v:path/>
            <v:fill on="f" focussize="0,0"/>
            <v:stroke on="f" joinstyle="miter"/>
            <v:imagedata r:id="rId112" o:title=""/>
            <o:lock v:ext="edit" aspectratio="t"/>
            <w10:wrap type="none"/>
            <w10:anchorlock/>
          </v:shape>
          <o:OLEObject Type="Embed" ProgID="Equation.3" ShapeID="_x0000_i1039" DrawAspect="Content" ObjectID="_1468075739" r:id="rId111">
            <o:LockedField>false</o:LockedField>
          </o:OLEObject>
        </w:object>
      </w:r>
      <w:r>
        <w:rPr>
          <w:rFonts w:ascii="Times New Roman" w:hAnsi="Times New Roman" w:cs="Times New Roman"/>
          <w:u w:val="single"/>
        </w:rPr>
        <w:t>——参考位置</w:t>
      </w:r>
      <w:r>
        <w:rPr>
          <w:rFonts w:ascii="Times New Roman" w:hAnsi="Times New Roman" w:cs="Times New Roman"/>
          <w:u w:val="single"/>
        </w:rPr>
        <w:object>
          <v:shape id="_x0000_i1040" o:spt="75" type="#_x0000_t75" style="height:18pt;width:10.15pt;" o:ole="t" filled="f" o:preferrelative="t" stroked="f" coordsize="21600,21600">
            <v:path/>
            <v:fill on="f" focussize="0,0"/>
            <v:stroke on="f" joinstyle="miter"/>
            <v:imagedata r:id="rId114" o:title=""/>
            <o:lock v:ext="edit" aspectratio="t"/>
            <w10:wrap type="none"/>
            <w10:anchorlock/>
          </v:shape>
          <o:OLEObject Type="Embed" ProgID="Equation.DSMT4" ShapeID="_x0000_i1040" DrawAspect="Content" ObjectID="_1468075740" r:id="rId113">
            <o:LockedField>false</o:LockedField>
          </o:OLEObject>
        </w:object>
      </w:r>
      <w:r>
        <w:rPr>
          <w:rFonts w:ascii="Times New Roman" w:hAnsi="Times New Roman" w:cs="Times New Roman"/>
          <w:u w:val="single"/>
        </w:rPr>
        <w:t>处的声压级，dB(A)；</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object>
          <v:shape id="_x0000_i1041" o:spt="75" type="#_x0000_t75" style="height:18pt;width:10.15pt;" o:ole="t" filled="f" o:preferrelative="t" stroked="f" coordsize="21600,21600">
            <v:path/>
            <v:fill on="f" focussize="0,0"/>
            <v:stroke on="f" joinstyle="miter"/>
            <v:imagedata r:id="rId114" o:title=""/>
            <o:lock v:ext="edit" aspectratio="t"/>
            <w10:wrap type="none"/>
            <w10:anchorlock/>
          </v:shape>
          <o:OLEObject Type="Embed" ProgID="Equation.DSMT4" ShapeID="_x0000_i1041" DrawAspect="Content" ObjectID="_1468075741" r:id="rId115">
            <o:LockedField>false</o:LockedField>
          </o:OLEObject>
        </w:object>
      </w:r>
      <w:r>
        <w:rPr>
          <w:rFonts w:ascii="Times New Roman" w:hAnsi="Times New Roman" w:cs="Times New Roman"/>
          <w:u w:val="single"/>
        </w:rPr>
        <w:t>——参考位置距声源中心的位置，m；</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object>
          <v:shape id="_x0000_i1042" o:spt="75" type="#_x0000_t75" style="height:10.15pt;width:10.15pt;" o:ole="t" filled="f" o:preferrelative="t" stroked="f" coordsize="21600,21600">
            <v:path/>
            <v:fill on="f" focussize="0,0"/>
            <v:stroke on="f" joinstyle="miter"/>
            <v:imagedata r:id="rId117" o:title=""/>
            <o:lock v:ext="edit" aspectratio="t"/>
            <w10:wrap type="none"/>
            <w10:anchorlock/>
          </v:shape>
          <o:OLEObject Type="Embed" ProgID="Equation.DSMT4" ShapeID="_x0000_i1042" DrawAspect="Content" ObjectID="_1468075742" r:id="rId116">
            <o:LockedField>false</o:LockedField>
          </o:OLEObject>
        </w:object>
      </w:r>
      <w:r>
        <w:rPr>
          <w:rFonts w:ascii="Times New Roman" w:hAnsi="Times New Roman" w:cs="Times New Roman"/>
          <w:u w:val="single"/>
        </w:rPr>
        <w:t>——声源中心至预测点的距离，m；</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object>
          <v:shape id="_x0000_i1043" o:spt="75" type="#_x0000_t75" style="height:12.5pt;width:18pt;" o:ole="t" filled="f" o:preferrelative="t" stroked="f" coordsize="21600,21600">
            <v:path/>
            <v:fill on="f" focussize="0,0"/>
            <v:stroke on="f" joinstyle="miter"/>
            <v:imagedata r:id="rId119" o:title=""/>
            <o:lock v:ext="edit" aspectratio="t"/>
            <w10:wrap type="none"/>
            <w10:anchorlock/>
          </v:shape>
          <o:OLEObject Type="Embed" ProgID="Equation.DSMT4" ShapeID="_x0000_i1043" DrawAspect="Content" ObjectID="_1468075743" r:id="rId118">
            <o:LockedField>false</o:LockedField>
          </o:OLEObject>
        </w:object>
      </w:r>
      <w:r>
        <w:rPr>
          <w:rFonts w:ascii="Times New Roman" w:hAnsi="Times New Roman" w:cs="Times New Roman"/>
          <w:u w:val="single"/>
        </w:rPr>
        <w:t>——各种因素引起的声衰减量（如声屏障，遮挡物，空气吸收，地面吸收等引起的声衰减。</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如果已知噪声源的声功率级</w:t>
      </w:r>
      <w:r>
        <w:rPr>
          <w:rFonts w:ascii="Times New Roman" w:hAnsi="Times New Roman" w:cs="Times New Roman"/>
          <w:u w:val="single"/>
        </w:rPr>
        <w:object>
          <v:shape id="_x0000_i1044" o:spt="75" type="#_x0000_t75" style="height:18pt;width:18pt;" o:ole="t" filled="f" o:preferrelative="t" stroked="f" coordsize="21600,21600">
            <v:path/>
            <v:fill on="f" focussize="0,0"/>
            <v:stroke on="f" joinstyle="miter"/>
            <v:imagedata r:id="rId121" o:title=""/>
            <o:lock v:ext="edit" aspectratio="t"/>
            <w10:wrap type="none"/>
            <w10:anchorlock/>
          </v:shape>
          <o:OLEObject Type="Embed" ProgID="Equation.DSMT4" ShapeID="_x0000_i1044" DrawAspect="Content" ObjectID="_1468075744" r:id="rId120">
            <o:LockedField>false</o:LockedField>
          </o:OLEObject>
        </w:object>
      </w:r>
      <w:r>
        <w:rPr>
          <w:rFonts w:ascii="Times New Roman" w:hAnsi="Times New Roman" w:cs="Times New Roman"/>
          <w:u w:val="single"/>
        </w:rPr>
        <w:t>，且声源处于置于地面上，则</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object>
          <v:shape id="_x0000_i1045" o:spt="75" type="#_x0000_t75" style="height:22.7pt;width:147.15pt;" o:ole="t" filled="f" o:preferrelative="t" stroked="f" coordsize="21600,21600">
            <v:path/>
            <v:fill on="f" focussize="0,0"/>
            <v:stroke on="f" joinstyle="miter"/>
            <v:imagedata r:id="rId123" o:title=""/>
            <o:lock v:ext="edit" aspectratio="t"/>
            <w10:wrap type="none"/>
            <w10:anchorlock/>
          </v:shape>
          <o:OLEObject Type="Embed" ProgID="Equation.DSMT4" ShapeID="_x0000_i1045" DrawAspect="Content" ObjectID="_1468075745" r:id="rId122">
            <o:LockedField>false</o:LockedField>
          </o:OLEObject>
        </w:object>
      </w:r>
      <w:r>
        <w:rPr>
          <w:rFonts w:ascii="Times New Roman" w:hAnsi="Times New Roman" w:cs="Times New Roman"/>
          <w:u w:val="single"/>
        </w:rPr>
        <w:t>（3）</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将公式3式代入公式2得：</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object>
          <v:shape id="_x0000_i1046" o:spt="75" type="#_x0000_t75" style="height:22.7pt;width:140.85pt;" o:ole="t" filled="f" o:preferrelative="t" stroked="f" coordsize="21600,21600">
            <v:path/>
            <v:fill on="f" focussize="0,0"/>
            <v:stroke on="f" joinstyle="miter"/>
            <v:imagedata r:id="rId125" o:title=""/>
            <o:lock v:ext="edit" aspectratio="t"/>
            <w10:wrap type="none"/>
            <w10:anchorlock/>
          </v:shape>
          <o:OLEObject Type="Embed" ProgID="Equation.3" ShapeID="_x0000_i1046" DrawAspect="Content" ObjectID="_1468075746" r:id="rId124">
            <o:LockedField>false</o:LockedField>
          </o:OLEObject>
        </w:object>
      </w:r>
      <w:r>
        <w:rPr>
          <w:rFonts w:ascii="Times New Roman" w:hAnsi="Times New Roman" w:cs="Times New Roman"/>
          <w:u w:val="single"/>
        </w:rPr>
        <w:t>（4）</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（3）噪声贡献值计算</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设第i个室外声源在预测点产生的A声级为</w:t>
      </w:r>
      <w:r>
        <w:rPr>
          <w:rFonts w:ascii="Times New Roman" w:hAnsi="Times New Roman" w:cs="Times New Roman"/>
          <w:u w:val="single"/>
        </w:rPr>
        <w:object>
          <v:shape id="_x0000_i1047" o:spt="75" type="#_x0000_t75" style="height:18pt;width:18pt;" o:ole="t" filled="f" o:preferrelative="t" stroked="f" coordsize="21600,21600">
            <v:path/>
            <v:fill on="f" focussize="0,0"/>
            <v:stroke on="f" joinstyle="miter"/>
            <v:imagedata r:id="rId127" o:title=""/>
            <o:lock v:ext="edit" aspectratio="t"/>
            <w10:wrap type="none"/>
            <w10:anchorlock/>
          </v:shape>
          <o:OLEObject Type="Embed" ProgID="Equation.3" ShapeID="_x0000_i1047" DrawAspect="Content" ObjectID="_1468075747" r:id="rId126">
            <o:LockedField>false</o:LockedField>
          </o:OLEObject>
        </w:object>
      </w:r>
      <w:r>
        <w:rPr>
          <w:rFonts w:ascii="Times New Roman" w:hAnsi="Times New Roman" w:cs="Times New Roman"/>
          <w:u w:val="single"/>
        </w:rPr>
        <w:t>，在T时间内该声源工作时间为</w:t>
      </w:r>
      <w:r>
        <w:rPr>
          <w:rFonts w:ascii="Times New Roman" w:hAnsi="Times New Roman" w:cs="Times New Roman"/>
          <w:u w:val="single"/>
        </w:rPr>
        <w:object>
          <v:shape id="_x0000_i1048" o:spt="75" type="#_x0000_t75" style="height:18pt;width:10.15pt;" o:ole="t" filled="f" o:preferrelative="t" stroked="f" coordsize="21600,21600">
            <v:path/>
            <v:fill on="f" focussize="0,0"/>
            <v:stroke on="f" joinstyle="miter"/>
            <v:imagedata r:id="rId129" o:title=""/>
            <o:lock v:ext="edit" aspectratio="t"/>
            <w10:wrap type="none"/>
            <w10:anchorlock/>
          </v:shape>
          <o:OLEObject Type="Embed" ProgID="Equation.3" ShapeID="_x0000_i1048" DrawAspect="Content" ObjectID="_1468075748" r:id="rId128">
            <o:LockedField>false</o:LockedField>
          </o:OLEObject>
        </w:object>
      </w:r>
      <w:r>
        <w:rPr>
          <w:rFonts w:ascii="Times New Roman" w:hAnsi="Times New Roman" w:cs="Times New Roman"/>
          <w:u w:val="single"/>
        </w:rPr>
        <w:t>；设第</w:t>
      </w:r>
      <w:r>
        <w:rPr>
          <w:rFonts w:ascii="Times New Roman" w:hAnsi="Times New Roman" w:cs="Times New Roman"/>
          <w:u w:val="single"/>
        </w:rPr>
        <w:object>
          <v:shape id="_x0000_i1049" o:spt="75" type="#_x0000_t75" style="height:15.65pt;width:10.15pt;" o:ole="t" filled="f" o:preferrelative="t" stroked="f" coordsize="21600,21600">
            <v:path/>
            <v:fill on="f" focussize="0,0"/>
            <v:stroke on="f" joinstyle="miter"/>
            <v:imagedata r:id="rId131" o:title=""/>
            <o:lock v:ext="edit" aspectratio="t"/>
            <w10:wrap type="none"/>
            <w10:anchorlock/>
          </v:shape>
          <o:OLEObject Type="Embed" ProgID="Equation.3" ShapeID="_x0000_i1049" DrawAspect="Content" ObjectID="_1468075749" r:id="rId130">
            <o:LockedField>false</o:LockedField>
          </o:OLEObject>
        </w:object>
      </w:r>
      <w:r>
        <w:rPr>
          <w:rFonts w:ascii="Times New Roman" w:hAnsi="Times New Roman" w:cs="Times New Roman"/>
          <w:u w:val="single"/>
        </w:rPr>
        <w:t>个等效室外声源在预测点产生的A声级为</w:t>
      </w:r>
      <w:r>
        <w:rPr>
          <w:rFonts w:ascii="Times New Roman" w:hAnsi="Times New Roman" w:cs="Times New Roman"/>
          <w:u w:val="single"/>
        </w:rPr>
        <w:object>
          <v:shape id="_x0000_i1050" o:spt="75" type="#_x0000_t75" style="height:18pt;width:18pt;" o:ole="t" filled="f" o:preferrelative="t" stroked="f" coordsize="21600,21600">
            <v:path/>
            <v:fill on="f" focussize="0,0"/>
            <v:stroke on="f" joinstyle="miter"/>
            <v:imagedata r:id="rId133" o:title=""/>
            <o:lock v:ext="edit" aspectratio="t"/>
            <w10:wrap type="none"/>
            <w10:anchorlock/>
          </v:shape>
          <o:OLEObject Type="Embed" ProgID="Equation.3" ShapeID="_x0000_i1050" DrawAspect="Content" ObjectID="_1468075750" r:id="rId132">
            <o:LockedField>false</o:LockedField>
          </o:OLEObject>
        </w:object>
      </w:r>
      <w:r>
        <w:rPr>
          <w:rFonts w:ascii="Times New Roman" w:hAnsi="Times New Roman" w:cs="Times New Roman"/>
          <w:u w:val="single"/>
        </w:rPr>
        <w:t>，在T时间内该声源工作时间为</w:t>
      </w:r>
      <w:r>
        <w:rPr>
          <w:rFonts w:ascii="Times New Roman" w:hAnsi="Times New Roman" w:cs="Times New Roman"/>
          <w:u w:val="single"/>
        </w:rPr>
        <w:object>
          <v:shape id="_x0000_i1051" o:spt="75" type="#_x0000_t75" style="height:18pt;width:10.15pt;" o:ole="t" filled="f" o:preferrelative="t" stroked="f" coordsize="21600,21600">
            <v:path/>
            <v:fill on="f" focussize="0,0"/>
            <v:stroke on="f" joinstyle="miter"/>
            <v:imagedata r:id="rId135" o:title=""/>
            <o:lock v:ext="edit" aspectratio="t"/>
            <w10:wrap type="none"/>
            <w10:anchorlock/>
          </v:shape>
          <o:OLEObject Type="Embed" ProgID="Equation.3" ShapeID="_x0000_i1051" DrawAspect="Content" ObjectID="_1468075751" r:id="rId134">
            <o:LockedField>false</o:LockedField>
          </o:OLEObject>
        </w:object>
      </w:r>
      <w:r>
        <w:rPr>
          <w:rFonts w:ascii="Times New Roman" w:hAnsi="Times New Roman" w:cs="Times New Roman"/>
          <w:u w:val="single"/>
        </w:rPr>
        <w:t>。则拟建工程声源对预测点产生的贡献值（</w:t>
      </w:r>
      <w:r>
        <w:rPr>
          <w:rFonts w:ascii="Times New Roman" w:hAnsi="Times New Roman" w:cs="Times New Roman"/>
          <w:u w:val="single"/>
        </w:rPr>
        <w:object>
          <v:shape id="_x0000_i1052" o:spt="75" type="#_x0000_t75" style="height:18pt;width:22.7pt;" o:ole="t" filled="f" o:preferrelative="t" stroked="f" coordsize="21600,21600">
            <v:path/>
            <v:fill on="f" focussize="0,0"/>
            <v:stroke on="f" joinstyle="miter"/>
            <v:imagedata r:id="rId137" o:title=""/>
            <o:lock v:ext="edit" aspectratio="t"/>
            <w10:wrap type="none"/>
            <w10:anchorlock/>
          </v:shape>
          <o:OLEObject Type="Embed" ProgID="Equation.3" ShapeID="_x0000_i1052" DrawAspect="Content" ObjectID="_1468075752" r:id="rId136">
            <o:LockedField>false</o:LockedField>
          </o:OLEObject>
        </w:object>
      </w:r>
      <w:r>
        <w:rPr>
          <w:rFonts w:ascii="Times New Roman" w:hAnsi="Times New Roman" w:cs="Times New Roman"/>
          <w:u w:val="single"/>
        </w:rPr>
        <w:t>）为：</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object>
          <v:shape id="_x0000_i1053" o:spt="75" type="#_x0000_t75" style="height:41.5pt;width:211.3pt;" o:ole="t" filled="f" o:preferrelative="t" stroked="f" coordsize="21600,21600">
            <v:path/>
            <v:fill on="f" focussize="0,0"/>
            <v:stroke on="f" joinstyle="miter"/>
            <v:imagedata r:id="rId139" o:title=""/>
            <o:lock v:ext="edit" aspectratio="t"/>
            <w10:wrap type="none"/>
            <w10:anchorlock/>
          </v:shape>
          <o:OLEObject Type="Embed" ProgID="Equation.3" ShapeID="_x0000_i1053" DrawAspect="Content" ObjectID="_1468075753" r:id="rId138">
            <o:LockedField>false</o:LockedField>
          </o:OLEObject>
        </w:object>
      </w:r>
      <w:r>
        <w:rPr>
          <w:rFonts w:ascii="Times New Roman" w:hAnsi="Times New Roman" w:cs="Times New Roman"/>
          <w:u w:val="single"/>
        </w:rPr>
        <w:t>（5）</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式中：T——用于计算等效声级的时间；</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object>
          <v:shape id="_x0000_i1054" o:spt="75" type="#_x0000_t75" style="height:18pt;width:10.15pt;" o:ole="t" filled="f" o:preferrelative="t" stroked="f" coordsize="21600,21600">
            <v:path/>
            <v:fill on="f" focussize="0,0"/>
            <v:stroke on="f" joinstyle="miter"/>
            <v:imagedata r:id="rId129" o:title=""/>
            <o:lock v:ext="edit" aspectratio="t"/>
            <w10:wrap type="none"/>
            <w10:anchorlock/>
          </v:shape>
          <o:OLEObject Type="Embed" ProgID="Equation.DSMT4" ShapeID="_x0000_i1054" DrawAspect="Content" ObjectID="_1468075754" r:id="rId140">
            <o:LockedField>false</o:LockedField>
          </o:OLEObject>
        </w:object>
      </w:r>
      <w:r>
        <w:rPr>
          <w:rFonts w:ascii="Times New Roman" w:hAnsi="Times New Roman" w:cs="Times New Roman"/>
          <w:u w:val="single"/>
        </w:rPr>
        <w:t>——在T时间内i声源工作时间；为室外声源个数；N为室内声源个数；</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object>
          <v:shape id="_x0000_i1055" o:spt="75" type="#_x0000_t75" style="height:18pt;width:10.15pt;" o:ole="t" filled="f" o:preferrelative="t" stroked="f" coordsize="21600,21600">
            <v:path/>
            <v:fill on="f" focussize="0,0"/>
            <v:stroke on="f" joinstyle="miter"/>
            <v:imagedata r:id="rId142" o:title=""/>
            <o:lock v:ext="edit" aspectratio="t"/>
            <w10:wrap type="none"/>
            <w10:anchorlock/>
          </v:shape>
          <o:OLEObject Type="Embed" ProgID="Equation.3" ShapeID="_x0000_i1055" DrawAspect="Content" ObjectID="_1468075755" r:id="rId141">
            <o:LockedField>false</o:LockedField>
          </o:OLEObject>
        </w:object>
      </w:r>
      <w:r>
        <w:rPr>
          <w:rFonts w:ascii="Times New Roman" w:hAnsi="Times New Roman" w:cs="Times New Roman"/>
          <w:u w:val="single"/>
        </w:rPr>
        <w:t>——在T时间内j声源工作时间；</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N——室外声源个数；</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M——等效室外声源个数。</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（4）预测点的预测等效声级（</w:t>
      </w:r>
      <w:r>
        <w:rPr>
          <w:rFonts w:ascii="Times New Roman" w:hAnsi="Times New Roman" w:cs="Times New Roman"/>
          <w:u w:val="single"/>
        </w:rPr>
        <w:object>
          <v:shape id="_x0000_i1056" o:spt="75" type="#_x0000_t75" style="height:18pt;width:18pt;" o:ole="t" filled="f" o:preferrelative="t" stroked="f" coordsize="21600,21600">
            <v:path/>
            <v:fill on="f" focussize="0,0"/>
            <v:stroke on="f" joinstyle="miter"/>
            <v:imagedata r:id="rId144" o:title=""/>
            <o:lock v:ext="edit" aspectratio="t"/>
            <w10:wrap type="none"/>
            <w10:anchorlock/>
          </v:shape>
          <o:OLEObject Type="Embed" ProgID="Equation.3" ShapeID="_x0000_i1056" DrawAspect="Content" ObjectID="_1468075756" r:id="rId143">
            <o:LockedField>false</o:LockedField>
          </o:OLEObject>
        </w:object>
      </w:r>
      <w:r>
        <w:rPr>
          <w:rFonts w:ascii="Times New Roman" w:hAnsi="Times New Roman" w:cs="Times New Roman"/>
          <w:u w:val="single"/>
        </w:rPr>
        <w:t>）计算公式</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object>
          <v:shape id="_x0000_i1057" o:spt="75" type="#_x0000_t75" style="height:18pt;width:142.45pt;" o:ole="t" filled="f" o:preferrelative="t" stroked="f" coordsize="21600,21600">
            <v:path/>
            <v:fill on="f" focussize="0,0"/>
            <v:stroke on="f" joinstyle="miter"/>
            <v:imagedata r:id="rId146" o:title=""/>
            <o:lock v:ext="edit" aspectratio="t"/>
            <w10:wrap type="none"/>
            <w10:anchorlock/>
          </v:shape>
          <o:OLEObject Type="Embed" ProgID="Equation.3" ShapeID="_x0000_i1057" DrawAspect="Content" ObjectID="_1468075757" r:id="rId145">
            <o:LockedField>false</o:LockedField>
          </o:OLEObject>
        </w:object>
      </w:r>
      <w:r>
        <w:rPr>
          <w:rFonts w:ascii="Times New Roman" w:hAnsi="Times New Roman" w:cs="Times New Roman"/>
          <w:u w:val="single"/>
        </w:rPr>
        <w:t>（6）</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式中：</w:t>
      </w:r>
      <w:r>
        <w:rPr>
          <w:rFonts w:ascii="Times New Roman" w:hAnsi="Times New Roman" w:cs="Times New Roman"/>
          <w:u w:val="single"/>
        </w:rPr>
        <w:object>
          <v:shape id="_x0000_i1058" o:spt="75" type="#_x0000_t75" style="height:18pt;width:22.7pt;" o:ole="t" filled="f" o:preferrelative="t" stroked="f" coordsize="21600,21600">
            <v:path/>
            <v:fill on="f" focussize="0,0"/>
            <v:stroke on="f" joinstyle="miter"/>
            <v:imagedata r:id="rId148" o:title=""/>
            <o:lock v:ext="edit" aspectratio="t"/>
            <w10:wrap type="none"/>
            <w10:anchorlock/>
          </v:shape>
          <o:OLEObject Type="Embed" ProgID="Equation.3" ShapeID="_x0000_i1058" DrawAspect="Content" ObjectID="_1468075758" r:id="rId147">
            <o:LockedField>false</o:LockedField>
          </o:OLEObject>
        </w:object>
      </w:r>
      <w:r>
        <w:rPr>
          <w:rFonts w:ascii="Times New Roman" w:hAnsi="Times New Roman" w:cs="Times New Roman"/>
          <w:u w:val="single"/>
        </w:rPr>
        <w:t>——建设项目声源在预测点的等效声级贡献值，dB（A）；</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object>
          <v:shape id="_x0000_i1059" o:spt="75" type="#_x0000_t75" style="height:18pt;width:18pt;" o:ole="t" filled="f" o:preferrelative="t" stroked="f" coordsize="21600,21600">
            <v:path/>
            <v:fill on="f" focussize="0,0"/>
            <v:stroke on="f" joinstyle="miter"/>
            <v:imagedata r:id="rId150" o:title=""/>
            <o:lock v:ext="edit" aspectratio="t"/>
            <w10:wrap type="none"/>
            <w10:anchorlock/>
          </v:shape>
          <o:OLEObject Type="Embed" ProgID="Equation.DSMT4" ShapeID="_x0000_i1059" DrawAspect="Content" ObjectID="_1468075759" r:id="rId149">
            <o:LockedField>false</o:LockedField>
          </o:OLEObject>
        </w:object>
      </w:r>
      <w:r>
        <w:rPr>
          <w:rFonts w:ascii="Times New Roman" w:hAnsi="Times New Roman" w:cs="Times New Roman"/>
          <w:u w:val="single"/>
        </w:rPr>
        <w:t>——预测点的背景值，dB（A）。</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（5）评价方法和评价量</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根据噪声预测结果和环境噪声评价标准，评价建设项目在运营期噪声的影响程度、影响范围，给出厂界达标分析。</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本项目为新建项目，进行厂界噪声评价时，自有厂区以本项目噪声贡献值作为评价量。</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（6）预测结果与评价</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本项目营运后，昼间和夜间噪声影响和预测结果见下表。</w:t>
      </w:r>
    </w:p>
    <w:p>
      <w:pPr>
        <w:pStyle w:val="6"/>
        <w:rPr>
          <w:rFonts w:ascii="Times New Roman" w:hAnsi="Times New Roman" w:cs="Times New Roman"/>
          <w:u w:val="single"/>
        </w:rPr>
      </w:pPr>
      <w:r>
        <w:rPr>
          <w:rFonts w:ascii="Times New Roman" w:hAnsi="Times New Roman" w:cs="Times New Roman"/>
          <w:u w:val="single"/>
        </w:rPr>
        <w:t>表</w:t>
      </w:r>
      <w:r>
        <w:rPr>
          <w:rFonts w:hint="eastAsia" w:ascii="Times New Roman" w:hAnsi="Times New Roman" w:cs="Times New Roman"/>
          <w:u w:val="single"/>
        </w:rPr>
        <w:t>6.2.4- 2</w:t>
      </w:r>
      <w:r>
        <w:rPr>
          <w:rFonts w:ascii="Times New Roman" w:hAnsi="Times New Roman" w:cs="Times New Roman"/>
          <w:u w:val="single"/>
        </w:rPr>
        <w:t xml:space="preserve">  厂界噪声预测结果一览表   单位：dB(A)</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46"/>
        <w:gridCol w:w="2148"/>
        <w:gridCol w:w="1709"/>
        <w:gridCol w:w="1830"/>
        <w:gridCol w:w="16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72" w:type="pct"/>
            <w:vAlign w:val="center"/>
          </w:tcPr>
          <w:p>
            <w:pPr>
              <w:pStyle w:val="63"/>
              <w:rPr>
                <w:u w:val="single"/>
              </w:rPr>
            </w:pPr>
            <w:r>
              <w:rPr>
                <w:u w:val="single"/>
              </w:rPr>
              <w:t>序号</w:t>
            </w:r>
          </w:p>
        </w:tc>
        <w:tc>
          <w:tcPr>
            <w:tcW w:w="1259" w:type="pct"/>
            <w:vAlign w:val="center"/>
          </w:tcPr>
          <w:p>
            <w:pPr>
              <w:pStyle w:val="63"/>
              <w:rPr>
                <w:u w:val="single"/>
              </w:rPr>
            </w:pPr>
            <w:r>
              <w:rPr>
                <w:u w:val="single"/>
              </w:rPr>
              <w:t>位置</w:t>
            </w:r>
          </w:p>
        </w:tc>
        <w:tc>
          <w:tcPr>
            <w:tcW w:w="1002" w:type="pct"/>
            <w:vAlign w:val="center"/>
          </w:tcPr>
          <w:p>
            <w:pPr>
              <w:pStyle w:val="63"/>
              <w:rPr>
                <w:u w:val="single"/>
              </w:rPr>
            </w:pPr>
            <w:r>
              <w:rPr>
                <w:u w:val="single"/>
              </w:rPr>
              <w:t>时间</w:t>
            </w:r>
          </w:p>
        </w:tc>
        <w:tc>
          <w:tcPr>
            <w:tcW w:w="1073" w:type="pct"/>
            <w:vAlign w:val="center"/>
          </w:tcPr>
          <w:p>
            <w:pPr>
              <w:pStyle w:val="63"/>
              <w:rPr>
                <w:u w:val="single"/>
              </w:rPr>
            </w:pPr>
            <w:r>
              <w:rPr>
                <w:u w:val="single"/>
              </w:rPr>
              <w:t>贡献最大值</w:t>
            </w:r>
          </w:p>
        </w:tc>
        <w:tc>
          <w:tcPr>
            <w:tcW w:w="994" w:type="pct"/>
            <w:vAlign w:val="center"/>
          </w:tcPr>
          <w:p>
            <w:pPr>
              <w:pStyle w:val="63"/>
              <w:rPr>
                <w:u w:val="single"/>
              </w:rPr>
            </w:pPr>
            <w:r>
              <w:rPr>
                <w:u w:val="single"/>
              </w:rPr>
              <w:t>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72" w:type="pct"/>
            <w:vMerge w:val="restart"/>
            <w:vAlign w:val="center"/>
          </w:tcPr>
          <w:p>
            <w:pPr>
              <w:pStyle w:val="63"/>
              <w:rPr>
                <w:u w:val="single"/>
              </w:rPr>
            </w:pPr>
            <w:r>
              <w:rPr>
                <w:u w:val="single"/>
              </w:rPr>
              <w:t>1</w:t>
            </w:r>
          </w:p>
        </w:tc>
        <w:tc>
          <w:tcPr>
            <w:tcW w:w="1259" w:type="pct"/>
            <w:vMerge w:val="restart"/>
            <w:vAlign w:val="center"/>
          </w:tcPr>
          <w:p>
            <w:pPr>
              <w:pStyle w:val="63"/>
              <w:rPr>
                <w:u w:val="single"/>
              </w:rPr>
            </w:pPr>
            <w:r>
              <w:rPr>
                <w:u w:val="single"/>
              </w:rPr>
              <w:t>东厂界</w:t>
            </w:r>
          </w:p>
        </w:tc>
        <w:tc>
          <w:tcPr>
            <w:tcW w:w="1002" w:type="pct"/>
            <w:vAlign w:val="center"/>
          </w:tcPr>
          <w:p>
            <w:pPr>
              <w:pStyle w:val="63"/>
              <w:rPr>
                <w:u w:val="single"/>
              </w:rPr>
            </w:pPr>
            <w:r>
              <w:rPr>
                <w:u w:val="single"/>
              </w:rPr>
              <w:t>昼间</w:t>
            </w:r>
          </w:p>
        </w:tc>
        <w:tc>
          <w:tcPr>
            <w:tcW w:w="1073" w:type="pct"/>
            <w:vMerge w:val="restart"/>
            <w:vAlign w:val="center"/>
          </w:tcPr>
          <w:p>
            <w:pPr>
              <w:pStyle w:val="63"/>
              <w:rPr>
                <w:u w:val="single"/>
              </w:rPr>
            </w:pPr>
            <w:r>
              <w:rPr>
                <w:u w:val="single"/>
              </w:rPr>
              <w:t>48.62</w:t>
            </w:r>
          </w:p>
        </w:tc>
        <w:tc>
          <w:tcPr>
            <w:tcW w:w="994" w:type="pct"/>
            <w:vAlign w:val="center"/>
          </w:tcPr>
          <w:p>
            <w:pPr>
              <w:pStyle w:val="63"/>
              <w:rPr>
                <w:u w:val="single"/>
              </w:rPr>
            </w:pPr>
            <w:r>
              <w:rPr>
                <w:u w:val="single"/>
              </w:rPr>
              <w:t>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72" w:type="pct"/>
            <w:vMerge w:val="continue"/>
            <w:vAlign w:val="center"/>
          </w:tcPr>
          <w:p>
            <w:pPr>
              <w:pStyle w:val="63"/>
              <w:rPr>
                <w:u w:val="single"/>
              </w:rPr>
            </w:pPr>
          </w:p>
        </w:tc>
        <w:tc>
          <w:tcPr>
            <w:tcW w:w="1259" w:type="pct"/>
            <w:vMerge w:val="continue"/>
            <w:vAlign w:val="center"/>
          </w:tcPr>
          <w:p>
            <w:pPr>
              <w:pStyle w:val="63"/>
              <w:rPr>
                <w:u w:val="single"/>
              </w:rPr>
            </w:pPr>
          </w:p>
        </w:tc>
        <w:tc>
          <w:tcPr>
            <w:tcW w:w="1002" w:type="pct"/>
            <w:vAlign w:val="center"/>
          </w:tcPr>
          <w:p>
            <w:pPr>
              <w:pStyle w:val="63"/>
              <w:rPr>
                <w:u w:val="single"/>
              </w:rPr>
            </w:pPr>
            <w:r>
              <w:rPr>
                <w:u w:val="single"/>
              </w:rPr>
              <w:t>夜间</w:t>
            </w:r>
          </w:p>
        </w:tc>
        <w:tc>
          <w:tcPr>
            <w:tcW w:w="1073" w:type="pct"/>
            <w:vMerge w:val="continue"/>
            <w:vAlign w:val="center"/>
          </w:tcPr>
          <w:p>
            <w:pPr>
              <w:pStyle w:val="63"/>
              <w:rPr>
                <w:u w:val="single"/>
              </w:rPr>
            </w:pPr>
          </w:p>
        </w:tc>
        <w:tc>
          <w:tcPr>
            <w:tcW w:w="994" w:type="pct"/>
            <w:vAlign w:val="center"/>
          </w:tcPr>
          <w:p>
            <w:pPr>
              <w:pStyle w:val="63"/>
              <w:rPr>
                <w:u w:val="single"/>
              </w:rPr>
            </w:pPr>
            <w:r>
              <w:rPr>
                <w:u w:val="single"/>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72" w:type="pct"/>
            <w:vMerge w:val="restart"/>
            <w:vAlign w:val="center"/>
          </w:tcPr>
          <w:p>
            <w:pPr>
              <w:pStyle w:val="63"/>
              <w:rPr>
                <w:u w:val="single"/>
              </w:rPr>
            </w:pPr>
            <w:r>
              <w:rPr>
                <w:u w:val="single"/>
              </w:rPr>
              <w:t>2</w:t>
            </w:r>
          </w:p>
        </w:tc>
        <w:tc>
          <w:tcPr>
            <w:tcW w:w="1259" w:type="pct"/>
            <w:vMerge w:val="restart"/>
            <w:vAlign w:val="center"/>
          </w:tcPr>
          <w:p>
            <w:pPr>
              <w:pStyle w:val="63"/>
              <w:rPr>
                <w:u w:val="single"/>
              </w:rPr>
            </w:pPr>
            <w:r>
              <w:rPr>
                <w:u w:val="single"/>
              </w:rPr>
              <w:t>南厂界</w:t>
            </w:r>
          </w:p>
        </w:tc>
        <w:tc>
          <w:tcPr>
            <w:tcW w:w="1002" w:type="pct"/>
            <w:vAlign w:val="center"/>
          </w:tcPr>
          <w:p>
            <w:pPr>
              <w:pStyle w:val="63"/>
              <w:rPr>
                <w:u w:val="single"/>
              </w:rPr>
            </w:pPr>
            <w:r>
              <w:rPr>
                <w:u w:val="single"/>
              </w:rPr>
              <w:t>昼间</w:t>
            </w:r>
          </w:p>
        </w:tc>
        <w:tc>
          <w:tcPr>
            <w:tcW w:w="1073" w:type="pct"/>
            <w:vMerge w:val="restart"/>
            <w:vAlign w:val="center"/>
          </w:tcPr>
          <w:p>
            <w:pPr>
              <w:pStyle w:val="63"/>
              <w:rPr>
                <w:u w:val="single"/>
              </w:rPr>
            </w:pPr>
            <w:r>
              <w:rPr>
                <w:u w:val="single"/>
              </w:rPr>
              <w:t>47.34</w:t>
            </w:r>
          </w:p>
        </w:tc>
        <w:tc>
          <w:tcPr>
            <w:tcW w:w="994" w:type="pct"/>
            <w:vAlign w:val="center"/>
          </w:tcPr>
          <w:p>
            <w:pPr>
              <w:pStyle w:val="63"/>
              <w:rPr>
                <w:u w:val="single"/>
              </w:rPr>
            </w:pPr>
            <w:r>
              <w:rPr>
                <w:u w:val="single"/>
              </w:rPr>
              <w:t>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72" w:type="pct"/>
            <w:vMerge w:val="continue"/>
            <w:vAlign w:val="center"/>
          </w:tcPr>
          <w:p>
            <w:pPr>
              <w:pStyle w:val="63"/>
              <w:rPr>
                <w:u w:val="single"/>
              </w:rPr>
            </w:pPr>
          </w:p>
        </w:tc>
        <w:tc>
          <w:tcPr>
            <w:tcW w:w="1259" w:type="pct"/>
            <w:vMerge w:val="continue"/>
            <w:vAlign w:val="center"/>
          </w:tcPr>
          <w:p>
            <w:pPr>
              <w:pStyle w:val="63"/>
              <w:rPr>
                <w:u w:val="single"/>
              </w:rPr>
            </w:pPr>
          </w:p>
        </w:tc>
        <w:tc>
          <w:tcPr>
            <w:tcW w:w="1002" w:type="pct"/>
            <w:vAlign w:val="center"/>
          </w:tcPr>
          <w:p>
            <w:pPr>
              <w:pStyle w:val="63"/>
              <w:rPr>
                <w:u w:val="single"/>
              </w:rPr>
            </w:pPr>
            <w:r>
              <w:rPr>
                <w:u w:val="single"/>
              </w:rPr>
              <w:t>夜间</w:t>
            </w:r>
          </w:p>
        </w:tc>
        <w:tc>
          <w:tcPr>
            <w:tcW w:w="1073" w:type="pct"/>
            <w:vMerge w:val="continue"/>
            <w:vAlign w:val="center"/>
          </w:tcPr>
          <w:p>
            <w:pPr>
              <w:pStyle w:val="63"/>
              <w:rPr>
                <w:u w:val="single"/>
              </w:rPr>
            </w:pPr>
          </w:p>
        </w:tc>
        <w:tc>
          <w:tcPr>
            <w:tcW w:w="994" w:type="pct"/>
            <w:vAlign w:val="center"/>
          </w:tcPr>
          <w:p>
            <w:pPr>
              <w:pStyle w:val="63"/>
              <w:rPr>
                <w:u w:val="single"/>
              </w:rPr>
            </w:pPr>
            <w:r>
              <w:rPr>
                <w:u w:val="single"/>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72" w:type="pct"/>
            <w:vMerge w:val="restart"/>
            <w:vAlign w:val="center"/>
          </w:tcPr>
          <w:p>
            <w:pPr>
              <w:pStyle w:val="63"/>
              <w:rPr>
                <w:u w:val="single"/>
              </w:rPr>
            </w:pPr>
            <w:r>
              <w:rPr>
                <w:u w:val="single"/>
              </w:rPr>
              <w:t>3</w:t>
            </w:r>
          </w:p>
        </w:tc>
        <w:tc>
          <w:tcPr>
            <w:tcW w:w="1259" w:type="pct"/>
            <w:vMerge w:val="restart"/>
            <w:vAlign w:val="center"/>
          </w:tcPr>
          <w:p>
            <w:pPr>
              <w:pStyle w:val="63"/>
              <w:rPr>
                <w:u w:val="single"/>
              </w:rPr>
            </w:pPr>
            <w:r>
              <w:rPr>
                <w:u w:val="single"/>
              </w:rPr>
              <w:t>西厂界</w:t>
            </w:r>
          </w:p>
        </w:tc>
        <w:tc>
          <w:tcPr>
            <w:tcW w:w="1002" w:type="pct"/>
            <w:vAlign w:val="center"/>
          </w:tcPr>
          <w:p>
            <w:pPr>
              <w:pStyle w:val="63"/>
              <w:rPr>
                <w:u w:val="single"/>
              </w:rPr>
            </w:pPr>
            <w:r>
              <w:rPr>
                <w:u w:val="single"/>
              </w:rPr>
              <w:t>昼间</w:t>
            </w:r>
          </w:p>
        </w:tc>
        <w:tc>
          <w:tcPr>
            <w:tcW w:w="1073" w:type="pct"/>
            <w:vMerge w:val="restart"/>
            <w:vAlign w:val="center"/>
          </w:tcPr>
          <w:p>
            <w:pPr>
              <w:pStyle w:val="63"/>
              <w:rPr>
                <w:u w:val="single"/>
              </w:rPr>
            </w:pPr>
            <w:r>
              <w:rPr>
                <w:u w:val="single"/>
              </w:rPr>
              <w:t>47.56</w:t>
            </w:r>
          </w:p>
        </w:tc>
        <w:tc>
          <w:tcPr>
            <w:tcW w:w="994" w:type="pct"/>
            <w:vAlign w:val="center"/>
          </w:tcPr>
          <w:p>
            <w:pPr>
              <w:pStyle w:val="63"/>
              <w:rPr>
                <w:u w:val="single"/>
              </w:rPr>
            </w:pPr>
            <w:r>
              <w:rPr>
                <w:u w:val="single"/>
              </w:rPr>
              <w:t>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72" w:type="pct"/>
            <w:vMerge w:val="continue"/>
            <w:vAlign w:val="center"/>
          </w:tcPr>
          <w:p>
            <w:pPr>
              <w:pStyle w:val="63"/>
              <w:rPr>
                <w:u w:val="single"/>
              </w:rPr>
            </w:pPr>
          </w:p>
        </w:tc>
        <w:tc>
          <w:tcPr>
            <w:tcW w:w="1259" w:type="pct"/>
            <w:vMerge w:val="continue"/>
            <w:vAlign w:val="center"/>
          </w:tcPr>
          <w:p>
            <w:pPr>
              <w:pStyle w:val="63"/>
              <w:rPr>
                <w:u w:val="single"/>
              </w:rPr>
            </w:pPr>
          </w:p>
        </w:tc>
        <w:tc>
          <w:tcPr>
            <w:tcW w:w="1002" w:type="pct"/>
            <w:vAlign w:val="center"/>
          </w:tcPr>
          <w:p>
            <w:pPr>
              <w:pStyle w:val="63"/>
              <w:rPr>
                <w:u w:val="single"/>
              </w:rPr>
            </w:pPr>
            <w:r>
              <w:rPr>
                <w:u w:val="single"/>
              </w:rPr>
              <w:t>夜间</w:t>
            </w:r>
          </w:p>
        </w:tc>
        <w:tc>
          <w:tcPr>
            <w:tcW w:w="1073" w:type="pct"/>
            <w:vMerge w:val="continue"/>
            <w:vAlign w:val="center"/>
          </w:tcPr>
          <w:p>
            <w:pPr>
              <w:pStyle w:val="63"/>
              <w:rPr>
                <w:u w:val="single"/>
              </w:rPr>
            </w:pPr>
          </w:p>
        </w:tc>
        <w:tc>
          <w:tcPr>
            <w:tcW w:w="994" w:type="pct"/>
            <w:vAlign w:val="center"/>
          </w:tcPr>
          <w:p>
            <w:pPr>
              <w:pStyle w:val="63"/>
              <w:rPr>
                <w:u w:val="single"/>
              </w:rPr>
            </w:pPr>
            <w:r>
              <w:rPr>
                <w:u w:val="single"/>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72" w:type="pct"/>
            <w:vMerge w:val="restart"/>
            <w:vAlign w:val="center"/>
          </w:tcPr>
          <w:p>
            <w:pPr>
              <w:pStyle w:val="63"/>
              <w:rPr>
                <w:u w:val="single"/>
              </w:rPr>
            </w:pPr>
            <w:r>
              <w:rPr>
                <w:u w:val="single"/>
              </w:rPr>
              <w:t>4</w:t>
            </w:r>
          </w:p>
        </w:tc>
        <w:tc>
          <w:tcPr>
            <w:tcW w:w="1259" w:type="pct"/>
            <w:vMerge w:val="restart"/>
            <w:vAlign w:val="center"/>
          </w:tcPr>
          <w:p>
            <w:pPr>
              <w:pStyle w:val="63"/>
              <w:rPr>
                <w:u w:val="single"/>
              </w:rPr>
            </w:pPr>
            <w:r>
              <w:rPr>
                <w:u w:val="single"/>
              </w:rPr>
              <w:t>北厂界</w:t>
            </w:r>
          </w:p>
        </w:tc>
        <w:tc>
          <w:tcPr>
            <w:tcW w:w="1002" w:type="pct"/>
            <w:vAlign w:val="center"/>
          </w:tcPr>
          <w:p>
            <w:pPr>
              <w:pStyle w:val="63"/>
              <w:rPr>
                <w:u w:val="single"/>
              </w:rPr>
            </w:pPr>
            <w:r>
              <w:rPr>
                <w:u w:val="single"/>
              </w:rPr>
              <w:t>昼间</w:t>
            </w:r>
          </w:p>
        </w:tc>
        <w:tc>
          <w:tcPr>
            <w:tcW w:w="1073" w:type="pct"/>
            <w:vMerge w:val="restart"/>
            <w:vAlign w:val="center"/>
          </w:tcPr>
          <w:p>
            <w:pPr>
              <w:pStyle w:val="63"/>
              <w:rPr>
                <w:u w:val="single"/>
              </w:rPr>
            </w:pPr>
            <w:r>
              <w:rPr>
                <w:u w:val="single"/>
              </w:rPr>
              <w:t>48.18</w:t>
            </w:r>
          </w:p>
        </w:tc>
        <w:tc>
          <w:tcPr>
            <w:tcW w:w="994" w:type="pct"/>
            <w:vAlign w:val="center"/>
          </w:tcPr>
          <w:p>
            <w:pPr>
              <w:pStyle w:val="63"/>
              <w:rPr>
                <w:u w:val="single"/>
              </w:rPr>
            </w:pPr>
            <w:r>
              <w:rPr>
                <w:u w:val="single"/>
              </w:rPr>
              <w:t>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72" w:type="pct"/>
            <w:vMerge w:val="continue"/>
            <w:vAlign w:val="center"/>
          </w:tcPr>
          <w:p>
            <w:pPr>
              <w:pStyle w:val="63"/>
              <w:rPr>
                <w:u w:val="single"/>
              </w:rPr>
            </w:pPr>
          </w:p>
        </w:tc>
        <w:tc>
          <w:tcPr>
            <w:tcW w:w="1259" w:type="pct"/>
            <w:vMerge w:val="continue"/>
            <w:vAlign w:val="center"/>
          </w:tcPr>
          <w:p>
            <w:pPr>
              <w:pStyle w:val="63"/>
              <w:rPr>
                <w:u w:val="single"/>
              </w:rPr>
            </w:pPr>
          </w:p>
        </w:tc>
        <w:tc>
          <w:tcPr>
            <w:tcW w:w="1002" w:type="pct"/>
            <w:vAlign w:val="center"/>
          </w:tcPr>
          <w:p>
            <w:pPr>
              <w:pStyle w:val="63"/>
              <w:rPr>
                <w:u w:val="single"/>
              </w:rPr>
            </w:pPr>
            <w:r>
              <w:rPr>
                <w:u w:val="single"/>
              </w:rPr>
              <w:t>夜间</w:t>
            </w:r>
          </w:p>
        </w:tc>
        <w:tc>
          <w:tcPr>
            <w:tcW w:w="1073" w:type="pct"/>
            <w:vMerge w:val="continue"/>
            <w:vAlign w:val="center"/>
          </w:tcPr>
          <w:p>
            <w:pPr>
              <w:pStyle w:val="63"/>
              <w:rPr>
                <w:u w:val="single"/>
              </w:rPr>
            </w:pPr>
          </w:p>
        </w:tc>
        <w:tc>
          <w:tcPr>
            <w:tcW w:w="994" w:type="pct"/>
            <w:vAlign w:val="center"/>
          </w:tcPr>
          <w:p>
            <w:pPr>
              <w:pStyle w:val="63"/>
              <w:rPr>
                <w:u w:val="single"/>
              </w:rPr>
            </w:pPr>
            <w:r>
              <w:rPr>
                <w:u w:val="single"/>
              </w:rPr>
              <w:t>55</w:t>
            </w:r>
          </w:p>
        </w:tc>
      </w:tr>
    </w:tbl>
    <w:p>
      <w:pPr>
        <w:spacing w:line="360" w:lineRule="auto"/>
        <w:ind w:firstLine="480" w:firstLineChars="200"/>
        <w:rPr>
          <w:rFonts w:ascii="Times New Roman" w:hAnsi="Times New Roman" w:cs="Times New Roman"/>
          <w:u w:val="single"/>
        </w:rPr>
      </w:pPr>
      <w:r>
        <w:rPr>
          <w:rFonts w:ascii="Times New Roman" w:hAnsi="Times New Roman" w:cs="Times New Roman"/>
          <w:u w:val="single"/>
        </w:rPr>
        <w:t>由上表可知，厂区项目厂界噪声能够满足《工业企业厂界环境噪声排放标准》（GB12348-2008）中的3类标准要求。</w:t>
      </w:r>
    </w:p>
    <w:p>
      <w:pPr>
        <w:pStyle w:val="6"/>
        <w:rPr>
          <w:rFonts w:ascii="Times New Roman" w:hAnsi="Times New Roman" w:cs="Times New Roman"/>
          <w:u w:val="single"/>
        </w:rPr>
      </w:pPr>
      <w:r>
        <w:rPr>
          <w:rFonts w:ascii="Times New Roman" w:hAnsi="Times New Roman" w:cs="Times New Roman"/>
          <w:u w:val="single"/>
        </w:rPr>
        <w:t>表</w:t>
      </w:r>
      <w:r>
        <w:rPr>
          <w:rFonts w:hint="eastAsia" w:ascii="Times New Roman" w:hAnsi="Times New Roman" w:cs="Times New Roman"/>
          <w:u w:val="single"/>
        </w:rPr>
        <w:t>6.2.4-3</w:t>
      </w:r>
      <w:r>
        <w:rPr>
          <w:rFonts w:ascii="Times New Roman" w:hAnsi="Times New Roman" w:cs="Times New Roman"/>
          <w:u w:val="single"/>
        </w:rPr>
        <w:t xml:space="preserve">  敏感点噪声预测结果一览表   单位：dB(A)</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1218"/>
        <w:gridCol w:w="1218"/>
        <w:gridCol w:w="1218"/>
        <w:gridCol w:w="1220"/>
        <w:gridCol w:w="1218"/>
        <w:gridCol w:w="12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vAlign w:val="center"/>
          </w:tcPr>
          <w:p>
            <w:pPr>
              <w:pStyle w:val="63"/>
              <w:rPr>
                <w:u w:val="single"/>
              </w:rPr>
            </w:pPr>
            <w:r>
              <w:rPr>
                <w:u w:val="single"/>
              </w:rPr>
              <w:t>敏感点</w:t>
            </w:r>
          </w:p>
        </w:tc>
        <w:tc>
          <w:tcPr>
            <w:tcW w:w="1428" w:type="pct"/>
            <w:gridSpan w:val="2"/>
            <w:vAlign w:val="center"/>
          </w:tcPr>
          <w:p>
            <w:pPr>
              <w:pStyle w:val="63"/>
              <w:rPr>
                <w:u w:val="single"/>
              </w:rPr>
            </w:pPr>
            <w:r>
              <w:rPr>
                <w:u w:val="single"/>
              </w:rPr>
              <w:t>背景值（最大）</w:t>
            </w:r>
          </w:p>
        </w:tc>
        <w:tc>
          <w:tcPr>
            <w:tcW w:w="1429" w:type="pct"/>
            <w:gridSpan w:val="2"/>
            <w:vAlign w:val="center"/>
          </w:tcPr>
          <w:p>
            <w:pPr>
              <w:pStyle w:val="63"/>
              <w:rPr>
                <w:u w:val="single"/>
              </w:rPr>
            </w:pPr>
            <w:r>
              <w:rPr>
                <w:u w:val="single"/>
              </w:rPr>
              <w:t>贡献值</w:t>
            </w:r>
          </w:p>
        </w:tc>
        <w:tc>
          <w:tcPr>
            <w:tcW w:w="1429" w:type="pct"/>
            <w:gridSpan w:val="2"/>
            <w:vAlign w:val="center"/>
          </w:tcPr>
          <w:p>
            <w:pPr>
              <w:pStyle w:val="63"/>
              <w:rPr>
                <w:u w:val="single"/>
              </w:rPr>
            </w:pPr>
            <w:r>
              <w:rPr>
                <w:u w:val="single"/>
              </w:rPr>
              <w:t>噪声预测值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vMerge w:val="restart"/>
            <w:vAlign w:val="center"/>
          </w:tcPr>
          <w:p>
            <w:pPr>
              <w:pStyle w:val="63"/>
              <w:rPr>
                <w:u w:val="single"/>
              </w:rPr>
            </w:pPr>
            <w:r>
              <w:rPr>
                <w:u w:val="single"/>
              </w:rPr>
              <w:t>三才村（彭家屋场</w:t>
            </w:r>
          </w:p>
        </w:tc>
        <w:tc>
          <w:tcPr>
            <w:tcW w:w="714" w:type="pct"/>
            <w:vAlign w:val="center"/>
          </w:tcPr>
          <w:p>
            <w:pPr>
              <w:pStyle w:val="63"/>
              <w:rPr>
                <w:u w:val="single"/>
              </w:rPr>
            </w:pPr>
            <w:r>
              <w:rPr>
                <w:u w:val="single"/>
              </w:rPr>
              <w:t>昼间</w:t>
            </w:r>
          </w:p>
        </w:tc>
        <w:tc>
          <w:tcPr>
            <w:tcW w:w="714" w:type="pct"/>
            <w:vAlign w:val="center"/>
          </w:tcPr>
          <w:p>
            <w:pPr>
              <w:pStyle w:val="63"/>
              <w:rPr>
                <w:u w:val="single"/>
              </w:rPr>
            </w:pPr>
            <w:r>
              <w:rPr>
                <w:u w:val="single"/>
              </w:rPr>
              <w:t>夜间</w:t>
            </w:r>
          </w:p>
        </w:tc>
        <w:tc>
          <w:tcPr>
            <w:tcW w:w="714" w:type="pct"/>
            <w:vAlign w:val="center"/>
          </w:tcPr>
          <w:p>
            <w:pPr>
              <w:pStyle w:val="63"/>
              <w:rPr>
                <w:u w:val="single"/>
              </w:rPr>
            </w:pPr>
            <w:r>
              <w:rPr>
                <w:u w:val="single"/>
              </w:rPr>
              <w:t>昼间</w:t>
            </w:r>
          </w:p>
        </w:tc>
        <w:tc>
          <w:tcPr>
            <w:tcW w:w="715" w:type="pct"/>
            <w:vAlign w:val="center"/>
          </w:tcPr>
          <w:p>
            <w:pPr>
              <w:pStyle w:val="63"/>
              <w:rPr>
                <w:u w:val="single"/>
              </w:rPr>
            </w:pPr>
            <w:r>
              <w:rPr>
                <w:u w:val="single"/>
              </w:rPr>
              <w:t>夜间</w:t>
            </w:r>
          </w:p>
        </w:tc>
        <w:tc>
          <w:tcPr>
            <w:tcW w:w="714" w:type="pct"/>
            <w:vAlign w:val="center"/>
          </w:tcPr>
          <w:p>
            <w:pPr>
              <w:pStyle w:val="63"/>
              <w:rPr>
                <w:u w:val="single"/>
              </w:rPr>
            </w:pPr>
            <w:r>
              <w:rPr>
                <w:u w:val="single"/>
              </w:rPr>
              <w:t>昼间</w:t>
            </w:r>
          </w:p>
        </w:tc>
        <w:tc>
          <w:tcPr>
            <w:tcW w:w="715" w:type="pct"/>
            <w:vAlign w:val="center"/>
          </w:tcPr>
          <w:p>
            <w:pPr>
              <w:pStyle w:val="63"/>
              <w:rPr>
                <w:u w:val="single"/>
              </w:rPr>
            </w:pPr>
            <w:r>
              <w:rPr>
                <w:u w:val="single"/>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vMerge w:val="continue"/>
            <w:vAlign w:val="center"/>
          </w:tcPr>
          <w:p>
            <w:pPr>
              <w:pStyle w:val="63"/>
              <w:rPr>
                <w:u w:val="single"/>
              </w:rPr>
            </w:pPr>
          </w:p>
        </w:tc>
        <w:tc>
          <w:tcPr>
            <w:tcW w:w="714" w:type="pct"/>
            <w:vAlign w:val="center"/>
          </w:tcPr>
          <w:p>
            <w:pPr>
              <w:pStyle w:val="63"/>
              <w:rPr>
                <w:u w:val="single"/>
              </w:rPr>
            </w:pPr>
            <w:r>
              <w:rPr>
                <w:u w:val="single"/>
              </w:rPr>
              <w:t>53.0</w:t>
            </w:r>
          </w:p>
        </w:tc>
        <w:tc>
          <w:tcPr>
            <w:tcW w:w="714" w:type="pct"/>
            <w:vAlign w:val="center"/>
          </w:tcPr>
          <w:p>
            <w:pPr>
              <w:pStyle w:val="63"/>
              <w:rPr>
                <w:u w:val="single"/>
              </w:rPr>
            </w:pPr>
            <w:r>
              <w:rPr>
                <w:u w:val="single"/>
              </w:rPr>
              <w:t>44.5</w:t>
            </w:r>
          </w:p>
        </w:tc>
        <w:tc>
          <w:tcPr>
            <w:tcW w:w="1429" w:type="pct"/>
            <w:gridSpan w:val="2"/>
            <w:vAlign w:val="center"/>
          </w:tcPr>
          <w:p>
            <w:pPr>
              <w:pStyle w:val="63"/>
              <w:rPr>
                <w:u w:val="single"/>
              </w:rPr>
            </w:pPr>
            <w:r>
              <w:rPr>
                <w:u w:val="single"/>
              </w:rPr>
              <w:t>5.78</w:t>
            </w:r>
          </w:p>
        </w:tc>
        <w:tc>
          <w:tcPr>
            <w:tcW w:w="714" w:type="pct"/>
            <w:vAlign w:val="center"/>
          </w:tcPr>
          <w:p>
            <w:pPr>
              <w:pStyle w:val="63"/>
              <w:rPr>
                <w:u w:val="single"/>
              </w:rPr>
            </w:pPr>
            <w:r>
              <w:rPr>
                <w:u w:val="single"/>
              </w:rPr>
              <w:t>53</w:t>
            </w:r>
          </w:p>
        </w:tc>
        <w:tc>
          <w:tcPr>
            <w:tcW w:w="715" w:type="pct"/>
            <w:vAlign w:val="center"/>
          </w:tcPr>
          <w:p>
            <w:pPr>
              <w:pStyle w:val="63"/>
              <w:rPr>
                <w:u w:val="single"/>
              </w:rPr>
            </w:pPr>
            <w:r>
              <w:rPr>
                <w:u w:val="single"/>
              </w:rPr>
              <w:t>44.5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vAlign w:val="center"/>
          </w:tcPr>
          <w:p>
            <w:pPr>
              <w:pStyle w:val="63"/>
              <w:rPr>
                <w:u w:val="single"/>
              </w:rPr>
            </w:pPr>
            <w:r>
              <w:rPr>
                <w:u w:val="single"/>
              </w:rPr>
              <w:t>评价标准</w:t>
            </w:r>
          </w:p>
        </w:tc>
        <w:tc>
          <w:tcPr>
            <w:tcW w:w="714" w:type="pct"/>
            <w:vAlign w:val="center"/>
          </w:tcPr>
          <w:p>
            <w:pPr>
              <w:pStyle w:val="63"/>
              <w:rPr>
                <w:u w:val="single"/>
              </w:rPr>
            </w:pPr>
            <w:r>
              <w:rPr>
                <w:u w:val="single"/>
              </w:rPr>
              <w:t>60</w:t>
            </w:r>
          </w:p>
        </w:tc>
        <w:tc>
          <w:tcPr>
            <w:tcW w:w="714" w:type="pct"/>
            <w:vAlign w:val="center"/>
          </w:tcPr>
          <w:p>
            <w:pPr>
              <w:pStyle w:val="63"/>
              <w:rPr>
                <w:u w:val="single"/>
              </w:rPr>
            </w:pPr>
            <w:r>
              <w:rPr>
                <w:u w:val="single"/>
              </w:rPr>
              <w:t>50</w:t>
            </w:r>
          </w:p>
        </w:tc>
        <w:tc>
          <w:tcPr>
            <w:tcW w:w="714" w:type="pct"/>
            <w:vAlign w:val="center"/>
          </w:tcPr>
          <w:p>
            <w:pPr>
              <w:pStyle w:val="63"/>
              <w:rPr>
                <w:u w:val="single"/>
              </w:rPr>
            </w:pPr>
            <w:r>
              <w:rPr>
                <w:u w:val="single"/>
              </w:rPr>
              <w:t>/</w:t>
            </w:r>
          </w:p>
        </w:tc>
        <w:tc>
          <w:tcPr>
            <w:tcW w:w="715" w:type="pct"/>
            <w:vAlign w:val="center"/>
          </w:tcPr>
          <w:p>
            <w:pPr>
              <w:pStyle w:val="63"/>
              <w:rPr>
                <w:u w:val="single"/>
              </w:rPr>
            </w:pPr>
            <w:r>
              <w:rPr>
                <w:u w:val="single"/>
              </w:rPr>
              <w:t>/</w:t>
            </w:r>
          </w:p>
        </w:tc>
        <w:tc>
          <w:tcPr>
            <w:tcW w:w="714" w:type="pct"/>
            <w:vAlign w:val="center"/>
          </w:tcPr>
          <w:p>
            <w:pPr>
              <w:pStyle w:val="63"/>
              <w:rPr>
                <w:u w:val="single"/>
              </w:rPr>
            </w:pPr>
            <w:r>
              <w:rPr>
                <w:u w:val="single"/>
              </w:rPr>
              <w:t>60</w:t>
            </w:r>
          </w:p>
        </w:tc>
        <w:tc>
          <w:tcPr>
            <w:tcW w:w="715" w:type="pct"/>
            <w:vAlign w:val="center"/>
          </w:tcPr>
          <w:p>
            <w:pPr>
              <w:pStyle w:val="63"/>
              <w:rPr>
                <w:u w:val="single"/>
              </w:rPr>
            </w:pPr>
            <w:r>
              <w:rPr>
                <w:u w:val="single"/>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vAlign w:val="center"/>
          </w:tcPr>
          <w:p>
            <w:pPr>
              <w:pStyle w:val="63"/>
              <w:rPr>
                <w:u w:val="single"/>
              </w:rPr>
            </w:pPr>
            <w:r>
              <w:rPr>
                <w:u w:val="single"/>
              </w:rPr>
              <w:t>是否达标</w:t>
            </w:r>
          </w:p>
        </w:tc>
        <w:tc>
          <w:tcPr>
            <w:tcW w:w="714" w:type="pct"/>
            <w:vAlign w:val="center"/>
          </w:tcPr>
          <w:p>
            <w:pPr>
              <w:pStyle w:val="63"/>
              <w:rPr>
                <w:u w:val="single"/>
              </w:rPr>
            </w:pPr>
            <w:r>
              <w:rPr>
                <w:u w:val="single"/>
              </w:rPr>
              <w:t>达标</w:t>
            </w:r>
          </w:p>
        </w:tc>
        <w:tc>
          <w:tcPr>
            <w:tcW w:w="714" w:type="pct"/>
            <w:vAlign w:val="center"/>
          </w:tcPr>
          <w:p>
            <w:pPr>
              <w:pStyle w:val="63"/>
              <w:rPr>
                <w:u w:val="single"/>
              </w:rPr>
            </w:pPr>
            <w:r>
              <w:rPr>
                <w:u w:val="single"/>
              </w:rPr>
              <w:t>达标</w:t>
            </w:r>
          </w:p>
        </w:tc>
        <w:tc>
          <w:tcPr>
            <w:tcW w:w="714" w:type="pct"/>
            <w:vAlign w:val="center"/>
          </w:tcPr>
          <w:p>
            <w:pPr>
              <w:pStyle w:val="63"/>
              <w:rPr>
                <w:u w:val="single"/>
              </w:rPr>
            </w:pPr>
            <w:r>
              <w:rPr>
                <w:u w:val="single"/>
              </w:rPr>
              <w:t>/</w:t>
            </w:r>
          </w:p>
        </w:tc>
        <w:tc>
          <w:tcPr>
            <w:tcW w:w="715" w:type="pct"/>
            <w:vAlign w:val="center"/>
          </w:tcPr>
          <w:p>
            <w:pPr>
              <w:pStyle w:val="63"/>
              <w:rPr>
                <w:u w:val="single"/>
              </w:rPr>
            </w:pPr>
            <w:r>
              <w:rPr>
                <w:u w:val="single"/>
              </w:rPr>
              <w:t>/</w:t>
            </w:r>
          </w:p>
        </w:tc>
        <w:tc>
          <w:tcPr>
            <w:tcW w:w="714" w:type="pct"/>
            <w:vAlign w:val="center"/>
          </w:tcPr>
          <w:p>
            <w:pPr>
              <w:pStyle w:val="63"/>
              <w:rPr>
                <w:u w:val="single"/>
              </w:rPr>
            </w:pPr>
            <w:r>
              <w:rPr>
                <w:u w:val="single"/>
              </w:rPr>
              <w:t>达标</w:t>
            </w:r>
          </w:p>
        </w:tc>
        <w:tc>
          <w:tcPr>
            <w:tcW w:w="715" w:type="pct"/>
            <w:vAlign w:val="center"/>
          </w:tcPr>
          <w:p>
            <w:pPr>
              <w:pStyle w:val="63"/>
              <w:rPr>
                <w:u w:val="single"/>
              </w:rPr>
            </w:pPr>
            <w:r>
              <w:rPr>
                <w:u w:val="single"/>
              </w:rPr>
              <w:t>达标</w:t>
            </w:r>
          </w:p>
        </w:tc>
      </w:tr>
    </w:tbl>
    <w:p>
      <w:pPr>
        <w:spacing w:line="360" w:lineRule="auto"/>
        <w:ind w:firstLine="480" w:firstLineChars="200"/>
        <w:rPr>
          <w:rFonts w:ascii="Times New Roman" w:hAnsi="Times New Roman" w:cs="Times New Roman"/>
          <w:u w:val="single"/>
        </w:rPr>
      </w:pPr>
      <w:r>
        <w:rPr>
          <w:rFonts w:ascii="Times New Roman" w:hAnsi="Times New Roman" w:cs="Times New Roman"/>
          <w:u w:val="single"/>
        </w:rPr>
        <w:t>由上表可知，敏感点噪声能够满足《声环境质量标准》（GB3096-2008）2类标准要求。</w:t>
      </w:r>
    </w:p>
    <w:p>
      <w:pPr>
        <w:pStyle w:val="5"/>
        <w:ind w:firstLine="482"/>
        <w:rPr>
          <w:rFonts w:ascii="Times New Roman" w:hAnsi="Times New Roman" w:cs="Times New Roman" w:eastAsiaTheme="minorEastAsia"/>
          <w:u w:val="single"/>
        </w:rPr>
      </w:pPr>
      <w:r>
        <w:rPr>
          <w:rFonts w:ascii="Times New Roman" w:hAnsi="Times New Roman" w:cs="Times New Roman" w:eastAsiaTheme="minorEastAsia"/>
          <w:u w:val="single"/>
        </w:rPr>
        <w:t>6.2.4.3 结论</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由以上分析预测可知，本工程在严格落实环评规定对噪声源采取隔声、减振等措施情况下，运营后不会对周围声环境造成明显影响，从声环境影响角度讲，项目建设可行。</w:t>
      </w:r>
    </w:p>
    <w:p>
      <w:pPr>
        <w:pStyle w:val="4"/>
        <w:rPr>
          <w:rFonts w:ascii="Times New Roman" w:hAnsi="Times New Roman" w:cs="Times New Roman"/>
        </w:rPr>
      </w:pPr>
      <w:bookmarkStart w:id="350" w:name="_Toc147848059"/>
      <w:bookmarkStart w:id="351" w:name="_Toc144276941"/>
      <w:bookmarkStart w:id="352" w:name="_Toc144236811"/>
      <w:r>
        <w:rPr>
          <w:rFonts w:ascii="Times New Roman" w:hAnsi="Times New Roman" w:cs="Times New Roman"/>
        </w:rPr>
        <w:t>6.2.5 运营期固体废物环境影响分析</w:t>
      </w:r>
      <w:bookmarkEnd w:id="350"/>
      <w:bookmarkEnd w:id="351"/>
      <w:bookmarkEnd w:id="352"/>
    </w:p>
    <w:p>
      <w:pPr>
        <w:pStyle w:val="5"/>
        <w:ind w:firstLine="482"/>
        <w:rPr>
          <w:rFonts w:ascii="Times New Roman" w:hAnsi="Times New Roman" w:cs="Times New Roman" w:eastAsiaTheme="minorEastAsia"/>
        </w:rPr>
      </w:pPr>
      <w:r>
        <w:rPr>
          <w:rFonts w:ascii="Times New Roman" w:hAnsi="Times New Roman" w:cs="Times New Roman" w:eastAsiaTheme="minorEastAsia"/>
        </w:rPr>
        <w:t>6.2.5.1 固体废物处置原则</w:t>
      </w:r>
    </w:p>
    <w:p>
      <w:pPr>
        <w:spacing w:line="360" w:lineRule="auto"/>
        <w:ind w:firstLine="480" w:firstLineChars="200"/>
        <w:rPr>
          <w:rFonts w:ascii="Times New Roman" w:hAnsi="Times New Roman" w:cs="Times New Roman"/>
        </w:rPr>
      </w:pPr>
      <w:r>
        <w:rPr>
          <w:rFonts w:ascii="Times New Roman" w:hAnsi="Times New Roman" w:cs="Times New Roman"/>
        </w:rPr>
        <w:t>为防止固体废物污染环境，保障人体健康，对固体废物的处置首先考虑合理使用资源，充分回收，尽可能减少固体废物产生量，其次考虑对其安全、合理、卫生的处置，力图以最经济和最可靠的方式将废物量减量化、无害化和资源化，最大限度降低对环境的不利影响。</w:t>
      </w:r>
    </w:p>
    <w:p>
      <w:pPr>
        <w:pStyle w:val="5"/>
        <w:ind w:firstLine="482"/>
        <w:rPr>
          <w:rFonts w:ascii="Times New Roman" w:hAnsi="Times New Roman" w:cs="Times New Roman" w:eastAsiaTheme="minorEastAsia"/>
        </w:rPr>
      </w:pPr>
      <w:r>
        <w:rPr>
          <w:rFonts w:ascii="Times New Roman" w:hAnsi="Times New Roman" w:cs="Times New Roman" w:eastAsiaTheme="minorEastAsia"/>
        </w:rPr>
        <w:t>6.2.5.2 固体废物产生及处置情况</w:t>
      </w:r>
    </w:p>
    <w:p>
      <w:pPr>
        <w:spacing w:line="360" w:lineRule="auto"/>
        <w:ind w:firstLine="480" w:firstLineChars="200"/>
        <w:rPr>
          <w:rFonts w:ascii="Times New Roman" w:hAnsi="Times New Roman" w:cs="Times New Roman"/>
        </w:rPr>
      </w:pPr>
      <w:r>
        <w:rPr>
          <w:rFonts w:ascii="Times New Roman" w:hAnsi="Times New Roman" w:cs="Times New Roman"/>
        </w:rPr>
        <w:t>本项目建成后产生的固废包括生产过程中产生的可场内回用的废弃物、危险废物、不能明确性质的固体废物、一般工业固体废物和生活垃圾。</w:t>
      </w:r>
    </w:p>
    <w:p>
      <w:pPr>
        <w:spacing w:line="360" w:lineRule="auto"/>
        <w:ind w:firstLine="480" w:firstLineChars="200"/>
        <w:rPr>
          <w:rFonts w:ascii="Times New Roman" w:hAnsi="Times New Roman" w:cs="Times New Roman"/>
        </w:rPr>
      </w:pPr>
      <w:r>
        <w:rPr>
          <w:rFonts w:ascii="Times New Roman" w:hAnsi="Times New Roman" w:cs="Times New Roman"/>
        </w:rPr>
        <w:t>（1）生产过程产生的可回用的废弃物</w:t>
      </w:r>
    </w:p>
    <w:p>
      <w:pPr>
        <w:spacing w:line="360" w:lineRule="auto"/>
        <w:ind w:firstLine="480" w:firstLineChars="200"/>
        <w:rPr>
          <w:rFonts w:ascii="Times New Roman" w:hAnsi="Times New Roman" w:cs="Times New Roman"/>
        </w:rPr>
      </w:pPr>
      <w:r>
        <w:rPr>
          <w:rFonts w:ascii="Times New Roman" w:hAnsi="Times New Roman" w:cs="Times New Roman"/>
        </w:rPr>
        <w:t>本项目运营期间产生的可在厂内回用的废弃物主要为布袋除尘器收集的粉尘，其送往浸出槽浸出；梯次利用产生的废电芯送预处理车间回收利用。</w:t>
      </w:r>
    </w:p>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（2）钠</w:t>
      </w:r>
      <w:r>
        <w:rPr>
          <w:rFonts w:ascii="Times New Roman" w:hAnsi="Times New Roman" w:cs="Times New Roman"/>
          <w:u w:val="single"/>
        </w:rPr>
        <w:t>盐类物质</w:t>
      </w:r>
      <w:r>
        <w:rPr>
          <w:rFonts w:hint="eastAsia" w:ascii="Times New Roman" w:hAnsi="Times New Roman" w:cs="Times New Roman"/>
          <w:u w:val="single"/>
        </w:rPr>
        <w:t>副产品</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本项目废水采用MVR蒸发处理后将</w:t>
      </w:r>
      <w:r>
        <w:rPr>
          <w:rFonts w:hint="eastAsia" w:ascii="Times New Roman" w:hAnsi="Times New Roman" w:cs="Times New Roman"/>
          <w:u w:val="single"/>
        </w:rPr>
        <w:t>产生</w:t>
      </w:r>
      <w:r>
        <w:rPr>
          <w:u w:val="single"/>
        </w:rPr>
        <w:t>钠</w:t>
      </w:r>
      <w:r>
        <w:rPr>
          <w:rFonts w:ascii="Times New Roman" w:hAnsi="Times New Roman" w:cs="Times New Roman"/>
          <w:u w:val="single"/>
        </w:rPr>
        <w:t>盐类物质，主要为硫酸钠，可作为</w:t>
      </w:r>
      <w:r>
        <w:rPr>
          <w:rFonts w:hint="eastAsia" w:ascii="Times New Roman" w:hAnsi="Times New Roman" w:cs="Times New Roman"/>
          <w:u w:val="single"/>
        </w:rPr>
        <w:t>副产品外售</w:t>
      </w:r>
      <w:r>
        <w:rPr>
          <w:rFonts w:ascii="Times New Roman" w:hAnsi="Times New Roman" w:cs="Times New Roman"/>
          <w:u w:val="single"/>
        </w:rPr>
        <w:t>，每年产生</w:t>
      </w:r>
      <w:r>
        <w:rPr>
          <w:rFonts w:hint="eastAsia" w:ascii="Times New Roman" w:hAnsi="Times New Roman" w:cs="Times New Roman"/>
          <w:u w:val="single"/>
        </w:rPr>
        <w:t>量为</w:t>
      </w:r>
      <w:r>
        <w:rPr>
          <w:rFonts w:ascii="Times New Roman" w:hAnsi="Times New Roman" w:cs="Times New Roman"/>
          <w:u w:val="single"/>
        </w:rPr>
        <w:t>22381.6吨。由于且暂未找到同类型</w:t>
      </w:r>
      <w:r>
        <w:rPr>
          <w:rFonts w:hint="eastAsia" w:ascii="Times New Roman" w:hAnsi="Times New Roman" w:cs="Times New Roman"/>
          <w:u w:val="single"/>
        </w:rPr>
        <w:t>项目</w:t>
      </w:r>
      <w:r>
        <w:rPr>
          <w:rFonts w:ascii="Times New Roman" w:hAnsi="Times New Roman" w:cs="Times New Roman"/>
          <w:u w:val="single"/>
        </w:rPr>
        <w:t>进行对照，无法定性。</w:t>
      </w:r>
      <w:r>
        <w:rPr>
          <w:rFonts w:hint="eastAsia" w:ascii="Times New Roman" w:hAnsi="Times New Roman" w:cs="Times New Roman"/>
          <w:u w:val="single"/>
        </w:rPr>
        <w:t>待该硫酸钠</w:t>
      </w:r>
      <w:r>
        <w:rPr>
          <w:rFonts w:ascii="Times New Roman" w:hAnsi="Times New Roman" w:cs="Times New Roman"/>
          <w:u w:val="single"/>
        </w:rPr>
        <w:t>盐类物质</w:t>
      </w:r>
      <w:r>
        <w:rPr>
          <w:rFonts w:hint="eastAsia" w:ascii="Times New Roman" w:hAnsi="Times New Roman" w:cs="Times New Roman"/>
          <w:u w:val="single"/>
        </w:rPr>
        <w:t>副产品产生后，</w:t>
      </w:r>
      <w:r>
        <w:rPr>
          <w:rFonts w:ascii="Times New Roman" w:hAnsi="Times New Roman" w:cs="Times New Roman"/>
          <w:u w:val="single"/>
        </w:rPr>
        <w:t>应</w:t>
      </w:r>
      <w:r>
        <w:rPr>
          <w:rFonts w:hint="eastAsia" w:ascii="Times New Roman" w:hAnsi="Times New Roman" w:cs="Times New Roman"/>
          <w:u w:val="single"/>
        </w:rPr>
        <w:t>进行鉴定</w:t>
      </w:r>
      <w:r>
        <w:rPr>
          <w:rFonts w:ascii="Times New Roman" w:hAnsi="Times New Roman" w:cs="Times New Roman"/>
          <w:u w:val="single"/>
        </w:rPr>
        <w:t>，若鉴别结果</w:t>
      </w:r>
      <w:r>
        <w:rPr>
          <w:rFonts w:hint="eastAsia" w:ascii="Times New Roman" w:hAnsi="Times New Roman" w:cs="Times New Roman"/>
          <w:u w:val="single"/>
        </w:rPr>
        <w:t>符合相关要求，可作为副产品外售。</w:t>
      </w:r>
    </w:p>
    <w:p>
      <w:pPr>
        <w:spacing w:line="360" w:lineRule="auto"/>
        <w:ind w:firstLine="480" w:firstLineChars="200"/>
        <w:rPr>
          <w:rFonts w:ascii="Times New Roman" w:hAnsi="Times New Roman" w:cs="Times New Roman"/>
        </w:rPr>
      </w:pPr>
      <w:r>
        <w:rPr>
          <w:rFonts w:ascii="Times New Roman" w:hAnsi="Times New Roman" w:cs="Times New Roman"/>
        </w:rPr>
        <w:t>（3）危险废物</w:t>
      </w:r>
    </w:p>
    <w:p>
      <w:pPr>
        <w:spacing w:line="360" w:lineRule="auto"/>
        <w:ind w:firstLine="480" w:firstLineChars="200"/>
        <w:rPr>
          <w:rFonts w:ascii="Times New Roman" w:hAnsi="Times New Roman" w:cs="Times New Roman"/>
        </w:rPr>
      </w:pPr>
      <w:r>
        <w:rPr>
          <w:rFonts w:ascii="Times New Roman" w:hAnsi="Times New Roman" w:cs="Times New Roman"/>
        </w:rPr>
        <w:t>项目运营期间产生的危险废物包括：过滤棉、废活性炭（危废代码：HW49，900-041-49）、废布袋（危废代码：HW49，900-041-49）、废机油（危废代码：HW08，900-214-08）、含油抹布（HW49，900-041-49）、实验室废液（HW49，900-047-49）、梯次利用产生的废BMS（HW49，900-045-49）。以上危险废物在厂区危废暂存间暂存后交由有资质的单位处理。</w:t>
      </w:r>
    </w:p>
    <w:p>
      <w:pPr>
        <w:spacing w:line="360" w:lineRule="auto"/>
        <w:ind w:firstLine="480" w:firstLineChars="200"/>
        <w:rPr>
          <w:rFonts w:ascii="Times New Roman" w:hAnsi="Times New Roman" w:cs="Times New Roman"/>
        </w:rPr>
      </w:pPr>
      <w:r>
        <w:rPr>
          <w:rFonts w:ascii="Times New Roman" w:hAnsi="Times New Roman" w:cs="Times New Roman"/>
        </w:rPr>
        <w:t>（4）一般工业固体废物</w:t>
      </w:r>
    </w:p>
    <w:p>
      <w:pPr>
        <w:spacing w:line="360" w:lineRule="auto"/>
        <w:ind w:firstLine="480" w:firstLineChars="200"/>
        <w:rPr>
          <w:rFonts w:ascii="Times New Roman" w:hAnsi="Times New Roman" w:cs="Times New Roman"/>
        </w:rPr>
      </w:pPr>
      <w:r>
        <w:rPr>
          <w:rFonts w:ascii="Times New Roman" w:hAnsi="Times New Roman" w:cs="Times New Roman"/>
        </w:rPr>
        <w:t>本项目运营期间产生的一般工业固体废物包括：梯次利用工艺产生的电池包铁外壳、导流排（铜）、导流排（铝）、线材、电池包塑料件；预处理过程中产生的外壳及桩头、铜、铝、铁等废旧金属；纯水制备过程中产生的废弃的离子交换树脂</w:t>
      </w:r>
      <w:r>
        <w:rPr>
          <w:rFonts w:hint="eastAsia" w:ascii="Times New Roman" w:hAnsi="Times New Roman" w:cs="Times New Roman"/>
        </w:rPr>
        <w:t>、</w:t>
      </w:r>
      <w:r>
        <w:rPr>
          <w:rFonts w:ascii="Times New Roman" w:hAnsi="Times New Roman" w:cs="Times New Roman"/>
        </w:rPr>
        <w:t>废分子筛。</w:t>
      </w:r>
    </w:p>
    <w:p>
      <w:pPr>
        <w:spacing w:line="360" w:lineRule="auto"/>
        <w:ind w:firstLine="480" w:firstLineChars="200"/>
        <w:rPr>
          <w:rFonts w:ascii="Times New Roman" w:hAnsi="Times New Roman" w:cs="Times New Roman"/>
        </w:rPr>
      </w:pPr>
      <w:r>
        <w:rPr>
          <w:rFonts w:ascii="Times New Roman" w:hAnsi="Times New Roman" w:cs="Times New Roman"/>
        </w:rPr>
        <w:t>其中电池外壳、线缆、电池包拆解塑料、外壳及桩头、铜、铝、铁等废旧金属外售给物资回收部门；废弃离子交换树脂以及废弃分子筛交由环卫部门处理。</w:t>
      </w:r>
    </w:p>
    <w:p>
      <w:pPr>
        <w:spacing w:line="360" w:lineRule="auto"/>
        <w:ind w:firstLine="480" w:firstLineChars="200"/>
        <w:rPr>
          <w:rFonts w:ascii="Times New Roman" w:hAnsi="Times New Roman" w:cs="Times New Roman"/>
        </w:rPr>
      </w:pPr>
      <w:r>
        <w:rPr>
          <w:rFonts w:hint="eastAsia" w:ascii="Times New Roman" w:hAnsi="Times New Roman" w:cs="Times New Roman"/>
        </w:rPr>
        <w:t>（5）锅炉燃烧</w:t>
      </w:r>
    </w:p>
    <w:p>
      <w:pPr>
        <w:spacing w:line="360" w:lineRule="auto"/>
        <w:ind w:firstLine="480" w:firstLineChars="200"/>
        <w:rPr>
          <w:rFonts w:ascii="Times New Roman" w:hAnsi="Times New Roman" w:cs="Times New Roman"/>
        </w:rPr>
      </w:pPr>
      <w:r>
        <w:rPr>
          <w:rFonts w:hint="eastAsia" w:ascii="Times New Roman" w:hAnsi="Times New Roman" w:cs="Times New Roman"/>
        </w:rPr>
        <w:t>类比同类型项目，每吨生物质颗粒燃烧将产生23.6kg的炉渣，故本项目炉渣年产生量约为458.784t，收集后暂存于一般固废暂存间，布袋除尘产生的粉尘产生量约为723.63t/a，收集后暂存于一般固废暂存间，定期清运。</w:t>
      </w:r>
    </w:p>
    <w:p>
      <w:pPr>
        <w:spacing w:line="360" w:lineRule="auto"/>
        <w:ind w:firstLine="480" w:firstLineChars="200"/>
        <w:rPr>
          <w:rFonts w:ascii="Times New Roman" w:hAnsi="Times New Roman" w:cs="Times New Roman"/>
        </w:rPr>
      </w:pPr>
      <w:r>
        <w:rPr>
          <w:rFonts w:ascii="Times New Roman" w:hAnsi="Times New Roman" w:cs="Times New Roman"/>
        </w:rPr>
        <w:t>（6）生活垃圾</w:t>
      </w:r>
    </w:p>
    <w:p>
      <w:pPr>
        <w:spacing w:line="360" w:lineRule="auto"/>
        <w:ind w:firstLine="480" w:firstLineChars="200"/>
        <w:rPr>
          <w:rFonts w:ascii="Times New Roman" w:hAnsi="Times New Roman" w:cs="Times New Roman"/>
        </w:rPr>
      </w:pPr>
      <w:r>
        <w:rPr>
          <w:rFonts w:ascii="Times New Roman" w:hAnsi="Times New Roman" w:cs="Times New Roman"/>
        </w:rPr>
        <w:t>生活垃圾经厂区垃圾桶收集后交由环卫部门处理。</w:t>
      </w:r>
    </w:p>
    <w:p>
      <w:pPr>
        <w:spacing w:line="360" w:lineRule="auto"/>
        <w:ind w:firstLine="480" w:firstLineChars="200"/>
        <w:rPr>
          <w:rFonts w:ascii="Times New Roman" w:hAnsi="Times New Roman" w:cs="Times New Roman"/>
        </w:rPr>
      </w:pPr>
      <w:r>
        <w:rPr>
          <w:rFonts w:ascii="Times New Roman" w:hAnsi="Times New Roman" w:cs="Times New Roman"/>
        </w:rPr>
        <w:t>危险废物应设置符合《危险废物贮存污染控制标准》（GB18597-20</w:t>
      </w:r>
      <w:r>
        <w:rPr>
          <w:rFonts w:hint="eastAsia" w:ascii="Times New Roman" w:hAnsi="Times New Roman" w:cs="Times New Roman"/>
        </w:rPr>
        <w:t>23</w:t>
      </w:r>
      <w:r>
        <w:rPr>
          <w:rFonts w:ascii="Times New Roman" w:hAnsi="Times New Roman" w:cs="Times New Roman"/>
        </w:rPr>
        <w:t>）要求的专用危废贮存场所和贮存容器，严禁与其他固废混合存放。可购置加盖危险废物收集箱对危险废物进行收集并单独存放。堆放时宜按危废种类分类堆放。对危险废物进行密闭包装，减少无组织排放。危险废物贮存场所应起到防风、防雨、防晒、防渗漏的作用。放置危险废物收集箱的硬化地面应没有裂缝，保证危险废物暂存场地的渗透系数应≤10</w:t>
      </w:r>
      <w:r>
        <w:rPr>
          <w:rFonts w:ascii="Times New Roman" w:hAnsi="Times New Roman" w:cs="Times New Roman"/>
          <w:vertAlign w:val="superscript"/>
        </w:rPr>
        <w:t>-10</w:t>
      </w:r>
      <w:r>
        <w:rPr>
          <w:rFonts w:ascii="Times New Roman" w:hAnsi="Times New Roman" w:cs="Times New Roman"/>
        </w:rPr>
        <w:t>cm/s。无法装入常用容器的危险废物可用防漏胶袋等盛放。盛装危险废物的容器上必须粘贴符合《危险废物贮存污染控制标准》（GB18597-20</w:t>
      </w:r>
      <w:r>
        <w:rPr>
          <w:rFonts w:hint="eastAsia" w:ascii="Times New Roman" w:hAnsi="Times New Roman" w:cs="Times New Roman"/>
        </w:rPr>
        <w:t>23</w:t>
      </w:r>
      <w:r>
        <w:rPr>
          <w:rFonts w:ascii="Times New Roman" w:hAnsi="Times New Roman" w:cs="Times New Roman"/>
        </w:rPr>
        <w:t>）附录A所示的标签。</w:t>
      </w:r>
    </w:p>
    <w:p>
      <w:pPr>
        <w:spacing w:line="360" w:lineRule="auto"/>
        <w:ind w:firstLine="480" w:firstLineChars="200"/>
        <w:rPr>
          <w:rFonts w:ascii="Times New Roman" w:hAnsi="Times New Roman" w:cs="Times New Roman"/>
        </w:rPr>
      </w:pPr>
      <w:r>
        <w:rPr>
          <w:rFonts w:ascii="Times New Roman" w:hAnsi="Times New Roman" w:cs="Times New Roman"/>
        </w:rPr>
        <w:t>由此可见，本项目产生的固体废物均得到合理处置，从根本上防止了固体废物的污染，因此工程生产过程排放的固体废物对周围环境影响很小。</w:t>
      </w:r>
    </w:p>
    <w:p>
      <w:pPr>
        <w:spacing w:line="360" w:lineRule="auto"/>
        <w:ind w:firstLine="480" w:firstLineChars="200"/>
        <w:rPr>
          <w:rFonts w:ascii="Times New Roman" w:hAnsi="Times New Roman" w:cs="Times New Roman"/>
          <w:color w:val="FF0000"/>
          <w:u w:val="single"/>
        </w:rPr>
      </w:pPr>
      <w:r>
        <w:rPr>
          <w:rFonts w:ascii="Times New Roman" w:hAnsi="Times New Roman" w:cs="Times New Roman"/>
          <w:color w:val="FF0000"/>
          <w:u w:val="single"/>
        </w:rPr>
        <w:t>（</w:t>
      </w:r>
      <w:r>
        <w:rPr>
          <w:rFonts w:hint="eastAsia" w:ascii="Times New Roman" w:hAnsi="Times New Roman" w:cs="Times New Roman"/>
          <w:color w:val="FF0000"/>
          <w:u w:val="single"/>
        </w:rPr>
        <w:t>7</w:t>
      </w:r>
      <w:r>
        <w:rPr>
          <w:rFonts w:ascii="Times New Roman" w:hAnsi="Times New Roman" w:cs="Times New Roman"/>
          <w:color w:val="FF0000"/>
          <w:u w:val="single"/>
        </w:rPr>
        <w:t>）</w:t>
      </w:r>
      <w:r>
        <w:rPr>
          <w:rFonts w:hint="eastAsia" w:ascii="Times New Roman" w:hAnsi="Times New Roman" w:cs="Times New Roman"/>
          <w:color w:val="FF0000"/>
          <w:u w:val="single"/>
        </w:rPr>
        <w:t>待鉴定</w:t>
      </w:r>
      <w:r>
        <w:rPr>
          <w:rFonts w:ascii="Times New Roman" w:hAnsi="Times New Roman" w:cs="Times New Roman"/>
          <w:color w:val="FF0000"/>
          <w:u w:val="single"/>
        </w:rPr>
        <w:t>固体废物</w:t>
      </w:r>
    </w:p>
    <w:p>
      <w:pPr>
        <w:spacing w:line="360" w:lineRule="auto"/>
        <w:ind w:firstLine="480" w:firstLineChars="200"/>
        <w:rPr>
          <w:rFonts w:ascii="Times New Roman" w:hAnsi="Times New Roman" w:cs="Times New Roman"/>
          <w:color w:val="FF0000"/>
          <w:u w:val="single"/>
        </w:rPr>
      </w:pPr>
      <w:r>
        <w:rPr>
          <w:rFonts w:ascii="Times New Roman" w:hAnsi="Times New Roman" w:cs="Times New Roman"/>
          <w:color w:val="FF0000"/>
          <w:u w:val="single"/>
        </w:rPr>
        <w:t>浸出车间产生的石墨渣、浸出车间产生的铁铝渣和海绵铜渣、废气处理过程中产生的氟化钙。</w:t>
      </w:r>
      <w:r>
        <w:rPr>
          <w:rFonts w:hint="eastAsia" w:ascii="Times New Roman" w:hAnsi="Times New Roman" w:cs="Times New Roman"/>
          <w:color w:val="FF0000"/>
          <w:u w:val="single"/>
        </w:rPr>
        <w:t>该类固废应进行危险废物鉴定，若鉴别结果判定为危险废物，则需交由有危险废物处理资质的单位处置；若鉴定为一般固废，则交由相应的单位进行资源化、无害化处置。</w:t>
      </w:r>
    </w:p>
    <w:p>
      <w:pPr>
        <w:pStyle w:val="4"/>
        <w:rPr>
          <w:rFonts w:ascii="Times New Roman" w:hAnsi="Times New Roman" w:cs="Times New Roman"/>
        </w:rPr>
      </w:pPr>
      <w:bookmarkStart w:id="353" w:name="_Toc147848060"/>
      <w:bookmarkStart w:id="354" w:name="_Toc144236812"/>
      <w:bookmarkStart w:id="355" w:name="_Toc144276942"/>
      <w:r>
        <w:rPr>
          <w:rFonts w:ascii="Times New Roman" w:hAnsi="Times New Roman" w:cs="Times New Roman"/>
        </w:rPr>
        <w:t>6.2.6 运营期土壤环境影响分析</w:t>
      </w:r>
      <w:bookmarkEnd w:id="353"/>
      <w:bookmarkEnd w:id="354"/>
      <w:bookmarkEnd w:id="355"/>
    </w:p>
    <w:p>
      <w:pPr>
        <w:pStyle w:val="5"/>
        <w:ind w:firstLine="482"/>
        <w:rPr>
          <w:rFonts w:ascii="Times New Roman" w:hAnsi="Times New Roman" w:cs="Times New Roman" w:eastAsiaTheme="minorEastAsia"/>
        </w:rPr>
      </w:pPr>
      <w:bookmarkStart w:id="356" w:name="_Toc22115826"/>
      <w:bookmarkStart w:id="357" w:name="_Toc212260514"/>
      <w:bookmarkStart w:id="358" w:name="_Toc332094859"/>
      <w:r>
        <w:rPr>
          <w:rFonts w:ascii="Times New Roman" w:hAnsi="Times New Roman" w:cs="Times New Roman" w:eastAsiaTheme="minorEastAsia"/>
        </w:rPr>
        <w:t>6.2.6.1 影响类型及途径</w:t>
      </w:r>
    </w:p>
    <w:p>
      <w:pPr>
        <w:spacing w:line="360" w:lineRule="auto"/>
        <w:ind w:firstLine="480" w:firstLineChars="200"/>
        <w:rPr>
          <w:rFonts w:ascii="Times New Roman" w:hAnsi="Times New Roman" w:cs="Times New Roman"/>
        </w:rPr>
      </w:pPr>
      <w:r>
        <w:rPr>
          <w:rFonts w:ascii="Times New Roman" w:hAnsi="Times New Roman" w:cs="Times New Roman"/>
        </w:rPr>
        <w:t>本项目为污染影响型建设项目，施工期土壤环境影响很小。重点分析为运营期对项目地及周边区域土壤环境的影响。根据项目工程分析，本项目大气污染物涉及重金属。</w:t>
      </w:r>
    </w:p>
    <w:p>
      <w:pPr>
        <w:pStyle w:val="6"/>
        <w:rPr>
          <w:rFonts w:ascii="Times New Roman" w:hAnsi="Times New Roman" w:cs="Times New Roman"/>
        </w:rPr>
      </w:pPr>
      <w:r>
        <w:rPr>
          <w:rFonts w:ascii="Times New Roman" w:hAnsi="Times New Roman" w:cs="Times New Roman"/>
        </w:rPr>
        <w:t>表6.2</w:t>
      </w:r>
      <w:r>
        <w:rPr>
          <w:rFonts w:hint="eastAsia" w:ascii="Times New Roman" w:hAnsi="Times New Roman" w:cs="Times New Roman"/>
        </w:rPr>
        <w:t xml:space="preserve">.6-1  </w:t>
      </w:r>
      <w:r>
        <w:rPr>
          <w:rFonts w:ascii="Times New Roman" w:hAnsi="Times New Roman" w:cs="Times New Roman"/>
        </w:rPr>
        <w:t>建设项目土壤环境影响类型与影响途径表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275"/>
        <w:gridCol w:w="1011"/>
        <w:gridCol w:w="1081"/>
        <w:gridCol w:w="948"/>
        <w:gridCol w:w="773"/>
        <w:gridCol w:w="824"/>
        <w:gridCol w:w="786"/>
        <w:gridCol w:w="826"/>
        <w:gridCol w:w="8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64" w:type="pct"/>
            <w:vMerge w:val="restart"/>
            <w:vAlign w:val="center"/>
          </w:tcPr>
          <w:p>
            <w:pPr>
              <w:pStyle w:val="63"/>
            </w:pPr>
            <w:r>
              <w:t>不同时段</w:t>
            </w:r>
          </w:p>
        </w:tc>
        <w:tc>
          <w:tcPr>
            <w:tcW w:w="2285" w:type="pct"/>
            <w:gridSpan w:val="4"/>
            <w:vAlign w:val="center"/>
          </w:tcPr>
          <w:p>
            <w:pPr>
              <w:pStyle w:val="63"/>
            </w:pPr>
            <w:r>
              <w:t>污染影响型</w:t>
            </w:r>
          </w:p>
        </w:tc>
        <w:tc>
          <w:tcPr>
            <w:tcW w:w="1951" w:type="pct"/>
            <w:gridSpan w:val="4"/>
            <w:vAlign w:val="center"/>
          </w:tcPr>
          <w:p>
            <w:pPr>
              <w:pStyle w:val="63"/>
            </w:pPr>
            <w:r>
              <w:t>生态影响型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64" w:type="pct"/>
            <w:vMerge w:val="continue"/>
            <w:vAlign w:val="center"/>
          </w:tcPr>
          <w:p>
            <w:pPr>
              <w:pStyle w:val="63"/>
            </w:pPr>
          </w:p>
        </w:tc>
        <w:tc>
          <w:tcPr>
            <w:tcW w:w="606" w:type="pct"/>
            <w:vAlign w:val="center"/>
          </w:tcPr>
          <w:p>
            <w:pPr>
              <w:pStyle w:val="63"/>
            </w:pPr>
            <w:r>
              <w:t>大气沉降</w:t>
            </w:r>
          </w:p>
        </w:tc>
        <w:tc>
          <w:tcPr>
            <w:tcW w:w="648" w:type="pct"/>
            <w:vAlign w:val="center"/>
          </w:tcPr>
          <w:p>
            <w:pPr>
              <w:pStyle w:val="63"/>
            </w:pPr>
            <w:r>
              <w:t>地面漫流</w:t>
            </w:r>
          </w:p>
        </w:tc>
        <w:tc>
          <w:tcPr>
            <w:tcW w:w="568" w:type="pct"/>
            <w:vAlign w:val="center"/>
          </w:tcPr>
          <w:p>
            <w:pPr>
              <w:pStyle w:val="63"/>
            </w:pPr>
            <w:r>
              <w:t>垂直入渗</w:t>
            </w:r>
          </w:p>
        </w:tc>
        <w:tc>
          <w:tcPr>
            <w:tcW w:w="463" w:type="pct"/>
            <w:vAlign w:val="center"/>
          </w:tcPr>
          <w:p>
            <w:pPr>
              <w:pStyle w:val="63"/>
            </w:pPr>
            <w:r>
              <w:t>其他</w:t>
            </w:r>
          </w:p>
        </w:tc>
        <w:tc>
          <w:tcPr>
            <w:tcW w:w="494" w:type="pct"/>
            <w:vAlign w:val="center"/>
          </w:tcPr>
          <w:p>
            <w:pPr>
              <w:pStyle w:val="63"/>
            </w:pPr>
            <w:r>
              <w:t>盐化</w:t>
            </w:r>
          </w:p>
        </w:tc>
        <w:tc>
          <w:tcPr>
            <w:tcW w:w="471" w:type="pct"/>
            <w:vAlign w:val="center"/>
          </w:tcPr>
          <w:p>
            <w:pPr>
              <w:pStyle w:val="63"/>
            </w:pPr>
            <w:r>
              <w:t>碱化</w:t>
            </w:r>
          </w:p>
        </w:tc>
        <w:tc>
          <w:tcPr>
            <w:tcW w:w="495" w:type="pct"/>
            <w:vAlign w:val="center"/>
          </w:tcPr>
          <w:p>
            <w:pPr>
              <w:pStyle w:val="63"/>
            </w:pPr>
            <w:r>
              <w:t>酸化</w:t>
            </w:r>
          </w:p>
        </w:tc>
        <w:tc>
          <w:tcPr>
            <w:tcW w:w="491" w:type="pct"/>
            <w:vAlign w:val="center"/>
          </w:tcPr>
          <w:p>
            <w:pPr>
              <w:pStyle w:val="63"/>
            </w:pPr>
            <w: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64" w:type="pct"/>
            <w:vAlign w:val="center"/>
          </w:tcPr>
          <w:p>
            <w:pPr>
              <w:pStyle w:val="63"/>
            </w:pPr>
            <w:r>
              <w:t>运营期</w:t>
            </w:r>
          </w:p>
        </w:tc>
        <w:tc>
          <w:tcPr>
            <w:tcW w:w="606" w:type="pct"/>
            <w:vAlign w:val="center"/>
          </w:tcPr>
          <w:p>
            <w:pPr>
              <w:pStyle w:val="63"/>
            </w:pPr>
            <w:r>
              <w:t>√</w:t>
            </w:r>
          </w:p>
        </w:tc>
        <w:tc>
          <w:tcPr>
            <w:tcW w:w="648" w:type="pct"/>
            <w:vAlign w:val="center"/>
          </w:tcPr>
          <w:p>
            <w:pPr>
              <w:pStyle w:val="63"/>
            </w:pPr>
            <w:r>
              <w:t>√</w:t>
            </w:r>
          </w:p>
        </w:tc>
        <w:tc>
          <w:tcPr>
            <w:tcW w:w="568" w:type="pct"/>
            <w:vAlign w:val="center"/>
          </w:tcPr>
          <w:p>
            <w:pPr>
              <w:pStyle w:val="63"/>
            </w:pPr>
            <w:r>
              <w:t>√</w:t>
            </w:r>
          </w:p>
        </w:tc>
        <w:tc>
          <w:tcPr>
            <w:tcW w:w="463" w:type="pct"/>
            <w:vAlign w:val="center"/>
          </w:tcPr>
          <w:p>
            <w:pPr>
              <w:pStyle w:val="63"/>
            </w:pPr>
          </w:p>
        </w:tc>
        <w:tc>
          <w:tcPr>
            <w:tcW w:w="494" w:type="pct"/>
            <w:vAlign w:val="center"/>
          </w:tcPr>
          <w:p>
            <w:pPr>
              <w:pStyle w:val="63"/>
            </w:pPr>
          </w:p>
        </w:tc>
        <w:tc>
          <w:tcPr>
            <w:tcW w:w="471" w:type="pct"/>
            <w:vAlign w:val="center"/>
          </w:tcPr>
          <w:p>
            <w:pPr>
              <w:pStyle w:val="63"/>
            </w:pPr>
          </w:p>
        </w:tc>
        <w:tc>
          <w:tcPr>
            <w:tcW w:w="495" w:type="pct"/>
            <w:vAlign w:val="center"/>
          </w:tcPr>
          <w:p>
            <w:pPr>
              <w:pStyle w:val="63"/>
            </w:pPr>
          </w:p>
        </w:tc>
        <w:tc>
          <w:tcPr>
            <w:tcW w:w="491" w:type="pct"/>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9"/>
            <w:vAlign w:val="center"/>
          </w:tcPr>
          <w:p>
            <w:pPr>
              <w:pStyle w:val="63"/>
            </w:pPr>
            <w:r>
              <w:t>注：在可能产生的土壤环境影响类型处打“√”，列表未涵盖的可自行设计。</w:t>
            </w:r>
          </w:p>
        </w:tc>
      </w:tr>
    </w:tbl>
    <w:p>
      <w:pPr>
        <w:pStyle w:val="5"/>
        <w:ind w:firstLine="482"/>
        <w:rPr>
          <w:rFonts w:ascii="Times New Roman" w:hAnsi="Times New Roman" w:cs="Times New Roman" w:eastAsiaTheme="minorEastAsia"/>
        </w:rPr>
      </w:pPr>
      <w:r>
        <w:rPr>
          <w:rFonts w:ascii="Times New Roman" w:hAnsi="Times New Roman" w:cs="Times New Roman" w:eastAsiaTheme="minorEastAsia"/>
        </w:rPr>
        <w:t>6.2.6.2 影响识别</w:t>
      </w:r>
    </w:p>
    <w:p>
      <w:pPr>
        <w:spacing w:line="360" w:lineRule="auto"/>
        <w:ind w:firstLine="480" w:firstLineChars="200"/>
        <w:rPr>
          <w:rFonts w:ascii="Times New Roman" w:hAnsi="Times New Roman" w:cs="Times New Roman"/>
        </w:rPr>
      </w:pPr>
      <w:r>
        <w:rPr>
          <w:rFonts w:ascii="Times New Roman" w:hAnsi="Times New Roman" w:cs="Times New Roman"/>
        </w:rPr>
        <w:t>本项目土壤环境影响源及影响因子识别见下表。</w:t>
      </w:r>
    </w:p>
    <w:p>
      <w:pPr>
        <w:pStyle w:val="6"/>
        <w:rPr>
          <w:rFonts w:ascii="Times New Roman" w:hAnsi="Times New Roman" w:cs="Times New Roman"/>
        </w:rPr>
      </w:pPr>
      <w:r>
        <w:rPr>
          <w:rFonts w:ascii="Times New Roman" w:hAnsi="Times New Roman" w:cs="Times New Roman"/>
        </w:rPr>
        <w:t>表6.2</w:t>
      </w:r>
      <w:r>
        <w:rPr>
          <w:rFonts w:hint="eastAsia" w:ascii="Times New Roman" w:hAnsi="Times New Roman" w:cs="Times New Roman"/>
        </w:rPr>
        <w:t>.6-2</w:t>
      </w:r>
      <w:r>
        <w:rPr>
          <w:rFonts w:ascii="Times New Roman" w:hAnsi="Times New Roman" w:cs="Times New Roman"/>
        </w:rPr>
        <w:t xml:space="preserve">  污染影响型建设项目土壤环境影响源及影响因子识别表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958"/>
        <w:gridCol w:w="1779"/>
        <w:gridCol w:w="1211"/>
        <w:gridCol w:w="2681"/>
        <w:gridCol w:w="17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4" w:type="pct"/>
            <w:vAlign w:val="center"/>
          </w:tcPr>
          <w:p>
            <w:pPr>
              <w:pStyle w:val="63"/>
            </w:pPr>
            <w:r>
              <w:t>污染源</w:t>
            </w:r>
          </w:p>
        </w:tc>
        <w:tc>
          <w:tcPr>
            <w:tcW w:w="1066" w:type="pct"/>
            <w:vAlign w:val="center"/>
          </w:tcPr>
          <w:p>
            <w:pPr>
              <w:pStyle w:val="63"/>
            </w:pPr>
            <w:r>
              <w:t>工艺流程/节点</w:t>
            </w:r>
          </w:p>
        </w:tc>
        <w:tc>
          <w:tcPr>
            <w:tcW w:w="726" w:type="pct"/>
            <w:vAlign w:val="center"/>
          </w:tcPr>
          <w:p>
            <w:pPr>
              <w:pStyle w:val="63"/>
            </w:pPr>
            <w:r>
              <w:t>污染途径</w:t>
            </w:r>
          </w:p>
        </w:tc>
        <w:tc>
          <w:tcPr>
            <w:tcW w:w="1607" w:type="pct"/>
            <w:vAlign w:val="center"/>
          </w:tcPr>
          <w:p>
            <w:pPr>
              <w:pStyle w:val="63"/>
            </w:pPr>
            <w:r>
              <w:t>特征因子</w:t>
            </w:r>
          </w:p>
        </w:tc>
        <w:tc>
          <w:tcPr>
            <w:tcW w:w="1027" w:type="pct"/>
            <w:vAlign w:val="center"/>
          </w:tcPr>
          <w:p>
            <w:pPr>
              <w:pStyle w:val="63"/>
            </w:pPr>
            <w:r>
              <w:t>备注b</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4" w:type="pct"/>
            <w:vAlign w:val="center"/>
          </w:tcPr>
          <w:p>
            <w:pPr>
              <w:pStyle w:val="63"/>
            </w:pPr>
            <w:r>
              <w:t>各生产区</w:t>
            </w:r>
          </w:p>
        </w:tc>
        <w:tc>
          <w:tcPr>
            <w:tcW w:w="1066" w:type="pct"/>
            <w:vAlign w:val="center"/>
          </w:tcPr>
          <w:p>
            <w:pPr>
              <w:pStyle w:val="63"/>
            </w:pPr>
            <w:r>
              <w:t>各工序排放的颗粒物</w:t>
            </w:r>
          </w:p>
        </w:tc>
        <w:tc>
          <w:tcPr>
            <w:tcW w:w="726" w:type="pct"/>
            <w:vAlign w:val="center"/>
          </w:tcPr>
          <w:p>
            <w:pPr>
              <w:pStyle w:val="63"/>
            </w:pPr>
            <w:r>
              <w:t>大气沉降</w:t>
            </w:r>
          </w:p>
        </w:tc>
        <w:tc>
          <w:tcPr>
            <w:tcW w:w="1607" w:type="pct"/>
            <w:vAlign w:val="center"/>
          </w:tcPr>
          <w:p>
            <w:pPr>
              <w:pStyle w:val="63"/>
            </w:pPr>
            <w:r>
              <w:t>镍、钴</w:t>
            </w:r>
          </w:p>
        </w:tc>
        <w:tc>
          <w:tcPr>
            <w:tcW w:w="1027" w:type="pct"/>
            <w:vAlign w:val="center"/>
          </w:tcPr>
          <w:p>
            <w:pPr>
              <w:pStyle w:val="63"/>
            </w:pPr>
            <w:r>
              <w:t>项目周边土地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4" w:type="pct"/>
            <w:vAlign w:val="center"/>
          </w:tcPr>
          <w:p>
            <w:pPr>
              <w:pStyle w:val="63"/>
            </w:pPr>
            <w:r>
              <w:t>各生产区</w:t>
            </w:r>
          </w:p>
        </w:tc>
        <w:tc>
          <w:tcPr>
            <w:tcW w:w="1066" w:type="pct"/>
            <w:vAlign w:val="center"/>
          </w:tcPr>
          <w:p>
            <w:pPr>
              <w:pStyle w:val="63"/>
            </w:pPr>
            <w:r>
              <w:t>浸出、萃取车间</w:t>
            </w:r>
          </w:p>
        </w:tc>
        <w:tc>
          <w:tcPr>
            <w:tcW w:w="726" w:type="pct"/>
            <w:vAlign w:val="center"/>
          </w:tcPr>
          <w:p>
            <w:pPr>
              <w:pStyle w:val="63"/>
            </w:pPr>
            <w:r>
              <w:t>地面漫流</w:t>
            </w:r>
          </w:p>
        </w:tc>
        <w:tc>
          <w:tcPr>
            <w:tcW w:w="1607" w:type="pct"/>
            <w:vAlign w:val="center"/>
          </w:tcPr>
          <w:p>
            <w:pPr>
              <w:pStyle w:val="63"/>
            </w:pPr>
            <w:r>
              <w:t>pH、钴、镍、硫酸盐、锰</w:t>
            </w:r>
          </w:p>
        </w:tc>
        <w:tc>
          <w:tcPr>
            <w:tcW w:w="1027" w:type="pct"/>
            <w:vAlign w:val="center"/>
          </w:tcPr>
          <w:p>
            <w:pPr>
              <w:pStyle w:val="63"/>
            </w:pPr>
            <w:r>
              <w:t>项目所在地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4" w:type="pct"/>
            <w:vAlign w:val="center"/>
          </w:tcPr>
          <w:p>
            <w:pPr>
              <w:pStyle w:val="63"/>
            </w:pPr>
            <w:r>
              <w:t>污水装置区</w:t>
            </w:r>
          </w:p>
        </w:tc>
        <w:tc>
          <w:tcPr>
            <w:tcW w:w="1066" w:type="pct"/>
            <w:vAlign w:val="center"/>
          </w:tcPr>
          <w:p>
            <w:pPr>
              <w:pStyle w:val="63"/>
            </w:pPr>
            <w:r>
              <w:t>污水处理</w:t>
            </w:r>
          </w:p>
        </w:tc>
        <w:tc>
          <w:tcPr>
            <w:tcW w:w="726" w:type="pct"/>
            <w:vAlign w:val="center"/>
          </w:tcPr>
          <w:p>
            <w:pPr>
              <w:pStyle w:val="63"/>
            </w:pPr>
            <w:r>
              <w:t>垂直入深</w:t>
            </w:r>
          </w:p>
        </w:tc>
        <w:tc>
          <w:tcPr>
            <w:tcW w:w="1607" w:type="pct"/>
            <w:vAlign w:val="center"/>
          </w:tcPr>
          <w:p>
            <w:pPr>
              <w:pStyle w:val="63"/>
            </w:pPr>
            <w:r>
              <w:t>镍、钴、锰</w:t>
            </w:r>
          </w:p>
        </w:tc>
        <w:tc>
          <w:tcPr>
            <w:tcW w:w="1027" w:type="pct"/>
            <w:vAlign w:val="center"/>
          </w:tcPr>
          <w:p>
            <w:pPr>
              <w:pStyle w:val="63"/>
            </w:pPr>
            <w:r>
              <w:t>项目所在地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000" w:type="pct"/>
            <w:gridSpan w:val="5"/>
            <w:vAlign w:val="center"/>
          </w:tcPr>
          <w:p>
            <w:pPr>
              <w:pStyle w:val="63"/>
              <w:jc w:val="both"/>
            </w:pPr>
            <w:r>
              <w:t>a根据工程分析结果填写。</w:t>
            </w:r>
          </w:p>
          <w:p>
            <w:pPr>
              <w:pStyle w:val="63"/>
              <w:jc w:val="both"/>
            </w:pPr>
            <w:r>
              <w:t>b应描述污染源特征，如连续、间断、正常、事故等；涉及大气沉降途径的，应识别建设项目周边的土壤环境敏感目标。</w:t>
            </w:r>
          </w:p>
        </w:tc>
      </w:tr>
    </w:tbl>
    <w:p>
      <w:pPr>
        <w:pStyle w:val="5"/>
        <w:ind w:firstLine="482"/>
        <w:rPr>
          <w:rFonts w:ascii="Times New Roman" w:hAnsi="Times New Roman" w:cs="Times New Roman" w:eastAsiaTheme="minorEastAsia"/>
        </w:rPr>
      </w:pPr>
      <w:r>
        <w:rPr>
          <w:rFonts w:ascii="Times New Roman" w:hAnsi="Times New Roman" w:cs="Times New Roman" w:eastAsiaTheme="minorEastAsia"/>
        </w:rPr>
        <w:t>6.2.6.3 评价等级</w:t>
      </w:r>
    </w:p>
    <w:p>
      <w:pPr>
        <w:spacing w:line="360" w:lineRule="auto"/>
        <w:ind w:firstLine="480" w:firstLineChars="200"/>
        <w:rPr>
          <w:rFonts w:ascii="Times New Roman" w:hAnsi="Times New Roman" w:cs="Times New Roman"/>
        </w:rPr>
      </w:pPr>
      <w:r>
        <w:rPr>
          <w:rFonts w:ascii="Times New Roman" w:hAnsi="Times New Roman" w:cs="Times New Roman"/>
        </w:rPr>
        <w:t>本项目为锂电池回收项目。根据《环境影响评价技术导则-土壤环境（试行）》(HJ964-2018)，本项目属于其中的“</w:t>
      </w:r>
      <w:r>
        <w:rPr>
          <w:rFonts w:ascii="Times New Roman" w:hAnsi="Times New Roman" w:cs="Times New Roman"/>
        </w:rPr>
        <w:fldChar w:fldCharType="begin"/>
      </w:r>
      <w:r>
        <w:rPr>
          <w:rFonts w:ascii="Times New Roman" w:hAnsi="Times New Roman" w:cs="Times New Roman"/>
        </w:rPr>
        <w:instrText xml:space="preserve"> = 3 \* ROMAN </w:instrText>
      </w:r>
      <w:r>
        <w:rPr>
          <w:rFonts w:ascii="Times New Roman" w:hAnsi="Times New Roman" w:cs="Times New Roman"/>
        </w:rPr>
        <w:fldChar w:fldCharType="separate"/>
      </w:r>
      <w:r>
        <w:rPr>
          <w:rFonts w:ascii="Times New Roman" w:hAnsi="Times New Roman" w:cs="Times New Roman"/>
        </w:rPr>
        <w:t>III</w:t>
      </w:r>
      <w:r>
        <w:rPr>
          <w:rFonts w:ascii="Times New Roman" w:hAnsi="Times New Roman" w:cs="Times New Roman"/>
        </w:rPr>
        <w:fldChar w:fldCharType="end"/>
      </w:r>
      <w:r>
        <w:rPr>
          <w:rFonts w:ascii="Times New Roman" w:hAnsi="Times New Roman" w:cs="Times New Roman"/>
        </w:rPr>
        <w:t>类”项目。</w:t>
      </w:r>
    </w:p>
    <w:p>
      <w:pPr>
        <w:spacing w:line="360" w:lineRule="auto"/>
        <w:ind w:firstLine="480" w:firstLineChars="200"/>
        <w:rPr>
          <w:rFonts w:ascii="Times New Roman" w:hAnsi="Times New Roman" w:cs="Times New Roman"/>
        </w:rPr>
      </w:pPr>
      <w:r>
        <w:rPr>
          <w:rFonts w:ascii="Times New Roman" w:hAnsi="Times New Roman" w:cs="Times New Roman"/>
        </w:rPr>
        <w:t>本项目厂区占地80000m</w:t>
      </w:r>
      <w:r>
        <w:rPr>
          <w:rFonts w:ascii="Times New Roman" w:hAnsi="Times New Roman" w:cs="Times New Roman"/>
          <w:vertAlign w:val="superscript"/>
        </w:rPr>
        <w:t>2</w:t>
      </w:r>
      <w:r>
        <w:rPr>
          <w:rFonts w:ascii="Times New Roman" w:hAnsi="Times New Roman" w:cs="Times New Roman"/>
        </w:rPr>
        <w:t>，属于中型。项目位于衡东经济开发区内，用地类型为工业用地，项目周边有农田，土壤环境敏感程度为“敏感”。</w:t>
      </w:r>
    </w:p>
    <w:p>
      <w:pPr>
        <w:spacing w:line="360" w:lineRule="auto"/>
        <w:ind w:firstLine="480" w:firstLineChars="200"/>
        <w:rPr>
          <w:rFonts w:ascii="Times New Roman" w:hAnsi="Times New Roman" w:cs="Times New Roman"/>
        </w:rPr>
      </w:pPr>
      <w:r>
        <w:rPr>
          <w:rFonts w:ascii="Times New Roman" w:hAnsi="Times New Roman" w:cs="Times New Roman"/>
        </w:rPr>
        <w:t>综上，本项目土壤环境影响评价工作等级为“三级”。</w:t>
      </w:r>
    </w:p>
    <w:p>
      <w:pPr>
        <w:pStyle w:val="5"/>
        <w:ind w:firstLine="482"/>
        <w:rPr>
          <w:rFonts w:ascii="Times New Roman" w:hAnsi="Times New Roman" w:cs="Times New Roman" w:eastAsiaTheme="minorEastAsia"/>
        </w:rPr>
      </w:pPr>
      <w:r>
        <w:rPr>
          <w:rFonts w:ascii="Times New Roman" w:hAnsi="Times New Roman" w:cs="Times New Roman" w:eastAsiaTheme="minorEastAsia"/>
        </w:rPr>
        <w:t>6.2.6.4 土壤环境影响分析</w:t>
      </w:r>
    </w:p>
    <w:p>
      <w:pPr>
        <w:spacing w:line="360" w:lineRule="auto"/>
        <w:ind w:firstLine="480" w:firstLineChars="200"/>
        <w:rPr>
          <w:rFonts w:ascii="Times New Roman" w:hAnsi="Times New Roman" w:cs="Times New Roman"/>
        </w:rPr>
      </w:pPr>
      <w:r>
        <w:rPr>
          <w:rFonts w:ascii="Times New Roman" w:hAnsi="Times New Roman" w:cs="Times New Roman"/>
        </w:rPr>
        <w:t>（1）地面沉降</w:t>
      </w:r>
    </w:p>
    <w:p>
      <w:pPr>
        <w:spacing w:line="360" w:lineRule="auto"/>
        <w:ind w:firstLine="480" w:firstLineChars="200"/>
        <w:rPr>
          <w:rFonts w:ascii="Times New Roman" w:hAnsi="Times New Roman" w:cs="Times New Roman"/>
        </w:rPr>
      </w:pPr>
      <w:r>
        <w:rPr>
          <w:rFonts w:ascii="Times New Roman" w:hAnsi="Times New Roman" w:cs="Times New Roman"/>
        </w:rPr>
        <w:t>本次土壤评价重点考虑大气沉降对项目周边土壤产生的累积 影响。拟建项目产生的废气主要为拆解破碎工段的颗粒物、氟化物及有机废气（以非甲烷总烃计），主要考虑颗粒物中镍、钴、锰及其化合物对土壤环境可能造成的影响。项目预处理废气经“焚烧+急冷+布袋除尘+三级水洗+以及碱洗”装置处理后，通过1根30m高排气筒（P1）排放。颗粒物、非甲烷总烃、氟化物、镍及其化合物满足《大气污染物综合排放标准》（GB16297-1996）表2中二级排放标准限值要求；项目浸出和萃取车间挥发的酸雾采用“酸雾喷淋塔”处理后排放，其外排废气能够满足《大气污染物综合排放标准》（GB16297-1996）表2中二级排放标准限值要求。项目对土壤环境造成的影响是可以接受的。</w:t>
      </w:r>
    </w:p>
    <w:p>
      <w:pPr>
        <w:spacing w:line="360" w:lineRule="auto"/>
        <w:ind w:firstLine="480" w:firstLineChars="200"/>
        <w:rPr>
          <w:rFonts w:ascii="Times New Roman" w:hAnsi="Times New Roman" w:cs="Times New Roman"/>
        </w:rPr>
      </w:pPr>
      <w:r>
        <w:rPr>
          <w:rFonts w:ascii="Times New Roman" w:hAnsi="Times New Roman" w:cs="Times New Roman"/>
        </w:rPr>
        <w:t>（2）垂直入渗</w:t>
      </w:r>
    </w:p>
    <w:p>
      <w:pPr>
        <w:spacing w:line="360" w:lineRule="auto"/>
        <w:ind w:firstLine="480" w:firstLineChars="200"/>
        <w:rPr>
          <w:rFonts w:ascii="Times New Roman" w:hAnsi="Times New Roman" w:cs="Times New Roman"/>
        </w:rPr>
      </w:pPr>
      <w:r>
        <w:rPr>
          <w:rFonts w:ascii="Times New Roman" w:hAnsi="Times New Roman" w:cs="Times New Roman"/>
        </w:rPr>
        <w:t>污染物垂直入渗影响主要可能发生在污水处理设施。由于污水处理设施全部采用混凝土结构并做了防渗处理，因此污染物通过地面垂直入渗进入土壤的几率很小。</w:t>
      </w:r>
    </w:p>
    <w:p>
      <w:pPr>
        <w:spacing w:line="360" w:lineRule="auto"/>
        <w:ind w:firstLine="480" w:firstLineChars="200"/>
        <w:rPr>
          <w:rFonts w:ascii="Times New Roman" w:hAnsi="Times New Roman" w:cs="Times New Roman"/>
        </w:rPr>
      </w:pPr>
      <w:r>
        <w:rPr>
          <w:rFonts w:ascii="Times New Roman" w:hAnsi="Times New Roman" w:cs="Times New Roman"/>
        </w:rPr>
        <w:t>（3）地面漫流</w:t>
      </w:r>
    </w:p>
    <w:p>
      <w:pPr>
        <w:spacing w:line="360" w:lineRule="auto"/>
        <w:ind w:firstLine="480" w:firstLineChars="200"/>
        <w:rPr>
          <w:rFonts w:ascii="Times New Roman" w:hAnsi="Times New Roman" w:cs="Times New Roman"/>
        </w:rPr>
      </w:pPr>
      <w:r>
        <w:rPr>
          <w:rFonts w:ascii="Times New Roman" w:hAnsi="Times New Roman" w:cs="Times New Roman"/>
        </w:rPr>
        <w:t>地面漫流入渗影响主要可能发生在萃取和浸出车间。由于浸出和萃取车间地面均进行了重点防渗，因此污染物通过地面漫流入渗进入土壤的几率很小。</w:t>
      </w:r>
    </w:p>
    <w:p>
      <w:pPr>
        <w:spacing w:line="360" w:lineRule="auto"/>
        <w:ind w:firstLine="480" w:firstLineChars="200"/>
        <w:rPr>
          <w:rFonts w:ascii="Times New Roman" w:hAnsi="Times New Roman" w:cs="Times New Roman"/>
        </w:rPr>
      </w:pPr>
      <w:r>
        <w:rPr>
          <w:rFonts w:ascii="Times New Roman" w:hAnsi="Times New Roman" w:cs="Times New Roman"/>
        </w:rPr>
        <w:t>综上，在严格落实废气治理、废水处置、地面防渗及危险废物贮存设施防渗等污染防治措施的前提下，评价认为拟建项目对土壤环境造成的影响较小，项目对土壤环境造成的影响是可以接受的。</w:t>
      </w:r>
    </w:p>
    <w:bookmarkEnd w:id="356"/>
    <w:bookmarkEnd w:id="357"/>
    <w:bookmarkEnd w:id="358"/>
    <w:p>
      <w:pPr>
        <w:pStyle w:val="4"/>
        <w:rPr>
          <w:rFonts w:ascii="Times New Roman" w:hAnsi="Times New Roman" w:cs="Times New Roman"/>
        </w:rPr>
      </w:pPr>
      <w:bookmarkStart w:id="359" w:name="_Toc147848061"/>
      <w:bookmarkStart w:id="360" w:name="_Toc144276943"/>
      <w:bookmarkStart w:id="361" w:name="_Toc144236813"/>
      <w:r>
        <w:rPr>
          <w:rFonts w:ascii="Times New Roman" w:hAnsi="Times New Roman" w:cs="Times New Roman"/>
        </w:rPr>
        <w:t>6.2.3 生态环境影响分析</w:t>
      </w:r>
      <w:bookmarkEnd w:id="359"/>
      <w:bookmarkEnd w:id="360"/>
      <w:bookmarkEnd w:id="361"/>
    </w:p>
    <w:p>
      <w:pPr>
        <w:spacing w:line="360" w:lineRule="auto"/>
        <w:ind w:firstLine="480" w:firstLineChars="200"/>
        <w:rPr>
          <w:rFonts w:ascii="Times New Roman" w:hAnsi="Times New Roman" w:cs="Times New Roman"/>
        </w:rPr>
      </w:pPr>
      <w:r>
        <w:rPr>
          <w:rFonts w:ascii="Times New Roman" w:hAnsi="Times New Roman" w:cs="Times New Roman"/>
        </w:rPr>
        <w:t>拟建项目位于湖南衡东经济开发区，厂区用地性质为三类工业用地。目前厂区场地还进行平整，原有生态系统暂未消失，主要湿地生态系统和农田生态系统。</w:t>
      </w:r>
    </w:p>
    <w:p>
      <w:pPr>
        <w:spacing w:line="360" w:lineRule="auto"/>
        <w:ind w:firstLine="480" w:firstLineChars="200"/>
        <w:rPr>
          <w:rFonts w:ascii="Times New Roman" w:hAnsi="Times New Roman" w:cs="Times New Roman"/>
        </w:rPr>
      </w:pPr>
      <w:r>
        <w:rPr>
          <w:rFonts w:ascii="Times New Roman" w:hAnsi="Times New Roman" w:cs="Times New Roman"/>
        </w:rPr>
        <w:t>根据调查，项目场址区域主要植被为人工植被，无保护植被；主要野生动物田间青蛙、鼠、蛇及麻雀、燕子等各种常见的鸟类，未发现珍稀野生动物。家畜以牛、羊、猪为主，家禽以鸡、鸭、鹅为主。水塘中水生鱼类以青、草、鲤、鲫四大鱼类为主，未发现珍稀野生动物。项目区域内不涉及生态红线，未占用基本农田。</w:t>
      </w:r>
    </w:p>
    <w:p>
      <w:pPr>
        <w:spacing w:line="360" w:lineRule="auto"/>
        <w:ind w:firstLine="480" w:firstLineChars="200"/>
        <w:rPr>
          <w:rFonts w:ascii="Times New Roman" w:hAnsi="Times New Roman" w:cs="Times New Roman"/>
        </w:rPr>
      </w:pPr>
      <w:r>
        <w:rPr>
          <w:rFonts w:ascii="Times New Roman" w:hAnsi="Times New Roman" w:cs="Times New Roman"/>
        </w:rPr>
        <w:t>因此在采取有效的环境保护措施及水土保持措施后，拟建项目的建设对现有植被生物量的下降影响较小，不会对当地农业生态和土地利用性质产生根本性改变，项目建设对区域生态环境的影响不明显；同时，经分析，项目建设营运后，废水、废气经有效环保措施治理后达标排放，不会对区域水生、陆生生态环境造成不良影响。</w:t>
      </w:r>
    </w:p>
    <w:p>
      <w:pPr>
        <w:spacing w:line="360" w:lineRule="auto"/>
        <w:ind w:firstLine="480" w:firstLineChars="200"/>
        <w:rPr>
          <w:rFonts w:ascii="Times New Roman" w:hAnsi="Times New Roman" w:cs="Times New Roman"/>
        </w:rPr>
      </w:pPr>
      <w:r>
        <w:rPr>
          <w:rFonts w:ascii="Times New Roman" w:hAnsi="Times New Roman" w:cs="Times New Roman"/>
        </w:rPr>
        <w:t>总体而言，项目建设对当地土地利用、区域生物多样性的影响小，项目的生 态环境影响可接受。</w:t>
      </w:r>
    </w:p>
    <w:p>
      <w:pPr>
        <w:pStyle w:val="3"/>
        <w:rPr>
          <w:rFonts w:ascii="Times New Roman" w:hAnsi="Times New Roman" w:cs="Times New Roman" w:eastAsiaTheme="minorEastAsia"/>
        </w:rPr>
      </w:pPr>
      <w:bookmarkStart w:id="362" w:name="_Toc102658225"/>
      <w:bookmarkStart w:id="363" w:name="_Toc144276944"/>
      <w:bookmarkStart w:id="364" w:name="_Toc147848062"/>
      <w:bookmarkStart w:id="365" w:name="_Toc144236814"/>
      <w:r>
        <w:rPr>
          <w:rFonts w:ascii="Times New Roman" w:hAnsi="Times New Roman" w:cs="Times New Roman" w:eastAsiaTheme="minorEastAsia"/>
        </w:rPr>
        <w:t>6.3 梯次利用</w:t>
      </w:r>
      <w:r>
        <w:rPr>
          <w:rFonts w:hint="eastAsia" w:ascii="Times New Roman" w:hAnsi="Times New Roman" w:cs="Times New Roman" w:eastAsiaTheme="minorEastAsia"/>
        </w:rPr>
        <w:t>厂区</w:t>
      </w:r>
      <w:r>
        <w:rPr>
          <w:rFonts w:ascii="Times New Roman" w:hAnsi="Times New Roman" w:cs="Times New Roman" w:eastAsiaTheme="minorEastAsia"/>
        </w:rPr>
        <w:t>环境影响分析</w:t>
      </w:r>
      <w:bookmarkEnd w:id="362"/>
      <w:bookmarkEnd w:id="363"/>
      <w:bookmarkEnd w:id="364"/>
      <w:bookmarkEnd w:id="365"/>
    </w:p>
    <w:p>
      <w:pPr>
        <w:pStyle w:val="4"/>
        <w:rPr>
          <w:rFonts w:ascii="Times New Roman" w:hAnsi="Times New Roman" w:cs="Times New Roman"/>
          <w:szCs w:val="28"/>
        </w:rPr>
      </w:pPr>
      <w:bookmarkStart w:id="366" w:name="_Toc147848063"/>
      <w:bookmarkStart w:id="367" w:name="_Toc144236815"/>
      <w:bookmarkStart w:id="368" w:name="_Toc144276945"/>
      <w:r>
        <w:rPr>
          <w:rFonts w:ascii="Times New Roman" w:hAnsi="Times New Roman" w:cs="Times New Roman"/>
          <w:szCs w:val="28"/>
        </w:rPr>
        <w:t>6.3.1 大气环境影响分析</w:t>
      </w:r>
      <w:bookmarkEnd w:id="366"/>
      <w:bookmarkEnd w:id="367"/>
      <w:bookmarkEnd w:id="368"/>
    </w:p>
    <w:p>
      <w:pPr>
        <w:spacing w:line="360" w:lineRule="auto"/>
        <w:ind w:firstLine="480"/>
        <w:rPr>
          <w:rFonts w:ascii="Times New Roman" w:hAnsi="Times New Roman" w:cs="Times New Roman"/>
          <w:kern w:val="0"/>
        </w:rPr>
      </w:pPr>
      <w:r>
        <w:rPr>
          <w:rFonts w:ascii="Times New Roman" w:hAnsi="Times New Roman" w:cs="Times New Roman"/>
          <w:kern w:val="0"/>
        </w:rPr>
        <w:t>本项目废旧动力电池梯次利用过程中产生的废气污染物主要为颗粒物，来自激光焊接过程产生的少量焊烟，其梯次利用规模为</w:t>
      </w:r>
      <w:r>
        <w:rPr>
          <w:rFonts w:ascii="Times New Roman" w:hAnsi="Times New Roman" w:cs="Times New Roman"/>
        </w:rPr>
        <w:t>25000</w:t>
      </w:r>
      <w:r>
        <w:rPr>
          <w:rFonts w:ascii="Times New Roman" w:hAnsi="Times New Roman" w:cs="Times New Roman"/>
          <w:kern w:val="0"/>
        </w:rPr>
        <w:t>t/a，焊接量少，产生的烟尘量较少。</w:t>
      </w:r>
    </w:p>
    <w:p>
      <w:pPr>
        <w:spacing w:line="360" w:lineRule="auto"/>
        <w:ind w:firstLine="480"/>
        <w:rPr>
          <w:rFonts w:ascii="Times New Roman" w:hAnsi="Times New Roman" w:cs="Times New Roman"/>
          <w:kern w:val="0"/>
        </w:rPr>
      </w:pPr>
      <w:r>
        <w:rPr>
          <w:rFonts w:ascii="Times New Roman" w:hAnsi="Times New Roman" w:cs="Times New Roman"/>
          <w:kern w:val="0"/>
        </w:rPr>
        <w:t>因此，厂房梯次利用产生的废气对周围环境影响很小。</w:t>
      </w:r>
    </w:p>
    <w:p>
      <w:pPr>
        <w:pStyle w:val="4"/>
        <w:rPr>
          <w:rFonts w:ascii="Times New Roman" w:hAnsi="Times New Roman" w:cs="Times New Roman"/>
          <w:szCs w:val="28"/>
        </w:rPr>
      </w:pPr>
      <w:bookmarkStart w:id="369" w:name="_Toc144276946"/>
      <w:bookmarkStart w:id="370" w:name="_Toc147848064"/>
      <w:bookmarkStart w:id="371" w:name="_Toc144236816"/>
      <w:r>
        <w:rPr>
          <w:rFonts w:ascii="Times New Roman" w:hAnsi="Times New Roman" w:cs="Times New Roman"/>
          <w:szCs w:val="28"/>
        </w:rPr>
        <w:t>6.3.2 水环境影响分析</w:t>
      </w:r>
      <w:bookmarkEnd w:id="369"/>
      <w:bookmarkEnd w:id="370"/>
      <w:bookmarkEnd w:id="371"/>
    </w:p>
    <w:p>
      <w:pPr>
        <w:spacing w:line="360" w:lineRule="auto"/>
        <w:ind w:firstLine="480"/>
        <w:rPr>
          <w:rFonts w:ascii="Times New Roman" w:hAnsi="Times New Roman" w:cs="Times New Roman"/>
          <w:kern w:val="0"/>
        </w:rPr>
      </w:pPr>
      <w:r>
        <w:rPr>
          <w:rFonts w:ascii="Times New Roman" w:hAnsi="Times New Roman" w:cs="Times New Roman"/>
          <w:kern w:val="0"/>
        </w:rPr>
        <w:t>（1）废水处理措施</w:t>
      </w:r>
    </w:p>
    <w:p>
      <w:pPr>
        <w:spacing w:line="360" w:lineRule="auto"/>
        <w:ind w:firstLine="480"/>
        <w:rPr>
          <w:rFonts w:ascii="Times New Roman" w:hAnsi="Times New Roman" w:cs="Times New Roman"/>
          <w:kern w:val="0"/>
        </w:rPr>
      </w:pPr>
      <w:r>
        <w:rPr>
          <w:rFonts w:ascii="Times New Roman" w:hAnsi="Times New Roman" w:cs="Times New Roman"/>
          <w:kern w:val="0"/>
        </w:rPr>
        <w:t>该部分运营过程中无生产废水产生，产生的废水为生活污水。</w:t>
      </w:r>
    </w:p>
    <w:p>
      <w:pPr>
        <w:spacing w:line="360" w:lineRule="auto"/>
        <w:ind w:firstLine="480"/>
        <w:rPr>
          <w:rFonts w:ascii="Times New Roman" w:hAnsi="Times New Roman" w:cs="Times New Roman"/>
          <w:kern w:val="0"/>
        </w:rPr>
      </w:pPr>
      <w:r>
        <w:rPr>
          <w:rFonts w:ascii="Times New Roman" w:hAnsi="Times New Roman" w:cs="Times New Roman"/>
          <w:kern w:val="0"/>
        </w:rPr>
        <w:t>梯次利用生活污水产生量约360m</w:t>
      </w:r>
      <w:r>
        <w:rPr>
          <w:rFonts w:ascii="Times New Roman" w:hAnsi="Times New Roman" w:cs="Times New Roman"/>
          <w:kern w:val="0"/>
          <w:vertAlign w:val="superscript"/>
        </w:rPr>
        <w:t>3</w:t>
      </w:r>
      <w:r>
        <w:rPr>
          <w:rFonts w:ascii="Times New Roman" w:hAnsi="Times New Roman" w:cs="Times New Roman"/>
          <w:kern w:val="0"/>
        </w:rPr>
        <w:t>/a，其依托化粪池处理满足《污水综合排放标准》（GB8978-1996）中“三级”标准后经市政污水管网排入园区污水处理厂进行深度处理。</w:t>
      </w:r>
    </w:p>
    <w:p>
      <w:pPr>
        <w:spacing w:line="360" w:lineRule="auto"/>
        <w:ind w:firstLine="480"/>
        <w:rPr>
          <w:rFonts w:ascii="Times New Roman" w:hAnsi="Times New Roman" w:cs="Times New Roman"/>
          <w:kern w:val="0"/>
        </w:rPr>
      </w:pPr>
      <w:r>
        <w:rPr>
          <w:rFonts w:ascii="Times New Roman" w:hAnsi="Times New Roman" w:cs="Times New Roman"/>
          <w:kern w:val="0"/>
        </w:rPr>
        <w:t>（2）园区依托可行性</w:t>
      </w:r>
    </w:p>
    <w:p>
      <w:pPr>
        <w:pStyle w:val="83"/>
        <w:spacing w:line="360" w:lineRule="auto"/>
        <w:ind w:firstLine="480"/>
        <w:rPr>
          <w:rFonts w:eastAsiaTheme="minorEastAsia"/>
        </w:rPr>
      </w:pPr>
      <w:r>
        <w:rPr>
          <w:rFonts w:eastAsiaTheme="minorEastAsia"/>
        </w:rPr>
        <w:t>园区污水处理厂处理规模为1万m</w:t>
      </w:r>
      <w:r>
        <w:rPr>
          <w:rFonts w:eastAsiaTheme="minorEastAsia"/>
          <w:vertAlign w:val="superscript"/>
        </w:rPr>
        <w:t>3</w:t>
      </w:r>
      <w:r>
        <w:rPr>
          <w:rFonts w:eastAsiaTheme="minorEastAsia"/>
        </w:rPr>
        <w:t>/d，根据该</w:t>
      </w:r>
      <w:r>
        <w:rPr>
          <w:rFonts w:hint="eastAsia" w:eastAsiaTheme="minorEastAsia"/>
          <w:lang w:eastAsia="zh-CN"/>
        </w:rPr>
        <w:t>污水处理厂</w:t>
      </w:r>
      <w:r>
        <w:rPr>
          <w:rFonts w:eastAsiaTheme="minorEastAsia"/>
        </w:rPr>
        <w:t>的调查数据，现状实际处理量为6500m</w:t>
      </w:r>
      <w:r>
        <w:rPr>
          <w:rFonts w:eastAsiaTheme="minorEastAsia"/>
          <w:vertAlign w:val="superscript"/>
        </w:rPr>
        <w:t>3</w:t>
      </w:r>
      <w:r>
        <w:rPr>
          <w:rFonts w:eastAsiaTheme="minorEastAsia"/>
        </w:rPr>
        <w:t>/d，尚有约35%的富余处理能力，本项目新增废水量占该污水处理厂处理量的0.02%，占比很低，能满足水量的接纳要求。</w:t>
      </w:r>
    </w:p>
    <w:p>
      <w:pPr>
        <w:pStyle w:val="83"/>
        <w:spacing w:line="360" w:lineRule="auto"/>
        <w:ind w:firstLine="480"/>
        <w:rPr>
          <w:rFonts w:eastAsiaTheme="minorEastAsia"/>
        </w:rPr>
      </w:pPr>
      <w:r>
        <w:rPr>
          <w:rFonts w:eastAsiaTheme="minorEastAsia"/>
        </w:rPr>
        <w:t>项目生活污水依托化粪池预处理后，其水质可满足园区污水处理厂纳管标准——《污水综合排放标准》（GB8978-1996）表4中三级排放标准。</w:t>
      </w:r>
    </w:p>
    <w:p>
      <w:pPr>
        <w:pStyle w:val="83"/>
        <w:spacing w:line="360" w:lineRule="auto"/>
        <w:ind w:firstLine="480"/>
        <w:rPr>
          <w:rFonts w:eastAsiaTheme="minorEastAsia"/>
        </w:rPr>
      </w:pPr>
      <w:r>
        <w:rPr>
          <w:rFonts w:eastAsiaTheme="minorEastAsia"/>
        </w:rPr>
        <w:t>综上，本项目厂区生活污水经化粪池处理后排入园区污水处理厂，对周围环境影响较小。</w:t>
      </w:r>
    </w:p>
    <w:p>
      <w:pPr>
        <w:pStyle w:val="4"/>
        <w:rPr>
          <w:rFonts w:ascii="Times New Roman" w:hAnsi="Times New Roman" w:cs="Times New Roman"/>
          <w:szCs w:val="28"/>
        </w:rPr>
      </w:pPr>
      <w:bookmarkStart w:id="372" w:name="_Toc144236817"/>
      <w:bookmarkStart w:id="373" w:name="_Toc144276947"/>
      <w:bookmarkStart w:id="374" w:name="_Toc147848065"/>
      <w:r>
        <w:rPr>
          <w:rFonts w:ascii="Times New Roman" w:hAnsi="Times New Roman" w:cs="Times New Roman"/>
          <w:szCs w:val="28"/>
        </w:rPr>
        <w:t>6.3.3 地下水环境影响分析</w:t>
      </w:r>
      <w:bookmarkEnd w:id="372"/>
      <w:bookmarkEnd w:id="373"/>
      <w:bookmarkEnd w:id="374"/>
    </w:p>
    <w:p>
      <w:pPr>
        <w:spacing w:line="360" w:lineRule="auto"/>
        <w:ind w:firstLine="480"/>
        <w:rPr>
          <w:rFonts w:ascii="Times New Roman" w:hAnsi="Times New Roman" w:cs="Times New Roman"/>
          <w:kern w:val="0"/>
        </w:rPr>
      </w:pPr>
      <w:r>
        <w:rPr>
          <w:rFonts w:ascii="Times New Roman" w:hAnsi="Times New Roman" w:cs="Times New Roman"/>
          <w:kern w:val="0"/>
        </w:rPr>
        <w:t>本项目的厂房进行重点防渗，厂房内部四周设置沟槽，并设置收集池，用于泄漏的废电解液的收集，收集池进行了重点防渗；厂房内设置了危废暂存间，用于危废的收集和暂存，危废暂存间进行了重点防渗</w:t>
      </w:r>
    </w:p>
    <w:p>
      <w:pPr>
        <w:spacing w:line="360" w:lineRule="auto"/>
        <w:ind w:firstLine="480"/>
        <w:rPr>
          <w:rFonts w:ascii="Times New Roman" w:hAnsi="Times New Roman" w:cs="Times New Roman"/>
          <w:kern w:val="0"/>
        </w:rPr>
      </w:pPr>
      <w:r>
        <w:rPr>
          <w:rFonts w:ascii="Times New Roman" w:hAnsi="Times New Roman" w:cs="Times New Roman"/>
          <w:kern w:val="0"/>
        </w:rPr>
        <w:t>因此，本项目梯次利用，其对地下水环境影响很小。</w:t>
      </w:r>
    </w:p>
    <w:p>
      <w:pPr>
        <w:pStyle w:val="4"/>
        <w:rPr>
          <w:rFonts w:ascii="Times New Roman" w:hAnsi="Times New Roman" w:cs="Times New Roman"/>
          <w:szCs w:val="28"/>
          <w:u w:val="single"/>
        </w:rPr>
      </w:pPr>
      <w:bookmarkStart w:id="375" w:name="_Toc144236818"/>
      <w:bookmarkStart w:id="376" w:name="_Toc144276948"/>
      <w:bookmarkStart w:id="377" w:name="_Toc147848066"/>
      <w:r>
        <w:rPr>
          <w:rFonts w:ascii="Times New Roman" w:hAnsi="Times New Roman" w:cs="Times New Roman"/>
          <w:szCs w:val="28"/>
          <w:u w:val="single"/>
        </w:rPr>
        <w:t>6.3.4 声环境影响分析</w:t>
      </w:r>
      <w:bookmarkEnd w:id="375"/>
      <w:bookmarkEnd w:id="376"/>
      <w:bookmarkEnd w:id="377"/>
    </w:p>
    <w:p>
      <w:pPr>
        <w:pStyle w:val="83"/>
        <w:spacing w:line="360" w:lineRule="auto"/>
        <w:ind w:firstLine="480"/>
        <w:rPr>
          <w:rFonts w:eastAsiaTheme="minorEastAsia"/>
          <w:u w:val="single"/>
        </w:rPr>
      </w:pPr>
      <w:r>
        <w:rPr>
          <w:rFonts w:eastAsiaTheme="minorEastAsia"/>
          <w:u w:val="single"/>
        </w:rPr>
        <w:t>（1）预测因子</w:t>
      </w:r>
    </w:p>
    <w:p>
      <w:pPr>
        <w:pStyle w:val="83"/>
        <w:spacing w:line="360" w:lineRule="auto"/>
        <w:ind w:firstLine="480"/>
        <w:rPr>
          <w:rFonts w:eastAsiaTheme="minorEastAsia"/>
          <w:u w:val="single"/>
        </w:rPr>
      </w:pPr>
      <w:r>
        <w:rPr>
          <w:rFonts w:eastAsiaTheme="minorEastAsia"/>
          <w:u w:val="single"/>
        </w:rPr>
        <w:t>等效连续A声级。</w:t>
      </w:r>
    </w:p>
    <w:p>
      <w:pPr>
        <w:pStyle w:val="83"/>
        <w:spacing w:line="360" w:lineRule="auto"/>
        <w:ind w:firstLine="480"/>
        <w:rPr>
          <w:rFonts w:eastAsiaTheme="minorEastAsia"/>
          <w:u w:val="single"/>
        </w:rPr>
      </w:pPr>
      <w:r>
        <w:rPr>
          <w:rFonts w:eastAsiaTheme="minorEastAsia"/>
          <w:u w:val="single"/>
        </w:rPr>
        <w:t>（2）预测范围</w:t>
      </w:r>
    </w:p>
    <w:p>
      <w:pPr>
        <w:pStyle w:val="83"/>
        <w:spacing w:line="360" w:lineRule="auto"/>
        <w:ind w:firstLine="480"/>
        <w:rPr>
          <w:rFonts w:eastAsiaTheme="minorEastAsia"/>
          <w:u w:val="single"/>
        </w:rPr>
      </w:pPr>
      <w:r>
        <w:rPr>
          <w:rFonts w:eastAsiaTheme="minorEastAsia"/>
          <w:u w:val="single"/>
        </w:rPr>
        <w:t>建设项目厂界外200m。</w:t>
      </w:r>
    </w:p>
    <w:p>
      <w:pPr>
        <w:pStyle w:val="83"/>
        <w:spacing w:line="360" w:lineRule="auto"/>
        <w:ind w:firstLine="480"/>
        <w:rPr>
          <w:rFonts w:eastAsiaTheme="minorEastAsia"/>
          <w:u w:val="single"/>
        </w:rPr>
      </w:pPr>
      <w:r>
        <w:rPr>
          <w:rFonts w:eastAsiaTheme="minorEastAsia"/>
          <w:u w:val="single"/>
        </w:rPr>
        <w:t>（3）噪声源强</w:t>
      </w:r>
    </w:p>
    <w:p>
      <w:pPr>
        <w:pStyle w:val="83"/>
        <w:spacing w:line="360" w:lineRule="auto"/>
        <w:ind w:firstLine="480"/>
        <w:rPr>
          <w:rFonts w:eastAsiaTheme="minorEastAsia"/>
          <w:u w:val="single"/>
        </w:rPr>
      </w:pPr>
      <w:r>
        <w:rPr>
          <w:rFonts w:eastAsiaTheme="minorEastAsia"/>
          <w:u w:val="single"/>
        </w:rPr>
        <w:t>本项目新增主要噪声源为设备噪声等，对产生较大噪声的泵类设备采取基础减震、消声器、建筑物隔离等隔音措施。本项目噪声源强具体情况及具体治理措施见下表所示。</w:t>
      </w:r>
    </w:p>
    <w:p>
      <w:pPr>
        <w:pStyle w:val="6"/>
        <w:rPr>
          <w:rFonts w:ascii="Times New Roman" w:hAnsi="Times New Roman" w:cs="Times New Roman"/>
          <w:u w:val="single"/>
        </w:rPr>
      </w:pPr>
      <w:r>
        <w:rPr>
          <w:rFonts w:ascii="Times New Roman" w:hAnsi="Times New Roman" w:cs="Times New Roman"/>
          <w:u w:val="single"/>
        </w:rPr>
        <w:t>表</w:t>
      </w:r>
      <w:r>
        <w:rPr>
          <w:rFonts w:hint="eastAsia" w:ascii="Times New Roman" w:hAnsi="Times New Roman" w:cs="Times New Roman"/>
          <w:u w:val="single"/>
        </w:rPr>
        <w:t>6.3-1</w:t>
      </w:r>
      <w:r>
        <w:rPr>
          <w:rFonts w:ascii="Times New Roman" w:hAnsi="Times New Roman" w:cs="Times New Roman"/>
          <w:u w:val="single"/>
        </w:rPr>
        <w:t xml:space="preserve"> </w:t>
      </w:r>
      <w:r>
        <w:rPr>
          <w:rFonts w:hint="eastAsia" w:ascii="Times New Roman" w:hAnsi="Times New Roman" w:cs="Times New Roman"/>
          <w:u w:val="single"/>
        </w:rPr>
        <w:t xml:space="preserve"> </w:t>
      </w:r>
      <w:r>
        <w:rPr>
          <w:rFonts w:ascii="Times New Roman" w:hAnsi="Times New Roman" w:cs="Times New Roman"/>
          <w:u w:val="single"/>
        </w:rPr>
        <w:t>梯次利用厂区主要新增噪声源统计结果表</w:t>
      </w:r>
    </w:p>
    <w:tbl>
      <w:tblPr>
        <w:tblStyle w:val="35"/>
        <w:tblW w:w="8505" w:type="dxa"/>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0" w:type="dxa"/>
          <w:bottom w:w="0" w:type="dxa"/>
          <w:right w:w="0" w:type="dxa"/>
        </w:tblCellMar>
      </w:tblPr>
      <w:tblGrid>
        <w:gridCol w:w="541"/>
        <w:gridCol w:w="1680"/>
        <w:gridCol w:w="909"/>
        <w:gridCol w:w="1099"/>
        <w:gridCol w:w="2186"/>
        <w:gridCol w:w="1100"/>
        <w:gridCol w:w="990"/>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541" w:type="dxa"/>
            <w:vAlign w:val="center"/>
          </w:tcPr>
          <w:p>
            <w:pPr>
              <w:pStyle w:val="63"/>
              <w:rPr>
                <w:u w:val="single"/>
              </w:rPr>
            </w:pPr>
            <w:r>
              <w:rPr>
                <w:u w:val="single"/>
              </w:rPr>
              <w:t>序 号</w:t>
            </w:r>
          </w:p>
        </w:tc>
        <w:tc>
          <w:tcPr>
            <w:tcW w:w="1680" w:type="dxa"/>
            <w:vAlign w:val="center"/>
          </w:tcPr>
          <w:p>
            <w:pPr>
              <w:pStyle w:val="63"/>
              <w:rPr>
                <w:u w:val="single"/>
              </w:rPr>
            </w:pPr>
            <w:r>
              <w:rPr>
                <w:u w:val="single"/>
              </w:rPr>
              <w:t>噪声源</w:t>
            </w:r>
          </w:p>
        </w:tc>
        <w:tc>
          <w:tcPr>
            <w:tcW w:w="909" w:type="dxa"/>
            <w:vAlign w:val="center"/>
          </w:tcPr>
          <w:p>
            <w:pPr>
              <w:pStyle w:val="63"/>
              <w:rPr>
                <w:u w:val="single"/>
              </w:rPr>
            </w:pPr>
            <w:r>
              <w:rPr>
                <w:u w:val="single"/>
              </w:rPr>
              <w:t>数量（台）</w:t>
            </w:r>
          </w:p>
        </w:tc>
        <w:tc>
          <w:tcPr>
            <w:tcW w:w="1099" w:type="dxa"/>
            <w:vAlign w:val="center"/>
          </w:tcPr>
          <w:p>
            <w:pPr>
              <w:pStyle w:val="63"/>
              <w:rPr>
                <w:u w:val="single"/>
              </w:rPr>
            </w:pPr>
            <w:r>
              <w:rPr>
                <w:u w:val="single"/>
              </w:rPr>
              <w:t>噪声强度</w:t>
            </w:r>
          </w:p>
        </w:tc>
        <w:tc>
          <w:tcPr>
            <w:tcW w:w="2186" w:type="dxa"/>
            <w:vAlign w:val="center"/>
          </w:tcPr>
          <w:p>
            <w:pPr>
              <w:pStyle w:val="63"/>
              <w:rPr>
                <w:u w:val="single"/>
              </w:rPr>
            </w:pPr>
            <w:r>
              <w:rPr>
                <w:u w:val="single"/>
              </w:rPr>
              <w:t>防治措施</w:t>
            </w:r>
          </w:p>
        </w:tc>
        <w:tc>
          <w:tcPr>
            <w:tcW w:w="1100" w:type="dxa"/>
            <w:vAlign w:val="center"/>
          </w:tcPr>
          <w:p>
            <w:pPr>
              <w:pStyle w:val="63"/>
              <w:rPr>
                <w:u w:val="single"/>
              </w:rPr>
            </w:pPr>
            <w:r>
              <w:rPr>
                <w:u w:val="single"/>
              </w:rPr>
              <w:t>降噪量</w:t>
            </w:r>
          </w:p>
        </w:tc>
        <w:tc>
          <w:tcPr>
            <w:tcW w:w="990" w:type="dxa"/>
            <w:vAlign w:val="center"/>
          </w:tcPr>
          <w:p>
            <w:pPr>
              <w:pStyle w:val="63"/>
              <w:rPr>
                <w:u w:val="single"/>
              </w:rPr>
            </w:pPr>
            <w:r>
              <w:rPr>
                <w:u w:val="single"/>
              </w:rPr>
              <w:t>排放噪声</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541" w:type="dxa"/>
            <w:vAlign w:val="center"/>
          </w:tcPr>
          <w:p>
            <w:pPr>
              <w:pStyle w:val="63"/>
              <w:rPr>
                <w:u w:val="single"/>
              </w:rPr>
            </w:pPr>
            <w:r>
              <w:rPr>
                <w:u w:val="single"/>
              </w:rPr>
              <w:t>1</w:t>
            </w:r>
          </w:p>
        </w:tc>
        <w:tc>
          <w:tcPr>
            <w:tcW w:w="1680" w:type="dxa"/>
            <w:vAlign w:val="center"/>
          </w:tcPr>
          <w:p>
            <w:pPr>
              <w:pStyle w:val="63"/>
              <w:rPr>
                <w:u w:val="single"/>
              </w:rPr>
            </w:pPr>
            <w:r>
              <w:rPr>
                <w:u w:val="single"/>
              </w:rPr>
              <w:t>输送线</w:t>
            </w:r>
          </w:p>
        </w:tc>
        <w:tc>
          <w:tcPr>
            <w:tcW w:w="909" w:type="dxa"/>
            <w:vAlign w:val="center"/>
          </w:tcPr>
          <w:p>
            <w:pPr>
              <w:pStyle w:val="63"/>
              <w:rPr>
                <w:u w:val="single"/>
              </w:rPr>
            </w:pPr>
            <w:r>
              <w:rPr>
                <w:u w:val="single"/>
              </w:rPr>
              <w:t>1</w:t>
            </w:r>
          </w:p>
        </w:tc>
        <w:tc>
          <w:tcPr>
            <w:tcW w:w="1099" w:type="dxa"/>
            <w:vAlign w:val="center"/>
          </w:tcPr>
          <w:p>
            <w:pPr>
              <w:pStyle w:val="63"/>
              <w:rPr>
                <w:u w:val="single"/>
              </w:rPr>
            </w:pPr>
            <w:r>
              <w:rPr>
                <w:u w:val="single"/>
              </w:rPr>
              <w:t>75~85</w:t>
            </w:r>
          </w:p>
        </w:tc>
        <w:tc>
          <w:tcPr>
            <w:tcW w:w="2186" w:type="dxa"/>
            <w:vAlign w:val="center"/>
          </w:tcPr>
          <w:p>
            <w:pPr>
              <w:pStyle w:val="63"/>
              <w:rPr>
                <w:u w:val="single"/>
              </w:rPr>
            </w:pPr>
            <w:r>
              <w:rPr>
                <w:u w:val="single"/>
              </w:rPr>
              <w:t>基础减振、厂房隔声</w:t>
            </w:r>
          </w:p>
        </w:tc>
        <w:tc>
          <w:tcPr>
            <w:tcW w:w="1100" w:type="dxa"/>
            <w:vAlign w:val="center"/>
          </w:tcPr>
          <w:p>
            <w:pPr>
              <w:pStyle w:val="63"/>
              <w:rPr>
                <w:u w:val="single"/>
              </w:rPr>
            </w:pPr>
            <w:r>
              <w:rPr>
                <w:u w:val="single"/>
              </w:rPr>
              <w:t>15</w:t>
            </w:r>
          </w:p>
        </w:tc>
        <w:tc>
          <w:tcPr>
            <w:tcW w:w="990" w:type="dxa"/>
            <w:vAlign w:val="center"/>
          </w:tcPr>
          <w:p>
            <w:pPr>
              <w:pStyle w:val="63"/>
              <w:rPr>
                <w:u w:val="single"/>
              </w:rPr>
            </w:pPr>
            <w:r>
              <w:rPr>
                <w:u w:val="single"/>
              </w:rPr>
              <w:t>60~70</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541" w:type="dxa"/>
            <w:vAlign w:val="center"/>
          </w:tcPr>
          <w:p>
            <w:pPr>
              <w:pStyle w:val="63"/>
              <w:rPr>
                <w:u w:val="single"/>
              </w:rPr>
            </w:pPr>
            <w:r>
              <w:rPr>
                <w:u w:val="single"/>
              </w:rPr>
              <w:t>3</w:t>
            </w:r>
          </w:p>
        </w:tc>
        <w:tc>
          <w:tcPr>
            <w:tcW w:w="1680" w:type="dxa"/>
            <w:vAlign w:val="center"/>
          </w:tcPr>
          <w:p>
            <w:pPr>
              <w:pStyle w:val="63"/>
              <w:rPr>
                <w:u w:val="single"/>
              </w:rPr>
            </w:pPr>
            <w:r>
              <w:rPr>
                <w:u w:val="single"/>
              </w:rPr>
              <w:t>测试柜</w:t>
            </w:r>
          </w:p>
        </w:tc>
        <w:tc>
          <w:tcPr>
            <w:tcW w:w="909" w:type="dxa"/>
            <w:vAlign w:val="center"/>
          </w:tcPr>
          <w:p>
            <w:pPr>
              <w:pStyle w:val="63"/>
              <w:rPr>
                <w:u w:val="single"/>
              </w:rPr>
            </w:pPr>
            <w:r>
              <w:rPr>
                <w:u w:val="single"/>
              </w:rPr>
              <w:t>1</w:t>
            </w:r>
          </w:p>
        </w:tc>
        <w:tc>
          <w:tcPr>
            <w:tcW w:w="1099" w:type="dxa"/>
            <w:vAlign w:val="center"/>
          </w:tcPr>
          <w:p>
            <w:pPr>
              <w:pStyle w:val="63"/>
              <w:rPr>
                <w:u w:val="single"/>
              </w:rPr>
            </w:pPr>
            <w:r>
              <w:rPr>
                <w:u w:val="single"/>
              </w:rPr>
              <w:t>70~80</w:t>
            </w:r>
          </w:p>
        </w:tc>
        <w:tc>
          <w:tcPr>
            <w:tcW w:w="2186" w:type="dxa"/>
            <w:vAlign w:val="center"/>
          </w:tcPr>
          <w:p>
            <w:pPr>
              <w:pStyle w:val="63"/>
              <w:rPr>
                <w:u w:val="single"/>
              </w:rPr>
            </w:pPr>
            <w:r>
              <w:rPr>
                <w:u w:val="single"/>
              </w:rPr>
              <w:t>基础减振、厂房隔声</w:t>
            </w:r>
          </w:p>
        </w:tc>
        <w:tc>
          <w:tcPr>
            <w:tcW w:w="1100" w:type="dxa"/>
            <w:vAlign w:val="center"/>
          </w:tcPr>
          <w:p>
            <w:pPr>
              <w:pStyle w:val="63"/>
              <w:rPr>
                <w:u w:val="single"/>
              </w:rPr>
            </w:pPr>
            <w:r>
              <w:rPr>
                <w:u w:val="single"/>
              </w:rPr>
              <w:t>15</w:t>
            </w:r>
          </w:p>
        </w:tc>
        <w:tc>
          <w:tcPr>
            <w:tcW w:w="990" w:type="dxa"/>
            <w:vAlign w:val="center"/>
          </w:tcPr>
          <w:p>
            <w:pPr>
              <w:pStyle w:val="63"/>
              <w:rPr>
                <w:u w:val="single"/>
              </w:rPr>
            </w:pPr>
            <w:r>
              <w:rPr>
                <w:u w:val="single"/>
              </w:rPr>
              <w:t>55~65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541" w:type="dxa"/>
            <w:vAlign w:val="center"/>
          </w:tcPr>
          <w:p>
            <w:pPr>
              <w:pStyle w:val="63"/>
              <w:rPr>
                <w:u w:val="single"/>
              </w:rPr>
            </w:pPr>
            <w:r>
              <w:rPr>
                <w:u w:val="single"/>
              </w:rPr>
              <w:t>4</w:t>
            </w:r>
          </w:p>
        </w:tc>
        <w:tc>
          <w:tcPr>
            <w:tcW w:w="1680" w:type="dxa"/>
            <w:vAlign w:val="center"/>
          </w:tcPr>
          <w:p>
            <w:pPr>
              <w:pStyle w:val="63"/>
              <w:rPr>
                <w:u w:val="single"/>
              </w:rPr>
            </w:pPr>
            <w:r>
              <w:rPr>
                <w:u w:val="single"/>
              </w:rPr>
              <w:t>行吊</w:t>
            </w:r>
          </w:p>
        </w:tc>
        <w:tc>
          <w:tcPr>
            <w:tcW w:w="909" w:type="dxa"/>
            <w:vAlign w:val="center"/>
          </w:tcPr>
          <w:p>
            <w:pPr>
              <w:pStyle w:val="63"/>
              <w:rPr>
                <w:u w:val="single"/>
              </w:rPr>
            </w:pPr>
            <w:r>
              <w:rPr>
                <w:u w:val="single"/>
              </w:rPr>
              <w:t>1</w:t>
            </w:r>
          </w:p>
        </w:tc>
        <w:tc>
          <w:tcPr>
            <w:tcW w:w="1099" w:type="dxa"/>
            <w:vAlign w:val="center"/>
          </w:tcPr>
          <w:p>
            <w:pPr>
              <w:pStyle w:val="63"/>
              <w:rPr>
                <w:u w:val="single"/>
              </w:rPr>
            </w:pPr>
            <w:r>
              <w:rPr>
                <w:u w:val="single"/>
              </w:rPr>
              <w:t>75~85</w:t>
            </w:r>
          </w:p>
        </w:tc>
        <w:tc>
          <w:tcPr>
            <w:tcW w:w="2186" w:type="dxa"/>
            <w:vAlign w:val="center"/>
          </w:tcPr>
          <w:p>
            <w:pPr>
              <w:pStyle w:val="63"/>
              <w:rPr>
                <w:u w:val="single"/>
              </w:rPr>
            </w:pPr>
            <w:r>
              <w:rPr>
                <w:u w:val="single"/>
              </w:rPr>
              <w:t>基础减振、厂房隔声</w:t>
            </w:r>
          </w:p>
        </w:tc>
        <w:tc>
          <w:tcPr>
            <w:tcW w:w="1100" w:type="dxa"/>
            <w:vAlign w:val="center"/>
          </w:tcPr>
          <w:p>
            <w:pPr>
              <w:pStyle w:val="63"/>
              <w:rPr>
                <w:u w:val="single"/>
              </w:rPr>
            </w:pPr>
            <w:r>
              <w:rPr>
                <w:u w:val="single"/>
              </w:rPr>
              <w:t>15</w:t>
            </w:r>
          </w:p>
        </w:tc>
        <w:tc>
          <w:tcPr>
            <w:tcW w:w="990" w:type="dxa"/>
            <w:vAlign w:val="center"/>
          </w:tcPr>
          <w:p>
            <w:pPr>
              <w:pStyle w:val="63"/>
              <w:rPr>
                <w:u w:val="single"/>
              </w:rPr>
            </w:pPr>
            <w:r>
              <w:rPr>
                <w:u w:val="single"/>
              </w:rPr>
              <w:t>55~65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541" w:type="dxa"/>
            <w:vAlign w:val="center"/>
          </w:tcPr>
          <w:p>
            <w:pPr>
              <w:pStyle w:val="63"/>
              <w:rPr>
                <w:u w:val="single"/>
              </w:rPr>
            </w:pPr>
            <w:r>
              <w:rPr>
                <w:u w:val="single"/>
              </w:rPr>
              <w:t>5</w:t>
            </w:r>
          </w:p>
        </w:tc>
        <w:tc>
          <w:tcPr>
            <w:tcW w:w="1680" w:type="dxa"/>
            <w:vAlign w:val="center"/>
          </w:tcPr>
          <w:p>
            <w:pPr>
              <w:pStyle w:val="63"/>
              <w:rPr>
                <w:u w:val="single"/>
              </w:rPr>
            </w:pPr>
            <w:r>
              <w:rPr>
                <w:u w:val="single"/>
              </w:rPr>
              <w:t>模组拆卸</w:t>
            </w:r>
          </w:p>
        </w:tc>
        <w:tc>
          <w:tcPr>
            <w:tcW w:w="909" w:type="dxa"/>
            <w:vAlign w:val="center"/>
          </w:tcPr>
          <w:p>
            <w:pPr>
              <w:pStyle w:val="63"/>
              <w:rPr>
                <w:u w:val="single"/>
              </w:rPr>
            </w:pPr>
            <w:r>
              <w:rPr>
                <w:u w:val="single"/>
              </w:rPr>
              <w:t>1</w:t>
            </w:r>
          </w:p>
        </w:tc>
        <w:tc>
          <w:tcPr>
            <w:tcW w:w="1099" w:type="dxa"/>
            <w:vAlign w:val="center"/>
          </w:tcPr>
          <w:p>
            <w:pPr>
              <w:pStyle w:val="63"/>
              <w:rPr>
                <w:u w:val="single"/>
              </w:rPr>
            </w:pPr>
            <w:r>
              <w:rPr>
                <w:u w:val="single"/>
              </w:rPr>
              <w:t>75~85</w:t>
            </w:r>
          </w:p>
        </w:tc>
        <w:tc>
          <w:tcPr>
            <w:tcW w:w="2186" w:type="dxa"/>
            <w:vAlign w:val="center"/>
          </w:tcPr>
          <w:p>
            <w:pPr>
              <w:pStyle w:val="63"/>
              <w:rPr>
                <w:u w:val="single"/>
              </w:rPr>
            </w:pPr>
            <w:r>
              <w:rPr>
                <w:u w:val="single"/>
              </w:rPr>
              <w:t>基础减振、厂房隔声</w:t>
            </w:r>
          </w:p>
        </w:tc>
        <w:tc>
          <w:tcPr>
            <w:tcW w:w="1100" w:type="dxa"/>
            <w:vAlign w:val="center"/>
          </w:tcPr>
          <w:p>
            <w:pPr>
              <w:pStyle w:val="63"/>
              <w:rPr>
                <w:u w:val="single"/>
              </w:rPr>
            </w:pPr>
            <w:r>
              <w:rPr>
                <w:u w:val="single"/>
              </w:rPr>
              <w:t>15</w:t>
            </w:r>
          </w:p>
        </w:tc>
        <w:tc>
          <w:tcPr>
            <w:tcW w:w="990" w:type="dxa"/>
            <w:vAlign w:val="center"/>
          </w:tcPr>
          <w:p>
            <w:pPr>
              <w:pStyle w:val="63"/>
              <w:rPr>
                <w:u w:val="single"/>
              </w:rPr>
            </w:pPr>
            <w:r>
              <w:rPr>
                <w:u w:val="single"/>
              </w:rPr>
              <w:t>55~65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541" w:type="dxa"/>
            <w:vAlign w:val="center"/>
          </w:tcPr>
          <w:p>
            <w:pPr>
              <w:pStyle w:val="63"/>
              <w:rPr>
                <w:u w:val="single"/>
              </w:rPr>
            </w:pPr>
            <w:r>
              <w:rPr>
                <w:u w:val="single"/>
              </w:rPr>
              <w:t>6</w:t>
            </w:r>
          </w:p>
        </w:tc>
        <w:tc>
          <w:tcPr>
            <w:tcW w:w="1680" w:type="dxa"/>
            <w:vAlign w:val="center"/>
          </w:tcPr>
          <w:p>
            <w:pPr>
              <w:pStyle w:val="63"/>
              <w:rPr>
                <w:u w:val="single"/>
              </w:rPr>
            </w:pPr>
            <w:r>
              <w:rPr>
                <w:u w:val="single"/>
              </w:rPr>
              <w:t>叉车</w:t>
            </w:r>
          </w:p>
        </w:tc>
        <w:tc>
          <w:tcPr>
            <w:tcW w:w="909" w:type="dxa"/>
            <w:vAlign w:val="center"/>
          </w:tcPr>
          <w:p>
            <w:pPr>
              <w:pStyle w:val="63"/>
              <w:rPr>
                <w:u w:val="single"/>
              </w:rPr>
            </w:pPr>
            <w:r>
              <w:rPr>
                <w:u w:val="single"/>
              </w:rPr>
              <w:t>1</w:t>
            </w:r>
          </w:p>
        </w:tc>
        <w:tc>
          <w:tcPr>
            <w:tcW w:w="1099" w:type="dxa"/>
            <w:vAlign w:val="center"/>
          </w:tcPr>
          <w:p>
            <w:pPr>
              <w:pStyle w:val="63"/>
              <w:rPr>
                <w:u w:val="single"/>
              </w:rPr>
            </w:pPr>
            <w:r>
              <w:rPr>
                <w:u w:val="single"/>
              </w:rPr>
              <w:t>75~85</w:t>
            </w:r>
          </w:p>
        </w:tc>
        <w:tc>
          <w:tcPr>
            <w:tcW w:w="2186" w:type="dxa"/>
            <w:vAlign w:val="center"/>
          </w:tcPr>
          <w:p>
            <w:pPr>
              <w:pStyle w:val="63"/>
              <w:rPr>
                <w:u w:val="single"/>
              </w:rPr>
            </w:pPr>
            <w:r>
              <w:rPr>
                <w:u w:val="single"/>
              </w:rPr>
              <w:t>基础减振、厂房隔声</w:t>
            </w:r>
          </w:p>
        </w:tc>
        <w:tc>
          <w:tcPr>
            <w:tcW w:w="1100" w:type="dxa"/>
            <w:vAlign w:val="center"/>
          </w:tcPr>
          <w:p>
            <w:pPr>
              <w:pStyle w:val="63"/>
              <w:rPr>
                <w:u w:val="single"/>
              </w:rPr>
            </w:pPr>
            <w:r>
              <w:rPr>
                <w:u w:val="single"/>
              </w:rPr>
              <w:t>15</w:t>
            </w:r>
          </w:p>
        </w:tc>
        <w:tc>
          <w:tcPr>
            <w:tcW w:w="990" w:type="dxa"/>
            <w:vAlign w:val="center"/>
          </w:tcPr>
          <w:p>
            <w:pPr>
              <w:pStyle w:val="63"/>
              <w:rPr>
                <w:u w:val="single"/>
              </w:rPr>
            </w:pPr>
            <w:r>
              <w:rPr>
                <w:u w:val="single"/>
              </w:rPr>
              <w:t>55~65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541" w:type="dxa"/>
            <w:vAlign w:val="center"/>
          </w:tcPr>
          <w:p>
            <w:pPr>
              <w:pStyle w:val="63"/>
              <w:rPr>
                <w:u w:val="single"/>
              </w:rPr>
            </w:pPr>
            <w:r>
              <w:rPr>
                <w:u w:val="single"/>
              </w:rPr>
              <w:t>7</w:t>
            </w:r>
          </w:p>
        </w:tc>
        <w:tc>
          <w:tcPr>
            <w:tcW w:w="1680" w:type="dxa"/>
            <w:vAlign w:val="center"/>
          </w:tcPr>
          <w:p>
            <w:pPr>
              <w:pStyle w:val="63"/>
              <w:rPr>
                <w:u w:val="single"/>
              </w:rPr>
            </w:pPr>
            <w:r>
              <w:rPr>
                <w:kern w:val="0"/>
                <w:u w:val="single"/>
              </w:rPr>
              <w:t>智能折臂吊</w:t>
            </w:r>
          </w:p>
        </w:tc>
        <w:tc>
          <w:tcPr>
            <w:tcW w:w="909" w:type="dxa"/>
            <w:vAlign w:val="center"/>
          </w:tcPr>
          <w:p>
            <w:pPr>
              <w:pStyle w:val="63"/>
              <w:rPr>
                <w:u w:val="single"/>
              </w:rPr>
            </w:pPr>
            <w:r>
              <w:rPr>
                <w:u w:val="single"/>
              </w:rPr>
              <w:t>1</w:t>
            </w:r>
          </w:p>
        </w:tc>
        <w:tc>
          <w:tcPr>
            <w:tcW w:w="1099" w:type="dxa"/>
            <w:vAlign w:val="center"/>
          </w:tcPr>
          <w:p>
            <w:pPr>
              <w:pStyle w:val="63"/>
              <w:rPr>
                <w:u w:val="single"/>
              </w:rPr>
            </w:pPr>
            <w:r>
              <w:rPr>
                <w:u w:val="single"/>
              </w:rPr>
              <w:t>75~85</w:t>
            </w:r>
          </w:p>
        </w:tc>
        <w:tc>
          <w:tcPr>
            <w:tcW w:w="2186" w:type="dxa"/>
            <w:vAlign w:val="center"/>
          </w:tcPr>
          <w:p>
            <w:pPr>
              <w:pStyle w:val="63"/>
              <w:rPr>
                <w:u w:val="single"/>
              </w:rPr>
            </w:pPr>
            <w:r>
              <w:rPr>
                <w:u w:val="single"/>
              </w:rPr>
              <w:t>基础减振、厂房隔声</w:t>
            </w:r>
          </w:p>
        </w:tc>
        <w:tc>
          <w:tcPr>
            <w:tcW w:w="1100" w:type="dxa"/>
            <w:vAlign w:val="center"/>
          </w:tcPr>
          <w:p>
            <w:pPr>
              <w:pStyle w:val="63"/>
              <w:rPr>
                <w:u w:val="single"/>
              </w:rPr>
            </w:pPr>
            <w:r>
              <w:rPr>
                <w:u w:val="single"/>
              </w:rPr>
              <w:t>15</w:t>
            </w:r>
          </w:p>
        </w:tc>
        <w:tc>
          <w:tcPr>
            <w:tcW w:w="990" w:type="dxa"/>
            <w:vAlign w:val="center"/>
          </w:tcPr>
          <w:p>
            <w:pPr>
              <w:pStyle w:val="63"/>
              <w:rPr>
                <w:u w:val="single"/>
              </w:rPr>
            </w:pPr>
            <w:r>
              <w:rPr>
                <w:u w:val="single"/>
              </w:rPr>
              <w:t>55~65</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541" w:type="dxa"/>
            <w:vAlign w:val="center"/>
          </w:tcPr>
          <w:p>
            <w:pPr>
              <w:pStyle w:val="63"/>
              <w:rPr>
                <w:u w:val="single"/>
              </w:rPr>
            </w:pPr>
            <w:r>
              <w:rPr>
                <w:u w:val="single"/>
              </w:rPr>
              <w:t>8</w:t>
            </w:r>
          </w:p>
        </w:tc>
        <w:tc>
          <w:tcPr>
            <w:tcW w:w="1680" w:type="dxa"/>
            <w:vAlign w:val="center"/>
          </w:tcPr>
          <w:p>
            <w:pPr>
              <w:pStyle w:val="63"/>
              <w:rPr>
                <w:kern w:val="0"/>
                <w:u w:val="single"/>
              </w:rPr>
            </w:pPr>
            <w:r>
              <w:rPr>
                <w:kern w:val="0"/>
                <w:u w:val="single"/>
              </w:rPr>
              <w:t>线体自动回流升降机</w:t>
            </w:r>
          </w:p>
        </w:tc>
        <w:tc>
          <w:tcPr>
            <w:tcW w:w="909" w:type="dxa"/>
            <w:vAlign w:val="center"/>
          </w:tcPr>
          <w:p>
            <w:pPr>
              <w:pStyle w:val="63"/>
              <w:rPr>
                <w:u w:val="single"/>
              </w:rPr>
            </w:pPr>
            <w:r>
              <w:rPr>
                <w:u w:val="single"/>
              </w:rPr>
              <w:t>1</w:t>
            </w:r>
          </w:p>
        </w:tc>
        <w:tc>
          <w:tcPr>
            <w:tcW w:w="1099" w:type="dxa"/>
            <w:vAlign w:val="center"/>
          </w:tcPr>
          <w:p>
            <w:pPr>
              <w:pStyle w:val="63"/>
              <w:rPr>
                <w:u w:val="single"/>
              </w:rPr>
            </w:pPr>
            <w:r>
              <w:rPr>
                <w:u w:val="single"/>
              </w:rPr>
              <w:t>75~85</w:t>
            </w:r>
          </w:p>
        </w:tc>
        <w:tc>
          <w:tcPr>
            <w:tcW w:w="2186" w:type="dxa"/>
            <w:vAlign w:val="center"/>
          </w:tcPr>
          <w:p>
            <w:pPr>
              <w:pStyle w:val="63"/>
              <w:rPr>
                <w:u w:val="single"/>
              </w:rPr>
            </w:pPr>
            <w:r>
              <w:rPr>
                <w:u w:val="single"/>
              </w:rPr>
              <w:t>基础减振、厂房隔声</w:t>
            </w:r>
          </w:p>
        </w:tc>
        <w:tc>
          <w:tcPr>
            <w:tcW w:w="1100" w:type="dxa"/>
            <w:vAlign w:val="center"/>
          </w:tcPr>
          <w:p>
            <w:pPr>
              <w:pStyle w:val="63"/>
              <w:rPr>
                <w:u w:val="single"/>
              </w:rPr>
            </w:pPr>
            <w:r>
              <w:rPr>
                <w:u w:val="single"/>
              </w:rPr>
              <w:t>15</w:t>
            </w:r>
          </w:p>
        </w:tc>
        <w:tc>
          <w:tcPr>
            <w:tcW w:w="990" w:type="dxa"/>
            <w:vAlign w:val="center"/>
          </w:tcPr>
          <w:p>
            <w:pPr>
              <w:pStyle w:val="63"/>
              <w:rPr>
                <w:u w:val="single"/>
              </w:rPr>
            </w:pPr>
            <w:r>
              <w:rPr>
                <w:u w:val="single"/>
              </w:rPr>
              <w:t>55~65</w:t>
            </w:r>
          </w:p>
        </w:tc>
      </w:tr>
    </w:tbl>
    <w:p>
      <w:pPr>
        <w:spacing w:line="360" w:lineRule="auto"/>
        <w:ind w:firstLine="480"/>
        <w:rPr>
          <w:rFonts w:ascii="Times New Roman" w:hAnsi="Times New Roman" w:cs="Times New Roman"/>
          <w:kern w:val="0"/>
          <w:u w:val="single"/>
        </w:rPr>
      </w:pPr>
      <w:r>
        <w:rPr>
          <w:rFonts w:ascii="Times New Roman" w:hAnsi="Times New Roman" w:cs="Times New Roman"/>
          <w:kern w:val="0"/>
          <w:u w:val="single"/>
        </w:rPr>
        <w:t>（4）预测模式</w:t>
      </w:r>
    </w:p>
    <w:p>
      <w:pPr>
        <w:spacing w:line="360" w:lineRule="auto"/>
        <w:ind w:firstLine="480"/>
        <w:rPr>
          <w:rFonts w:ascii="Times New Roman" w:hAnsi="Times New Roman" w:cs="Times New Roman"/>
          <w:kern w:val="0"/>
          <w:u w:val="single"/>
        </w:rPr>
      </w:pPr>
      <w:r>
        <w:rPr>
          <w:rFonts w:ascii="Times New Roman" w:hAnsi="Times New Roman" w:cs="Times New Roman"/>
          <w:kern w:val="0"/>
          <w:u w:val="single"/>
        </w:rPr>
        <w:t>选取第“6.2.4.2章节”的预测模式。</w:t>
      </w:r>
    </w:p>
    <w:p>
      <w:pPr>
        <w:spacing w:line="360" w:lineRule="auto"/>
        <w:ind w:firstLine="480"/>
        <w:rPr>
          <w:rFonts w:ascii="Times New Roman" w:hAnsi="Times New Roman" w:cs="Times New Roman"/>
          <w:kern w:val="0"/>
          <w:u w:val="single"/>
        </w:rPr>
      </w:pPr>
      <w:r>
        <w:rPr>
          <w:rFonts w:ascii="Times New Roman" w:hAnsi="Times New Roman" w:cs="Times New Roman"/>
          <w:kern w:val="0"/>
          <w:u w:val="single"/>
        </w:rPr>
        <w:t>（5）预测结果</w:t>
      </w:r>
    </w:p>
    <w:p>
      <w:pPr>
        <w:spacing w:line="360" w:lineRule="auto"/>
        <w:ind w:firstLine="480"/>
        <w:rPr>
          <w:rFonts w:ascii="Times New Roman" w:hAnsi="Times New Roman" w:cs="Times New Roman"/>
          <w:kern w:val="0"/>
          <w:u w:val="single"/>
        </w:rPr>
      </w:pPr>
      <w:r>
        <w:rPr>
          <w:rFonts w:ascii="Times New Roman" w:hAnsi="Times New Roman" w:cs="Times New Roman"/>
          <w:kern w:val="0"/>
          <w:u w:val="single"/>
        </w:rPr>
        <w:t>预测结果见下表</w:t>
      </w:r>
    </w:p>
    <w:p>
      <w:pPr>
        <w:pStyle w:val="6"/>
        <w:rPr>
          <w:rFonts w:ascii="Times New Roman" w:hAnsi="Times New Roman" w:cs="Times New Roman"/>
          <w:u w:val="single"/>
        </w:rPr>
      </w:pPr>
      <w:r>
        <w:rPr>
          <w:rFonts w:ascii="Times New Roman" w:hAnsi="Times New Roman" w:cs="Times New Roman"/>
          <w:u w:val="single"/>
        </w:rPr>
        <w:t>表</w:t>
      </w:r>
      <w:r>
        <w:rPr>
          <w:rFonts w:hint="eastAsia" w:ascii="Times New Roman" w:hAnsi="Times New Roman" w:cs="Times New Roman"/>
          <w:u w:val="single"/>
        </w:rPr>
        <w:t>6.3-2</w:t>
      </w:r>
      <w:r>
        <w:rPr>
          <w:rFonts w:ascii="Times New Roman" w:hAnsi="Times New Roman" w:cs="Times New Roman"/>
          <w:u w:val="single"/>
        </w:rPr>
        <w:t xml:space="preserve">  厂界噪声预测结果一览表   单位：dB（A）</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53"/>
        <w:gridCol w:w="1795"/>
        <w:gridCol w:w="1426"/>
        <w:gridCol w:w="1527"/>
        <w:gridCol w:w="1414"/>
        <w:gridCol w:w="14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59" w:type="pct"/>
            <w:vAlign w:val="center"/>
          </w:tcPr>
          <w:p>
            <w:pPr>
              <w:pStyle w:val="63"/>
              <w:rPr>
                <w:u w:val="single"/>
              </w:rPr>
            </w:pPr>
            <w:r>
              <w:rPr>
                <w:u w:val="single"/>
              </w:rPr>
              <w:t>序号</w:t>
            </w:r>
          </w:p>
        </w:tc>
        <w:tc>
          <w:tcPr>
            <w:tcW w:w="1052" w:type="pct"/>
            <w:vAlign w:val="center"/>
          </w:tcPr>
          <w:p>
            <w:pPr>
              <w:pStyle w:val="63"/>
              <w:rPr>
                <w:u w:val="single"/>
              </w:rPr>
            </w:pPr>
            <w:r>
              <w:rPr>
                <w:u w:val="single"/>
              </w:rPr>
              <w:t>位置</w:t>
            </w:r>
          </w:p>
        </w:tc>
        <w:tc>
          <w:tcPr>
            <w:tcW w:w="836" w:type="pct"/>
            <w:vAlign w:val="center"/>
          </w:tcPr>
          <w:p>
            <w:pPr>
              <w:pStyle w:val="63"/>
              <w:rPr>
                <w:u w:val="single"/>
              </w:rPr>
            </w:pPr>
            <w:r>
              <w:rPr>
                <w:u w:val="single"/>
              </w:rPr>
              <w:t>时间</w:t>
            </w:r>
          </w:p>
        </w:tc>
        <w:tc>
          <w:tcPr>
            <w:tcW w:w="895" w:type="pct"/>
            <w:vAlign w:val="center"/>
          </w:tcPr>
          <w:p>
            <w:pPr>
              <w:pStyle w:val="63"/>
              <w:rPr>
                <w:u w:val="single"/>
              </w:rPr>
            </w:pPr>
            <w:r>
              <w:rPr>
                <w:u w:val="single"/>
              </w:rPr>
              <w:t>贡献最大值</w:t>
            </w:r>
          </w:p>
        </w:tc>
        <w:tc>
          <w:tcPr>
            <w:tcW w:w="829" w:type="pct"/>
            <w:vAlign w:val="center"/>
          </w:tcPr>
          <w:p>
            <w:pPr>
              <w:pStyle w:val="63"/>
              <w:rPr>
                <w:u w:val="single"/>
              </w:rPr>
            </w:pPr>
            <w:r>
              <w:rPr>
                <w:u w:val="single"/>
              </w:rPr>
              <w:t>叠加值</w:t>
            </w:r>
          </w:p>
        </w:tc>
        <w:tc>
          <w:tcPr>
            <w:tcW w:w="829" w:type="pct"/>
            <w:vAlign w:val="center"/>
          </w:tcPr>
          <w:p>
            <w:pPr>
              <w:pStyle w:val="63"/>
              <w:rPr>
                <w:u w:val="single"/>
              </w:rPr>
            </w:pPr>
            <w:r>
              <w:rPr>
                <w:u w:val="single"/>
              </w:rPr>
              <w:t>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59" w:type="pct"/>
            <w:vMerge w:val="restart"/>
            <w:vAlign w:val="center"/>
          </w:tcPr>
          <w:p>
            <w:pPr>
              <w:pStyle w:val="63"/>
              <w:rPr>
                <w:u w:val="single"/>
              </w:rPr>
            </w:pPr>
            <w:r>
              <w:rPr>
                <w:u w:val="single"/>
              </w:rPr>
              <w:t>1</w:t>
            </w:r>
          </w:p>
        </w:tc>
        <w:tc>
          <w:tcPr>
            <w:tcW w:w="1052" w:type="pct"/>
            <w:vMerge w:val="restart"/>
            <w:vAlign w:val="center"/>
          </w:tcPr>
          <w:p>
            <w:pPr>
              <w:pStyle w:val="63"/>
              <w:rPr>
                <w:u w:val="single"/>
              </w:rPr>
            </w:pPr>
            <w:r>
              <w:rPr>
                <w:u w:val="single"/>
              </w:rPr>
              <w:t>东厂界</w:t>
            </w:r>
          </w:p>
        </w:tc>
        <w:tc>
          <w:tcPr>
            <w:tcW w:w="836" w:type="pct"/>
            <w:vAlign w:val="center"/>
          </w:tcPr>
          <w:p>
            <w:pPr>
              <w:pStyle w:val="63"/>
              <w:rPr>
                <w:u w:val="single"/>
              </w:rPr>
            </w:pPr>
            <w:r>
              <w:rPr>
                <w:u w:val="single"/>
              </w:rPr>
              <w:t>昼间</w:t>
            </w:r>
          </w:p>
        </w:tc>
        <w:tc>
          <w:tcPr>
            <w:tcW w:w="895" w:type="pct"/>
            <w:vMerge w:val="restart"/>
            <w:vAlign w:val="center"/>
          </w:tcPr>
          <w:p>
            <w:pPr>
              <w:pStyle w:val="63"/>
              <w:rPr>
                <w:u w:val="single"/>
              </w:rPr>
            </w:pPr>
            <w:r>
              <w:rPr>
                <w:u w:val="single"/>
              </w:rPr>
              <w:t>35.24</w:t>
            </w:r>
          </w:p>
        </w:tc>
        <w:tc>
          <w:tcPr>
            <w:tcW w:w="829" w:type="pct"/>
            <w:vAlign w:val="center"/>
          </w:tcPr>
          <w:p>
            <w:pPr>
              <w:pStyle w:val="63"/>
              <w:rPr>
                <w:u w:val="single"/>
              </w:rPr>
            </w:pPr>
            <w:r>
              <w:rPr>
                <w:u w:val="single"/>
              </w:rPr>
              <w:t>35.24</w:t>
            </w:r>
          </w:p>
        </w:tc>
        <w:tc>
          <w:tcPr>
            <w:tcW w:w="829" w:type="pct"/>
            <w:vAlign w:val="center"/>
          </w:tcPr>
          <w:p>
            <w:pPr>
              <w:pStyle w:val="63"/>
              <w:rPr>
                <w:u w:val="single"/>
              </w:rPr>
            </w:pPr>
            <w:r>
              <w:rPr>
                <w:u w:val="single"/>
              </w:rPr>
              <w:t>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59" w:type="pct"/>
            <w:vMerge w:val="continue"/>
            <w:vAlign w:val="center"/>
          </w:tcPr>
          <w:p>
            <w:pPr>
              <w:pStyle w:val="63"/>
              <w:rPr>
                <w:u w:val="single"/>
              </w:rPr>
            </w:pPr>
          </w:p>
        </w:tc>
        <w:tc>
          <w:tcPr>
            <w:tcW w:w="1052" w:type="pct"/>
            <w:vMerge w:val="continue"/>
            <w:vAlign w:val="center"/>
          </w:tcPr>
          <w:p>
            <w:pPr>
              <w:pStyle w:val="63"/>
              <w:rPr>
                <w:u w:val="single"/>
              </w:rPr>
            </w:pPr>
          </w:p>
        </w:tc>
        <w:tc>
          <w:tcPr>
            <w:tcW w:w="836" w:type="pct"/>
            <w:vAlign w:val="center"/>
          </w:tcPr>
          <w:p>
            <w:pPr>
              <w:pStyle w:val="63"/>
              <w:rPr>
                <w:u w:val="single"/>
              </w:rPr>
            </w:pPr>
            <w:r>
              <w:rPr>
                <w:u w:val="single"/>
              </w:rPr>
              <w:t>夜间</w:t>
            </w:r>
          </w:p>
        </w:tc>
        <w:tc>
          <w:tcPr>
            <w:tcW w:w="895" w:type="pct"/>
            <w:vMerge w:val="continue"/>
            <w:vAlign w:val="center"/>
          </w:tcPr>
          <w:p>
            <w:pPr>
              <w:pStyle w:val="63"/>
              <w:rPr>
                <w:u w:val="single"/>
              </w:rPr>
            </w:pPr>
          </w:p>
        </w:tc>
        <w:tc>
          <w:tcPr>
            <w:tcW w:w="829" w:type="pct"/>
            <w:vAlign w:val="center"/>
          </w:tcPr>
          <w:p>
            <w:pPr>
              <w:pStyle w:val="63"/>
              <w:rPr>
                <w:u w:val="single"/>
              </w:rPr>
            </w:pPr>
            <w:r>
              <w:rPr>
                <w:u w:val="single"/>
              </w:rPr>
              <w:t>35.24</w:t>
            </w:r>
          </w:p>
        </w:tc>
        <w:tc>
          <w:tcPr>
            <w:tcW w:w="829" w:type="pct"/>
            <w:vAlign w:val="center"/>
          </w:tcPr>
          <w:p>
            <w:pPr>
              <w:pStyle w:val="63"/>
              <w:rPr>
                <w:u w:val="single"/>
              </w:rPr>
            </w:pPr>
            <w:r>
              <w:rPr>
                <w:u w:val="single"/>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59" w:type="pct"/>
            <w:vMerge w:val="restart"/>
            <w:vAlign w:val="center"/>
          </w:tcPr>
          <w:p>
            <w:pPr>
              <w:pStyle w:val="63"/>
              <w:rPr>
                <w:u w:val="single"/>
              </w:rPr>
            </w:pPr>
            <w:r>
              <w:rPr>
                <w:u w:val="single"/>
              </w:rPr>
              <w:t>2</w:t>
            </w:r>
          </w:p>
        </w:tc>
        <w:tc>
          <w:tcPr>
            <w:tcW w:w="1052" w:type="pct"/>
            <w:vMerge w:val="restart"/>
            <w:vAlign w:val="center"/>
          </w:tcPr>
          <w:p>
            <w:pPr>
              <w:pStyle w:val="63"/>
              <w:rPr>
                <w:u w:val="single"/>
              </w:rPr>
            </w:pPr>
            <w:r>
              <w:rPr>
                <w:u w:val="single"/>
              </w:rPr>
              <w:t>南厂界</w:t>
            </w:r>
          </w:p>
        </w:tc>
        <w:tc>
          <w:tcPr>
            <w:tcW w:w="836" w:type="pct"/>
            <w:vAlign w:val="center"/>
          </w:tcPr>
          <w:p>
            <w:pPr>
              <w:pStyle w:val="63"/>
              <w:rPr>
                <w:u w:val="single"/>
              </w:rPr>
            </w:pPr>
            <w:r>
              <w:rPr>
                <w:u w:val="single"/>
              </w:rPr>
              <w:t>昼间</w:t>
            </w:r>
          </w:p>
        </w:tc>
        <w:tc>
          <w:tcPr>
            <w:tcW w:w="895" w:type="pct"/>
            <w:vMerge w:val="restart"/>
            <w:vAlign w:val="center"/>
          </w:tcPr>
          <w:p>
            <w:pPr>
              <w:pStyle w:val="63"/>
              <w:rPr>
                <w:u w:val="single"/>
              </w:rPr>
            </w:pPr>
            <w:r>
              <w:rPr>
                <w:u w:val="single"/>
              </w:rPr>
              <w:t>34.58</w:t>
            </w:r>
          </w:p>
        </w:tc>
        <w:tc>
          <w:tcPr>
            <w:tcW w:w="829" w:type="pct"/>
            <w:vAlign w:val="center"/>
          </w:tcPr>
          <w:p>
            <w:pPr>
              <w:pStyle w:val="63"/>
              <w:rPr>
                <w:u w:val="single"/>
              </w:rPr>
            </w:pPr>
            <w:r>
              <w:rPr>
                <w:u w:val="single"/>
              </w:rPr>
              <w:t>34.58</w:t>
            </w:r>
          </w:p>
        </w:tc>
        <w:tc>
          <w:tcPr>
            <w:tcW w:w="829" w:type="pct"/>
            <w:vAlign w:val="center"/>
          </w:tcPr>
          <w:p>
            <w:pPr>
              <w:pStyle w:val="63"/>
              <w:rPr>
                <w:u w:val="single"/>
              </w:rPr>
            </w:pPr>
            <w:r>
              <w:rPr>
                <w:u w:val="single"/>
              </w:rPr>
              <w:t>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59" w:type="pct"/>
            <w:vMerge w:val="continue"/>
            <w:vAlign w:val="center"/>
          </w:tcPr>
          <w:p>
            <w:pPr>
              <w:pStyle w:val="63"/>
              <w:rPr>
                <w:u w:val="single"/>
              </w:rPr>
            </w:pPr>
          </w:p>
        </w:tc>
        <w:tc>
          <w:tcPr>
            <w:tcW w:w="1052" w:type="pct"/>
            <w:vMerge w:val="continue"/>
            <w:vAlign w:val="center"/>
          </w:tcPr>
          <w:p>
            <w:pPr>
              <w:pStyle w:val="63"/>
              <w:rPr>
                <w:u w:val="single"/>
              </w:rPr>
            </w:pPr>
          </w:p>
        </w:tc>
        <w:tc>
          <w:tcPr>
            <w:tcW w:w="836" w:type="pct"/>
            <w:vAlign w:val="center"/>
          </w:tcPr>
          <w:p>
            <w:pPr>
              <w:pStyle w:val="63"/>
              <w:rPr>
                <w:u w:val="single"/>
              </w:rPr>
            </w:pPr>
            <w:r>
              <w:rPr>
                <w:u w:val="single"/>
              </w:rPr>
              <w:t>夜间</w:t>
            </w:r>
          </w:p>
        </w:tc>
        <w:tc>
          <w:tcPr>
            <w:tcW w:w="895" w:type="pct"/>
            <w:vMerge w:val="continue"/>
            <w:vAlign w:val="center"/>
          </w:tcPr>
          <w:p>
            <w:pPr>
              <w:pStyle w:val="63"/>
              <w:rPr>
                <w:u w:val="single"/>
              </w:rPr>
            </w:pPr>
          </w:p>
        </w:tc>
        <w:tc>
          <w:tcPr>
            <w:tcW w:w="829" w:type="pct"/>
            <w:vAlign w:val="center"/>
          </w:tcPr>
          <w:p>
            <w:pPr>
              <w:pStyle w:val="63"/>
              <w:rPr>
                <w:u w:val="single"/>
              </w:rPr>
            </w:pPr>
            <w:r>
              <w:rPr>
                <w:u w:val="single"/>
              </w:rPr>
              <w:t>34.58</w:t>
            </w:r>
          </w:p>
        </w:tc>
        <w:tc>
          <w:tcPr>
            <w:tcW w:w="829" w:type="pct"/>
            <w:vAlign w:val="center"/>
          </w:tcPr>
          <w:p>
            <w:pPr>
              <w:pStyle w:val="63"/>
              <w:rPr>
                <w:u w:val="single"/>
              </w:rPr>
            </w:pPr>
            <w:r>
              <w:rPr>
                <w:u w:val="single"/>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59" w:type="pct"/>
            <w:vMerge w:val="restart"/>
            <w:vAlign w:val="center"/>
          </w:tcPr>
          <w:p>
            <w:pPr>
              <w:pStyle w:val="63"/>
              <w:rPr>
                <w:u w:val="single"/>
              </w:rPr>
            </w:pPr>
            <w:r>
              <w:rPr>
                <w:u w:val="single"/>
              </w:rPr>
              <w:t>3</w:t>
            </w:r>
          </w:p>
        </w:tc>
        <w:tc>
          <w:tcPr>
            <w:tcW w:w="1052" w:type="pct"/>
            <w:vMerge w:val="restart"/>
            <w:vAlign w:val="center"/>
          </w:tcPr>
          <w:p>
            <w:pPr>
              <w:pStyle w:val="63"/>
              <w:rPr>
                <w:u w:val="single"/>
              </w:rPr>
            </w:pPr>
            <w:r>
              <w:rPr>
                <w:u w:val="single"/>
              </w:rPr>
              <w:t>西厂界</w:t>
            </w:r>
          </w:p>
        </w:tc>
        <w:tc>
          <w:tcPr>
            <w:tcW w:w="836" w:type="pct"/>
            <w:vAlign w:val="center"/>
          </w:tcPr>
          <w:p>
            <w:pPr>
              <w:pStyle w:val="63"/>
              <w:rPr>
                <w:u w:val="single"/>
              </w:rPr>
            </w:pPr>
            <w:r>
              <w:rPr>
                <w:u w:val="single"/>
              </w:rPr>
              <w:t>昼间</w:t>
            </w:r>
          </w:p>
        </w:tc>
        <w:tc>
          <w:tcPr>
            <w:tcW w:w="895" w:type="pct"/>
            <w:vMerge w:val="restart"/>
            <w:vAlign w:val="center"/>
          </w:tcPr>
          <w:p>
            <w:pPr>
              <w:pStyle w:val="63"/>
              <w:rPr>
                <w:u w:val="single"/>
              </w:rPr>
            </w:pPr>
            <w:r>
              <w:rPr>
                <w:u w:val="single"/>
              </w:rPr>
              <w:t>34.83</w:t>
            </w:r>
          </w:p>
        </w:tc>
        <w:tc>
          <w:tcPr>
            <w:tcW w:w="829" w:type="pct"/>
            <w:vAlign w:val="center"/>
          </w:tcPr>
          <w:p>
            <w:pPr>
              <w:pStyle w:val="63"/>
              <w:rPr>
                <w:u w:val="single"/>
              </w:rPr>
            </w:pPr>
            <w:r>
              <w:rPr>
                <w:u w:val="single"/>
              </w:rPr>
              <w:t>34.83</w:t>
            </w:r>
          </w:p>
        </w:tc>
        <w:tc>
          <w:tcPr>
            <w:tcW w:w="829" w:type="pct"/>
            <w:vAlign w:val="center"/>
          </w:tcPr>
          <w:p>
            <w:pPr>
              <w:pStyle w:val="63"/>
              <w:rPr>
                <w:u w:val="single"/>
              </w:rPr>
            </w:pPr>
            <w:r>
              <w:rPr>
                <w:u w:val="single"/>
              </w:rPr>
              <w:t>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59" w:type="pct"/>
            <w:vMerge w:val="continue"/>
            <w:vAlign w:val="center"/>
          </w:tcPr>
          <w:p>
            <w:pPr>
              <w:pStyle w:val="63"/>
              <w:rPr>
                <w:u w:val="single"/>
              </w:rPr>
            </w:pPr>
          </w:p>
        </w:tc>
        <w:tc>
          <w:tcPr>
            <w:tcW w:w="1052" w:type="pct"/>
            <w:vMerge w:val="continue"/>
            <w:vAlign w:val="center"/>
          </w:tcPr>
          <w:p>
            <w:pPr>
              <w:pStyle w:val="63"/>
              <w:rPr>
                <w:u w:val="single"/>
              </w:rPr>
            </w:pPr>
          </w:p>
        </w:tc>
        <w:tc>
          <w:tcPr>
            <w:tcW w:w="836" w:type="pct"/>
            <w:vAlign w:val="center"/>
          </w:tcPr>
          <w:p>
            <w:pPr>
              <w:pStyle w:val="63"/>
              <w:rPr>
                <w:u w:val="single"/>
              </w:rPr>
            </w:pPr>
            <w:r>
              <w:rPr>
                <w:u w:val="single"/>
              </w:rPr>
              <w:t>夜间</w:t>
            </w:r>
          </w:p>
        </w:tc>
        <w:tc>
          <w:tcPr>
            <w:tcW w:w="895" w:type="pct"/>
            <w:vMerge w:val="continue"/>
            <w:vAlign w:val="center"/>
          </w:tcPr>
          <w:p>
            <w:pPr>
              <w:pStyle w:val="63"/>
              <w:rPr>
                <w:u w:val="single"/>
              </w:rPr>
            </w:pPr>
          </w:p>
        </w:tc>
        <w:tc>
          <w:tcPr>
            <w:tcW w:w="829" w:type="pct"/>
            <w:vAlign w:val="center"/>
          </w:tcPr>
          <w:p>
            <w:pPr>
              <w:pStyle w:val="63"/>
              <w:rPr>
                <w:u w:val="single"/>
              </w:rPr>
            </w:pPr>
            <w:r>
              <w:rPr>
                <w:u w:val="single"/>
              </w:rPr>
              <w:t>34.83</w:t>
            </w:r>
          </w:p>
        </w:tc>
        <w:tc>
          <w:tcPr>
            <w:tcW w:w="829" w:type="pct"/>
            <w:vAlign w:val="center"/>
          </w:tcPr>
          <w:p>
            <w:pPr>
              <w:pStyle w:val="63"/>
              <w:rPr>
                <w:u w:val="single"/>
              </w:rPr>
            </w:pPr>
            <w:r>
              <w:rPr>
                <w:u w:val="single"/>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59" w:type="pct"/>
            <w:vMerge w:val="restart"/>
            <w:vAlign w:val="center"/>
          </w:tcPr>
          <w:p>
            <w:pPr>
              <w:pStyle w:val="63"/>
              <w:rPr>
                <w:u w:val="single"/>
              </w:rPr>
            </w:pPr>
            <w:r>
              <w:rPr>
                <w:u w:val="single"/>
              </w:rPr>
              <w:t>4</w:t>
            </w:r>
          </w:p>
        </w:tc>
        <w:tc>
          <w:tcPr>
            <w:tcW w:w="1052" w:type="pct"/>
            <w:vMerge w:val="restart"/>
            <w:vAlign w:val="center"/>
          </w:tcPr>
          <w:p>
            <w:pPr>
              <w:pStyle w:val="63"/>
              <w:rPr>
                <w:u w:val="single"/>
              </w:rPr>
            </w:pPr>
            <w:r>
              <w:rPr>
                <w:u w:val="single"/>
              </w:rPr>
              <w:t>北厂界</w:t>
            </w:r>
          </w:p>
        </w:tc>
        <w:tc>
          <w:tcPr>
            <w:tcW w:w="836" w:type="pct"/>
            <w:vAlign w:val="center"/>
          </w:tcPr>
          <w:p>
            <w:pPr>
              <w:pStyle w:val="63"/>
              <w:rPr>
                <w:u w:val="single"/>
              </w:rPr>
            </w:pPr>
            <w:r>
              <w:rPr>
                <w:u w:val="single"/>
              </w:rPr>
              <w:t>昼间</w:t>
            </w:r>
          </w:p>
        </w:tc>
        <w:tc>
          <w:tcPr>
            <w:tcW w:w="895" w:type="pct"/>
            <w:vMerge w:val="restart"/>
            <w:vAlign w:val="center"/>
          </w:tcPr>
          <w:p>
            <w:pPr>
              <w:pStyle w:val="63"/>
              <w:rPr>
                <w:u w:val="single"/>
              </w:rPr>
            </w:pPr>
            <w:r>
              <w:rPr>
                <w:u w:val="single"/>
              </w:rPr>
              <w:t>36.18</w:t>
            </w:r>
          </w:p>
        </w:tc>
        <w:tc>
          <w:tcPr>
            <w:tcW w:w="829" w:type="pct"/>
            <w:vAlign w:val="center"/>
          </w:tcPr>
          <w:p>
            <w:pPr>
              <w:pStyle w:val="63"/>
              <w:rPr>
                <w:u w:val="single"/>
              </w:rPr>
            </w:pPr>
            <w:r>
              <w:rPr>
                <w:u w:val="single"/>
              </w:rPr>
              <w:t>36.18</w:t>
            </w:r>
          </w:p>
        </w:tc>
        <w:tc>
          <w:tcPr>
            <w:tcW w:w="829" w:type="pct"/>
            <w:vAlign w:val="center"/>
          </w:tcPr>
          <w:p>
            <w:pPr>
              <w:pStyle w:val="63"/>
              <w:rPr>
                <w:u w:val="single"/>
              </w:rPr>
            </w:pPr>
            <w:r>
              <w:rPr>
                <w:u w:val="single"/>
              </w:rPr>
              <w:t>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59" w:type="pct"/>
            <w:vMerge w:val="continue"/>
            <w:vAlign w:val="center"/>
          </w:tcPr>
          <w:p>
            <w:pPr>
              <w:pStyle w:val="63"/>
              <w:rPr>
                <w:u w:val="single"/>
              </w:rPr>
            </w:pPr>
          </w:p>
        </w:tc>
        <w:tc>
          <w:tcPr>
            <w:tcW w:w="1052" w:type="pct"/>
            <w:vMerge w:val="continue"/>
            <w:vAlign w:val="center"/>
          </w:tcPr>
          <w:p>
            <w:pPr>
              <w:pStyle w:val="63"/>
              <w:rPr>
                <w:u w:val="single"/>
              </w:rPr>
            </w:pPr>
          </w:p>
        </w:tc>
        <w:tc>
          <w:tcPr>
            <w:tcW w:w="836" w:type="pct"/>
            <w:vAlign w:val="center"/>
          </w:tcPr>
          <w:p>
            <w:pPr>
              <w:pStyle w:val="63"/>
              <w:rPr>
                <w:u w:val="single"/>
              </w:rPr>
            </w:pPr>
            <w:r>
              <w:rPr>
                <w:u w:val="single"/>
              </w:rPr>
              <w:t>夜间</w:t>
            </w:r>
          </w:p>
        </w:tc>
        <w:tc>
          <w:tcPr>
            <w:tcW w:w="895" w:type="pct"/>
            <w:vMerge w:val="continue"/>
            <w:vAlign w:val="center"/>
          </w:tcPr>
          <w:p>
            <w:pPr>
              <w:pStyle w:val="63"/>
              <w:rPr>
                <w:u w:val="single"/>
              </w:rPr>
            </w:pPr>
          </w:p>
        </w:tc>
        <w:tc>
          <w:tcPr>
            <w:tcW w:w="829" w:type="pct"/>
            <w:vAlign w:val="center"/>
          </w:tcPr>
          <w:p>
            <w:pPr>
              <w:pStyle w:val="63"/>
              <w:rPr>
                <w:u w:val="single"/>
              </w:rPr>
            </w:pPr>
            <w:r>
              <w:rPr>
                <w:u w:val="single"/>
              </w:rPr>
              <w:t>36.18</w:t>
            </w:r>
          </w:p>
        </w:tc>
        <w:tc>
          <w:tcPr>
            <w:tcW w:w="829" w:type="pct"/>
            <w:vAlign w:val="center"/>
          </w:tcPr>
          <w:p>
            <w:pPr>
              <w:pStyle w:val="63"/>
              <w:rPr>
                <w:u w:val="single"/>
              </w:rPr>
            </w:pPr>
            <w:r>
              <w:rPr>
                <w:u w:val="single"/>
              </w:rPr>
              <w:t>55</w:t>
            </w:r>
          </w:p>
        </w:tc>
      </w:tr>
    </w:tbl>
    <w:p>
      <w:pPr>
        <w:pStyle w:val="83"/>
        <w:spacing w:line="360" w:lineRule="auto"/>
        <w:ind w:firstLine="480"/>
        <w:rPr>
          <w:rFonts w:eastAsiaTheme="minorEastAsia"/>
          <w:u w:val="single"/>
        </w:rPr>
      </w:pPr>
      <w:r>
        <w:rPr>
          <w:rFonts w:eastAsiaTheme="minorEastAsia"/>
          <w:u w:val="single"/>
        </w:rPr>
        <w:t>由上表可知，厂区项目厂界噪声能够满足《工业企业厂界环境噪声排放标准》（GB12348-2008）中的3类标准要求。</w:t>
      </w:r>
    </w:p>
    <w:p>
      <w:pPr>
        <w:pStyle w:val="6"/>
        <w:rPr>
          <w:rFonts w:ascii="Times New Roman" w:hAnsi="Times New Roman" w:cs="Times New Roman"/>
          <w:u w:val="single"/>
        </w:rPr>
      </w:pPr>
      <w:r>
        <w:rPr>
          <w:rFonts w:ascii="Times New Roman" w:hAnsi="Times New Roman" w:cs="Times New Roman"/>
          <w:u w:val="single"/>
        </w:rPr>
        <w:t>表</w:t>
      </w:r>
      <w:r>
        <w:rPr>
          <w:rFonts w:hint="eastAsia" w:ascii="Times New Roman" w:hAnsi="Times New Roman" w:cs="Times New Roman"/>
          <w:u w:val="single"/>
        </w:rPr>
        <w:t>6.3-3</w:t>
      </w:r>
      <w:r>
        <w:rPr>
          <w:rFonts w:ascii="Times New Roman" w:hAnsi="Times New Roman" w:cs="Times New Roman"/>
          <w:u w:val="single"/>
        </w:rPr>
        <w:t xml:space="preserve">  敏感点噪声预测结果一览表   单位：dB(A)</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1218"/>
        <w:gridCol w:w="1218"/>
        <w:gridCol w:w="1218"/>
        <w:gridCol w:w="1220"/>
        <w:gridCol w:w="1218"/>
        <w:gridCol w:w="12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vAlign w:val="center"/>
          </w:tcPr>
          <w:p>
            <w:pPr>
              <w:pStyle w:val="63"/>
              <w:rPr>
                <w:u w:val="single"/>
              </w:rPr>
            </w:pPr>
            <w:r>
              <w:rPr>
                <w:u w:val="single"/>
              </w:rPr>
              <w:t>敏感点</w:t>
            </w:r>
          </w:p>
        </w:tc>
        <w:tc>
          <w:tcPr>
            <w:tcW w:w="1428" w:type="pct"/>
            <w:gridSpan w:val="2"/>
            <w:vAlign w:val="center"/>
          </w:tcPr>
          <w:p>
            <w:pPr>
              <w:pStyle w:val="63"/>
              <w:rPr>
                <w:u w:val="single"/>
              </w:rPr>
            </w:pPr>
            <w:r>
              <w:rPr>
                <w:u w:val="single"/>
              </w:rPr>
              <w:t>背景值（最大）</w:t>
            </w:r>
          </w:p>
        </w:tc>
        <w:tc>
          <w:tcPr>
            <w:tcW w:w="1429" w:type="pct"/>
            <w:gridSpan w:val="2"/>
            <w:vAlign w:val="center"/>
          </w:tcPr>
          <w:p>
            <w:pPr>
              <w:pStyle w:val="63"/>
              <w:rPr>
                <w:u w:val="single"/>
              </w:rPr>
            </w:pPr>
            <w:r>
              <w:rPr>
                <w:u w:val="single"/>
              </w:rPr>
              <w:t>贡献值</w:t>
            </w:r>
          </w:p>
        </w:tc>
        <w:tc>
          <w:tcPr>
            <w:tcW w:w="1429" w:type="pct"/>
            <w:gridSpan w:val="2"/>
            <w:vAlign w:val="center"/>
          </w:tcPr>
          <w:p>
            <w:pPr>
              <w:pStyle w:val="63"/>
              <w:rPr>
                <w:u w:val="single"/>
              </w:rPr>
            </w:pPr>
            <w:r>
              <w:rPr>
                <w:u w:val="single"/>
              </w:rPr>
              <w:t>噪声预测值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vMerge w:val="restart"/>
            <w:vAlign w:val="center"/>
          </w:tcPr>
          <w:p>
            <w:pPr>
              <w:pStyle w:val="63"/>
              <w:rPr>
                <w:u w:val="single"/>
              </w:rPr>
            </w:pPr>
            <w:r>
              <w:rPr>
                <w:u w:val="single"/>
              </w:rPr>
              <w:t>安置区</w:t>
            </w:r>
          </w:p>
        </w:tc>
        <w:tc>
          <w:tcPr>
            <w:tcW w:w="714" w:type="pct"/>
            <w:vAlign w:val="center"/>
          </w:tcPr>
          <w:p>
            <w:pPr>
              <w:pStyle w:val="63"/>
              <w:rPr>
                <w:u w:val="single"/>
              </w:rPr>
            </w:pPr>
            <w:r>
              <w:rPr>
                <w:u w:val="single"/>
              </w:rPr>
              <w:t>昼间</w:t>
            </w:r>
          </w:p>
        </w:tc>
        <w:tc>
          <w:tcPr>
            <w:tcW w:w="714" w:type="pct"/>
            <w:vAlign w:val="center"/>
          </w:tcPr>
          <w:p>
            <w:pPr>
              <w:pStyle w:val="63"/>
              <w:rPr>
                <w:u w:val="single"/>
              </w:rPr>
            </w:pPr>
            <w:r>
              <w:rPr>
                <w:u w:val="single"/>
              </w:rPr>
              <w:t>夜间</w:t>
            </w:r>
          </w:p>
        </w:tc>
        <w:tc>
          <w:tcPr>
            <w:tcW w:w="714" w:type="pct"/>
            <w:vAlign w:val="center"/>
          </w:tcPr>
          <w:p>
            <w:pPr>
              <w:pStyle w:val="63"/>
              <w:rPr>
                <w:u w:val="single"/>
              </w:rPr>
            </w:pPr>
            <w:r>
              <w:rPr>
                <w:u w:val="single"/>
              </w:rPr>
              <w:t>昼间</w:t>
            </w:r>
          </w:p>
        </w:tc>
        <w:tc>
          <w:tcPr>
            <w:tcW w:w="715" w:type="pct"/>
            <w:vAlign w:val="center"/>
          </w:tcPr>
          <w:p>
            <w:pPr>
              <w:pStyle w:val="63"/>
              <w:rPr>
                <w:u w:val="single"/>
              </w:rPr>
            </w:pPr>
            <w:r>
              <w:rPr>
                <w:u w:val="single"/>
              </w:rPr>
              <w:t>夜间</w:t>
            </w:r>
          </w:p>
        </w:tc>
        <w:tc>
          <w:tcPr>
            <w:tcW w:w="714" w:type="pct"/>
            <w:vAlign w:val="center"/>
          </w:tcPr>
          <w:p>
            <w:pPr>
              <w:pStyle w:val="63"/>
              <w:rPr>
                <w:u w:val="single"/>
              </w:rPr>
            </w:pPr>
            <w:r>
              <w:rPr>
                <w:u w:val="single"/>
              </w:rPr>
              <w:t>昼间</w:t>
            </w:r>
          </w:p>
        </w:tc>
        <w:tc>
          <w:tcPr>
            <w:tcW w:w="715" w:type="pct"/>
            <w:vAlign w:val="center"/>
          </w:tcPr>
          <w:p>
            <w:pPr>
              <w:pStyle w:val="63"/>
              <w:rPr>
                <w:u w:val="single"/>
              </w:rPr>
            </w:pPr>
            <w:r>
              <w:rPr>
                <w:u w:val="single"/>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vMerge w:val="continue"/>
            <w:vAlign w:val="center"/>
          </w:tcPr>
          <w:p>
            <w:pPr>
              <w:pStyle w:val="63"/>
              <w:rPr>
                <w:u w:val="single"/>
              </w:rPr>
            </w:pPr>
          </w:p>
        </w:tc>
        <w:tc>
          <w:tcPr>
            <w:tcW w:w="714" w:type="pct"/>
            <w:vAlign w:val="center"/>
          </w:tcPr>
          <w:p>
            <w:pPr>
              <w:pStyle w:val="63"/>
              <w:rPr>
                <w:u w:val="single"/>
              </w:rPr>
            </w:pPr>
            <w:r>
              <w:rPr>
                <w:u w:val="single"/>
              </w:rPr>
              <w:t>50.7</w:t>
            </w:r>
          </w:p>
        </w:tc>
        <w:tc>
          <w:tcPr>
            <w:tcW w:w="714" w:type="pct"/>
            <w:vAlign w:val="center"/>
          </w:tcPr>
          <w:p>
            <w:pPr>
              <w:pStyle w:val="63"/>
              <w:rPr>
                <w:u w:val="single"/>
              </w:rPr>
            </w:pPr>
            <w:r>
              <w:rPr>
                <w:u w:val="single"/>
              </w:rPr>
              <w:t>41.5</w:t>
            </w:r>
          </w:p>
        </w:tc>
        <w:tc>
          <w:tcPr>
            <w:tcW w:w="1429" w:type="pct"/>
            <w:gridSpan w:val="2"/>
            <w:vAlign w:val="center"/>
          </w:tcPr>
          <w:p>
            <w:pPr>
              <w:pStyle w:val="63"/>
              <w:rPr>
                <w:u w:val="single"/>
              </w:rPr>
            </w:pPr>
            <w:r>
              <w:rPr>
                <w:u w:val="single"/>
              </w:rPr>
              <w:t>36.18</w:t>
            </w:r>
          </w:p>
        </w:tc>
        <w:tc>
          <w:tcPr>
            <w:tcW w:w="714" w:type="pct"/>
            <w:vAlign w:val="center"/>
          </w:tcPr>
          <w:p>
            <w:pPr>
              <w:pStyle w:val="63"/>
              <w:rPr>
                <w:u w:val="single"/>
              </w:rPr>
            </w:pPr>
            <w:r>
              <w:rPr>
                <w:u w:val="single"/>
              </w:rPr>
              <w:t>50.8</w:t>
            </w:r>
          </w:p>
        </w:tc>
        <w:tc>
          <w:tcPr>
            <w:tcW w:w="715" w:type="pct"/>
            <w:vAlign w:val="center"/>
          </w:tcPr>
          <w:p>
            <w:pPr>
              <w:pStyle w:val="63"/>
              <w:rPr>
                <w:u w:val="single"/>
              </w:rPr>
            </w:pPr>
            <w:r>
              <w:rPr>
                <w:u w:val="single"/>
              </w:rPr>
              <w:t>42.6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vAlign w:val="center"/>
          </w:tcPr>
          <w:p>
            <w:pPr>
              <w:pStyle w:val="63"/>
              <w:rPr>
                <w:u w:val="single"/>
              </w:rPr>
            </w:pPr>
            <w:r>
              <w:rPr>
                <w:u w:val="single"/>
              </w:rPr>
              <w:t>评价标准</w:t>
            </w:r>
          </w:p>
        </w:tc>
        <w:tc>
          <w:tcPr>
            <w:tcW w:w="714" w:type="pct"/>
            <w:vAlign w:val="center"/>
          </w:tcPr>
          <w:p>
            <w:pPr>
              <w:pStyle w:val="63"/>
              <w:rPr>
                <w:u w:val="single"/>
              </w:rPr>
            </w:pPr>
            <w:r>
              <w:rPr>
                <w:u w:val="single"/>
              </w:rPr>
              <w:t>60</w:t>
            </w:r>
          </w:p>
        </w:tc>
        <w:tc>
          <w:tcPr>
            <w:tcW w:w="714" w:type="pct"/>
            <w:vAlign w:val="center"/>
          </w:tcPr>
          <w:p>
            <w:pPr>
              <w:pStyle w:val="63"/>
              <w:rPr>
                <w:u w:val="single"/>
              </w:rPr>
            </w:pPr>
            <w:r>
              <w:rPr>
                <w:u w:val="single"/>
              </w:rPr>
              <w:t>50</w:t>
            </w:r>
          </w:p>
        </w:tc>
        <w:tc>
          <w:tcPr>
            <w:tcW w:w="714" w:type="pct"/>
            <w:vAlign w:val="center"/>
          </w:tcPr>
          <w:p>
            <w:pPr>
              <w:pStyle w:val="63"/>
              <w:rPr>
                <w:u w:val="single"/>
              </w:rPr>
            </w:pPr>
            <w:r>
              <w:rPr>
                <w:u w:val="single"/>
              </w:rPr>
              <w:t>/</w:t>
            </w:r>
          </w:p>
        </w:tc>
        <w:tc>
          <w:tcPr>
            <w:tcW w:w="715" w:type="pct"/>
            <w:vAlign w:val="center"/>
          </w:tcPr>
          <w:p>
            <w:pPr>
              <w:pStyle w:val="63"/>
              <w:rPr>
                <w:u w:val="single"/>
              </w:rPr>
            </w:pPr>
            <w:r>
              <w:rPr>
                <w:u w:val="single"/>
              </w:rPr>
              <w:t>/</w:t>
            </w:r>
          </w:p>
        </w:tc>
        <w:tc>
          <w:tcPr>
            <w:tcW w:w="714" w:type="pct"/>
            <w:vAlign w:val="center"/>
          </w:tcPr>
          <w:p>
            <w:pPr>
              <w:pStyle w:val="63"/>
              <w:rPr>
                <w:u w:val="single"/>
              </w:rPr>
            </w:pPr>
            <w:r>
              <w:rPr>
                <w:u w:val="single"/>
              </w:rPr>
              <w:t>60</w:t>
            </w:r>
          </w:p>
        </w:tc>
        <w:tc>
          <w:tcPr>
            <w:tcW w:w="715" w:type="pct"/>
            <w:vAlign w:val="center"/>
          </w:tcPr>
          <w:p>
            <w:pPr>
              <w:pStyle w:val="63"/>
              <w:rPr>
                <w:u w:val="single"/>
              </w:rPr>
            </w:pPr>
            <w:r>
              <w:rPr>
                <w:u w:val="single"/>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vAlign w:val="center"/>
          </w:tcPr>
          <w:p>
            <w:pPr>
              <w:pStyle w:val="63"/>
              <w:rPr>
                <w:u w:val="single"/>
              </w:rPr>
            </w:pPr>
            <w:r>
              <w:rPr>
                <w:u w:val="single"/>
              </w:rPr>
              <w:t>是否达标</w:t>
            </w:r>
          </w:p>
        </w:tc>
        <w:tc>
          <w:tcPr>
            <w:tcW w:w="714" w:type="pct"/>
            <w:vAlign w:val="center"/>
          </w:tcPr>
          <w:p>
            <w:pPr>
              <w:pStyle w:val="63"/>
              <w:rPr>
                <w:u w:val="single"/>
              </w:rPr>
            </w:pPr>
            <w:r>
              <w:rPr>
                <w:u w:val="single"/>
              </w:rPr>
              <w:t>达标</w:t>
            </w:r>
          </w:p>
        </w:tc>
        <w:tc>
          <w:tcPr>
            <w:tcW w:w="714" w:type="pct"/>
            <w:vAlign w:val="center"/>
          </w:tcPr>
          <w:p>
            <w:pPr>
              <w:pStyle w:val="63"/>
              <w:rPr>
                <w:u w:val="single"/>
              </w:rPr>
            </w:pPr>
            <w:r>
              <w:rPr>
                <w:u w:val="single"/>
              </w:rPr>
              <w:t>达标</w:t>
            </w:r>
          </w:p>
        </w:tc>
        <w:tc>
          <w:tcPr>
            <w:tcW w:w="714" w:type="pct"/>
            <w:vAlign w:val="center"/>
          </w:tcPr>
          <w:p>
            <w:pPr>
              <w:pStyle w:val="63"/>
              <w:rPr>
                <w:u w:val="single"/>
              </w:rPr>
            </w:pPr>
            <w:r>
              <w:rPr>
                <w:u w:val="single"/>
              </w:rPr>
              <w:t>/</w:t>
            </w:r>
          </w:p>
        </w:tc>
        <w:tc>
          <w:tcPr>
            <w:tcW w:w="715" w:type="pct"/>
            <w:vAlign w:val="center"/>
          </w:tcPr>
          <w:p>
            <w:pPr>
              <w:pStyle w:val="63"/>
              <w:rPr>
                <w:u w:val="single"/>
              </w:rPr>
            </w:pPr>
            <w:r>
              <w:rPr>
                <w:u w:val="single"/>
              </w:rPr>
              <w:t>/</w:t>
            </w:r>
          </w:p>
        </w:tc>
        <w:tc>
          <w:tcPr>
            <w:tcW w:w="714" w:type="pct"/>
            <w:vAlign w:val="center"/>
          </w:tcPr>
          <w:p>
            <w:pPr>
              <w:pStyle w:val="63"/>
              <w:rPr>
                <w:u w:val="single"/>
              </w:rPr>
            </w:pPr>
            <w:r>
              <w:rPr>
                <w:u w:val="single"/>
              </w:rPr>
              <w:t>达标</w:t>
            </w:r>
          </w:p>
        </w:tc>
        <w:tc>
          <w:tcPr>
            <w:tcW w:w="715" w:type="pct"/>
            <w:vAlign w:val="center"/>
          </w:tcPr>
          <w:p>
            <w:pPr>
              <w:pStyle w:val="63"/>
              <w:rPr>
                <w:u w:val="single"/>
              </w:rPr>
            </w:pPr>
            <w:r>
              <w:rPr>
                <w:u w:val="single"/>
              </w:rPr>
              <w:t>达标</w:t>
            </w:r>
          </w:p>
        </w:tc>
      </w:tr>
    </w:tbl>
    <w:p>
      <w:pPr>
        <w:spacing w:line="360" w:lineRule="auto"/>
        <w:ind w:firstLine="480" w:firstLineChars="200"/>
        <w:rPr>
          <w:rFonts w:ascii="Times New Roman" w:hAnsi="Times New Roman" w:cs="Times New Roman"/>
          <w:u w:val="single"/>
        </w:rPr>
      </w:pPr>
      <w:r>
        <w:rPr>
          <w:rFonts w:ascii="Times New Roman" w:hAnsi="Times New Roman" w:cs="Times New Roman"/>
          <w:u w:val="single"/>
        </w:rPr>
        <w:t>由上表可知，敏感点噪声能够满足《声环境质量标准》（GB3096-2008）2类标准要求。</w:t>
      </w:r>
    </w:p>
    <w:p>
      <w:pPr>
        <w:pStyle w:val="4"/>
        <w:rPr>
          <w:rFonts w:ascii="Times New Roman" w:hAnsi="Times New Roman" w:cs="Times New Roman"/>
          <w:szCs w:val="28"/>
        </w:rPr>
      </w:pPr>
      <w:bookmarkStart w:id="378" w:name="_Toc144236819"/>
      <w:bookmarkStart w:id="379" w:name="_Toc144276949"/>
      <w:bookmarkStart w:id="380" w:name="_Toc147848067"/>
      <w:r>
        <w:rPr>
          <w:rFonts w:ascii="Times New Roman" w:hAnsi="Times New Roman" w:cs="Times New Roman"/>
          <w:szCs w:val="28"/>
        </w:rPr>
        <w:t>6.3.5 固体废物环境影响分析</w:t>
      </w:r>
      <w:bookmarkEnd w:id="378"/>
      <w:bookmarkEnd w:id="379"/>
      <w:bookmarkEnd w:id="380"/>
    </w:p>
    <w:p>
      <w:pPr>
        <w:spacing w:line="360" w:lineRule="auto"/>
        <w:ind w:firstLine="480"/>
        <w:rPr>
          <w:rFonts w:ascii="Times New Roman" w:hAnsi="Times New Roman" w:cs="Times New Roman"/>
          <w:kern w:val="0"/>
        </w:rPr>
      </w:pPr>
      <w:r>
        <w:rPr>
          <w:rFonts w:ascii="Times New Roman" w:hAnsi="Times New Roman" w:cs="Times New Roman"/>
          <w:kern w:val="0"/>
        </w:rPr>
        <w:t>（1）一般工业固体废物</w:t>
      </w:r>
    </w:p>
    <w:p>
      <w:pPr>
        <w:spacing w:line="360" w:lineRule="auto"/>
        <w:ind w:firstLine="480"/>
        <w:rPr>
          <w:rFonts w:ascii="Times New Roman" w:hAnsi="Times New Roman" w:cs="Times New Roman"/>
          <w:kern w:val="0"/>
        </w:rPr>
      </w:pPr>
      <w:r>
        <w:rPr>
          <w:rFonts w:ascii="Times New Roman" w:hAnsi="Times New Roman" w:cs="Times New Roman"/>
          <w:kern w:val="0"/>
        </w:rPr>
        <w:t>本项目运营期间产生的一般工业固体废物包括：梯次利用工艺产生的电池包铁外壳、导流排（铜）、导流排（铝）、线材、电池包塑料件；</w:t>
      </w:r>
    </w:p>
    <w:p>
      <w:pPr>
        <w:spacing w:line="360" w:lineRule="auto"/>
        <w:ind w:firstLine="480"/>
        <w:rPr>
          <w:rFonts w:ascii="Times New Roman" w:hAnsi="Times New Roman" w:cs="Times New Roman"/>
          <w:kern w:val="0"/>
        </w:rPr>
      </w:pPr>
      <w:r>
        <w:rPr>
          <w:rFonts w:ascii="Times New Roman" w:hAnsi="Times New Roman" w:cs="Times New Roman"/>
          <w:kern w:val="0"/>
        </w:rPr>
        <w:t>（2）办公生活垃圾</w:t>
      </w:r>
    </w:p>
    <w:p>
      <w:pPr>
        <w:spacing w:line="360" w:lineRule="auto"/>
        <w:ind w:firstLine="480"/>
        <w:rPr>
          <w:rFonts w:ascii="Times New Roman" w:hAnsi="Times New Roman" w:cs="Times New Roman"/>
          <w:kern w:val="0"/>
        </w:rPr>
      </w:pPr>
      <w:r>
        <w:rPr>
          <w:rFonts w:ascii="Times New Roman" w:hAnsi="Times New Roman" w:cs="Times New Roman"/>
          <w:kern w:val="0"/>
        </w:rPr>
        <w:t>办公生活垃圾经厂区垃圾桶收集后交由环卫部门处理。</w:t>
      </w:r>
    </w:p>
    <w:p>
      <w:pPr>
        <w:pStyle w:val="83"/>
        <w:spacing w:line="360" w:lineRule="auto"/>
        <w:ind w:firstLine="480"/>
        <w:rPr>
          <w:rFonts w:eastAsiaTheme="minorEastAsia"/>
        </w:rPr>
      </w:pPr>
      <w:r>
        <w:rPr>
          <w:rFonts w:eastAsiaTheme="minorEastAsia"/>
        </w:rPr>
        <w:t>（3）危险废物</w:t>
      </w:r>
    </w:p>
    <w:p>
      <w:pPr>
        <w:pStyle w:val="83"/>
        <w:spacing w:line="360" w:lineRule="auto"/>
        <w:ind w:firstLine="480"/>
        <w:rPr>
          <w:rFonts w:eastAsiaTheme="minorEastAsia"/>
        </w:rPr>
      </w:pPr>
      <w:r>
        <w:rPr>
          <w:rFonts w:eastAsiaTheme="minorEastAsia"/>
        </w:rPr>
        <w:t>项目运营期间梯次利用产生的危险废物为废BMS（HW49，900-045-49）。在厂区危废暂存间暂存后交由有资质的单位处理。</w:t>
      </w:r>
    </w:p>
    <w:p>
      <w:pPr>
        <w:pStyle w:val="83"/>
        <w:spacing w:line="360" w:lineRule="auto"/>
        <w:ind w:firstLine="480"/>
        <w:rPr>
          <w:rFonts w:eastAsiaTheme="minorEastAsia"/>
        </w:rPr>
      </w:pPr>
      <w:r>
        <w:rPr>
          <w:rFonts w:eastAsiaTheme="minorEastAsia"/>
        </w:rPr>
        <w:t>本项目在的厂房内设置了一座10m</w:t>
      </w:r>
      <w:r>
        <w:rPr>
          <w:rFonts w:eastAsiaTheme="minorEastAsia"/>
          <w:vertAlign w:val="superscript"/>
        </w:rPr>
        <w:t>3</w:t>
      </w:r>
      <w:r>
        <w:rPr>
          <w:rFonts w:eastAsiaTheme="minorEastAsia"/>
        </w:rPr>
        <w:t>的危废暂存间。危险废物应设置符合《危险废物贮存污染控制标准》（GB18597-2023）要求的专用危废贮存场所和贮存容器，严禁与其他固废混合存放。可购置加盖危险废物收集箱对危险废物进行收集并单独存放。堆放时宜按危废种类分类堆放。对危险废物进行密闭包装，减少无组织排放。危险废物贮存场所应起到防风、防雨、防晒、防渗漏的作用。放置危险废物收集箱的硬化地面应没有裂缝，保证危险废物暂存场地的渗透系数应≤10</w:t>
      </w:r>
      <w:r>
        <w:rPr>
          <w:rFonts w:eastAsiaTheme="minorEastAsia"/>
          <w:vertAlign w:val="superscript"/>
        </w:rPr>
        <w:t>-10</w:t>
      </w:r>
      <w:r>
        <w:rPr>
          <w:rFonts w:eastAsiaTheme="minorEastAsia"/>
        </w:rPr>
        <w:t>cm/s。无法装入常用容器的危险废物可用防漏胶袋等盛放。盛装危险废物的容器上必须粘贴符合《危险废物贮存污染控制标准》（GB18597-2023）附录A所示的标签。</w:t>
      </w:r>
    </w:p>
    <w:p>
      <w:pPr>
        <w:pStyle w:val="83"/>
        <w:spacing w:line="360" w:lineRule="auto"/>
        <w:ind w:firstLine="480"/>
        <w:rPr>
          <w:rFonts w:eastAsiaTheme="minorEastAsia"/>
        </w:rPr>
      </w:pPr>
      <w:r>
        <w:rPr>
          <w:rFonts w:eastAsiaTheme="minorEastAsia"/>
        </w:rPr>
        <w:t>由此可见，本项目产生的固体废物均得到合理处置，从根本上防止了固体废物的污染，因此工程生产过程排放的固体废物对周围环境影响很小。</w:t>
      </w:r>
    </w:p>
    <w:p>
      <w:pPr>
        <w:pStyle w:val="4"/>
        <w:rPr>
          <w:rFonts w:ascii="Times New Roman" w:hAnsi="Times New Roman" w:cs="Times New Roman"/>
          <w:szCs w:val="28"/>
        </w:rPr>
      </w:pPr>
      <w:bookmarkStart w:id="381" w:name="_Toc147848068"/>
      <w:bookmarkStart w:id="382" w:name="_Toc144236820"/>
      <w:bookmarkStart w:id="383" w:name="_Toc144276950"/>
      <w:r>
        <w:rPr>
          <w:rFonts w:ascii="Times New Roman" w:hAnsi="Times New Roman" w:cs="Times New Roman"/>
          <w:szCs w:val="28"/>
        </w:rPr>
        <w:t>6.3.5 土壤环境影响分析</w:t>
      </w:r>
      <w:bookmarkEnd w:id="381"/>
      <w:bookmarkEnd w:id="382"/>
      <w:bookmarkEnd w:id="383"/>
    </w:p>
    <w:p>
      <w:pPr>
        <w:spacing w:line="360" w:lineRule="auto"/>
        <w:ind w:firstLine="480"/>
        <w:rPr>
          <w:rFonts w:ascii="Times New Roman" w:hAnsi="Times New Roman" w:cs="Times New Roman"/>
          <w:kern w:val="0"/>
        </w:rPr>
      </w:pPr>
      <w:r>
        <w:rPr>
          <w:rFonts w:ascii="Times New Roman" w:hAnsi="Times New Roman" w:cs="Times New Roman"/>
          <w:kern w:val="0"/>
        </w:rPr>
        <w:t>本项目的厂房进行重点防渗，厂房内部四周设置沟槽，并设置收集池，用于泄漏的废电解液的收集，收集池进行了重点防渗；厂房内设置了危废暂存间，用于危废的收集和暂存，危废暂存间进行了重点防渗</w:t>
      </w:r>
    </w:p>
    <w:p>
      <w:pPr>
        <w:spacing w:line="360" w:lineRule="auto"/>
        <w:ind w:firstLine="480"/>
        <w:rPr>
          <w:rFonts w:ascii="Times New Roman" w:hAnsi="Times New Roman" w:cs="Times New Roman"/>
          <w:kern w:val="0"/>
        </w:rPr>
      </w:pPr>
      <w:r>
        <w:rPr>
          <w:rFonts w:ascii="Times New Roman" w:hAnsi="Times New Roman" w:cs="Times New Roman"/>
          <w:kern w:val="0"/>
        </w:rPr>
        <w:t>因此，本项目梯次利用，其对土壤环境影响很小。</w:t>
      </w:r>
    </w:p>
    <w:p>
      <w:pPr>
        <w:pStyle w:val="4"/>
        <w:rPr>
          <w:rFonts w:ascii="Times New Roman" w:hAnsi="Times New Roman" w:cs="Times New Roman"/>
          <w:szCs w:val="28"/>
        </w:rPr>
      </w:pPr>
      <w:bookmarkStart w:id="384" w:name="_Toc144236821"/>
      <w:bookmarkStart w:id="385" w:name="_Toc147848069"/>
      <w:bookmarkStart w:id="386" w:name="_Toc144276951"/>
      <w:r>
        <w:rPr>
          <w:rFonts w:ascii="Times New Roman" w:hAnsi="Times New Roman" w:cs="Times New Roman"/>
          <w:szCs w:val="28"/>
        </w:rPr>
        <w:t>6.3.6 环境风险分析</w:t>
      </w:r>
      <w:bookmarkEnd w:id="384"/>
      <w:bookmarkEnd w:id="385"/>
      <w:bookmarkEnd w:id="386"/>
    </w:p>
    <w:p>
      <w:pPr>
        <w:spacing w:line="360" w:lineRule="auto"/>
        <w:ind w:firstLine="480" w:firstLineChars="200"/>
        <w:rPr>
          <w:rFonts w:ascii="Times New Roman" w:hAnsi="Times New Roman" w:cs="Times New Roman"/>
        </w:rPr>
      </w:pPr>
      <w:r>
        <w:rPr>
          <w:rFonts w:ascii="Times New Roman" w:hAnsi="Times New Roman" w:cs="Times New Roman"/>
        </w:rPr>
        <w:t>本项目梯次利用，该过程中风险物质主要为破损电池的废电解液（原料前端企业已进行了检测，破损极少）以及危险废物，其产生量极少。本项目的厂房进行重点防渗，厂房内部四周设置沟槽，并设置收集池，用于泄漏的废电解液的收集，收集池进行了重点防渗；厂房内设置了危废暂存间，用于危废的收集和暂存，危废暂存间进行了重点防渗</w:t>
      </w:r>
    </w:p>
    <w:p>
      <w:pPr>
        <w:spacing w:line="360" w:lineRule="auto"/>
        <w:ind w:firstLine="480" w:firstLineChars="200"/>
        <w:rPr>
          <w:rFonts w:ascii="Times New Roman" w:hAnsi="Times New Roman" w:cs="Times New Roman"/>
        </w:rPr>
        <w:sectPr>
          <w:pgSz w:w="11907" w:h="16840"/>
          <w:pgMar w:top="1440" w:right="1797" w:bottom="1440" w:left="1797" w:header="964" w:footer="851" w:gutter="0"/>
          <w:cols w:space="720" w:num="1"/>
          <w:docGrid w:linePitch="311" w:charSpace="0"/>
        </w:sectPr>
      </w:pPr>
      <w:r>
        <w:rPr>
          <w:rFonts w:ascii="Times New Roman" w:hAnsi="Times New Roman" w:cs="Times New Roman"/>
        </w:rPr>
        <w:t>因此，本项目梯次利用，其环境风险影响很小。</w:t>
      </w:r>
    </w:p>
    <w:p>
      <w:pPr>
        <w:pStyle w:val="2"/>
        <w:spacing w:before="120" w:after="120"/>
        <w:rPr>
          <w:rFonts w:ascii="Times New Roman" w:hAnsi="Times New Roman" w:cs="Times New Roman"/>
        </w:rPr>
      </w:pPr>
      <w:bookmarkStart w:id="387" w:name="_Toc147848070"/>
      <w:bookmarkStart w:id="388" w:name="_Toc144276952"/>
      <w:bookmarkStart w:id="389" w:name="_Toc102658226"/>
      <w:bookmarkStart w:id="390" w:name="_Toc144236822"/>
      <w:r>
        <w:rPr>
          <w:rFonts w:ascii="Times New Roman" w:hAnsi="Times New Roman" w:cs="Times New Roman"/>
        </w:rPr>
        <w:t>第7章 环境风险分析</w:t>
      </w:r>
      <w:bookmarkEnd w:id="387"/>
      <w:bookmarkEnd w:id="388"/>
      <w:bookmarkEnd w:id="389"/>
      <w:bookmarkEnd w:id="390"/>
    </w:p>
    <w:p>
      <w:pPr>
        <w:pStyle w:val="3"/>
        <w:rPr>
          <w:rFonts w:ascii="Times New Roman" w:hAnsi="Times New Roman" w:cs="Times New Roman" w:eastAsiaTheme="minorEastAsia"/>
        </w:rPr>
      </w:pPr>
      <w:bookmarkStart w:id="391" w:name="_Toc147848071"/>
      <w:bookmarkStart w:id="392" w:name="_Toc144236823"/>
      <w:bookmarkStart w:id="393" w:name="_Toc102658227"/>
      <w:bookmarkStart w:id="394" w:name="_Toc144276953"/>
      <w:r>
        <w:rPr>
          <w:rFonts w:ascii="Times New Roman" w:hAnsi="Times New Roman" w:cs="Times New Roman" w:eastAsiaTheme="minorEastAsia"/>
        </w:rPr>
        <w:t>7.1 环境风险评价原则及评价程序</w:t>
      </w:r>
      <w:bookmarkEnd w:id="391"/>
      <w:bookmarkEnd w:id="392"/>
      <w:bookmarkEnd w:id="393"/>
      <w:bookmarkEnd w:id="394"/>
    </w:p>
    <w:p>
      <w:pPr>
        <w:spacing w:line="360" w:lineRule="auto"/>
        <w:ind w:firstLine="480" w:firstLineChars="200"/>
        <w:rPr>
          <w:rFonts w:ascii="Times New Roman" w:hAnsi="Times New Roman" w:cs="Times New Roman"/>
        </w:rPr>
      </w:pPr>
      <w:r>
        <w:rPr>
          <w:rFonts w:ascii="Times New Roman" w:hAnsi="Times New Roman" w:cs="Times New Roman"/>
        </w:rPr>
        <w:t>环境风险是指突发性事故造成重大环境污染的事件，具有危害性大、影响范围广等特点，同时风险发生又有很大的不确定性，可能不会发生，但一旦发生，对环境会产生较大影响。</w:t>
      </w:r>
    </w:p>
    <w:p>
      <w:pPr>
        <w:spacing w:line="360" w:lineRule="auto"/>
        <w:ind w:firstLine="480" w:firstLineChars="200"/>
        <w:rPr>
          <w:rFonts w:ascii="Times New Roman" w:hAnsi="Times New Roman" w:cs="Times New Roman"/>
        </w:rPr>
      </w:pPr>
      <w:r>
        <w:rPr>
          <w:rFonts w:ascii="Times New Roman" w:hAnsi="Times New Roman" w:cs="Times New Roman"/>
        </w:rPr>
        <w:t>环境风险评价的目的是分析和预测建设项目存在的潜在危险、有害因素，建设项目建设和运营期可能发生的突发性事件或事故（一般不包括人为破坏及自然灾害），引起有毒有害和易燃易爆等物质泄漏以及泄漏事故引起的火灾或爆炸，所造成的人身安全与环境影响和损害程度，提出合理可行的防范、应急与减缓措施，以使建设项目事故率、损失和环境影响达到可接受水平。</w:t>
      </w:r>
    </w:p>
    <w:p>
      <w:pPr>
        <w:spacing w:line="360" w:lineRule="auto"/>
        <w:ind w:firstLine="480" w:firstLineChars="200"/>
        <w:rPr>
          <w:rFonts w:ascii="Times New Roman" w:hAnsi="Times New Roman" w:cs="Times New Roman"/>
        </w:rPr>
      </w:pPr>
      <w:r>
        <w:rPr>
          <w:rFonts w:ascii="Times New Roman" w:hAnsi="Times New Roman" w:cs="Times New Roman"/>
        </w:rPr>
        <w:t>根据国家环保总局《关于进一步加强环境影响评价管理防范环境风险的通知》（环发[2012]77号）的要求：“新、改、扩建相关建设项目环境影响评价应按照相应技术导则要求，科学预测评价突发性事件或事故可能引发的环境风险，提出环境风险防范和应急措施”。本评价根据《建设项目环境风险评价技术导则》（HJ 169-2018）的规定要求对拟建项目的环境风险进行评价，同时根据建设项目环境风险可能影响的范围与程度，提出缓解环境风险的建议措施。</w:t>
      </w:r>
    </w:p>
    <w:p>
      <w:pPr>
        <w:spacing w:line="360" w:lineRule="auto"/>
        <w:ind w:firstLine="480" w:firstLineChars="200"/>
        <w:rPr>
          <w:rFonts w:ascii="Times New Roman" w:hAnsi="Times New Roman" w:cs="Times New Roman"/>
        </w:rPr>
      </w:pPr>
      <w:r>
        <w:rPr>
          <w:rFonts w:ascii="Times New Roman" w:hAnsi="Times New Roman" w:cs="Times New Roman"/>
        </w:rPr>
        <w:t>评价工作程序见下图。</w:t>
      </w:r>
    </w:p>
    <w:p>
      <w:pPr>
        <w:spacing w:line="360" w:lineRule="auto"/>
        <w:ind w:firstLine="480" w:firstLineChars="200"/>
        <w:rPr>
          <w:rFonts w:ascii="Times New Roman" w:hAnsi="Times New Roman" w:cs="Times New Roman"/>
        </w:rPr>
      </w:pPr>
      <w:r>
        <w:rPr>
          <w:rFonts w:ascii="Times New Roman" w:hAnsi="Times New Roman" w:eastAsia="宋体" w:cs="Times New Roman"/>
        </w:rPr>
        <w:drawing>
          <wp:inline distT="0" distB="0" distL="0" distR="0">
            <wp:extent cx="5201285" cy="5367020"/>
            <wp:effectExtent l="0" t="0" r="0" b="5080"/>
            <wp:docPr id="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a:xfrm>
                      <a:off x="0" y="0"/>
                      <a:ext cx="5198251" cy="5364252"/>
                    </a:xfrm>
                    <a:prstGeom prst="rect">
                      <a:avLst/>
                    </a:prstGeom>
                    <a:noFill/>
                    <a:ln>
                      <a:noFill/>
                    </a:ln>
                  </pic:spPr>
                </pic:pic>
              </a:graphicData>
            </a:graphic>
          </wp:inline>
        </w:drawing>
      </w:r>
    </w:p>
    <w:p>
      <w:pPr>
        <w:pStyle w:val="6"/>
        <w:rPr>
          <w:rFonts w:ascii="Times New Roman" w:hAnsi="Times New Roman" w:cs="Times New Roman"/>
        </w:rPr>
      </w:pPr>
      <w:r>
        <w:rPr>
          <w:rFonts w:ascii="Times New Roman" w:hAnsi="Times New Roman" w:cs="Times New Roman"/>
        </w:rPr>
        <w:t>图7.1-1  评价工作程序</w:t>
      </w:r>
    </w:p>
    <w:p>
      <w:pPr>
        <w:pStyle w:val="3"/>
        <w:rPr>
          <w:rFonts w:ascii="Times New Roman" w:hAnsi="Times New Roman" w:cs="Times New Roman" w:eastAsiaTheme="minorEastAsia"/>
        </w:rPr>
      </w:pPr>
      <w:bookmarkStart w:id="395" w:name="_Toc102658228"/>
      <w:bookmarkStart w:id="396" w:name="_Toc144236824"/>
      <w:bookmarkStart w:id="397" w:name="_Toc144276954"/>
      <w:bookmarkStart w:id="398" w:name="_Toc147848072"/>
      <w:r>
        <w:rPr>
          <w:rFonts w:ascii="Times New Roman" w:hAnsi="Times New Roman" w:cs="Times New Roman" w:eastAsiaTheme="minorEastAsia"/>
        </w:rPr>
        <w:t>7.2 环境风险识别</w:t>
      </w:r>
      <w:bookmarkEnd w:id="395"/>
      <w:bookmarkEnd w:id="396"/>
      <w:bookmarkEnd w:id="397"/>
      <w:bookmarkEnd w:id="398"/>
    </w:p>
    <w:p>
      <w:pPr>
        <w:spacing w:line="360" w:lineRule="auto"/>
        <w:ind w:firstLine="480" w:firstLineChars="200"/>
        <w:rPr>
          <w:rFonts w:ascii="Times New Roman" w:hAnsi="Times New Roman" w:eastAsia="宋体" w:cs="Times New Roman"/>
        </w:rPr>
      </w:pPr>
      <w:r>
        <w:rPr>
          <w:rFonts w:ascii="Times New Roman" w:hAnsi="Times New Roman" w:eastAsia="宋体" w:cs="Times New Roman"/>
        </w:rPr>
        <w:t>根据导则规定，拟建项目风险识别范围包括物质危险性识别、生产系统危险性识别和危险物质向环境转移的途径识别。</w:t>
      </w:r>
    </w:p>
    <w:p>
      <w:pPr>
        <w:spacing w:line="360" w:lineRule="auto"/>
        <w:ind w:firstLine="480" w:firstLineChars="200"/>
        <w:rPr>
          <w:rFonts w:ascii="Times New Roman" w:hAnsi="Times New Roman" w:eastAsia="宋体" w:cs="Times New Roman"/>
        </w:rPr>
      </w:pPr>
      <w:r>
        <w:rPr>
          <w:rFonts w:ascii="Times New Roman" w:hAnsi="Times New Roman" w:eastAsia="宋体" w:cs="Times New Roman"/>
        </w:rPr>
        <w:t>物质风险识别范围：主要原材料及辅助材料、燃料、中间产品、最终产品以及生产过程排放的“三废”污染物等。</w:t>
      </w:r>
    </w:p>
    <w:p>
      <w:pPr>
        <w:spacing w:line="360" w:lineRule="auto"/>
        <w:ind w:firstLine="480" w:firstLineChars="200"/>
        <w:rPr>
          <w:rFonts w:ascii="Times New Roman" w:hAnsi="Times New Roman" w:eastAsia="宋体" w:cs="Times New Roman"/>
        </w:rPr>
      </w:pPr>
      <w:r>
        <w:rPr>
          <w:rFonts w:ascii="Times New Roman" w:hAnsi="Times New Roman" w:eastAsia="宋体" w:cs="Times New Roman"/>
        </w:rPr>
        <w:t>生产设施风险识别范围：主要生产装置、贮运系统、公用工程系统、工程环保设施及辅助生产设施等。</w:t>
      </w:r>
    </w:p>
    <w:p>
      <w:pPr>
        <w:pStyle w:val="4"/>
        <w:rPr>
          <w:rFonts w:ascii="Times New Roman" w:hAnsi="Times New Roman" w:cs="Times New Roman"/>
        </w:rPr>
      </w:pPr>
      <w:bookmarkStart w:id="399" w:name="_Toc147848073"/>
      <w:bookmarkStart w:id="400" w:name="_Toc144236825"/>
      <w:bookmarkStart w:id="401" w:name="_Toc144276955"/>
      <w:r>
        <w:rPr>
          <w:rFonts w:ascii="Times New Roman" w:hAnsi="Times New Roman" w:cs="Times New Roman"/>
        </w:rPr>
        <w:t>7.2.1 物质风险识别</w:t>
      </w:r>
      <w:bookmarkEnd w:id="399"/>
      <w:bookmarkEnd w:id="400"/>
      <w:bookmarkEnd w:id="401"/>
    </w:p>
    <w:p>
      <w:pPr>
        <w:spacing w:line="360" w:lineRule="auto"/>
        <w:ind w:firstLine="480" w:firstLineChars="200"/>
        <w:rPr>
          <w:rFonts w:ascii="Times New Roman" w:hAnsi="Times New Roman" w:cs="Times New Roman"/>
        </w:rPr>
      </w:pPr>
      <w:r>
        <w:rPr>
          <w:rFonts w:ascii="Times New Roman" w:hAnsi="Times New Roman" w:cs="Times New Roman"/>
        </w:rPr>
        <w:t>按照《建设项目环境风险评价技术导则》（HJ169－2018），本项目涉及的环境风险物质为危险废物固态物质，具体见下表所示。</w:t>
      </w:r>
    </w:p>
    <w:p>
      <w:pPr>
        <w:pStyle w:val="6"/>
        <w:rPr>
          <w:rFonts w:ascii="Times New Roman" w:hAnsi="Times New Roman" w:cs="Times New Roman"/>
        </w:rPr>
      </w:pPr>
      <w:r>
        <w:rPr>
          <w:rFonts w:ascii="Times New Roman" w:hAnsi="Times New Roman" w:cs="Times New Roman"/>
        </w:rPr>
        <w:t>表7.2-1项目主要固态、液态环境风险物质最大存储量一览表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3417"/>
        <w:gridCol w:w="2268"/>
        <w:gridCol w:w="265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048" w:type="pct"/>
            <w:vAlign w:val="center"/>
          </w:tcPr>
          <w:p>
            <w:pPr>
              <w:pStyle w:val="63"/>
            </w:pPr>
            <w:bookmarkStart w:id="402" w:name="_Hlk96530594"/>
            <w:r>
              <w:t>名称</w:t>
            </w:r>
          </w:p>
        </w:tc>
        <w:tc>
          <w:tcPr>
            <w:tcW w:w="1359" w:type="pct"/>
            <w:vAlign w:val="center"/>
          </w:tcPr>
          <w:p>
            <w:pPr>
              <w:pStyle w:val="63"/>
            </w:pPr>
            <w:r>
              <w:t>最大存在量（t）</w:t>
            </w:r>
          </w:p>
        </w:tc>
        <w:tc>
          <w:tcPr>
            <w:tcW w:w="1593" w:type="pct"/>
            <w:vAlign w:val="center"/>
          </w:tcPr>
          <w:p>
            <w:pPr>
              <w:pStyle w:val="63"/>
            </w:pPr>
            <w:r>
              <w:t>存储位置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048" w:type="pct"/>
            <w:vAlign w:val="center"/>
          </w:tcPr>
          <w:p>
            <w:pPr>
              <w:pStyle w:val="63"/>
            </w:pPr>
            <w:r>
              <w:t>硫酸</w:t>
            </w:r>
          </w:p>
        </w:tc>
        <w:tc>
          <w:tcPr>
            <w:tcW w:w="1359" w:type="pct"/>
            <w:vAlign w:val="center"/>
          </w:tcPr>
          <w:p>
            <w:pPr>
              <w:pStyle w:val="63"/>
            </w:pPr>
            <w:r>
              <w:t>368</w:t>
            </w:r>
          </w:p>
        </w:tc>
        <w:tc>
          <w:tcPr>
            <w:tcW w:w="1593" w:type="pct"/>
            <w:vAlign w:val="center"/>
          </w:tcPr>
          <w:p>
            <w:pPr>
              <w:pStyle w:val="63"/>
            </w:pPr>
            <w:r>
              <w:t>储罐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048" w:type="pct"/>
            <w:vAlign w:val="center"/>
          </w:tcPr>
          <w:p>
            <w:pPr>
              <w:pStyle w:val="63"/>
            </w:pPr>
            <w:r>
              <w:t>磺化煤油（260号溶剂油）（储存量）</w:t>
            </w:r>
          </w:p>
        </w:tc>
        <w:tc>
          <w:tcPr>
            <w:tcW w:w="1359" w:type="pct"/>
            <w:vAlign w:val="center"/>
          </w:tcPr>
          <w:p>
            <w:pPr>
              <w:pStyle w:val="63"/>
            </w:pPr>
            <w:r>
              <w:t>20</w:t>
            </w:r>
          </w:p>
        </w:tc>
        <w:tc>
          <w:tcPr>
            <w:tcW w:w="1593" w:type="pct"/>
            <w:vAlign w:val="center"/>
          </w:tcPr>
          <w:p>
            <w:pPr>
              <w:pStyle w:val="63"/>
            </w:pPr>
            <w:r>
              <w:t>储罐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048" w:type="pct"/>
            <w:vAlign w:val="center"/>
          </w:tcPr>
          <w:p>
            <w:pPr>
              <w:pStyle w:val="63"/>
            </w:pPr>
            <w:r>
              <w:t>废油</w:t>
            </w:r>
          </w:p>
        </w:tc>
        <w:tc>
          <w:tcPr>
            <w:tcW w:w="1359" w:type="pct"/>
            <w:vAlign w:val="center"/>
          </w:tcPr>
          <w:p>
            <w:pPr>
              <w:pStyle w:val="63"/>
            </w:pPr>
            <w:r>
              <w:t>0.1</w:t>
            </w:r>
          </w:p>
        </w:tc>
        <w:tc>
          <w:tcPr>
            <w:tcW w:w="1593" w:type="pct"/>
            <w:vAlign w:val="center"/>
          </w:tcPr>
          <w:p>
            <w:pPr>
              <w:pStyle w:val="63"/>
            </w:pPr>
            <w:r>
              <w:t>危废间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048" w:type="pct"/>
            <w:vAlign w:val="center"/>
          </w:tcPr>
          <w:p>
            <w:pPr>
              <w:pStyle w:val="63"/>
            </w:pPr>
            <w:r>
              <w:t>硫酸镍</w:t>
            </w:r>
          </w:p>
        </w:tc>
        <w:tc>
          <w:tcPr>
            <w:tcW w:w="1359" w:type="pct"/>
            <w:vAlign w:val="center"/>
          </w:tcPr>
          <w:p>
            <w:pPr>
              <w:pStyle w:val="63"/>
            </w:pPr>
            <w:r>
              <w:rPr>
                <w:rFonts w:hint="eastAsia"/>
              </w:rPr>
              <w:t>59.16（折算为镍）</w:t>
            </w:r>
          </w:p>
        </w:tc>
        <w:tc>
          <w:tcPr>
            <w:tcW w:w="1593" w:type="pct"/>
            <w:vAlign w:val="center"/>
          </w:tcPr>
          <w:p>
            <w:pPr>
              <w:pStyle w:val="63"/>
            </w:pPr>
            <w:r>
              <w:rPr>
                <w:rFonts w:hint="eastAsia"/>
              </w:rPr>
              <w:t>产品仓库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048" w:type="pct"/>
            <w:vAlign w:val="center"/>
          </w:tcPr>
          <w:p>
            <w:pPr>
              <w:pStyle w:val="63"/>
            </w:pPr>
            <w:r>
              <w:rPr>
                <w:rFonts w:hint="eastAsia"/>
              </w:rPr>
              <w:t>硫酸锰</w:t>
            </w:r>
          </w:p>
        </w:tc>
        <w:tc>
          <w:tcPr>
            <w:tcW w:w="1359" w:type="pct"/>
            <w:vAlign w:val="center"/>
          </w:tcPr>
          <w:p>
            <w:pPr>
              <w:pStyle w:val="63"/>
            </w:pPr>
            <w:r>
              <w:rPr>
                <w:rFonts w:hint="eastAsia"/>
              </w:rPr>
              <w:t>76（折算为锰）</w:t>
            </w:r>
          </w:p>
        </w:tc>
        <w:tc>
          <w:tcPr>
            <w:tcW w:w="1593" w:type="pct"/>
            <w:vAlign w:val="center"/>
          </w:tcPr>
          <w:p>
            <w:pPr>
              <w:pStyle w:val="63"/>
            </w:pPr>
            <w:r>
              <w:rPr>
                <w:rFonts w:hint="eastAsia"/>
              </w:rPr>
              <w:t>产品仓库</w:t>
            </w:r>
          </w:p>
        </w:tc>
      </w:tr>
      <w:bookmarkEnd w:id="402"/>
    </w:tbl>
    <w:p>
      <w:pPr>
        <w:pStyle w:val="4"/>
        <w:rPr>
          <w:rFonts w:ascii="Times New Roman" w:hAnsi="Times New Roman" w:cs="Times New Roman"/>
        </w:rPr>
      </w:pPr>
      <w:bookmarkStart w:id="403" w:name="_Toc144236826"/>
      <w:bookmarkStart w:id="404" w:name="_Toc144276956"/>
      <w:bookmarkStart w:id="405" w:name="_Toc147848074"/>
      <w:r>
        <w:rPr>
          <w:rFonts w:ascii="Times New Roman" w:hAnsi="Times New Roman" w:cs="Times New Roman"/>
        </w:rPr>
        <w:t>7.2.2 生产设施环境风险识别</w:t>
      </w:r>
      <w:bookmarkEnd w:id="403"/>
      <w:bookmarkEnd w:id="404"/>
      <w:bookmarkEnd w:id="405"/>
    </w:p>
    <w:p>
      <w:pPr>
        <w:spacing w:line="360" w:lineRule="auto"/>
        <w:ind w:firstLine="480" w:firstLineChars="200"/>
        <w:rPr>
          <w:rFonts w:ascii="Times New Roman" w:hAnsi="Times New Roman" w:cs="Times New Roman"/>
        </w:rPr>
      </w:pPr>
      <w:r>
        <w:rPr>
          <w:rFonts w:ascii="Times New Roman" w:hAnsi="Times New Roman" w:cs="Times New Roman"/>
        </w:rPr>
        <w:t>根据《建设项目环境风险评价技术导则》（HJ169－2018），生产设施识别范围包括主要生产装置、贮运系统、公用工程系统、工程环保设施及辅助生产设施等。</w:t>
      </w:r>
    </w:p>
    <w:p>
      <w:pPr>
        <w:spacing w:line="360" w:lineRule="auto"/>
        <w:ind w:firstLine="480" w:firstLineChars="200"/>
        <w:rPr>
          <w:rFonts w:ascii="Times New Roman" w:hAnsi="Times New Roman" w:cs="Times New Roman"/>
        </w:rPr>
      </w:pPr>
      <w:r>
        <w:rPr>
          <w:rFonts w:ascii="Times New Roman" w:hAnsi="Times New Roman" w:cs="Times New Roman"/>
        </w:rPr>
        <w:t>（1）生产设施及生产过程主要危险部位分析</w:t>
      </w:r>
    </w:p>
    <w:p>
      <w:pPr>
        <w:spacing w:line="360" w:lineRule="auto"/>
        <w:ind w:firstLine="480" w:firstLineChars="200"/>
        <w:rPr>
          <w:rFonts w:ascii="Times New Roman" w:hAnsi="Times New Roman" w:cs="Times New Roman"/>
        </w:rPr>
      </w:pPr>
      <w:r>
        <w:rPr>
          <w:rFonts w:ascii="Times New Roman" w:hAnsi="Times New Roman" w:cs="Times New Roman"/>
        </w:rPr>
        <w:t>根据工艺流程和生产特点，拟建项目生产设施及生产过程主要危险部位为罐区、危废暂存库。</w:t>
      </w:r>
    </w:p>
    <w:p>
      <w:pPr>
        <w:spacing w:line="360" w:lineRule="auto"/>
        <w:ind w:firstLine="480" w:firstLineChars="200"/>
        <w:rPr>
          <w:rFonts w:ascii="Times New Roman" w:hAnsi="Times New Roman" w:cs="Times New Roman"/>
        </w:rPr>
      </w:pPr>
      <w:r>
        <w:rPr>
          <w:rFonts w:ascii="Times New Roman" w:hAnsi="Times New Roman" w:cs="Times New Roman"/>
        </w:rPr>
        <w:t>（2）伴生、次生事故分析</w:t>
      </w:r>
    </w:p>
    <w:p>
      <w:pPr>
        <w:spacing w:line="360" w:lineRule="auto"/>
        <w:ind w:firstLine="480" w:firstLineChars="200"/>
        <w:rPr>
          <w:rFonts w:ascii="Times New Roman" w:hAnsi="Times New Roman" w:cs="Times New Roman"/>
        </w:rPr>
      </w:pPr>
      <w:r>
        <w:rPr>
          <w:rFonts w:ascii="Times New Roman" w:hAnsi="Times New Roman" w:cs="Times New Roman"/>
        </w:rPr>
        <w:t>工程应严格按照《工业企业总平面设计规范》（GB50187）、《建筑设计防火规范（2018版修订）》（GB50016）进行总图布置和消防设计，有毒有害物质贮罐与装置区均满足安全距离要求，贮罐周围设置有防火堤，一旦某一危险源发生爆炸、火灾和泄漏，均能在本区域得到控制，避免发生事故连锁反应。</w:t>
      </w:r>
    </w:p>
    <w:p>
      <w:pPr>
        <w:spacing w:line="360" w:lineRule="auto"/>
        <w:ind w:firstLine="480" w:firstLineChars="200"/>
        <w:rPr>
          <w:rFonts w:ascii="Times New Roman" w:hAnsi="Times New Roman" w:cs="Times New Roman"/>
        </w:rPr>
      </w:pPr>
      <w:r>
        <w:rPr>
          <w:rFonts w:ascii="Times New Roman" w:hAnsi="Times New Roman" w:cs="Times New Roman"/>
        </w:rPr>
        <w:t>拟建项目设置事故废水防控系统，当生产装置区及罐区发生泄漏、火灾、爆炸事故时，用水进行消防时，会产生大量的消防废水，全部进入厂区应急事故池和厂区污水站处理，不会引发伴生、次生事故。</w:t>
      </w:r>
    </w:p>
    <w:p>
      <w:pPr>
        <w:spacing w:line="360" w:lineRule="auto"/>
        <w:ind w:firstLine="480" w:firstLineChars="200"/>
        <w:rPr>
          <w:rFonts w:ascii="Times New Roman" w:hAnsi="Times New Roman" w:cs="Times New Roman"/>
        </w:rPr>
      </w:pPr>
      <w:r>
        <w:rPr>
          <w:rFonts w:ascii="Times New Roman" w:hAnsi="Times New Roman" w:cs="Times New Roman"/>
        </w:rPr>
        <w:t>（3）运输事故</w:t>
      </w:r>
    </w:p>
    <w:p>
      <w:pPr>
        <w:spacing w:line="360" w:lineRule="auto"/>
        <w:ind w:firstLine="480" w:firstLineChars="200"/>
        <w:rPr>
          <w:rFonts w:ascii="Times New Roman" w:hAnsi="Times New Roman" w:cs="Times New Roman"/>
        </w:rPr>
      </w:pPr>
      <w:r>
        <w:rPr>
          <w:rFonts w:ascii="Times New Roman" w:hAnsi="Times New Roman" w:cs="Times New Roman"/>
        </w:rPr>
        <w:t>运输车辆发生交通事故与各种因素有关，这些因素包括：驾驶员个人因素、运输量、车次、车速、交通量、道路状况等交通条件、道路所在地区气候条件等。固体废物运输必须严格按一定的方式进行，同时应有固定的运输路线。随着运输方式、操作方法的不同，运输危险性程度不同。</w:t>
      </w:r>
    </w:p>
    <w:p>
      <w:pPr>
        <w:pStyle w:val="4"/>
        <w:rPr>
          <w:rFonts w:ascii="Times New Roman" w:hAnsi="Times New Roman" w:cs="Times New Roman"/>
        </w:rPr>
      </w:pPr>
      <w:bookmarkStart w:id="406" w:name="_Toc144236827"/>
      <w:bookmarkStart w:id="407" w:name="_Toc144276957"/>
      <w:bookmarkStart w:id="408" w:name="_Toc147848075"/>
      <w:r>
        <w:rPr>
          <w:rFonts w:ascii="Times New Roman" w:hAnsi="Times New Roman" w:cs="Times New Roman"/>
        </w:rPr>
        <w:t>7.2.3 危险物质扩散途径识别</w:t>
      </w:r>
      <w:bookmarkEnd w:id="406"/>
      <w:bookmarkEnd w:id="407"/>
      <w:bookmarkEnd w:id="408"/>
    </w:p>
    <w:p>
      <w:pPr>
        <w:spacing w:line="360" w:lineRule="auto"/>
        <w:ind w:firstLine="480" w:firstLineChars="200"/>
        <w:rPr>
          <w:rFonts w:ascii="Times New Roman" w:hAnsi="Times New Roman" w:cs="Times New Roman"/>
        </w:rPr>
      </w:pPr>
      <w:r>
        <w:rPr>
          <w:rFonts w:ascii="Times New Roman" w:hAnsi="Times New Roman" w:cs="Times New Roman"/>
        </w:rPr>
        <w:t>本项目危险物质扩散途径主要有以下几个方面：</w:t>
      </w:r>
    </w:p>
    <w:p>
      <w:pPr>
        <w:spacing w:line="360" w:lineRule="auto"/>
        <w:ind w:firstLine="480" w:firstLineChars="200"/>
        <w:rPr>
          <w:rFonts w:ascii="Times New Roman" w:hAnsi="Times New Roman" w:cs="Times New Roman"/>
        </w:rPr>
      </w:pPr>
      <w:r>
        <w:rPr>
          <w:rFonts w:ascii="Times New Roman" w:hAnsi="Times New Roman" w:cs="Times New Roman"/>
        </w:rPr>
        <w:t>大气扩散：有毒有害物质泄漏后或烟气非正常排放直接进入大气环境或挥发进入大气环境，或者易燃易爆物质泄漏后发生火灾事故时伴生污染物进入大气环境，通过大气扩散对周围环境造成影响。</w:t>
      </w:r>
    </w:p>
    <w:p>
      <w:pPr>
        <w:spacing w:line="360" w:lineRule="auto"/>
        <w:ind w:firstLine="480" w:firstLineChars="200"/>
        <w:rPr>
          <w:rFonts w:ascii="Times New Roman" w:hAnsi="Times New Roman" w:cs="Times New Roman"/>
        </w:rPr>
      </w:pPr>
      <w:r>
        <w:rPr>
          <w:rFonts w:ascii="Times New Roman" w:hAnsi="Times New Roman" w:cs="Times New Roman"/>
        </w:rPr>
        <w:t>水环境扩散：本项目泄漏物料或易燃易爆物质发生火灾事故时产生的消防废水未得到有效收集而进入清净雨水管网，通过管网排入外环境，对周围环境造成影响。</w:t>
      </w:r>
    </w:p>
    <w:p>
      <w:pPr>
        <w:spacing w:line="360" w:lineRule="auto"/>
        <w:ind w:firstLine="480" w:firstLineChars="200"/>
        <w:rPr>
          <w:rFonts w:ascii="Times New Roman" w:hAnsi="Times New Roman" w:cs="Times New Roman"/>
        </w:rPr>
      </w:pPr>
      <w:r>
        <w:rPr>
          <w:rFonts w:ascii="Times New Roman" w:hAnsi="Times New Roman" w:cs="Times New Roman"/>
        </w:rPr>
        <w:t>地下水环境扩散：本项目液态危险物质泄漏或事故废水，通过厂区地面下渗至地下含水层并向下游运移，对下游地下水环境敏感目标造成风险事故影响。</w:t>
      </w:r>
    </w:p>
    <w:p>
      <w:pPr>
        <w:pStyle w:val="3"/>
        <w:rPr>
          <w:rFonts w:ascii="Times New Roman" w:hAnsi="Times New Roman" w:cs="Times New Roman" w:eastAsiaTheme="minorEastAsia"/>
          <w:u w:val="single"/>
        </w:rPr>
      </w:pPr>
      <w:bookmarkStart w:id="409" w:name="_Toc144236828"/>
      <w:bookmarkStart w:id="410" w:name="_Toc144276958"/>
      <w:bookmarkStart w:id="411" w:name="_Toc102658229"/>
      <w:bookmarkStart w:id="412" w:name="_Toc147848076"/>
      <w:r>
        <w:rPr>
          <w:rFonts w:ascii="Times New Roman" w:hAnsi="Times New Roman" w:cs="Times New Roman" w:eastAsiaTheme="minorEastAsia"/>
          <w:u w:val="single"/>
        </w:rPr>
        <w:t>7.3 评价等级及范围</w:t>
      </w:r>
      <w:bookmarkEnd w:id="409"/>
      <w:bookmarkEnd w:id="410"/>
      <w:bookmarkEnd w:id="411"/>
      <w:bookmarkEnd w:id="412"/>
    </w:p>
    <w:p>
      <w:pPr>
        <w:pStyle w:val="4"/>
        <w:rPr>
          <w:rFonts w:ascii="Times New Roman" w:hAnsi="Times New Roman" w:cs="Times New Roman"/>
          <w:u w:val="single"/>
        </w:rPr>
      </w:pPr>
      <w:bookmarkStart w:id="413" w:name="_Toc144236829"/>
      <w:bookmarkStart w:id="414" w:name="_Toc147848077"/>
      <w:bookmarkStart w:id="415" w:name="_Toc144276959"/>
      <w:r>
        <w:rPr>
          <w:rFonts w:ascii="Times New Roman" w:hAnsi="Times New Roman" w:cs="Times New Roman"/>
          <w:u w:val="single"/>
        </w:rPr>
        <w:t>7.3.1 风险潜势初判</w:t>
      </w:r>
      <w:bookmarkEnd w:id="413"/>
      <w:bookmarkEnd w:id="414"/>
      <w:bookmarkEnd w:id="415"/>
    </w:p>
    <w:p>
      <w:pPr>
        <w:keepNext/>
        <w:keepLines/>
        <w:spacing w:line="360" w:lineRule="auto"/>
        <w:ind w:firstLine="482" w:firstLineChars="200"/>
        <w:outlineLvl w:val="3"/>
        <w:rPr>
          <w:rFonts w:ascii="Times New Roman" w:hAnsi="Times New Roman" w:eastAsia="宋体" w:cs="Times New Roman"/>
          <w:b/>
          <w:bCs/>
          <w:szCs w:val="24"/>
          <w:u w:val="single"/>
        </w:rPr>
      </w:pPr>
      <w:r>
        <w:rPr>
          <w:rFonts w:ascii="Times New Roman" w:hAnsi="Times New Roman" w:eastAsia="宋体" w:cs="Times New Roman"/>
          <w:b/>
          <w:bCs/>
          <w:szCs w:val="24"/>
          <w:u w:val="single"/>
        </w:rPr>
        <w:t>7.3.1.1 危险物质数量与临界量比值（Q）确定</w:t>
      </w:r>
    </w:p>
    <w:p>
      <w:pPr>
        <w:spacing w:line="360" w:lineRule="auto"/>
        <w:ind w:firstLine="480" w:firstLineChars="200"/>
        <w:rPr>
          <w:rFonts w:ascii="Times New Roman" w:hAnsi="Times New Roman" w:eastAsia="宋体" w:cs="Times New Roman"/>
          <w:szCs w:val="24"/>
          <w:u w:val="single"/>
        </w:rPr>
      </w:pPr>
      <w:r>
        <w:rPr>
          <w:rFonts w:ascii="Times New Roman" w:hAnsi="Times New Roman" w:eastAsia="宋体" w:cs="Times New Roman"/>
          <w:szCs w:val="24"/>
          <w:u w:val="single"/>
        </w:rPr>
        <w:t>根据建设项目设计的物质和工艺系统的危险性及其所在地的环境敏感程度，结合事故情形下环境影响途径，对建设项目潜在环境危害程度进行概化分析，按照下表确定环境风险潜势。</w:t>
      </w:r>
    </w:p>
    <w:p>
      <w:pPr>
        <w:keepLines/>
        <w:kinsoku w:val="0"/>
        <w:overflowPunct w:val="0"/>
        <w:autoSpaceDE w:val="0"/>
        <w:autoSpaceDN w:val="0"/>
        <w:jc w:val="center"/>
        <w:outlineLvl w:val="4"/>
        <w:rPr>
          <w:rFonts w:ascii="Times New Roman" w:hAnsi="Times New Roman" w:eastAsia="宋体" w:cs="Times New Roman"/>
          <w:b/>
          <w:bCs/>
          <w:sz w:val="21"/>
          <w:szCs w:val="21"/>
          <w:u w:val="single"/>
        </w:rPr>
      </w:pPr>
      <w:r>
        <w:rPr>
          <w:rFonts w:ascii="Times New Roman" w:hAnsi="Times New Roman" w:eastAsia="宋体" w:cs="Times New Roman"/>
          <w:b/>
          <w:bCs/>
          <w:sz w:val="21"/>
          <w:szCs w:val="21"/>
          <w:u w:val="single"/>
        </w:rPr>
        <w:t>表7.3-1  建设项目环境风险潜势划分</w:t>
      </w:r>
    </w:p>
    <w:tbl>
      <w:tblPr>
        <w:tblStyle w:val="35"/>
        <w:tblW w:w="907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339"/>
        <w:gridCol w:w="1683"/>
        <w:gridCol w:w="1683"/>
        <w:gridCol w:w="1683"/>
        <w:gridCol w:w="169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193" w:type="dxa"/>
            <w:vMerge w:val="restart"/>
            <w:tcBorders>
              <w:top w:val="single" w:color="auto" w:sz="12" w:space="0"/>
              <w:left w:val="single" w:color="auto" w:sz="12" w:space="0"/>
              <w:bottom w:val="single" w:color="auto" w:sz="6" w:space="0"/>
              <w:right w:val="single" w:color="auto" w:sz="6" w:space="0"/>
            </w:tcBorders>
            <w:vAlign w:val="center"/>
          </w:tcPr>
          <w:p>
            <w:pPr>
              <w:jc w:val="center"/>
              <w:rPr>
                <w:rFonts w:ascii="Times New Roman" w:hAnsi="Times New Roman" w:eastAsia="宋体" w:cs="Times New Roman"/>
                <w:sz w:val="21"/>
                <w:szCs w:val="24"/>
                <w:u w:val="single"/>
              </w:rPr>
            </w:pPr>
            <w:r>
              <w:rPr>
                <w:rFonts w:ascii="Times New Roman" w:hAnsi="Times New Roman" w:eastAsia="宋体" w:cs="Times New Roman"/>
                <w:sz w:val="21"/>
                <w:szCs w:val="21"/>
                <w:u w:val="single"/>
              </w:rPr>
              <w:t>环境敏感程度（E）</w:t>
            </w:r>
          </w:p>
        </w:tc>
        <w:tc>
          <w:tcPr>
            <w:tcW w:w="6312" w:type="dxa"/>
            <w:gridSpan w:val="4"/>
            <w:tcBorders>
              <w:top w:val="single" w:color="auto" w:sz="12" w:space="0"/>
              <w:left w:val="single" w:color="auto" w:sz="6" w:space="0"/>
              <w:bottom w:val="single" w:color="auto" w:sz="6" w:space="0"/>
              <w:right w:val="single" w:color="auto" w:sz="12" w:space="0"/>
            </w:tcBorders>
            <w:vAlign w:val="center"/>
          </w:tcPr>
          <w:p>
            <w:pPr>
              <w:jc w:val="center"/>
              <w:rPr>
                <w:rFonts w:ascii="Times New Roman" w:hAnsi="Times New Roman" w:eastAsia="宋体" w:cs="Times New Roman"/>
                <w:sz w:val="21"/>
                <w:szCs w:val="24"/>
                <w:u w:val="single"/>
              </w:rPr>
            </w:pPr>
            <w:r>
              <w:rPr>
                <w:rFonts w:ascii="Times New Roman" w:hAnsi="Times New Roman" w:eastAsia="宋体" w:cs="Times New Roman"/>
                <w:sz w:val="21"/>
                <w:szCs w:val="21"/>
                <w:u w:val="single"/>
              </w:rPr>
              <w:t>危险物质及工艺系统危险性（P）</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op w:val="single" w:color="auto" w:sz="12" w:space="0"/>
              <w:left w:val="single" w:color="auto" w:sz="12" w:space="0"/>
              <w:bottom w:val="single" w:color="auto" w:sz="6" w:space="0"/>
              <w:right w:val="single" w:color="auto" w:sz="6" w:space="0"/>
            </w:tcBorders>
            <w:vAlign w:val="center"/>
          </w:tcPr>
          <w:p>
            <w:pPr>
              <w:jc w:val="center"/>
              <w:rPr>
                <w:rFonts w:ascii="Times New Roman" w:hAnsi="Times New Roman" w:eastAsia="宋体" w:cs="Times New Roman"/>
                <w:sz w:val="21"/>
                <w:szCs w:val="24"/>
                <w:u w:val="single"/>
              </w:rPr>
            </w:pPr>
          </w:p>
        </w:tc>
        <w:tc>
          <w:tcPr>
            <w:tcW w:w="1578"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sz w:val="21"/>
                <w:szCs w:val="24"/>
                <w:u w:val="single"/>
              </w:rPr>
            </w:pPr>
            <w:r>
              <w:rPr>
                <w:rFonts w:ascii="Times New Roman" w:hAnsi="Times New Roman" w:eastAsia="宋体" w:cs="Times New Roman"/>
                <w:sz w:val="21"/>
                <w:szCs w:val="21"/>
                <w:u w:val="single"/>
              </w:rPr>
              <w:t>极高危害（P1）</w:t>
            </w:r>
          </w:p>
        </w:tc>
        <w:tc>
          <w:tcPr>
            <w:tcW w:w="1578"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sz w:val="21"/>
                <w:szCs w:val="24"/>
                <w:u w:val="single"/>
              </w:rPr>
            </w:pPr>
            <w:r>
              <w:rPr>
                <w:rFonts w:ascii="Times New Roman" w:hAnsi="Times New Roman" w:eastAsia="宋体" w:cs="Times New Roman"/>
                <w:sz w:val="21"/>
                <w:szCs w:val="21"/>
                <w:u w:val="single"/>
              </w:rPr>
              <w:t>高度危害（P2）</w:t>
            </w:r>
          </w:p>
        </w:tc>
        <w:tc>
          <w:tcPr>
            <w:tcW w:w="1578"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sz w:val="21"/>
                <w:szCs w:val="24"/>
                <w:u w:val="single"/>
              </w:rPr>
            </w:pPr>
            <w:r>
              <w:rPr>
                <w:rFonts w:ascii="Times New Roman" w:hAnsi="Times New Roman" w:eastAsia="宋体" w:cs="Times New Roman"/>
                <w:sz w:val="21"/>
                <w:szCs w:val="21"/>
                <w:u w:val="single"/>
              </w:rPr>
              <w:t>中度危害（P3）</w:t>
            </w:r>
          </w:p>
        </w:tc>
        <w:tc>
          <w:tcPr>
            <w:tcW w:w="1578" w:type="dxa"/>
            <w:tcBorders>
              <w:top w:val="single" w:color="auto" w:sz="6" w:space="0"/>
              <w:left w:val="single" w:color="auto" w:sz="6" w:space="0"/>
              <w:bottom w:val="single" w:color="auto" w:sz="6" w:space="0"/>
              <w:right w:val="single" w:color="auto" w:sz="12" w:space="0"/>
            </w:tcBorders>
            <w:vAlign w:val="center"/>
          </w:tcPr>
          <w:p>
            <w:pPr>
              <w:jc w:val="center"/>
              <w:rPr>
                <w:rFonts w:ascii="Times New Roman" w:hAnsi="Times New Roman" w:eastAsia="宋体" w:cs="Times New Roman"/>
                <w:sz w:val="21"/>
                <w:szCs w:val="24"/>
                <w:u w:val="single"/>
              </w:rPr>
            </w:pPr>
            <w:r>
              <w:rPr>
                <w:rFonts w:ascii="Times New Roman" w:hAnsi="Times New Roman" w:eastAsia="宋体" w:cs="Times New Roman"/>
                <w:sz w:val="21"/>
                <w:szCs w:val="21"/>
                <w:u w:val="single"/>
              </w:rPr>
              <w:t>轻度危害（P4）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193" w:type="dxa"/>
            <w:tcBorders>
              <w:top w:val="single" w:color="auto" w:sz="6" w:space="0"/>
              <w:left w:val="single" w:color="auto" w:sz="12" w:space="0"/>
              <w:bottom w:val="single" w:color="auto" w:sz="6" w:space="0"/>
              <w:right w:val="single" w:color="auto" w:sz="6" w:space="0"/>
            </w:tcBorders>
            <w:vAlign w:val="center"/>
          </w:tcPr>
          <w:p>
            <w:pPr>
              <w:jc w:val="center"/>
              <w:rPr>
                <w:rFonts w:ascii="Times New Roman" w:hAnsi="Times New Roman" w:eastAsia="宋体" w:cs="Times New Roman"/>
                <w:sz w:val="21"/>
                <w:szCs w:val="24"/>
                <w:u w:val="single"/>
              </w:rPr>
            </w:pPr>
            <w:r>
              <w:rPr>
                <w:rFonts w:ascii="Times New Roman" w:hAnsi="Times New Roman" w:eastAsia="宋体" w:cs="Times New Roman"/>
                <w:sz w:val="21"/>
                <w:szCs w:val="21"/>
                <w:u w:val="single"/>
              </w:rPr>
              <w:t>环境高度敏感区（E1）</w:t>
            </w:r>
          </w:p>
        </w:tc>
        <w:tc>
          <w:tcPr>
            <w:tcW w:w="1578"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sz w:val="21"/>
                <w:szCs w:val="24"/>
                <w:u w:val="single"/>
              </w:rPr>
            </w:pPr>
            <w:r>
              <w:rPr>
                <w:rFonts w:ascii="Times New Roman" w:hAnsi="Times New Roman" w:eastAsia="宋体" w:cs="Times New Roman"/>
                <w:sz w:val="21"/>
                <w:szCs w:val="21"/>
                <w:u w:val="single"/>
              </w:rPr>
              <w:t>IV+</w:t>
            </w:r>
          </w:p>
        </w:tc>
        <w:tc>
          <w:tcPr>
            <w:tcW w:w="1578"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sz w:val="21"/>
                <w:szCs w:val="24"/>
                <w:u w:val="single"/>
              </w:rPr>
            </w:pPr>
            <w:r>
              <w:rPr>
                <w:rFonts w:ascii="Times New Roman" w:hAnsi="Times New Roman" w:eastAsia="宋体" w:cs="Times New Roman"/>
                <w:sz w:val="21"/>
                <w:szCs w:val="21"/>
                <w:u w:val="single"/>
              </w:rPr>
              <w:t>IV</w:t>
            </w:r>
          </w:p>
        </w:tc>
        <w:tc>
          <w:tcPr>
            <w:tcW w:w="1578"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sz w:val="21"/>
                <w:szCs w:val="24"/>
                <w:u w:val="single"/>
              </w:rPr>
            </w:pPr>
            <w:r>
              <w:rPr>
                <w:rFonts w:hint="eastAsia" w:ascii="宋体" w:hAnsi="宋体" w:eastAsia="宋体" w:cs="宋体"/>
                <w:sz w:val="21"/>
                <w:szCs w:val="21"/>
                <w:u w:val="single"/>
              </w:rPr>
              <w:t>Ⅲ</w:t>
            </w:r>
          </w:p>
        </w:tc>
        <w:tc>
          <w:tcPr>
            <w:tcW w:w="1578" w:type="dxa"/>
            <w:tcBorders>
              <w:top w:val="single" w:color="auto" w:sz="6" w:space="0"/>
              <w:left w:val="single" w:color="auto" w:sz="6" w:space="0"/>
              <w:bottom w:val="single" w:color="auto" w:sz="6" w:space="0"/>
              <w:right w:val="single" w:color="auto" w:sz="12" w:space="0"/>
            </w:tcBorders>
            <w:vAlign w:val="center"/>
          </w:tcPr>
          <w:p>
            <w:pPr>
              <w:jc w:val="center"/>
              <w:rPr>
                <w:rFonts w:ascii="Times New Roman" w:hAnsi="Times New Roman" w:eastAsia="宋体" w:cs="Times New Roman"/>
                <w:sz w:val="21"/>
                <w:szCs w:val="24"/>
                <w:u w:val="single"/>
              </w:rPr>
            </w:pPr>
            <w:r>
              <w:rPr>
                <w:rFonts w:hint="eastAsia" w:ascii="宋体" w:hAnsi="宋体" w:eastAsia="宋体" w:cs="宋体"/>
                <w:sz w:val="21"/>
                <w:szCs w:val="21"/>
                <w:u w:val="single"/>
              </w:rPr>
              <w:t>Ⅲ</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193" w:type="dxa"/>
            <w:tcBorders>
              <w:top w:val="single" w:color="auto" w:sz="6" w:space="0"/>
              <w:left w:val="single" w:color="auto" w:sz="12" w:space="0"/>
              <w:bottom w:val="single" w:color="auto" w:sz="6" w:space="0"/>
              <w:right w:val="single" w:color="auto" w:sz="6" w:space="0"/>
            </w:tcBorders>
            <w:vAlign w:val="center"/>
          </w:tcPr>
          <w:p>
            <w:pPr>
              <w:jc w:val="center"/>
              <w:rPr>
                <w:rFonts w:ascii="Times New Roman" w:hAnsi="Times New Roman" w:eastAsia="宋体" w:cs="Times New Roman"/>
                <w:sz w:val="21"/>
                <w:szCs w:val="24"/>
                <w:u w:val="single"/>
              </w:rPr>
            </w:pPr>
            <w:r>
              <w:rPr>
                <w:rFonts w:ascii="Times New Roman" w:hAnsi="Times New Roman" w:eastAsia="宋体" w:cs="Times New Roman"/>
                <w:sz w:val="21"/>
                <w:szCs w:val="21"/>
                <w:u w:val="single"/>
              </w:rPr>
              <w:t>环境中度敏感区（E2）</w:t>
            </w:r>
          </w:p>
        </w:tc>
        <w:tc>
          <w:tcPr>
            <w:tcW w:w="1578"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sz w:val="21"/>
                <w:szCs w:val="24"/>
                <w:u w:val="single"/>
              </w:rPr>
            </w:pPr>
            <w:r>
              <w:rPr>
                <w:rFonts w:ascii="Times New Roman" w:hAnsi="Times New Roman" w:eastAsia="宋体" w:cs="Times New Roman"/>
                <w:sz w:val="21"/>
                <w:szCs w:val="21"/>
                <w:u w:val="single"/>
              </w:rPr>
              <w:t>IV</w:t>
            </w:r>
          </w:p>
        </w:tc>
        <w:tc>
          <w:tcPr>
            <w:tcW w:w="1578"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sz w:val="21"/>
                <w:szCs w:val="24"/>
                <w:u w:val="single"/>
              </w:rPr>
            </w:pPr>
            <w:r>
              <w:rPr>
                <w:rFonts w:hint="eastAsia" w:ascii="宋体" w:hAnsi="宋体" w:eastAsia="宋体" w:cs="宋体"/>
                <w:sz w:val="21"/>
                <w:szCs w:val="21"/>
                <w:u w:val="single"/>
              </w:rPr>
              <w:t>Ⅲ</w:t>
            </w:r>
          </w:p>
        </w:tc>
        <w:tc>
          <w:tcPr>
            <w:tcW w:w="1578"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sz w:val="21"/>
                <w:szCs w:val="24"/>
                <w:u w:val="single"/>
              </w:rPr>
            </w:pPr>
            <w:r>
              <w:rPr>
                <w:rFonts w:hint="eastAsia" w:ascii="宋体" w:hAnsi="宋体" w:eastAsia="宋体" w:cs="宋体"/>
                <w:sz w:val="21"/>
                <w:szCs w:val="21"/>
                <w:u w:val="single"/>
              </w:rPr>
              <w:t>Ⅲ</w:t>
            </w:r>
          </w:p>
        </w:tc>
        <w:tc>
          <w:tcPr>
            <w:tcW w:w="1578" w:type="dxa"/>
            <w:tcBorders>
              <w:top w:val="single" w:color="auto" w:sz="6" w:space="0"/>
              <w:left w:val="single" w:color="auto" w:sz="6" w:space="0"/>
              <w:bottom w:val="single" w:color="auto" w:sz="6" w:space="0"/>
              <w:right w:val="single" w:color="auto" w:sz="12" w:space="0"/>
            </w:tcBorders>
            <w:vAlign w:val="center"/>
          </w:tcPr>
          <w:p>
            <w:pPr>
              <w:jc w:val="center"/>
              <w:rPr>
                <w:rFonts w:ascii="Times New Roman" w:hAnsi="Times New Roman" w:eastAsia="宋体" w:cs="Times New Roman"/>
                <w:sz w:val="21"/>
                <w:szCs w:val="24"/>
                <w:u w:val="single"/>
              </w:rPr>
            </w:pPr>
            <w:r>
              <w:rPr>
                <w:rFonts w:hint="eastAsia" w:ascii="宋体" w:hAnsi="宋体" w:eastAsia="宋体" w:cs="宋体"/>
                <w:sz w:val="21"/>
                <w:szCs w:val="21"/>
                <w:u w:val="single"/>
              </w:rPr>
              <w:t>Ⅱ</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193" w:type="dxa"/>
            <w:tcBorders>
              <w:top w:val="single" w:color="auto" w:sz="6" w:space="0"/>
              <w:left w:val="single" w:color="auto" w:sz="12" w:space="0"/>
              <w:bottom w:val="single" w:color="auto" w:sz="6" w:space="0"/>
              <w:right w:val="single" w:color="auto" w:sz="6" w:space="0"/>
            </w:tcBorders>
            <w:vAlign w:val="center"/>
          </w:tcPr>
          <w:p>
            <w:pPr>
              <w:jc w:val="center"/>
              <w:rPr>
                <w:rFonts w:ascii="Times New Roman" w:hAnsi="Times New Roman" w:eastAsia="宋体" w:cs="Times New Roman"/>
                <w:sz w:val="21"/>
                <w:szCs w:val="24"/>
                <w:u w:val="single"/>
              </w:rPr>
            </w:pPr>
            <w:r>
              <w:rPr>
                <w:rFonts w:ascii="Times New Roman" w:hAnsi="Times New Roman" w:eastAsia="宋体" w:cs="Times New Roman"/>
                <w:sz w:val="21"/>
                <w:szCs w:val="21"/>
                <w:u w:val="single"/>
              </w:rPr>
              <w:t>环境低度敏感区（E3）</w:t>
            </w:r>
          </w:p>
        </w:tc>
        <w:tc>
          <w:tcPr>
            <w:tcW w:w="1578"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sz w:val="21"/>
                <w:szCs w:val="24"/>
                <w:u w:val="single"/>
              </w:rPr>
            </w:pPr>
            <w:r>
              <w:rPr>
                <w:rFonts w:hint="eastAsia" w:ascii="宋体" w:hAnsi="宋体" w:eastAsia="宋体" w:cs="宋体"/>
                <w:sz w:val="21"/>
                <w:szCs w:val="21"/>
                <w:u w:val="single"/>
              </w:rPr>
              <w:t>Ⅲ</w:t>
            </w:r>
          </w:p>
        </w:tc>
        <w:tc>
          <w:tcPr>
            <w:tcW w:w="1578"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sz w:val="21"/>
                <w:szCs w:val="24"/>
                <w:u w:val="single"/>
              </w:rPr>
            </w:pPr>
            <w:r>
              <w:rPr>
                <w:rFonts w:hint="eastAsia" w:ascii="宋体" w:hAnsi="宋体" w:eastAsia="宋体" w:cs="宋体"/>
                <w:sz w:val="21"/>
                <w:szCs w:val="21"/>
                <w:u w:val="single"/>
              </w:rPr>
              <w:t>Ⅲ</w:t>
            </w:r>
          </w:p>
        </w:tc>
        <w:tc>
          <w:tcPr>
            <w:tcW w:w="1578" w:type="dxa"/>
            <w:tcBorders>
              <w:top w:val="single" w:color="auto" w:sz="6" w:space="0"/>
              <w:left w:val="single" w:color="auto" w:sz="6" w:space="0"/>
              <w:bottom w:val="single" w:color="auto" w:sz="6" w:space="0"/>
              <w:right w:val="single" w:color="auto" w:sz="6" w:space="0"/>
            </w:tcBorders>
            <w:vAlign w:val="center"/>
          </w:tcPr>
          <w:p>
            <w:pPr>
              <w:jc w:val="center"/>
              <w:rPr>
                <w:rFonts w:ascii="Times New Roman" w:hAnsi="Times New Roman" w:eastAsia="宋体" w:cs="Times New Roman"/>
                <w:sz w:val="21"/>
                <w:szCs w:val="24"/>
                <w:u w:val="single"/>
              </w:rPr>
            </w:pPr>
            <w:r>
              <w:rPr>
                <w:rFonts w:hint="eastAsia" w:ascii="宋体" w:hAnsi="宋体" w:eastAsia="宋体" w:cs="宋体"/>
                <w:sz w:val="21"/>
                <w:szCs w:val="21"/>
                <w:u w:val="single"/>
              </w:rPr>
              <w:t>Ⅱ</w:t>
            </w:r>
          </w:p>
        </w:tc>
        <w:tc>
          <w:tcPr>
            <w:tcW w:w="1578" w:type="dxa"/>
            <w:tcBorders>
              <w:top w:val="single" w:color="auto" w:sz="6" w:space="0"/>
              <w:left w:val="single" w:color="auto" w:sz="6" w:space="0"/>
              <w:bottom w:val="single" w:color="auto" w:sz="6" w:space="0"/>
              <w:right w:val="single" w:color="auto" w:sz="12" w:space="0"/>
            </w:tcBorders>
            <w:vAlign w:val="center"/>
          </w:tcPr>
          <w:p>
            <w:pPr>
              <w:jc w:val="center"/>
              <w:rPr>
                <w:rFonts w:ascii="Times New Roman" w:hAnsi="Times New Roman" w:eastAsia="宋体" w:cs="Times New Roman"/>
                <w:sz w:val="21"/>
                <w:szCs w:val="24"/>
                <w:u w:val="single"/>
              </w:rPr>
            </w:pPr>
            <w:r>
              <w:rPr>
                <w:rFonts w:hint="eastAsia" w:ascii="宋体" w:hAnsi="宋体" w:eastAsia="宋体" w:cs="宋体"/>
                <w:sz w:val="21"/>
                <w:szCs w:val="21"/>
                <w:u w:val="single"/>
              </w:rPr>
              <w:t>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511" w:type="dxa"/>
            <w:gridSpan w:val="5"/>
            <w:tcBorders>
              <w:top w:val="single" w:color="auto" w:sz="6" w:space="0"/>
              <w:left w:val="single" w:color="auto" w:sz="12" w:space="0"/>
              <w:bottom w:val="single" w:color="auto" w:sz="12" w:space="0"/>
              <w:right w:val="single" w:color="auto" w:sz="12" w:space="0"/>
            </w:tcBorders>
            <w:vAlign w:val="center"/>
          </w:tcPr>
          <w:p>
            <w:pPr>
              <w:jc w:val="center"/>
              <w:rPr>
                <w:rFonts w:ascii="Times New Roman" w:hAnsi="Times New Roman" w:eastAsia="宋体" w:cs="Times New Roman"/>
                <w:sz w:val="21"/>
                <w:szCs w:val="24"/>
                <w:u w:val="single"/>
              </w:rPr>
            </w:pPr>
            <w:r>
              <w:rPr>
                <w:rFonts w:ascii="Times New Roman" w:hAnsi="Times New Roman" w:eastAsia="宋体" w:cs="Times New Roman"/>
                <w:sz w:val="21"/>
                <w:szCs w:val="21"/>
                <w:u w:val="single"/>
              </w:rPr>
              <w:t>注：IV+为极高环境风险</w:t>
            </w:r>
          </w:p>
        </w:tc>
      </w:tr>
    </w:tbl>
    <w:p>
      <w:pPr>
        <w:spacing w:line="360" w:lineRule="auto"/>
        <w:ind w:firstLine="480" w:firstLineChars="200"/>
        <w:rPr>
          <w:rFonts w:ascii="Times New Roman" w:hAnsi="Times New Roman" w:eastAsia="宋体" w:cs="Times New Roman"/>
          <w:szCs w:val="24"/>
          <w:u w:val="single"/>
        </w:rPr>
      </w:pPr>
      <w:r>
        <w:rPr>
          <w:rFonts w:ascii="Times New Roman" w:hAnsi="Times New Roman" w:eastAsia="宋体" w:cs="Times New Roman"/>
          <w:u w:val="single"/>
        </w:rPr>
        <w:t>由上表可知项目环境风险潜势判断需依据P值和E值来确定，本项目P的分级确定如下：</w:t>
      </w:r>
    </w:p>
    <w:p>
      <w:pPr>
        <w:spacing w:line="360" w:lineRule="auto"/>
        <w:ind w:firstLine="480" w:firstLineChars="200"/>
        <w:rPr>
          <w:rFonts w:ascii="Times New Roman" w:hAnsi="Times New Roman" w:eastAsia="宋体" w:cs="Times New Roman"/>
          <w:u w:val="single"/>
        </w:rPr>
      </w:pPr>
      <w:r>
        <w:rPr>
          <w:rFonts w:ascii="Times New Roman" w:hAnsi="Times New Roman" w:eastAsia="宋体" w:cs="Times New Roman"/>
          <w:u w:val="single"/>
        </w:rPr>
        <w:t>根据《建设项目环境风险评价技术导则》HJ169-2018附表B和附录C突发环境事件风险物质及临界量表，根据本项目环境风险物质最大存在总量（以折纯计）与其对应的临界量，计算（Q），计算公式如下：</w:t>
      </w:r>
    </w:p>
    <w:p>
      <w:pPr>
        <w:spacing w:line="360" w:lineRule="auto"/>
        <w:jc w:val="center"/>
        <w:rPr>
          <w:rFonts w:ascii="Times New Roman" w:hAnsi="Times New Roman" w:eastAsia="宋体" w:cs="Times New Roman"/>
          <w:u w:val="single"/>
        </w:rPr>
      </w:pPr>
      <w:r>
        <w:rPr>
          <w:rFonts w:ascii="Times New Roman" w:hAnsi="Times New Roman" w:eastAsia="宋体" w:cs="Times New Roman"/>
          <w:u w:val="single"/>
        </w:rPr>
        <w:drawing>
          <wp:inline distT="0" distB="0" distL="0" distR="0">
            <wp:extent cx="1371600" cy="457835"/>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a:xfrm>
                      <a:off x="0" y="0"/>
                      <a:ext cx="1371600" cy="457835"/>
                    </a:xfrm>
                    <a:prstGeom prst="rect">
                      <a:avLst/>
                    </a:prstGeom>
                    <a:noFill/>
                    <a:ln>
                      <a:noFill/>
                    </a:ln>
                  </pic:spPr>
                </pic:pic>
              </a:graphicData>
            </a:graphic>
          </wp:inline>
        </w:drawing>
      </w:r>
    </w:p>
    <w:p>
      <w:pPr>
        <w:spacing w:line="360" w:lineRule="auto"/>
        <w:ind w:firstLine="480" w:firstLineChars="200"/>
        <w:rPr>
          <w:rFonts w:ascii="Times New Roman" w:hAnsi="Times New Roman" w:eastAsia="宋体" w:cs="Times New Roman"/>
          <w:u w:val="single"/>
        </w:rPr>
      </w:pPr>
      <w:r>
        <w:rPr>
          <w:rFonts w:ascii="Times New Roman" w:hAnsi="Times New Roman" w:eastAsia="宋体" w:cs="Times New Roman"/>
          <w:u w:val="single"/>
        </w:rPr>
        <w:t>式中：</w:t>
      </w:r>
    </w:p>
    <w:p>
      <w:pPr>
        <w:spacing w:line="360" w:lineRule="auto"/>
        <w:ind w:firstLine="480" w:firstLineChars="200"/>
        <w:rPr>
          <w:rFonts w:ascii="Times New Roman" w:hAnsi="Times New Roman" w:eastAsia="宋体" w:cs="Times New Roman"/>
          <w:u w:val="single"/>
        </w:rPr>
      </w:pPr>
      <w:r>
        <w:rPr>
          <w:rFonts w:ascii="Times New Roman" w:hAnsi="Times New Roman" w:eastAsia="宋体" w:cs="Times New Roman"/>
          <w:u w:val="single"/>
        </w:rPr>
        <w:t>q1，q2，……，qn——每种环境风险物质的最大存在总量，t；</w:t>
      </w:r>
    </w:p>
    <w:p>
      <w:pPr>
        <w:spacing w:line="360" w:lineRule="auto"/>
        <w:ind w:firstLine="480" w:firstLineChars="200"/>
        <w:rPr>
          <w:rFonts w:ascii="Times New Roman" w:hAnsi="Times New Roman" w:eastAsia="宋体" w:cs="Times New Roman"/>
          <w:u w:val="single"/>
        </w:rPr>
      </w:pPr>
      <w:r>
        <w:rPr>
          <w:rFonts w:ascii="Times New Roman" w:hAnsi="Times New Roman" w:eastAsia="宋体" w:cs="Times New Roman"/>
          <w:u w:val="single"/>
        </w:rPr>
        <w:t>Q1，Q2，……，Qn——每种环境风险物质相对应的临界量，t。</w:t>
      </w:r>
    </w:p>
    <w:p>
      <w:pPr>
        <w:spacing w:line="360" w:lineRule="auto"/>
        <w:ind w:firstLine="480" w:firstLineChars="200"/>
        <w:rPr>
          <w:rFonts w:ascii="Times New Roman" w:hAnsi="Times New Roman" w:eastAsia="宋体" w:cs="Times New Roman"/>
          <w:u w:val="single"/>
        </w:rPr>
      </w:pPr>
      <w:r>
        <w:rPr>
          <w:rFonts w:ascii="Times New Roman" w:hAnsi="Times New Roman" w:eastAsia="宋体" w:cs="Times New Roman"/>
          <w:u w:val="single"/>
        </w:rPr>
        <w:t>计算出Q值后，将Q值划分为4级，分别为Q＜1，该项目环境风险潜势为</w:t>
      </w:r>
      <w:r>
        <w:rPr>
          <w:rFonts w:hint="eastAsia" w:ascii="宋体" w:hAnsi="宋体" w:eastAsia="宋体" w:cs="宋体"/>
          <w:u w:val="single"/>
        </w:rPr>
        <w:t>Ⅰ</w:t>
      </w:r>
      <w:r>
        <w:rPr>
          <w:rFonts w:ascii="Times New Roman" w:hAnsi="Times New Roman" w:eastAsia="宋体" w:cs="Times New Roman"/>
          <w:u w:val="single"/>
        </w:rPr>
        <w:t>；当Q≥1有三种情况，1≤Q＜10；10≤Q＜100；Q≥100。</w:t>
      </w:r>
    </w:p>
    <w:p>
      <w:pPr>
        <w:spacing w:line="360" w:lineRule="auto"/>
        <w:ind w:firstLine="480" w:firstLineChars="200"/>
        <w:rPr>
          <w:rFonts w:ascii="Times New Roman" w:hAnsi="Times New Roman" w:cs="Times New Roman"/>
          <w:u w:val="single"/>
        </w:rPr>
      </w:pPr>
      <w:r>
        <w:rPr>
          <w:rFonts w:ascii="Times New Roman" w:hAnsi="Times New Roman" w:eastAsia="宋体" w:cs="Times New Roman"/>
          <w:u w:val="single"/>
        </w:rPr>
        <w:t>本项目所涉及的危险物质主要为硫酸、磺化煤油（260号溶剂油）（储存量）、废油，项目风险物质数量与临界量比值情况如下表所示。</w:t>
      </w:r>
    </w:p>
    <w:p>
      <w:pPr>
        <w:pStyle w:val="6"/>
        <w:rPr>
          <w:rFonts w:ascii="Times New Roman" w:hAnsi="Times New Roman" w:cs="Times New Roman"/>
          <w:u w:val="single"/>
        </w:rPr>
      </w:pPr>
      <w:r>
        <w:rPr>
          <w:rFonts w:ascii="Times New Roman" w:hAnsi="Times New Roman" w:cs="Times New Roman"/>
          <w:u w:val="single"/>
        </w:rPr>
        <w:t>表7.3-2  本项目环境风险物质数量与临界量比值</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978"/>
        <w:gridCol w:w="1615"/>
        <w:gridCol w:w="1876"/>
        <w:gridCol w:w="18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1785" w:type="pct"/>
            <w:vAlign w:val="center"/>
          </w:tcPr>
          <w:p>
            <w:pPr>
              <w:pStyle w:val="63"/>
              <w:rPr>
                <w:u w:val="single"/>
              </w:rPr>
            </w:pPr>
            <w:r>
              <w:rPr>
                <w:u w:val="single"/>
              </w:rPr>
              <w:t>名称</w:t>
            </w:r>
          </w:p>
        </w:tc>
        <w:tc>
          <w:tcPr>
            <w:tcW w:w="968" w:type="pct"/>
            <w:vAlign w:val="center"/>
          </w:tcPr>
          <w:p>
            <w:pPr>
              <w:pStyle w:val="63"/>
              <w:rPr>
                <w:u w:val="single"/>
              </w:rPr>
            </w:pPr>
            <w:r>
              <w:rPr>
                <w:u w:val="single"/>
              </w:rPr>
              <w:t>最大存在量（t）</w:t>
            </w:r>
          </w:p>
        </w:tc>
        <w:tc>
          <w:tcPr>
            <w:tcW w:w="1124" w:type="pct"/>
            <w:vAlign w:val="center"/>
          </w:tcPr>
          <w:p>
            <w:pPr>
              <w:pStyle w:val="63"/>
              <w:rPr>
                <w:u w:val="single"/>
              </w:rPr>
            </w:pPr>
            <w:r>
              <w:rPr>
                <w:u w:val="single"/>
              </w:rPr>
              <w:t>临界量（t）</w:t>
            </w:r>
          </w:p>
        </w:tc>
        <w:tc>
          <w:tcPr>
            <w:tcW w:w="1123" w:type="pct"/>
            <w:vAlign w:val="center"/>
          </w:tcPr>
          <w:p>
            <w:pPr>
              <w:pStyle w:val="63"/>
              <w:rPr>
                <w:u w:val="single"/>
              </w:rPr>
            </w:pPr>
            <w:r>
              <w:rPr>
                <w:u w:val="single"/>
              </w:rPr>
              <w:t>q/Q</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785" w:type="pct"/>
            <w:vAlign w:val="center"/>
          </w:tcPr>
          <w:p>
            <w:pPr>
              <w:pStyle w:val="63"/>
              <w:rPr>
                <w:u w:val="single"/>
              </w:rPr>
            </w:pPr>
            <w:r>
              <w:rPr>
                <w:u w:val="single"/>
              </w:rPr>
              <w:t>硫酸</w:t>
            </w:r>
          </w:p>
        </w:tc>
        <w:tc>
          <w:tcPr>
            <w:tcW w:w="968" w:type="pct"/>
            <w:vAlign w:val="center"/>
          </w:tcPr>
          <w:p>
            <w:pPr>
              <w:pStyle w:val="63"/>
              <w:rPr>
                <w:u w:val="single"/>
              </w:rPr>
            </w:pPr>
            <w:r>
              <w:rPr>
                <w:u w:val="single"/>
              </w:rPr>
              <w:t>368</w:t>
            </w:r>
          </w:p>
        </w:tc>
        <w:tc>
          <w:tcPr>
            <w:tcW w:w="1124" w:type="pct"/>
            <w:vAlign w:val="center"/>
          </w:tcPr>
          <w:p>
            <w:pPr>
              <w:pStyle w:val="63"/>
              <w:rPr>
                <w:u w:val="single"/>
              </w:rPr>
            </w:pPr>
            <w:r>
              <w:rPr>
                <w:u w:val="single"/>
              </w:rPr>
              <w:t>10</w:t>
            </w:r>
          </w:p>
        </w:tc>
        <w:tc>
          <w:tcPr>
            <w:tcW w:w="1123" w:type="pct"/>
            <w:vAlign w:val="center"/>
          </w:tcPr>
          <w:p>
            <w:pPr>
              <w:pStyle w:val="63"/>
              <w:rPr>
                <w:u w:val="single"/>
              </w:rPr>
            </w:pPr>
            <w:r>
              <w:rPr>
                <w:u w:val="single"/>
              </w:rPr>
              <w:t>36.8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785" w:type="pct"/>
            <w:vAlign w:val="center"/>
          </w:tcPr>
          <w:p>
            <w:pPr>
              <w:pStyle w:val="63"/>
              <w:rPr>
                <w:u w:val="single"/>
              </w:rPr>
            </w:pPr>
            <w:r>
              <w:rPr>
                <w:u w:val="single"/>
              </w:rPr>
              <w:t>磺化煤油</w:t>
            </w:r>
          </w:p>
        </w:tc>
        <w:tc>
          <w:tcPr>
            <w:tcW w:w="968" w:type="pct"/>
            <w:vAlign w:val="center"/>
          </w:tcPr>
          <w:p>
            <w:pPr>
              <w:pStyle w:val="63"/>
              <w:rPr>
                <w:u w:val="single"/>
              </w:rPr>
            </w:pPr>
            <w:r>
              <w:rPr>
                <w:u w:val="single"/>
              </w:rPr>
              <w:t>20</w:t>
            </w:r>
          </w:p>
        </w:tc>
        <w:tc>
          <w:tcPr>
            <w:tcW w:w="1124" w:type="pct"/>
            <w:vAlign w:val="center"/>
          </w:tcPr>
          <w:p>
            <w:pPr>
              <w:pStyle w:val="63"/>
              <w:rPr>
                <w:u w:val="single"/>
              </w:rPr>
            </w:pPr>
            <w:r>
              <w:rPr>
                <w:u w:val="single"/>
              </w:rPr>
              <w:t>2500</w:t>
            </w:r>
          </w:p>
        </w:tc>
        <w:tc>
          <w:tcPr>
            <w:tcW w:w="1123" w:type="pct"/>
            <w:vAlign w:val="center"/>
          </w:tcPr>
          <w:p>
            <w:pPr>
              <w:pStyle w:val="63"/>
              <w:rPr>
                <w:u w:val="single"/>
              </w:rPr>
            </w:pPr>
            <w:r>
              <w:rPr>
                <w:u w:val="single"/>
              </w:rPr>
              <w:t>0.008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785" w:type="pct"/>
            <w:vAlign w:val="center"/>
          </w:tcPr>
          <w:p>
            <w:pPr>
              <w:pStyle w:val="63"/>
              <w:rPr>
                <w:u w:val="single"/>
              </w:rPr>
            </w:pPr>
            <w:r>
              <w:rPr>
                <w:u w:val="single"/>
              </w:rPr>
              <w:t>废油</w:t>
            </w:r>
          </w:p>
        </w:tc>
        <w:tc>
          <w:tcPr>
            <w:tcW w:w="968" w:type="pct"/>
            <w:vAlign w:val="center"/>
          </w:tcPr>
          <w:p>
            <w:pPr>
              <w:pStyle w:val="63"/>
              <w:rPr>
                <w:u w:val="single"/>
              </w:rPr>
            </w:pPr>
            <w:r>
              <w:rPr>
                <w:u w:val="single"/>
              </w:rPr>
              <w:t>0.1</w:t>
            </w:r>
          </w:p>
        </w:tc>
        <w:tc>
          <w:tcPr>
            <w:tcW w:w="1124" w:type="pct"/>
            <w:vAlign w:val="center"/>
          </w:tcPr>
          <w:p>
            <w:pPr>
              <w:pStyle w:val="63"/>
              <w:rPr>
                <w:u w:val="single"/>
              </w:rPr>
            </w:pPr>
            <w:r>
              <w:rPr>
                <w:u w:val="single"/>
              </w:rPr>
              <w:t>2500</w:t>
            </w:r>
          </w:p>
        </w:tc>
        <w:tc>
          <w:tcPr>
            <w:tcW w:w="1123" w:type="pct"/>
            <w:vAlign w:val="center"/>
          </w:tcPr>
          <w:p>
            <w:pPr>
              <w:pStyle w:val="63"/>
              <w:rPr>
                <w:u w:val="single"/>
              </w:rPr>
            </w:pPr>
            <w:r>
              <w:rPr>
                <w:u w:val="single"/>
              </w:rPr>
              <w:t>0.00004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785" w:type="pct"/>
            <w:vAlign w:val="center"/>
          </w:tcPr>
          <w:p>
            <w:pPr>
              <w:pStyle w:val="63"/>
              <w:rPr>
                <w:u w:val="single"/>
              </w:rPr>
            </w:pPr>
            <w:r>
              <w:rPr>
                <w:u w:val="single"/>
              </w:rPr>
              <w:t>硫酸镍</w:t>
            </w:r>
          </w:p>
        </w:tc>
        <w:tc>
          <w:tcPr>
            <w:tcW w:w="968" w:type="pct"/>
            <w:vAlign w:val="center"/>
          </w:tcPr>
          <w:p>
            <w:pPr>
              <w:pStyle w:val="63"/>
              <w:rPr>
                <w:u w:val="single"/>
              </w:rPr>
            </w:pPr>
            <w:r>
              <w:rPr>
                <w:rFonts w:hint="eastAsia"/>
                <w:u w:val="single"/>
              </w:rPr>
              <w:t>59.16（折算为镍）</w:t>
            </w:r>
          </w:p>
        </w:tc>
        <w:tc>
          <w:tcPr>
            <w:tcW w:w="1124" w:type="pct"/>
            <w:vAlign w:val="center"/>
          </w:tcPr>
          <w:p>
            <w:pPr>
              <w:pStyle w:val="63"/>
              <w:rPr>
                <w:u w:val="single"/>
              </w:rPr>
            </w:pPr>
            <w:r>
              <w:rPr>
                <w:rFonts w:hint="eastAsia"/>
                <w:u w:val="single"/>
              </w:rPr>
              <w:t>0.25</w:t>
            </w:r>
          </w:p>
        </w:tc>
        <w:tc>
          <w:tcPr>
            <w:tcW w:w="1123" w:type="pct"/>
            <w:vAlign w:val="center"/>
          </w:tcPr>
          <w:p>
            <w:pPr>
              <w:pStyle w:val="63"/>
              <w:rPr>
                <w:u w:val="single"/>
              </w:rPr>
            </w:pPr>
            <w:r>
              <w:rPr>
                <w:rFonts w:hint="eastAsia"/>
                <w:u w:val="single"/>
              </w:rPr>
              <w:t>236.64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785" w:type="pct"/>
            <w:vAlign w:val="center"/>
          </w:tcPr>
          <w:p>
            <w:pPr>
              <w:pStyle w:val="63"/>
              <w:rPr>
                <w:u w:val="single"/>
              </w:rPr>
            </w:pPr>
            <w:r>
              <w:rPr>
                <w:rFonts w:hint="eastAsia"/>
                <w:u w:val="single"/>
              </w:rPr>
              <w:t>硫酸锰</w:t>
            </w:r>
          </w:p>
        </w:tc>
        <w:tc>
          <w:tcPr>
            <w:tcW w:w="968" w:type="pct"/>
            <w:vAlign w:val="center"/>
          </w:tcPr>
          <w:p>
            <w:pPr>
              <w:pStyle w:val="63"/>
              <w:rPr>
                <w:u w:val="single"/>
              </w:rPr>
            </w:pPr>
            <w:r>
              <w:rPr>
                <w:rFonts w:hint="eastAsia"/>
                <w:u w:val="single"/>
              </w:rPr>
              <w:t>76（折算为锰）</w:t>
            </w:r>
          </w:p>
        </w:tc>
        <w:tc>
          <w:tcPr>
            <w:tcW w:w="1124" w:type="pct"/>
            <w:vAlign w:val="center"/>
          </w:tcPr>
          <w:p>
            <w:pPr>
              <w:pStyle w:val="63"/>
              <w:rPr>
                <w:u w:val="single"/>
              </w:rPr>
            </w:pPr>
            <w:r>
              <w:rPr>
                <w:rFonts w:hint="eastAsia"/>
                <w:u w:val="single"/>
              </w:rPr>
              <w:t>0</w:t>
            </w:r>
            <w:r>
              <w:rPr>
                <w:u w:val="single"/>
              </w:rPr>
              <w:t>.25</w:t>
            </w:r>
          </w:p>
        </w:tc>
        <w:tc>
          <w:tcPr>
            <w:tcW w:w="1123" w:type="pct"/>
            <w:vAlign w:val="center"/>
          </w:tcPr>
          <w:p>
            <w:pPr>
              <w:pStyle w:val="63"/>
              <w:rPr>
                <w:u w:val="single"/>
              </w:rPr>
            </w:pPr>
            <w:r>
              <w:rPr>
                <w:rFonts w:hint="eastAsia"/>
                <w:u w:val="single"/>
              </w:rPr>
              <w:t>304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77" w:type="pct"/>
            <w:gridSpan w:val="3"/>
            <w:vAlign w:val="center"/>
          </w:tcPr>
          <w:p>
            <w:pPr>
              <w:pStyle w:val="63"/>
              <w:rPr>
                <w:u w:val="single"/>
              </w:rPr>
            </w:pPr>
            <w:r>
              <w:rPr>
                <w:u w:val="single"/>
              </w:rPr>
              <w:t>合计</w:t>
            </w:r>
          </w:p>
        </w:tc>
        <w:tc>
          <w:tcPr>
            <w:tcW w:w="1123" w:type="pct"/>
            <w:vAlign w:val="center"/>
          </w:tcPr>
          <w:p>
            <w:pPr>
              <w:pStyle w:val="63"/>
              <w:rPr>
                <w:u w:val="single"/>
              </w:rPr>
            </w:pPr>
            <w:r>
              <w:rPr>
                <w:u w:val="single"/>
              </w:rPr>
              <w:t>577.44804</w:t>
            </w:r>
          </w:p>
        </w:tc>
      </w:tr>
    </w:tbl>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根据上表可知，本项目Q=577.44804（</w:t>
      </w:r>
      <w:r>
        <w:rPr>
          <w:rFonts w:hint="eastAsia" w:ascii="Times New Roman" w:hAnsi="Times New Roman" w:cs="Times New Roman"/>
          <w:u w:val="single"/>
        </w:rPr>
        <w:t>Q＞100</w:t>
      </w:r>
      <w:r>
        <w:rPr>
          <w:rFonts w:ascii="Times New Roman" w:hAnsi="Times New Roman" w:cs="Times New Roman"/>
          <w:u w:val="single"/>
        </w:rPr>
        <w:t>）。</w:t>
      </w:r>
    </w:p>
    <w:p>
      <w:pPr>
        <w:pStyle w:val="5"/>
        <w:ind w:firstLine="482"/>
        <w:rPr>
          <w:rFonts w:ascii="Times New Roman" w:hAnsi="Times New Roman" w:cs="Times New Roman"/>
          <w:u w:val="single"/>
        </w:rPr>
      </w:pPr>
      <w:r>
        <w:rPr>
          <w:rFonts w:ascii="Times New Roman" w:hAnsi="Times New Roman" w:cs="Times New Roman"/>
          <w:u w:val="single"/>
        </w:rPr>
        <w:t>7.3.1.2 行业及生产工艺（M）确定</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分析项目所属行业及生产工艺特点，按照表C.1评估生产工艺情况。具有多套工艺单元的项目，对每套生产工艺分别评分并求和。将M划分为（1）M1＞20；（2）10＜M2≤20；（3）5＜M3≤10；（4）M4=5，分别以M1、M2、M3和M4表示。</w:t>
      </w:r>
    </w:p>
    <w:p>
      <w:pPr>
        <w:pStyle w:val="6"/>
        <w:rPr>
          <w:rFonts w:ascii="Times New Roman" w:hAnsi="Times New Roman" w:cs="Times New Roman"/>
          <w:u w:val="single"/>
        </w:rPr>
      </w:pPr>
      <w:r>
        <w:rPr>
          <w:rFonts w:ascii="Times New Roman" w:hAnsi="Times New Roman" w:cs="Times New Roman"/>
          <w:u w:val="single"/>
        </w:rPr>
        <w:t>表7.3-3  项目M值确定表</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09"/>
        <w:gridCol w:w="3915"/>
        <w:gridCol w:w="961"/>
        <w:gridCol w:w="2047"/>
        <w:gridCol w:w="61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85" w:type="pct"/>
            <w:shd w:val="clear" w:color="auto" w:fill="auto"/>
            <w:vAlign w:val="center"/>
          </w:tcPr>
          <w:p>
            <w:pPr>
              <w:pStyle w:val="63"/>
              <w:rPr>
                <w:u w:val="single"/>
              </w:rPr>
            </w:pPr>
            <w:r>
              <w:rPr>
                <w:u w:val="single"/>
              </w:rPr>
              <w:t>行业</w:t>
            </w:r>
          </w:p>
        </w:tc>
        <w:tc>
          <w:tcPr>
            <w:tcW w:w="2346" w:type="pct"/>
            <w:shd w:val="clear" w:color="auto" w:fill="auto"/>
            <w:vAlign w:val="center"/>
          </w:tcPr>
          <w:p>
            <w:pPr>
              <w:pStyle w:val="63"/>
              <w:rPr>
                <w:u w:val="single"/>
              </w:rPr>
            </w:pPr>
            <w:r>
              <w:rPr>
                <w:u w:val="single"/>
              </w:rPr>
              <w:t>评估依据</w:t>
            </w:r>
          </w:p>
        </w:tc>
        <w:tc>
          <w:tcPr>
            <w:tcW w:w="576" w:type="pct"/>
            <w:shd w:val="clear" w:color="auto" w:fill="auto"/>
            <w:vAlign w:val="center"/>
          </w:tcPr>
          <w:p>
            <w:pPr>
              <w:pStyle w:val="63"/>
              <w:rPr>
                <w:u w:val="single"/>
              </w:rPr>
            </w:pPr>
            <w:r>
              <w:rPr>
                <w:u w:val="single"/>
              </w:rPr>
              <w:t>分值</w:t>
            </w:r>
          </w:p>
        </w:tc>
        <w:tc>
          <w:tcPr>
            <w:tcW w:w="1227" w:type="pct"/>
            <w:shd w:val="clear" w:color="auto" w:fill="auto"/>
            <w:vAlign w:val="center"/>
          </w:tcPr>
          <w:p>
            <w:pPr>
              <w:pStyle w:val="63"/>
              <w:rPr>
                <w:u w:val="single"/>
              </w:rPr>
            </w:pPr>
            <w:r>
              <w:rPr>
                <w:u w:val="single"/>
              </w:rPr>
              <w:t>本项目情况</w:t>
            </w:r>
          </w:p>
        </w:tc>
        <w:tc>
          <w:tcPr>
            <w:tcW w:w="366" w:type="pct"/>
            <w:shd w:val="clear" w:color="auto" w:fill="auto"/>
            <w:vAlign w:val="center"/>
          </w:tcPr>
          <w:p>
            <w:pPr>
              <w:pStyle w:val="63"/>
              <w:rPr>
                <w:u w:val="single"/>
              </w:rPr>
            </w:pPr>
            <w:r>
              <w:rPr>
                <w:u w:val="single"/>
              </w:rPr>
              <w:t>得分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85" w:type="pct"/>
            <w:vMerge w:val="restart"/>
            <w:shd w:val="clear" w:color="auto" w:fill="auto"/>
            <w:vAlign w:val="center"/>
          </w:tcPr>
          <w:p>
            <w:pPr>
              <w:pStyle w:val="63"/>
              <w:rPr>
                <w:u w:val="single"/>
              </w:rPr>
            </w:pPr>
            <w:r>
              <w:rPr>
                <w:u w:val="single"/>
              </w:rPr>
              <w:t>石化、化工、医药、轻工、化纤、有色冶炼等</w:t>
            </w:r>
          </w:p>
        </w:tc>
        <w:tc>
          <w:tcPr>
            <w:tcW w:w="2346" w:type="pct"/>
            <w:shd w:val="clear" w:color="auto" w:fill="auto"/>
            <w:vAlign w:val="center"/>
          </w:tcPr>
          <w:p>
            <w:pPr>
              <w:pStyle w:val="63"/>
              <w:rPr>
                <w:u w:val="single"/>
              </w:rPr>
            </w:pPr>
            <w:r>
              <w:rPr>
                <w:u w:val="single"/>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576" w:type="pct"/>
            <w:shd w:val="clear" w:color="auto" w:fill="auto"/>
            <w:vAlign w:val="center"/>
          </w:tcPr>
          <w:p>
            <w:pPr>
              <w:pStyle w:val="63"/>
              <w:rPr>
                <w:u w:val="single"/>
              </w:rPr>
            </w:pPr>
            <w:r>
              <w:rPr>
                <w:u w:val="single"/>
              </w:rPr>
              <w:t>10/套</w:t>
            </w:r>
          </w:p>
        </w:tc>
        <w:tc>
          <w:tcPr>
            <w:tcW w:w="1227" w:type="pct"/>
            <w:shd w:val="clear" w:color="auto" w:fill="auto"/>
            <w:vAlign w:val="center"/>
          </w:tcPr>
          <w:p>
            <w:pPr>
              <w:pStyle w:val="63"/>
              <w:rPr>
                <w:u w:val="single"/>
              </w:rPr>
            </w:pPr>
            <w:r>
              <w:rPr>
                <w:u w:val="single"/>
              </w:rPr>
              <w:t>本项目不涉及</w:t>
            </w:r>
          </w:p>
        </w:tc>
        <w:tc>
          <w:tcPr>
            <w:tcW w:w="366" w:type="pct"/>
            <w:shd w:val="clear" w:color="auto" w:fill="auto"/>
            <w:vAlign w:val="center"/>
          </w:tcPr>
          <w:p>
            <w:pPr>
              <w:pStyle w:val="63"/>
              <w:rPr>
                <w:u w:val="single"/>
              </w:rPr>
            </w:pPr>
            <w:r>
              <w:rPr>
                <w:u w:val="singl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85" w:type="pct"/>
            <w:vMerge w:val="continue"/>
            <w:shd w:val="clear" w:color="auto" w:fill="auto"/>
            <w:vAlign w:val="center"/>
          </w:tcPr>
          <w:p>
            <w:pPr>
              <w:pStyle w:val="63"/>
              <w:rPr>
                <w:u w:val="single"/>
              </w:rPr>
            </w:pPr>
          </w:p>
        </w:tc>
        <w:tc>
          <w:tcPr>
            <w:tcW w:w="2346" w:type="pct"/>
            <w:shd w:val="clear" w:color="auto" w:fill="auto"/>
            <w:vAlign w:val="center"/>
          </w:tcPr>
          <w:p>
            <w:pPr>
              <w:pStyle w:val="63"/>
              <w:rPr>
                <w:u w:val="single"/>
              </w:rPr>
            </w:pPr>
            <w:r>
              <w:rPr>
                <w:u w:val="single"/>
              </w:rPr>
              <w:t>无机酸制酸工艺、焦化工艺</w:t>
            </w:r>
          </w:p>
        </w:tc>
        <w:tc>
          <w:tcPr>
            <w:tcW w:w="576" w:type="pct"/>
            <w:shd w:val="clear" w:color="auto" w:fill="auto"/>
            <w:vAlign w:val="center"/>
          </w:tcPr>
          <w:p>
            <w:pPr>
              <w:pStyle w:val="63"/>
              <w:rPr>
                <w:u w:val="single"/>
              </w:rPr>
            </w:pPr>
            <w:r>
              <w:rPr>
                <w:u w:val="single"/>
              </w:rPr>
              <w:t>5/套</w:t>
            </w:r>
          </w:p>
        </w:tc>
        <w:tc>
          <w:tcPr>
            <w:tcW w:w="1227" w:type="pct"/>
            <w:shd w:val="clear" w:color="auto" w:fill="auto"/>
            <w:vAlign w:val="center"/>
          </w:tcPr>
          <w:p>
            <w:pPr>
              <w:pStyle w:val="63"/>
              <w:rPr>
                <w:u w:val="single"/>
              </w:rPr>
            </w:pPr>
            <w:r>
              <w:rPr>
                <w:u w:val="single"/>
              </w:rPr>
              <w:t>本项目不涉及</w:t>
            </w:r>
          </w:p>
        </w:tc>
        <w:tc>
          <w:tcPr>
            <w:tcW w:w="366" w:type="pct"/>
            <w:shd w:val="clear" w:color="auto" w:fill="auto"/>
            <w:vAlign w:val="center"/>
          </w:tcPr>
          <w:p>
            <w:pPr>
              <w:pStyle w:val="63"/>
              <w:rPr>
                <w:u w:val="single"/>
              </w:rPr>
            </w:pPr>
            <w:r>
              <w:rPr>
                <w:u w:val="singl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85" w:type="pct"/>
            <w:vMerge w:val="continue"/>
            <w:shd w:val="clear" w:color="auto" w:fill="auto"/>
            <w:vAlign w:val="center"/>
          </w:tcPr>
          <w:p>
            <w:pPr>
              <w:pStyle w:val="63"/>
              <w:rPr>
                <w:u w:val="single"/>
              </w:rPr>
            </w:pPr>
          </w:p>
        </w:tc>
        <w:tc>
          <w:tcPr>
            <w:tcW w:w="2346" w:type="pct"/>
            <w:shd w:val="clear" w:color="auto" w:fill="auto"/>
            <w:vAlign w:val="center"/>
          </w:tcPr>
          <w:p>
            <w:pPr>
              <w:pStyle w:val="63"/>
              <w:rPr>
                <w:u w:val="single"/>
              </w:rPr>
            </w:pPr>
            <w:r>
              <w:rPr>
                <w:u w:val="single"/>
              </w:rPr>
              <w:t>其他高温或高压，且涉及危险物质的工艺过程a、危险物质贮存罐区</w:t>
            </w:r>
          </w:p>
        </w:tc>
        <w:tc>
          <w:tcPr>
            <w:tcW w:w="576" w:type="pct"/>
            <w:shd w:val="clear" w:color="auto" w:fill="auto"/>
            <w:vAlign w:val="center"/>
          </w:tcPr>
          <w:p>
            <w:pPr>
              <w:pStyle w:val="63"/>
              <w:rPr>
                <w:u w:val="single"/>
              </w:rPr>
            </w:pPr>
            <w:r>
              <w:rPr>
                <w:u w:val="single"/>
              </w:rPr>
              <w:t>5/套（罐区）</w:t>
            </w:r>
          </w:p>
        </w:tc>
        <w:tc>
          <w:tcPr>
            <w:tcW w:w="1227" w:type="pct"/>
            <w:shd w:val="clear" w:color="auto" w:fill="auto"/>
            <w:vAlign w:val="center"/>
          </w:tcPr>
          <w:p>
            <w:pPr>
              <w:pStyle w:val="63"/>
              <w:rPr>
                <w:u w:val="single"/>
              </w:rPr>
            </w:pPr>
            <w:r>
              <w:rPr>
                <w:u w:val="single"/>
              </w:rPr>
              <w:t>本项目涉及1台锅炉、一套热解装置、一套烧结装置</w:t>
            </w:r>
          </w:p>
        </w:tc>
        <w:tc>
          <w:tcPr>
            <w:tcW w:w="366" w:type="pct"/>
            <w:shd w:val="clear" w:color="auto" w:fill="auto"/>
            <w:vAlign w:val="center"/>
          </w:tcPr>
          <w:p>
            <w:pPr>
              <w:pStyle w:val="63"/>
              <w:rPr>
                <w:u w:val="single"/>
              </w:rPr>
            </w:pPr>
            <w:r>
              <w:rPr>
                <w:u w:val="single"/>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85" w:type="pct"/>
            <w:shd w:val="clear" w:color="auto" w:fill="auto"/>
            <w:vAlign w:val="center"/>
          </w:tcPr>
          <w:p>
            <w:pPr>
              <w:pStyle w:val="63"/>
              <w:rPr>
                <w:u w:val="single"/>
              </w:rPr>
            </w:pPr>
            <w:r>
              <w:rPr>
                <w:u w:val="single"/>
              </w:rPr>
              <w:t>管道、港口/码头等</w:t>
            </w:r>
          </w:p>
        </w:tc>
        <w:tc>
          <w:tcPr>
            <w:tcW w:w="2346" w:type="pct"/>
            <w:shd w:val="clear" w:color="auto" w:fill="auto"/>
            <w:vAlign w:val="center"/>
          </w:tcPr>
          <w:p>
            <w:pPr>
              <w:pStyle w:val="63"/>
              <w:rPr>
                <w:u w:val="single"/>
              </w:rPr>
            </w:pPr>
            <w:r>
              <w:rPr>
                <w:u w:val="single"/>
              </w:rPr>
              <w:t>涉及危险物质管道运输项目、港口/码头等</w:t>
            </w:r>
          </w:p>
        </w:tc>
        <w:tc>
          <w:tcPr>
            <w:tcW w:w="576" w:type="pct"/>
            <w:shd w:val="clear" w:color="auto" w:fill="auto"/>
            <w:vAlign w:val="center"/>
          </w:tcPr>
          <w:p>
            <w:pPr>
              <w:pStyle w:val="63"/>
              <w:rPr>
                <w:u w:val="single"/>
              </w:rPr>
            </w:pPr>
            <w:r>
              <w:rPr>
                <w:u w:val="single"/>
              </w:rPr>
              <w:t>10</w:t>
            </w:r>
          </w:p>
        </w:tc>
        <w:tc>
          <w:tcPr>
            <w:tcW w:w="1227" w:type="pct"/>
            <w:shd w:val="clear" w:color="auto" w:fill="auto"/>
            <w:vAlign w:val="center"/>
          </w:tcPr>
          <w:p>
            <w:pPr>
              <w:pStyle w:val="63"/>
              <w:rPr>
                <w:u w:val="single"/>
              </w:rPr>
            </w:pPr>
            <w:r>
              <w:rPr>
                <w:u w:val="single"/>
              </w:rPr>
              <w:t>本项目不涉及</w:t>
            </w:r>
          </w:p>
        </w:tc>
        <w:tc>
          <w:tcPr>
            <w:tcW w:w="366" w:type="pct"/>
            <w:shd w:val="clear" w:color="auto" w:fill="auto"/>
            <w:vAlign w:val="center"/>
          </w:tcPr>
          <w:p>
            <w:pPr>
              <w:pStyle w:val="63"/>
              <w:rPr>
                <w:u w:val="single"/>
              </w:rPr>
            </w:pPr>
            <w:r>
              <w:rPr>
                <w:u w:val="singl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85" w:type="pct"/>
            <w:shd w:val="clear" w:color="auto" w:fill="auto"/>
            <w:vAlign w:val="center"/>
          </w:tcPr>
          <w:p>
            <w:pPr>
              <w:pStyle w:val="63"/>
              <w:rPr>
                <w:u w:val="single"/>
              </w:rPr>
            </w:pPr>
            <w:r>
              <w:rPr>
                <w:u w:val="single"/>
              </w:rPr>
              <w:t>石油天然气</w:t>
            </w:r>
          </w:p>
        </w:tc>
        <w:tc>
          <w:tcPr>
            <w:tcW w:w="2346" w:type="pct"/>
            <w:shd w:val="clear" w:color="auto" w:fill="auto"/>
            <w:vAlign w:val="center"/>
          </w:tcPr>
          <w:p>
            <w:pPr>
              <w:pStyle w:val="63"/>
              <w:rPr>
                <w:u w:val="single"/>
              </w:rPr>
            </w:pPr>
            <w:r>
              <w:rPr>
                <w:u w:val="single"/>
              </w:rPr>
              <w:t>石油、天然气、页岩气开采（含净化），气库（不含加气站的气库），油库（不含加气站的油库）、油气管线b（不含城镇燃气管线）</w:t>
            </w:r>
          </w:p>
        </w:tc>
        <w:tc>
          <w:tcPr>
            <w:tcW w:w="576" w:type="pct"/>
            <w:shd w:val="clear" w:color="auto" w:fill="auto"/>
            <w:vAlign w:val="center"/>
          </w:tcPr>
          <w:p>
            <w:pPr>
              <w:pStyle w:val="63"/>
              <w:rPr>
                <w:u w:val="single"/>
              </w:rPr>
            </w:pPr>
            <w:r>
              <w:rPr>
                <w:u w:val="single"/>
              </w:rPr>
              <w:t>10</w:t>
            </w:r>
          </w:p>
        </w:tc>
        <w:tc>
          <w:tcPr>
            <w:tcW w:w="1227" w:type="pct"/>
            <w:shd w:val="clear" w:color="auto" w:fill="auto"/>
            <w:vAlign w:val="center"/>
          </w:tcPr>
          <w:p>
            <w:pPr>
              <w:pStyle w:val="63"/>
              <w:rPr>
                <w:u w:val="single"/>
              </w:rPr>
            </w:pPr>
            <w:r>
              <w:rPr>
                <w:u w:val="single"/>
              </w:rPr>
              <w:t>本项目不涉及</w:t>
            </w:r>
          </w:p>
        </w:tc>
        <w:tc>
          <w:tcPr>
            <w:tcW w:w="366" w:type="pct"/>
            <w:shd w:val="clear" w:color="auto" w:fill="auto"/>
            <w:vAlign w:val="center"/>
          </w:tcPr>
          <w:p>
            <w:pPr>
              <w:pStyle w:val="63"/>
              <w:rPr>
                <w:u w:val="single"/>
              </w:rPr>
            </w:pPr>
            <w:r>
              <w:rPr>
                <w:u w:val="singl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85" w:type="pct"/>
            <w:shd w:val="clear" w:color="auto" w:fill="auto"/>
            <w:vAlign w:val="center"/>
          </w:tcPr>
          <w:p>
            <w:pPr>
              <w:pStyle w:val="63"/>
              <w:rPr>
                <w:u w:val="single"/>
              </w:rPr>
            </w:pPr>
            <w:r>
              <w:rPr>
                <w:u w:val="single"/>
              </w:rPr>
              <w:t>其他</w:t>
            </w:r>
          </w:p>
        </w:tc>
        <w:tc>
          <w:tcPr>
            <w:tcW w:w="2346" w:type="pct"/>
            <w:shd w:val="clear" w:color="auto" w:fill="auto"/>
            <w:vAlign w:val="center"/>
          </w:tcPr>
          <w:p>
            <w:pPr>
              <w:pStyle w:val="63"/>
              <w:rPr>
                <w:u w:val="single"/>
              </w:rPr>
            </w:pPr>
            <w:r>
              <w:rPr>
                <w:u w:val="single"/>
              </w:rPr>
              <w:t>涉及危险物质使用、贮存的项目</w:t>
            </w:r>
          </w:p>
        </w:tc>
        <w:tc>
          <w:tcPr>
            <w:tcW w:w="576" w:type="pct"/>
            <w:shd w:val="clear" w:color="auto" w:fill="auto"/>
            <w:vAlign w:val="center"/>
          </w:tcPr>
          <w:p>
            <w:pPr>
              <w:pStyle w:val="63"/>
              <w:rPr>
                <w:u w:val="single"/>
              </w:rPr>
            </w:pPr>
            <w:r>
              <w:rPr>
                <w:u w:val="single"/>
              </w:rPr>
              <w:t>5</w:t>
            </w:r>
          </w:p>
        </w:tc>
        <w:tc>
          <w:tcPr>
            <w:tcW w:w="1227" w:type="pct"/>
            <w:shd w:val="clear" w:color="auto" w:fill="auto"/>
            <w:vAlign w:val="center"/>
          </w:tcPr>
          <w:p>
            <w:pPr>
              <w:pStyle w:val="63"/>
              <w:rPr>
                <w:u w:val="single"/>
              </w:rPr>
            </w:pPr>
            <w:r>
              <w:rPr>
                <w:u w:val="single"/>
              </w:rPr>
              <w:t>项目涉硫酸等危险物质的使用、贮存</w:t>
            </w:r>
          </w:p>
        </w:tc>
        <w:tc>
          <w:tcPr>
            <w:tcW w:w="366" w:type="pct"/>
            <w:shd w:val="clear" w:color="auto" w:fill="auto"/>
            <w:vAlign w:val="center"/>
          </w:tcPr>
          <w:p>
            <w:pPr>
              <w:pStyle w:val="63"/>
              <w:rPr>
                <w:u w:val="single"/>
              </w:rPr>
            </w:pPr>
            <w:r>
              <w:rPr>
                <w:u w:val="single"/>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0" w:type="pct"/>
            <w:gridSpan w:val="5"/>
            <w:shd w:val="clear" w:color="auto" w:fill="auto"/>
            <w:vAlign w:val="center"/>
          </w:tcPr>
          <w:p>
            <w:pPr>
              <w:pStyle w:val="63"/>
              <w:rPr>
                <w:u w:val="single"/>
              </w:rPr>
            </w:pPr>
            <w:r>
              <w:rPr>
                <w:u w:val="single"/>
              </w:rPr>
              <w:t>a高温指工艺温度≥300</w:t>
            </w:r>
            <w:r>
              <w:rPr>
                <w:rFonts w:hint="eastAsia" w:ascii="宋体" w:hAnsi="宋体" w:eastAsia="宋体" w:cs="宋体"/>
                <w:u w:val="single"/>
              </w:rPr>
              <w:t>℃</w:t>
            </w:r>
            <w:r>
              <w:rPr>
                <w:u w:val="single"/>
              </w:rPr>
              <w:t>，高压指压力容器的设计压力（P）≥10.0MPa；b长输管道运输项目应按站场、管线分段进行评价。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634" w:type="pct"/>
            <w:gridSpan w:val="4"/>
            <w:shd w:val="clear" w:color="auto" w:fill="auto"/>
            <w:vAlign w:val="center"/>
          </w:tcPr>
          <w:p>
            <w:pPr>
              <w:pStyle w:val="63"/>
              <w:rPr>
                <w:u w:val="single"/>
              </w:rPr>
            </w:pPr>
            <w:r>
              <w:rPr>
                <w:u w:val="single"/>
              </w:rPr>
              <w:t>合计</w:t>
            </w:r>
          </w:p>
        </w:tc>
        <w:tc>
          <w:tcPr>
            <w:tcW w:w="366" w:type="pct"/>
            <w:shd w:val="clear" w:color="auto" w:fill="auto"/>
            <w:vAlign w:val="center"/>
          </w:tcPr>
          <w:p>
            <w:pPr>
              <w:pStyle w:val="63"/>
              <w:rPr>
                <w:u w:val="single"/>
              </w:rPr>
            </w:pPr>
            <w:r>
              <w:rPr>
                <w:u w:val="single"/>
              </w:rPr>
              <w:t>20</w:t>
            </w:r>
          </w:p>
        </w:tc>
      </w:tr>
    </w:tbl>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根据上表可知，本项目M=20，其属于M2（10＜M2≤20）。</w:t>
      </w:r>
    </w:p>
    <w:p>
      <w:pPr>
        <w:pStyle w:val="5"/>
        <w:ind w:firstLine="482"/>
        <w:rPr>
          <w:rFonts w:ascii="Times New Roman" w:hAnsi="Times New Roman" w:cs="Times New Roman"/>
          <w:u w:val="single"/>
        </w:rPr>
      </w:pPr>
      <w:r>
        <w:rPr>
          <w:rFonts w:ascii="Times New Roman" w:hAnsi="Times New Roman" w:cs="Times New Roman"/>
          <w:u w:val="single"/>
        </w:rPr>
        <w:t>7.3.1.3 危险物质及工艺系统危险性（P）分级</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根据危险物质数量与临界量比值（Q）和行业及生产工艺（M），按照表C.2确定危险物质及工艺系统危险性等级（P），分别以P1、P2、P3、P4表示。</w:t>
      </w:r>
    </w:p>
    <w:p>
      <w:pPr>
        <w:pStyle w:val="6"/>
        <w:rPr>
          <w:rFonts w:ascii="Times New Roman" w:hAnsi="Times New Roman" w:cs="Times New Roman"/>
          <w:u w:val="single"/>
        </w:rPr>
      </w:pPr>
      <w:r>
        <w:rPr>
          <w:rFonts w:ascii="Times New Roman" w:hAnsi="Times New Roman" w:cs="Times New Roman"/>
          <w:u w:val="single"/>
        </w:rPr>
        <w:t>表7.3-4  危险物质及工艺系统危险性等级判断（P）</w:t>
      </w:r>
    </w:p>
    <w:tbl>
      <w:tblPr>
        <w:tblStyle w:val="35"/>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032"/>
        <w:gridCol w:w="1577"/>
        <w:gridCol w:w="1578"/>
        <w:gridCol w:w="1578"/>
        <w:gridCol w:w="157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18" w:type="pct"/>
            <w:vMerge w:val="restart"/>
            <w:shd w:val="clear" w:color="auto" w:fill="auto"/>
            <w:vAlign w:val="center"/>
          </w:tcPr>
          <w:p>
            <w:pPr>
              <w:pStyle w:val="63"/>
              <w:rPr>
                <w:u w:val="single"/>
              </w:rPr>
            </w:pPr>
            <w:r>
              <w:rPr>
                <w:u w:val="single"/>
              </w:rPr>
              <w:t>危险物质数量与临界量比值（Q）</w:t>
            </w:r>
          </w:p>
        </w:tc>
        <w:tc>
          <w:tcPr>
            <w:tcW w:w="3782" w:type="pct"/>
            <w:gridSpan w:val="4"/>
            <w:shd w:val="clear" w:color="auto" w:fill="auto"/>
            <w:vAlign w:val="center"/>
          </w:tcPr>
          <w:p>
            <w:pPr>
              <w:pStyle w:val="63"/>
              <w:rPr>
                <w:u w:val="single"/>
              </w:rPr>
            </w:pPr>
            <w:r>
              <w:rPr>
                <w:u w:val="single"/>
              </w:rPr>
              <w:t>行业及生产工艺（M）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18" w:type="pct"/>
            <w:vMerge w:val="continue"/>
            <w:shd w:val="clear" w:color="auto" w:fill="auto"/>
            <w:vAlign w:val="center"/>
          </w:tcPr>
          <w:p>
            <w:pPr>
              <w:pStyle w:val="63"/>
              <w:rPr>
                <w:u w:val="single"/>
              </w:rPr>
            </w:pPr>
          </w:p>
        </w:tc>
        <w:tc>
          <w:tcPr>
            <w:tcW w:w="945" w:type="pct"/>
            <w:shd w:val="clear" w:color="auto" w:fill="auto"/>
            <w:vAlign w:val="center"/>
          </w:tcPr>
          <w:p>
            <w:pPr>
              <w:pStyle w:val="63"/>
              <w:rPr>
                <w:u w:val="single"/>
              </w:rPr>
            </w:pPr>
            <w:r>
              <w:rPr>
                <w:u w:val="single"/>
              </w:rPr>
              <w:t>M1</w:t>
            </w:r>
          </w:p>
        </w:tc>
        <w:tc>
          <w:tcPr>
            <w:tcW w:w="946" w:type="pct"/>
            <w:shd w:val="clear" w:color="auto" w:fill="auto"/>
            <w:vAlign w:val="center"/>
          </w:tcPr>
          <w:p>
            <w:pPr>
              <w:pStyle w:val="63"/>
              <w:rPr>
                <w:u w:val="single"/>
              </w:rPr>
            </w:pPr>
            <w:r>
              <w:rPr>
                <w:u w:val="single"/>
              </w:rPr>
              <w:t>M2</w:t>
            </w:r>
          </w:p>
        </w:tc>
        <w:tc>
          <w:tcPr>
            <w:tcW w:w="946" w:type="pct"/>
            <w:shd w:val="clear" w:color="auto" w:fill="auto"/>
            <w:vAlign w:val="center"/>
          </w:tcPr>
          <w:p>
            <w:pPr>
              <w:pStyle w:val="63"/>
              <w:rPr>
                <w:u w:val="single"/>
              </w:rPr>
            </w:pPr>
            <w:r>
              <w:rPr>
                <w:u w:val="single"/>
              </w:rPr>
              <w:t>M3</w:t>
            </w:r>
          </w:p>
        </w:tc>
        <w:tc>
          <w:tcPr>
            <w:tcW w:w="945" w:type="pct"/>
            <w:shd w:val="clear" w:color="auto" w:fill="auto"/>
            <w:vAlign w:val="center"/>
          </w:tcPr>
          <w:p>
            <w:pPr>
              <w:pStyle w:val="63"/>
              <w:rPr>
                <w:u w:val="single"/>
              </w:rPr>
            </w:pPr>
            <w:r>
              <w:rPr>
                <w:u w:val="single"/>
              </w:rPr>
              <w:t>M4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18" w:type="pct"/>
            <w:shd w:val="clear" w:color="auto" w:fill="auto"/>
            <w:vAlign w:val="center"/>
          </w:tcPr>
          <w:p>
            <w:pPr>
              <w:pStyle w:val="63"/>
              <w:rPr>
                <w:u w:val="single"/>
              </w:rPr>
            </w:pPr>
            <w:r>
              <w:rPr>
                <w:u w:val="single"/>
              </w:rPr>
              <w:t>Q≥100</w:t>
            </w:r>
          </w:p>
        </w:tc>
        <w:tc>
          <w:tcPr>
            <w:tcW w:w="945" w:type="pct"/>
            <w:shd w:val="clear" w:color="auto" w:fill="auto"/>
            <w:vAlign w:val="center"/>
          </w:tcPr>
          <w:p>
            <w:pPr>
              <w:pStyle w:val="63"/>
              <w:rPr>
                <w:u w:val="single"/>
              </w:rPr>
            </w:pPr>
            <w:r>
              <w:rPr>
                <w:u w:val="single"/>
              </w:rPr>
              <w:t>P1</w:t>
            </w:r>
          </w:p>
        </w:tc>
        <w:tc>
          <w:tcPr>
            <w:tcW w:w="946" w:type="pct"/>
            <w:shd w:val="clear" w:color="auto" w:fill="E5B8B7" w:themeFill="accent2" w:themeFillTint="66"/>
            <w:vAlign w:val="center"/>
          </w:tcPr>
          <w:p>
            <w:pPr>
              <w:pStyle w:val="63"/>
              <w:rPr>
                <w:u w:val="single"/>
              </w:rPr>
            </w:pPr>
            <w:r>
              <w:rPr>
                <w:u w:val="single"/>
              </w:rPr>
              <w:t>P1</w:t>
            </w:r>
          </w:p>
        </w:tc>
        <w:tc>
          <w:tcPr>
            <w:tcW w:w="946" w:type="pct"/>
            <w:shd w:val="clear" w:color="auto" w:fill="auto"/>
            <w:vAlign w:val="center"/>
          </w:tcPr>
          <w:p>
            <w:pPr>
              <w:pStyle w:val="63"/>
              <w:rPr>
                <w:u w:val="single"/>
              </w:rPr>
            </w:pPr>
            <w:r>
              <w:rPr>
                <w:u w:val="single"/>
              </w:rPr>
              <w:t>P2</w:t>
            </w:r>
          </w:p>
        </w:tc>
        <w:tc>
          <w:tcPr>
            <w:tcW w:w="945" w:type="pct"/>
            <w:shd w:val="clear" w:color="auto" w:fill="auto"/>
            <w:vAlign w:val="center"/>
          </w:tcPr>
          <w:p>
            <w:pPr>
              <w:pStyle w:val="63"/>
              <w:rPr>
                <w:u w:val="single"/>
              </w:rPr>
            </w:pPr>
            <w:r>
              <w:rPr>
                <w:u w:val="single"/>
              </w:rPr>
              <w:t>P3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18" w:type="pct"/>
            <w:shd w:val="clear" w:color="auto" w:fill="auto"/>
            <w:vAlign w:val="center"/>
          </w:tcPr>
          <w:p>
            <w:pPr>
              <w:pStyle w:val="63"/>
              <w:rPr>
                <w:u w:val="single"/>
              </w:rPr>
            </w:pPr>
            <w:r>
              <w:rPr>
                <w:u w:val="single"/>
              </w:rPr>
              <w:t>10≤Q＜100</w:t>
            </w:r>
          </w:p>
        </w:tc>
        <w:tc>
          <w:tcPr>
            <w:tcW w:w="945" w:type="pct"/>
            <w:shd w:val="clear" w:color="auto" w:fill="auto"/>
            <w:vAlign w:val="center"/>
          </w:tcPr>
          <w:p>
            <w:pPr>
              <w:pStyle w:val="63"/>
              <w:rPr>
                <w:u w:val="single"/>
              </w:rPr>
            </w:pPr>
            <w:r>
              <w:rPr>
                <w:u w:val="single"/>
              </w:rPr>
              <w:t>P1</w:t>
            </w:r>
          </w:p>
        </w:tc>
        <w:tc>
          <w:tcPr>
            <w:tcW w:w="946" w:type="pct"/>
            <w:shd w:val="clear" w:color="auto" w:fill="auto"/>
            <w:vAlign w:val="center"/>
          </w:tcPr>
          <w:p>
            <w:pPr>
              <w:pStyle w:val="63"/>
              <w:rPr>
                <w:u w:val="single"/>
              </w:rPr>
            </w:pPr>
            <w:r>
              <w:rPr>
                <w:u w:val="single"/>
              </w:rPr>
              <w:t>P2</w:t>
            </w:r>
          </w:p>
        </w:tc>
        <w:tc>
          <w:tcPr>
            <w:tcW w:w="946" w:type="pct"/>
            <w:shd w:val="clear" w:color="auto" w:fill="auto"/>
            <w:vAlign w:val="center"/>
          </w:tcPr>
          <w:p>
            <w:pPr>
              <w:pStyle w:val="63"/>
              <w:rPr>
                <w:u w:val="single"/>
              </w:rPr>
            </w:pPr>
            <w:r>
              <w:rPr>
                <w:u w:val="single"/>
              </w:rPr>
              <w:t>P3</w:t>
            </w:r>
          </w:p>
        </w:tc>
        <w:tc>
          <w:tcPr>
            <w:tcW w:w="945" w:type="pct"/>
            <w:shd w:val="clear" w:color="auto" w:fill="auto"/>
            <w:vAlign w:val="center"/>
          </w:tcPr>
          <w:p>
            <w:pPr>
              <w:pStyle w:val="63"/>
              <w:rPr>
                <w:u w:val="single"/>
              </w:rPr>
            </w:pPr>
            <w:r>
              <w:rPr>
                <w:u w:val="single"/>
              </w:rPr>
              <w:t>P4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218" w:type="pct"/>
            <w:shd w:val="clear" w:color="auto" w:fill="auto"/>
            <w:vAlign w:val="center"/>
          </w:tcPr>
          <w:p>
            <w:pPr>
              <w:pStyle w:val="63"/>
              <w:rPr>
                <w:u w:val="single"/>
              </w:rPr>
            </w:pPr>
            <w:r>
              <w:rPr>
                <w:u w:val="single"/>
              </w:rPr>
              <w:t>1≤Q＜10</w:t>
            </w:r>
          </w:p>
        </w:tc>
        <w:tc>
          <w:tcPr>
            <w:tcW w:w="945" w:type="pct"/>
            <w:shd w:val="clear" w:color="auto" w:fill="auto"/>
            <w:vAlign w:val="center"/>
          </w:tcPr>
          <w:p>
            <w:pPr>
              <w:pStyle w:val="63"/>
              <w:rPr>
                <w:u w:val="single"/>
              </w:rPr>
            </w:pPr>
            <w:r>
              <w:rPr>
                <w:u w:val="single"/>
              </w:rPr>
              <w:t>P2</w:t>
            </w:r>
          </w:p>
        </w:tc>
        <w:tc>
          <w:tcPr>
            <w:tcW w:w="946" w:type="pct"/>
            <w:shd w:val="clear" w:color="auto" w:fill="auto"/>
            <w:vAlign w:val="center"/>
          </w:tcPr>
          <w:p>
            <w:pPr>
              <w:pStyle w:val="63"/>
              <w:rPr>
                <w:u w:val="single"/>
              </w:rPr>
            </w:pPr>
            <w:r>
              <w:rPr>
                <w:u w:val="single"/>
              </w:rPr>
              <w:t>P3</w:t>
            </w:r>
          </w:p>
        </w:tc>
        <w:tc>
          <w:tcPr>
            <w:tcW w:w="946" w:type="pct"/>
            <w:shd w:val="clear" w:color="auto" w:fill="auto"/>
            <w:vAlign w:val="center"/>
          </w:tcPr>
          <w:p>
            <w:pPr>
              <w:pStyle w:val="63"/>
              <w:rPr>
                <w:u w:val="single"/>
              </w:rPr>
            </w:pPr>
            <w:r>
              <w:rPr>
                <w:u w:val="single"/>
              </w:rPr>
              <w:t>P4</w:t>
            </w:r>
          </w:p>
        </w:tc>
        <w:tc>
          <w:tcPr>
            <w:tcW w:w="945" w:type="pct"/>
            <w:shd w:val="clear" w:color="auto" w:fill="auto"/>
            <w:vAlign w:val="center"/>
          </w:tcPr>
          <w:p>
            <w:pPr>
              <w:pStyle w:val="63"/>
              <w:rPr>
                <w:u w:val="single"/>
              </w:rPr>
            </w:pPr>
            <w:r>
              <w:rPr>
                <w:u w:val="single"/>
              </w:rPr>
              <w:t>P4</w:t>
            </w:r>
          </w:p>
        </w:tc>
      </w:tr>
    </w:tbl>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根据前述分析可知，本项目Q=577.44804（</w:t>
      </w:r>
      <w:r>
        <w:rPr>
          <w:rFonts w:hint="eastAsia" w:ascii="Times New Roman" w:hAnsi="Times New Roman" w:cs="Times New Roman"/>
          <w:u w:val="single"/>
        </w:rPr>
        <w:t>Q＞100</w:t>
      </w:r>
      <w:r>
        <w:rPr>
          <w:rFonts w:ascii="Times New Roman" w:hAnsi="Times New Roman" w:cs="Times New Roman"/>
          <w:u w:val="single"/>
        </w:rPr>
        <w:t>），M为M2。根据危险物质数量与临界量比值（Q）和行业及生产工艺（M），按照上表确定危险物质及工艺系统危险性等级为P</w:t>
      </w:r>
      <w:r>
        <w:rPr>
          <w:rFonts w:hint="eastAsia" w:ascii="Times New Roman" w:hAnsi="Times New Roman" w:cs="Times New Roman"/>
          <w:u w:val="single"/>
        </w:rPr>
        <w:t>1</w:t>
      </w:r>
      <w:r>
        <w:rPr>
          <w:rFonts w:ascii="Times New Roman" w:hAnsi="Times New Roman" w:cs="Times New Roman"/>
          <w:u w:val="single"/>
        </w:rPr>
        <w:t>级。</w:t>
      </w:r>
    </w:p>
    <w:p>
      <w:pPr>
        <w:pStyle w:val="5"/>
        <w:ind w:firstLine="482"/>
        <w:rPr>
          <w:rFonts w:ascii="Times New Roman" w:hAnsi="Times New Roman" w:cs="Times New Roman"/>
        </w:rPr>
      </w:pPr>
      <w:r>
        <w:rPr>
          <w:rFonts w:ascii="Times New Roman" w:hAnsi="Times New Roman" w:cs="Times New Roman"/>
        </w:rPr>
        <w:t>7.3.1.4 建设项目各要素环境敏感程度（E）的分级确定</w:t>
      </w:r>
    </w:p>
    <w:p>
      <w:pPr>
        <w:spacing w:line="360" w:lineRule="auto"/>
        <w:ind w:firstLine="480" w:firstLineChars="200"/>
        <w:rPr>
          <w:rFonts w:ascii="Times New Roman" w:hAnsi="Times New Roman" w:cs="Times New Roman"/>
        </w:rPr>
      </w:pPr>
      <w:r>
        <w:rPr>
          <w:rFonts w:ascii="Times New Roman" w:hAnsi="Times New Roman" w:cs="Times New Roman"/>
        </w:rPr>
        <w:t>（1）大气环境</w:t>
      </w:r>
    </w:p>
    <w:p>
      <w:pPr>
        <w:spacing w:line="360" w:lineRule="auto"/>
        <w:ind w:firstLine="480" w:firstLineChars="200"/>
        <w:rPr>
          <w:rFonts w:ascii="Times New Roman" w:hAnsi="Times New Roman" w:cs="Times New Roman"/>
        </w:rPr>
      </w:pPr>
      <w:r>
        <w:rPr>
          <w:rFonts w:ascii="Times New Roman" w:hAnsi="Times New Roman" w:cs="Times New Roman"/>
        </w:rPr>
        <w:t>依据环境敏感目标环境敏感性及人口密度划分环境风险受体敏感性，共分为三种类型，E1为环境高度敏感区、E2为环境中度敏感区，E3为环境低度敏感区，分级原则见下表。</w:t>
      </w:r>
    </w:p>
    <w:p>
      <w:pPr>
        <w:pStyle w:val="6"/>
        <w:rPr>
          <w:rFonts w:ascii="Times New Roman" w:hAnsi="Times New Roman" w:cs="Times New Roman"/>
        </w:rPr>
      </w:pPr>
      <w:r>
        <w:rPr>
          <w:rFonts w:ascii="Times New Roman" w:hAnsi="Times New Roman" w:cs="Times New Roman"/>
        </w:rPr>
        <w:t>表7.3-5  大气环境敏感程度分级情况一览表</w:t>
      </w:r>
    </w:p>
    <w:tbl>
      <w:tblPr>
        <w:tblStyle w:val="35"/>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40"/>
        <w:gridCol w:w="4819"/>
        <w:gridCol w:w="2126"/>
        <w:gridCol w:w="95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64" w:type="pct"/>
            <w:vAlign w:val="center"/>
          </w:tcPr>
          <w:p>
            <w:pPr>
              <w:pStyle w:val="63"/>
            </w:pPr>
            <w:r>
              <w:t>分级</w:t>
            </w:r>
          </w:p>
        </w:tc>
        <w:tc>
          <w:tcPr>
            <w:tcW w:w="2888" w:type="pct"/>
            <w:vAlign w:val="center"/>
          </w:tcPr>
          <w:p>
            <w:pPr>
              <w:pStyle w:val="63"/>
            </w:pPr>
            <w:r>
              <w:t>分级依据</w:t>
            </w:r>
          </w:p>
        </w:tc>
        <w:tc>
          <w:tcPr>
            <w:tcW w:w="1274" w:type="pct"/>
            <w:vAlign w:val="center"/>
          </w:tcPr>
          <w:p>
            <w:pPr>
              <w:pStyle w:val="63"/>
            </w:pPr>
            <w:r>
              <w:t>项目情况</w:t>
            </w:r>
          </w:p>
        </w:tc>
        <w:tc>
          <w:tcPr>
            <w:tcW w:w="574" w:type="pct"/>
            <w:vAlign w:val="center"/>
          </w:tcPr>
          <w:p>
            <w:pPr>
              <w:pStyle w:val="63"/>
            </w:pPr>
            <w:r>
              <w:t>分级情况</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64" w:type="pct"/>
            <w:vAlign w:val="center"/>
          </w:tcPr>
          <w:p>
            <w:pPr>
              <w:pStyle w:val="63"/>
            </w:pPr>
            <w:r>
              <w:t>E1</w:t>
            </w:r>
          </w:p>
        </w:tc>
        <w:tc>
          <w:tcPr>
            <w:tcW w:w="2888" w:type="pct"/>
            <w:vAlign w:val="center"/>
          </w:tcPr>
          <w:p>
            <w:pPr>
              <w:pStyle w:val="63"/>
            </w:pPr>
            <w:r>
              <w:t>企业周边5公里范围内居住区、医疗卫生、文化教育、科研、行政办公等机构人口总数大于5万人，或其他需要特殊保护区域；或企业周边500米范围内人口总数大于1000人；</w:t>
            </w:r>
          </w:p>
        </w:tc>
        <w:tc>
          <w:tcPr>
            <w:tcW w:w="1274" w:type="pct"/>
            <w:vMerge w:val="restart"/>
            <w:vAlign w:val="center"/>
          </w:tcPr>
          <w:p>
            <w:pPr>
              <w:pStyle w:val="63"/>
            </w:pPr>
            <w:r>
              <w:t>本项目周边5公里范围内涉及大埔镇，其总人口数大于5万人</w:t>
            </w:r>
          </w:p>
        </w:tc>
        <w:tc>
          <w:tcPr>
            <w:tcW w:w="574" w:type="pct"/>
            <w:vMerge w:val="restart"/>
            <w:vAlign w:val="center"/>
          </w:tcPr>
          <w:p>
            <w:pPr>
              <w:pStyle w:val="63"/>
            </w:pPr>
            <w:r>
              <w:t>E1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64" w:type="pct"/>
            <w:vAlign w:val="center"/>
          </w:tcPr>
          <w:p>
            <w:pPr>
              <w:pStyle w:val="63"/>
            </w:pPr>
            <w:r>
              <w:t>E2</w:t>
            </w:r>
          </w:p>
        </w:tc>
        <w:tc>
          <w:tcPr>
            <w:tcW w:w="2888" w:type="pct"/>
            <w:vAlign w:val="center"/>
          </w:tcPr>
          <w:p>
            <w:pPr>
              <w:pStyle w:val="63"/>
            </w:pPr>
            <w:r>
              <w:t>企业周边5公里范围内居住区、医疗卫生、文化教育、科研、行政办公等机构人口总数大于1万人，小于5万人；或企业周边500米范围内人口总数大于500人，小于1000人；</w:t>
            </w:r>
          </w:p>
        </w:tc>
        <w:tc>
          <w:tcPr>
            <w:tcW w:w="1274" w:type="pct"/>
            <w:vMerge w:val="continue"/>
            <w:vAlign w:val="center"/>
          </w:tcPr>
          <w:p>
            <w:pPr>
              <w:pStyle w:val="63"/>
            </w:pPr>
          </w:p>
        </w:tc>
        <w:tc>
          <w:tcPr>
            <w:tcW w:w="574" w:type="pct"/>
            <w:vMerge w:val="continue"/>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15" w:hRule="atLeast"/>
        </w:trPr>
        <w:tc>
          <w:tcPr>
            <w:tcW w:w="264" w:type="pct"/>
            <w:vAlign w:val="center"/>
          </w:tcPr>
          <w:p>
            <w:pPr>
              <w:pStyle w:val="63"/>
            </w:pPr>
            <w:r>
              <w:t>E3</w:t>
            </w:r>
          </w:p>
        </w:tc>
        <w:tc>
          <w:tcPr>
            <w:tcW w:w="2888" w:type="pct"/>
            <w:vAlign w:val="center"/>
          </w:tcPr>
          <w:p>
            <w:pPr>
              <w:pStyle w:val="63"/>
            </w:pPr>
            <w:r>
              <w:t>企业周边5公里范围内居住区、医疗卫生、文化教育、科研、行政办公等机构人口总数小于1万人，或企业周边500米范围内人口总数小于500人；</w:t>
            </w:r>
          </w:p>
        </w:tc>
        <w:tc>
          <w:tcPr>
            <w:tcW w:w="1274" w:type="pct"/>
            <w:vMerge w:val="continue"/>
            <w:vAlign w:val="center"/>
          </w:tcPr>
          <w:p>
            <w:pPr>
              <w:pStyle w:val="63"/>
            </w:pPr>
          </w:p>
        </w:tc>
        <w:tc>
          <w:tcPr>
            <w:tcW w:w="574" w:type="pct"/>
            <w:vMerge w:val="continue"/>
            <w:vAlign w:val="center"/>
          </w:tcPr>
          <w:p>
            <w:pPr>
              <w:pStyle w:val="63"/>
            </w:pPr>
          </w:p>
        </w:tc>
      </w:tr>
    </w:tbl>
    <w:p>
      <w:pPr>
        <w:spacing w:line="360" w:lineRule="auto"/>
        <w:ind w:firstLine="480" w:firstLineChars="200"/>
        <w:rPr>
          <w:rFonts w:ascii="Times New Roman" w:hAnsi="Times New Roman" w:cs="Times New Roman"/>
        </w:rPr>
      </w:pPr>
      <w:r>
        <w:rPr>
          <w:rFonts w:ascii="Times New Roman" w:hAnsi="Times New Roman" w:cs="Times New Roman"/>
        </w:rPr>
        <w:t>由上表可知，项目拟建地大气环境敏感程度为E1级别。</w:t>
      </w:r>
    </w:p>
    <w:p>
      <w:pPr>
        <w:spacing w:line="360" w:lineRule="auto"/>
        <w:ind w:firstLine="480" w:firstLineChars="200"/>
        <w:rPr>
          <w:rFonts w:ascii="Times New Roman" w:hAnsi="Times New Roman" w:cs="Times New Roman"/>
        </w:rPr>
      </w:pPr>
      <w:r>
        <w:rPr>
          <w:rFonts w:ascii="Times New Roman" w:hAnsi="Times New Roman" w:cs="Times New Roman"/>
        </w:rPr>
        <w:t>（2）地表水环境</w:t>
      </w:r>
    </w:p>
    <w:p>
      <w:pPr>
        <w:spacing w:line="360" w:lineRule="auto"/>
        <w:ind w:firstLine="480" w:firstLineChars="200"/>
        <w:rPr>
          <w:rFonts w:ascii="Times New Roman" w:hAnsi="Times New Roman" w:cs="Times New Roman"/>
        </w:rPr>
      </w:pPr>
      <w:r>
        <w:rPr>
          <w:rFonts w:ascii="Times New Roman" w:hAnsi="Times New Roman" w:cs="Times New Roman"/>
        </w:rPr>
        <w:t>依据事故情况下危险物质泄漏到水体的排放点收纳地表水体功能敏感性，与下游环境敏感目标情况，共分为三种类型，E1为环境高度敏感区，E2为环境中度敏感区，E3为环境低度敏感区，其中地表水功能敏感性分区和环境敏感目标分级分别见下表所示。</w:t>
      </w:r>
    </w:p>
    <w:p>
      <w:pPr>
        <w:pStyle w:val="6"/>
        <w:rPr>
          <w:rFonts w:ascii="Times New Roman" w:hAnsi="Times New Roman" w:cs="Times New Roman"/>
        </w:rPr>
      </w:pPr>
      <w:r>
        <w:rPr>
          <w:rFonts w:ascii="Times New Roman" w:hAnsi="Times New Roman" w:cs="Times New Roman"/>
        </w:rPr>
        <w:t>表7.3-6  地表水功能敏感性分级情况一览表</w:t>
      </w:r>
    </w:p>
    <w:tbl>
      <w:tblPr>
        <w:tblStyle w:val="35"/>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008"/>
        <w:gridCol w:w="4393"/>
        <w:gridCol w:w="1986"/>
        <w:gridCol w:w="95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trPr>
        <w:tc>
          <w:tcPr>
            <w:tcW w:w="604" w:type="pct"/>
            <w:vAlign w:val="center"/>
          </w:tcPr>
          <w:p>
            <w:pPr>
              <w:pStyle w:val="63"/>
            </w:pPr>
            <w:r>
              <w:t>分级</w:t>
            </w:r>
          </w:p>
        </w:tc>
        <w:tc>
          <w:tcPr>
            <w:tcW w:w="2633" w:type="pct"/>
            <w:vAlign w:val="center"/>
          </w:tcPr>
          <w:p>
            <w:pPr>
              <w:pStyle w:val="63"/>
            </w:pPr>
            <w:r>
              <w:t>分级依据</w:t>
            </w:r>
          </w:p>
        </w:tc>
        <w:tc>
          <w:tcPr>
            <w:tcW w:w="1190" w:type="pct"/>
            <w:vAlign w:val="center"/>
          </w:tcPr>
          <w:p>
            <w:pPr>
              <w:pStyle w:val="63"/>
            </w:pPr>
            <w:r>
              <w:t>项目情况</w:t>
            </w:r>
          </w:p>
        </w:tc>
        <w:tc>
          <w:tcPr>
            <w:tcW w:w="573" w:type="pct"/>
            <w:vAlign w:val="center"/>
          </w:tcPr>
          <w:p>
            <w:pPr>
              <w:pStyle w:val="63"/>
            </w:pPr>
            <w:r>
              <w:t>分级情况</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4" w:type="pct"/>
            <w:vAlign w:val="center"/>
          </w:tcPr>
          <w:p>
            <w:pPr>
              <w:pStyle w:val="63"/>
            </w:pPr>
            <w:r>
              <w:t>敏感</w:t>
            </w:r>
          </w:p>
          <w:p>
            <w:pPr>
              <w:pStyle w:val="63"/>
            </w:pPr>
            <w:r>
              <w:t>F1</w:t>
            </w:r>
          </w:p>
        </w:tc>
        <w:tc>
          <w:tcPr>
            <w:tcW w:w="2633" w:type="pct"/>
            <w:vAlign w:val="center"/>
          </w:tcPr>
          <w:p>
            <w:pPr>
              <w:pStyle w:val="63"/>
            </w:pPr>
            <w:r>
              <w:t>排放点进入地表水水域环境功能为</w:t>
            </w:r>
            <w:r>
              <w:rPr>
                <w:rFonts w:hint="eastAsia" w:ascii="宋体" w:hAnsi="宋体" w:eastAsia="宋体" w:cs="宋体"/>
              </w:rPr>
              <w:t>Ⅱ</w:t>
            </w:r>
            <w:r>
              <w:t>类及以上，或海水水质分类为第一类；或以发生事故时，危险物质泄漏到水体的排放点算起，排放进入受纳河流最大流速时，24h流经范围内涉跨国界的</w:t>
            </w:r>
          </w:p>
        </w:tc>
        <w:tc>
          <w:tcPr>
            <w:tcW w:w="1190" w:type="pct"/>
            <w:vMerge w:val="restart"/>
            <w:vAlign w:val="center"/>
          </w:tcPr>
          <w:p>
            <w:pPr>
              <w:pStyle w:val="63"/>
            </w:pPr>
            <w:r>
              <w:t>本项目事故情况下危险物质泄漏到水体的排放点进入地表水水域环境功能为</w:t>
            </w:r>
            <w:r>
              <w:rPr>
                <w:rFonts w:hint="eastAsia" w:ascii="宋体" w:hAnsi="宋体" w:eastAsia="宋体" w:cs="宋体"/>
              </w:rPr>
              <w:t>Ⅲ</w:t>
            </w:r>
            <w:r>
              <w:t>类，但24h流经范围不涉及跨省界</w:t>
            </w:r>
          </w:p>
        </w:tc>
        <w:tc>
          <w:tcPr>
            <w:tcW w:w="573" w:type="pct"/>
            <w:vMerge w:val="restart"/>
            <w:vAlign w:val="center"/>
          </w:tcPr>
          <w:p>
            <w:pPr>
              <w:pStyle w:val="63"/>
            </w:pPr>
            <w:r>
              <w:t>F2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4" w:type="pct"/>
            <w:vAlign w:val="center"/>
          </w:tcPr>
          <w:p>
            <w:pPr>
              <w:pStyle w:val="63"/>
            </w:pPr>
            <w:r>
              <w:t>较敏感F2</w:t>
            </w:r>
          </w:p>
        </w:tc>
        <w:tc>
          <w:tcPr>
            <w:tcW w:w="2633" w:type="pct"/>
            <w:vAlign w:val="center"/>
          </w:tcPr>
          <w:p>
            <w:pPr>
              <w:pStyle w:val="63"/>
            </w:pPr>
            <w:r>
              <w:t>排放点进入地表水水域环境功能为</w:t>
            </w:r>
            <w:r>
              <w:rPr>
                <w:rFonts w:hint="eastAsia" w:ascii="宋体" w:hAnsi="宋体" w:eastAsia="宋体" w:cs="宋体"/>
              </w:rPr>
              <w:t>Ⅲ</w:t>
            </w:r>
            <w:r>
              <w:t>类，或海水水质分类为第二类；或以发生事故时，危险物质泄漏到水体的排放点算起，排放进入受纳河流最大流速时，24h流经范围内涉跨省界的</w:t>
            </w:r>
          </w:p>
        </w:tc>
        <w:tc>
          <w:tcPr>
            <w:tcW w:w="1190" w:type="pct"/>
            <w:vMerge w:val="continue"/>
            <w:vAlign w:val="center"/>
          </w:tcPr>
          <w:p>
            <w:pPr>
              <w:pStyle w:val="63"/>
            </w:pPr>
          </w:p>
        </w:tc>
        <w:tc>
          <w:tcPr>
            <w:tcW w:w="573" w:type="pct"/>
            <w:vMerge w:val="continue"/>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04" w:type="pct"/>
            <w:vAlign w:val="center"/>
          </w:tcPr>
          <w:p>
            <w:pPr>
              <w:pStyle w:val="63"/>
            </w:pPr>
            <w:r>
              <w:t>低敏感F3</w:t>
            </w:r>
          </w:p>
        </w:tc>
        <w:tc>
          <w:tcPr>
            <w:tcW w:w="2633" w:type="pct"/>
            <w:vAlign w:val="center"/>
          </w:tcPr>
          <w:p>
            <w:pPr>
              <w:pStyle w:val="63"/>
            </w:pPr>
            <w:r>
              <w:t>上述地区之外的其他地区</w:t>
            </w:r>
          </w:p>
        </w:tc>
        <w:tc>
          <w:tcPr>
            <w:tcW w:w="1190" w:type="pct"/>
            <w:vMerge w:val="continue"/>
            <w:vAlign w:val="center"/>
          </w:tcPr>
          <w:p>
            <w:pPr>
              <w:pStyle w:val="63"/>
            </w:pPr>
          </w:p>
        </w:tc>
        <w:tc>
          <w:tcPr>
            <w:tcW w:w="573" w:type="pct"/>
            <w:vMerge w:val="continue"/>
            <w:vAlign w:val="center"/>
          </w:tcPr>
          <w:p>
            <w:pPr>
              <w:pStyle w:val="63"/>
            </w:pPr>
          </w:p>
        </w:tc>
      </w:tr>
    </w:tbl>
    <w:p>
      <w:pPr>
        <w:spacing w:line="360" w:lineRule="auto"/>
        <w:ind w:firstLine="480" w:firstLineChars="200"/>
        <w:rPr>
          <w:rFonts w:ascii="Times New Roman" w:hAnsi="Times New Roman" w:cs="Times New Roman"/>
        </w:rPr>
      </w:pPr>
      <w:r>
        <w:rPr>
          <w:rFonts w:ascii="Times New Roman" w:hAnsi="Times New Roman" w:cs="Times New Roman"/>
        </w:rPr>
        <w:t>由上表可知，项目地表水功能敏感性为较敏感F2。</w:t>
      </w:r>
    </w:p>
    <w:p>
      <w:pPr>
        <w:pStyle w:val="6"/>
        <w:rPr>
          <w:rFonts w:ascii="Times New Roman" w:hAnsi="Times New Roman" w:cs="Times New Roman"/>
        </w:rPr>
      </w:pPr>
      <w:r>
        <w:rPr>
          <w:rFonts w:ascii="Times New Roman" w:hAnsi="Times New Roman" w:cs="Times New Roman"/>
        </w:rPr>
        <w:t>表7.3-7  地表水环境敏感目标分级情况一览表</w:t>
      </w:r>
    </w:p>
    <w:tbl>
      <w:tblPr>
        <w:tblStyle w:val="35"/>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40"/>
        <w:gridCol w:w="5954"/>
        <w:gridCol w:w="991"/>
        <w:gridCol w:w="95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trPr>
        <w:tc>
          <w:tcPr>
            <w:tcW w:w="264" w:type="pct"/>
            <w:vAlign w:val="center"/>
          </w:tcPr>
          <w:p>
            <w:pPr>
              <w:pStyle w:val="63"/>
            </w:pPr>
            <w:r>
              <w:t>分级</w:t>
            </w:r>
          </w:p>
        </w:tc>
        <w:tc>
          <w:tcPr>
            <w:tcW w:w="3568" w:type="pct"/>
            <w:vAlign w:val="center"/>
          </w:tcPr>
          <w:p>
            <w:pPr>
              <w:pStyle w:val="63"/>
            </w:pPr>
            <w:r>
              <w:t>分级依据</w:t>
            </w:r>
          </w:p>
        </w:tc>
        <w:tc>
          <w:tcPr>
            <w:tcW w:w="594" w:type="pct"/>
            <w:vAlign w:val="center"/>
          </w:tcPr>
          <w:p>
            <w:pPr>
              <w:pStyle w:val="63"/>
            </w:pPr>
            <w:r>
              <w:t>项目情况</w:t>
            </w:r>
          </w:p>
        </w:tc>
        <w:tc>
          <w:tcPr>
            <w:tcW w:w="574" w:type="pct"/>
            <w:vAlign w:val="center"/>
          </w:tcPr>
          <w:p>
            <w:pPr>
              <w:pStyle w:val="63"/>
            </w:pPr>
            <w:r>
              <w:t>分级情况</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16" w:hRule="atLeast"/>
        </w:trPr>
        <w:tc>
          <w:tcPr>
            <w:tcW w:w="264" w:type="pct"/>
            <w:vAlign w:val="center"/>
          </w:tcPr>
          <w:p>
            <w:pPr>
              <w:pStyle w:val="63"/>
            </w:pPr>
            <w:r>
              <w:t>S1</w:t>
            </w:r>
          </w:p>
        </w:tc>
        <w:tc>
          <w:tcPr>
            <w:tcW w:w="3568" w:type="pct"/>
            <w:vAlign w:val="center"/>
          </w:tcPr>
          <w:p>
            <w:pPr>
              <w:pStyle w:val="63"/>
            </w:pPr>
            <w:r>
              <w:t>发生事故时，危险物质泄漏到内陆水体的排放点下游（顺水流向）10km范围内、近岸海域一个潮周期水质点可能达到的最大水平距离的两倍范围内，有如下一类或多类环境风险受体：集中式地表水、饮用水水源保护区（包括一级保护区、二级保护区和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c>
          <w:tcPr>
            <w:tcW w:w="594" w:type="pct"/>
            <w:vMerge w:val="restart"/>
            <w:vAlign w:val="center"/>
          </w:tcPr>
          <w:p>
            <w:pPr>
              <w:pStyle w:val="63"/>
            </w:pPr>
            <w:r>
              <w:t>湘江有四大家鱼水质种质资源保护区。</w:t>
            </w:r>
          </w:p>
        </w:tc>
        <w:tc>
          <w:tcPr>
            <w:tcW w:w="574" w:type="pct"/>
            <w:vMerge w:val="restart"/>
            <w:vAlign w:val="center"/>
          </w:tcPr>
          <w:p>
            <w:pPr>
              <w:pStyle w:val="63"/>
            </w:pPr>
            <w:r>
              <w:t>S2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64" w:type="pct"/>
            <w:vAlign w:val="center"/>
          </w:tcPr>
          <w:p>
            <w:pPr>
              <w:pStyle w:val="63"/>
            </w:pPr>
            <w:r>
              <w:t>S2</w:t>
            </w:r>
          </w:p>
        </w:tc>
        <w:tc>
          <w:tcPr>
            <w:tcW w:w="3568" w:type="pct"/>
            <w:vAlign w:val="center"/>
          </w:tcPr>
          <w:p>
            <w:pPr>
              <w:pStyle w:val="63"/>
            </w:pPr>
            <w:r>
              <w:t>发生事故时，危险物质泄漏到内陆水体的排放点下游（顺水流向）10km范围内、近岸海域一个潮周期水质点可能达到的最大水平距离的两倍范围内，有如下一类或多类环境风险受体：水产养殖区；天然渔场；森林公园；地质公园；海滨风景游览区；具有重要经济价值的海洋生物生存区域</w:t>
            </w:r>
          </w:p>
        </w:tc>
        <w:tc>
          <w:tcPr>
            <w:tcW w:w="594" w:type="pct"/>
            <w:vMerge w:val="continue"/>
            <w:vAlign w:val="center"/>
          </w:tcPr>
          <w:p>
            <w:pPr>
              <w:pStyle w:val="63"/>
            </w:pPr>
          </w:p>
        </w:tc>
        <w:tc>
          <w:tcPr>
            <w:tcW w:w="574" w:type="pct"/>
            <w:vMerge w:val="continue"/>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trPr>
        <w:tc>
          <w:tcPr>
            <w:tcW w:w="264" w:type="pct"/>
            <w:vAlign w:val="center"/>
          </w:tcPr>
          <w:p>
            <w:pPr>
              <w:pStyle w:val="63"/>
            </w:pPr>
            <w:r>
              <w:t>S3</w:t>
            </w:r>
          </w:p>
        </w:tc>
        <w:tc>
          <w:tcPr>
            <w:tcW w:w="3568" w:type="pct"/>
            <w:vAlign w:val="center"/>
          </w:tcPr>
          <w:p>
            <w:pPr>
              <w:pStyle w:val="63"/>
            </w:pPr>
            <w:r>
              <w:t>发生事故时，危险物质泄漏到内陆水体的排放点下游（顺水流向）10km范围内、近岸海域一个潮周期水质点可能达到的最大水平距离的两倍范围内无上述类型1或类型2包括的敏感保护目标</w:t>
            </w:r>
          </w:p>
        </w:tc>
        <w:tc>
          <w:tcPr>
            <w:tcW w:w="594" w:type="pct"/>
            <w:vMerge w:val="continue"/>
            <w:vAlign w:val="center"/>
          </w:tcPr>
          <w:p>
            <w:pPr>
              <w:pStyle w:val="63"/>
            </w:pPr>
          </w:p>
        </w:tc>
        <w:tc>
          <w:tcPr>
            <w:tcW w:w="574" w:type="pct"/>
            <w:vMerge w:val="continue"/>
            <w:vAlign w:val="center"/>
          </w:tcPr>
          <w:p>
            <w:pPr>
              <w:pStyle w:val="63"/>
            </w:pPr>
          </w:p>
        </w:tc>
      </w:tr>
    </w:tbl>
    <w:p>
      <w:pPr>
        <w:spacing w:line="360" w:lineRule="auto"/>
        <w:ind w:firstLine="480" w:firstLineChars="200"/>
        <w:rPr>
          <w:rFonts w:ascii="Times New Roman" w:hAnsi="Times New Roman" w:cs="Times New Roman"/>
        </w:rPr>
      </w:pPr>
      <w:r>
        <w:rPr>
          <w:rFonts w:ascii="Times New Roman" w:hAnsi="Times New Roman" w:cs="Times New Roman"/>
        </w:rPr>
        <w:t>由上表可知，开发区地表水功能敏感性为S2。</w:t>
      </w:r>
    </w:p>
    <w:p>
      <w:pPr>
        <w:pStyle w:val="6"/>
        <w:rPr>
          <w:rFonts w:ascii="Times New Roman" w:hAnsi="Times New Roman" w:cs="Times New Roman"/>
        </w:rPr>
      </w:pPr>
      <w:r>
        <w:rPr>
          <w:rFonts w:ascii="Times New Roman" w:hAnsi="Times New Roman" w:cs="Times New Roman"/>
        </w:rPr>
        <w:t>表7.3-8  地表水环境敏感程度等级判断</w:t>
      </w:r>
    </w:p>
    <w:tbl>
      <w:tblPr>
        <w:tblStyle w:val="35"/>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765"/>
        <w:gridCol w:w="2403"/>
        <w:gridCol w:w="2403"/>
        <w:gridCol w:w="177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58" w:type="pct"/>
            <w:vMerge w:val="restart"/>
            <w:vAlign w:val="center"/>
          </w:tcPr>
          <w:p>
            <w:pPr>
              <w:pStyle w:val="63"/>
            </w:pPr>
            <w:r>
              <w:t>环境敏感目标</w:t>
            </w:r>
          </w:p>
        </w:tc>
        <w:tc>
          <w:tcPr>
            <w:tcW w:w="3942" w:type="pct"/>
            <w:gridSpan w:val="3"/>
            <w:vAlign w:val="center"/>
          </w:tcPr>
          <w:p>
            <w:pPr>
              <w:pStyle w:val="63"/>
            </w:pPr>
            <w:r>
              <w:t>地表水功能敏感性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58" w:type="pct"/>
            <w:vMerge w:val="continue"/>
            <w:vAlign w:val="center"/>
          </w:tcPr>
          <w:p>
            <w:pPr>
              <w:pStyle w:val="63"/>
            </w:pPr>
          </w:p>
        </w:tc>
        <w:tc>
          <w:tcPr>
            <w:tcW w:w="1440" w:type="pct"/>
            <w:vAlign w:val="center"/>
          </w:tcPr>
          <w:p>
            <w:pPr>
              <w:pStyle w:val="63"/>
            </w:pPr>
            <w:r>
              <w:t>F1</w:t>
            </w:r>
          </w:p>
        </w:tc>
        <w:tc>
          <w:tcPr>
            <w:tcW w:w="1440" w:type="pct"/>
            <w:vAlign w:val="center"/>
          </w:tcPr>
          <w:p>
            <w:pPr>
              <w:pStyle w:val="63"/>
            </w:pPr>
            <w:r>
              <w:t>F2</w:t>
            </w:r>
          </w:p>
        </w:tc>
        <w:tc>
          <w:tcPr>
            <w:tcW w:w="1062" w:type="pct"/>
            <w:vAlign w:val="center"/>
          </w:tcPr>
          <w:p>
            <w:pPr>
              <w:pStyle w:val="63"/>
            </w:pPr>
            <w:r>
              <w:t>F3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58" w:type="pct"/>
            <w:vAlign w:val="center"/>
          </w:tcPr>
          <w:p>
            <w:pPr>
              <w:pStyle w:val="63"/>
            </w:pPr>
            <w:r>
              <w:t>S1</w:t>
            </w:r>
          </w:p>
        </w:tc>
        <w:tc>
          <w:tcPr>
            <w:tcW w:w="1440" w:type="pct"/>
            <w:vAlign w:val="center"/>
          </w:tcPr>
          <w:p>
            <w:pPr>
              <w:pStyle w:val="63"/>
            </w:pPr>
            <w:r>
              <w:t>E1</w:t>
            </w:r>
          </w:p>
        </w:tc>
        <w:tc>
          <w:tcPr>
            <w:tcW w:w="1440" w:type="pct"/>
            <w:vAlign w:val="center"/>
          </w:tcPr>
          <w:p>
            <w:pPr>
              <w:pStyle w:val="63"/>
            </w:pPr>
            <w:r>
              <w:t>E1</w:t>
            </w:r>
          </w:p>
        </w:tc>
        <w:tc>
          <w:tcPr>
            <w:tcW w:w="1062" w:type="pct"/>
            <w:shd w:val="clear" w:color="auto" w:fill="auto"/>
            <w:vAlign w:val="center"/>
          </w:tcPr>
          <w:p>
            <w:pPr>
              <w:pStyle w:val="63"/>
            </w:pPr>
            <w:r>
              <w:t>E2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58" w:type="pct"/>
            <w:vAlign w:val="center"/>
          </w:tcPr>
          <w:p>
            <w:pPr>
              <w:pStyle w:val="63"/>
            </w:pPr>
            <w:r>
              <w:t>S2</w:t>
            </w:r>
          </w:p>
        </w:tc>
        <w:tc>
          <w:tcPr>
            <w:tcW w:w="1440" w:type="pct"/>
            <w:vAlign w:val="center"/>
          </w:tcPr>
          <w:p>
            <w:pPr>
              <w:pStyle w:val="63"/>
            </w:pPr>
            <w:r>
              <w:t>E1</w:t>
            </w:r>
          </w:p>
        </w:tc>
        <w:tc>
          <w:tcPr>
            <w:tcW w:w="1440" w:type="pct"/>
            <w:vAlign w:val="center"/>
          </w:tcPr>
          <w:p>
            <w:pPr>
              <w:pStyle w:val="63"/>
            </w:pPr>
            <w:r>
              <w:t>E2</w:t>
            </w:r>
          </w:p>
        </w:tc>
        <w:tc>
          <w:tcPr>
            <w:tcW w:w="1062" w:type="pct"/>
            <w:vAlign w:val="center"/>
          </w:tcPr>
          <w:p>
            <w:pPr>
              <w:pStyle w:val="63"/>
            </w:pPr>
            <w:r>
              <w:t>E3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058" w:type="pct"/>
            <w:vAlign w:val="center"/>
          </w:tcPr>
          <w:p>
            <w:pPr>
              <w:pStyle w:val="63"/>
            </w:pPr>
            <w:r>
              <w:t>S3</w:t>
            </w:r>
          </w:p>
        </w:tc>
        <w:tc>
          <w:tcPr>
            <w:tcW w:w="1440" w:type="pct"/>
            <w:vAlign w:val="center"/>
          </w:tcPr>
          <w:p>
            <w:pPr>
              <w:pStyle w:val="63"/>
            </w:pPr>
            <w:r>
              <w:t>E1</w:t>
            </w:r>
          </w:p>
        </w:tc>
        <w:tc>
          <w:tcPr>
            <w:tcW w:w="1440" w:type="pct"/>
            <w:vAlign w:val="center"/>
          </w:tcPr>
          <w:p>
            <w:pPr>
              <w:pStyle w:val="63"/>
            </w:pPr>
            <w:r>
              <w:t>E2</w:t>
            </w:r>
          </w:p>
        </w:tc>
        <w:tc>
          <w:tcPr>
            <w:tcW w:w="1062" w:type="pct"/>
            <w:vAlign w:val="center"/>
          </w:tcPr>
          <w:p>
            <w:pPr>
              <w:pStyle w:val="63"/>
            </w:pPr>
            <w:r>
              <w:t>E3</w:t>
            </w:r>
          </w:p>
        </w:tc>
      </w:tr>
    </w:tbl>
    <w:p>
      <w:pPr>
        <w:spacing w:line="360" w:lineRule="auto"/>
        <w:ind w:firstLine="480" w:firstLineChars="200"/>
        <w:rPr>
          <w:rFonts w:ascii="Times New Roman" w:hAnsi="Times New Roman" w:cs="Times New Roman"/>
        </w:rPr>
      </w:pPr>
      <w:r>
        <w:rPr>
          <w:rFonts w:ascii="Times New Roman" w:hAnsi="Times New Roman" w:cs="Times New Roman"/>
        </w:rPr>
        <w:t>本项目地表水功能敏感性分级为较敏感F2，地表水功能敏感性为S2，则地表水环境敏感程度为E2。</w:t>
      </w:r>
    </w:p>
    <w:p>
      <w:pPr>
        <w:spacing w:line="360" w:lineRule="auto"/>
        <w:ind w:firstLine="480" w:firstLineChars="200"/>
        <w:rPr>
          <w:rFonts w:ascii="Times New Roman" w:hAnsi="Times New Roman" w:cs="Times New Roman"/>
        </w:rPr>
      </w:pPr>
      <w:r>
        <w:rPr>
          <w:rFonts w:ascii="Times New Roman" w:hAnsi="Times New Roman" w:cs="Times New Roman"/>
        </w:rPr>
        <w:t>（3）地下水环境</w:t>
      </w:r>
    </w:p>
    <w:p>
      <w:pPr>
        <w:spacing w:line="360" w:lineRule="auto"/>
        <w:ind w:firstLine="480" w:firstLineChars="200"/>
        <w:rPr>
          <w:rFonts w:ascii="Times New Roman" w:hAnsi="Times New Roman" w:cs="Times New Roman"/>
        </w:rPr>
      </w:pPr>
      <w:r>
        <w:rPr>
          <w:rFonts w:ascii="Times New Roman" w:hAnsi="Times New Roman" w:cs="Times New Roman"/>
        </w:rPr>
        <w:t>地下水功能敏感性分级见下表。</w:t>
      </w:r>
    </w:p>
    <w:p>
      <w:pPr>
        <w:pStyle w:val="6"/>
        <w:rPr>
          <w:rFonts w:ascii="Times New Roman" w:hAnsi="Times New Roman" w:cs="Times New Roman"/>
        </w:rPr>
      </w:pPr>
      <w:r>
        <w:rPr>
          <w:rFonts w:ascii="Times New Roman" w:hAnsi="Times New Roman" w:cs="Times New Roman"/>
        </w:rPr>
        <w:t>表7.3-9  地下水功能敏感性分级情况一览表</w:t>
      </w:r>
    </w:p>
    <w:tbl>
      <w:tblPr>
        <w:tblStyle w:val="35"/>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150"/>
        <w:gridCol w:w="5500"/>
        <w:gridCol w:w="1021"/>
        <w:gridCol w:w="67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89" w:type="pct"/>
            <w:vAlign w:val="center"/>
          </w:tcPr>
          <w:p>
            <w:pPr>
              <w:pStyle w:val="63"/>
            </w:pPr>
            <w:r>
              <w:t>分级</w:t>
            </w:r>
          </w:p>
        </w:tc>
        <w:tc>
          <w:tcPr>
            <w:tcW w:w="3296" w:type="pct"/>
            <w:vAlign w:val="center"/>
          </w:tcPr>
          <w:p>
            <w:pPr>
              <w:pStyle w:val="63"/>
            </w:pPr>
            <w:r>
              <w:t>分级依据</w:t>
            </w:r>
          </w:p>
        </w:tc>
        <w:tc>
          <w:tcPr>
            <w:tcW w:w="612" w:type="pct"/>
            <w:vAlign w:val="center"/>
          </w:tcPr>
          <w:p>
            <w:pPr>
              <w:pStyle w:val="63"/>
            </w:pPr>
            <w:r>
              <w:t>项目情况</w:t>
            </w:r>
          </w:p>
        </w:tc>
        <w:tc>
          <w:tcPr>
            <w:tcW w:w="403" w:type="pct"/>
            <w:vAlign w:val="center"/>
          </w:tcPr>
          <w:p>
            <w:pPr>
              <w:pStyle w:val="63"/>
            </w:pPr>
            <w:r>
              <w:t>分级情况</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382" w:hRule="atLeast"/>
        </w:trPr>
        <w:tc>
          <w:tcPr>
            <w:tcW w:w="689" w:type="pct"/>
            <w:tcBorders>
              <w:bottom w:val="single" w:color="000000" w:sz="4" w:space="0"/>
            </w:tcBorders>
            <w:vAlign w:val="center"/>
          </w:tcPr>
          <w:p>
            <w:pPr>
              <w:pStyle w:val="63"/>
            </w:pPr>
            <w:r>
              <w:t>敏感G1</w:t>
            </w:r>
          </w:p>
        </w:tc>
        <w:tc>
          <w:tcPr>
            <w:tcW w:w="3296" w:type="pct"/>
            <w:tcBorders>
              <w:bottom w:val="single" w:color="000000" w:sz="4" w:space="0"/>
            </w:tcBorders>
            <w:vAlign w:val="center"/>
          </w:tcPr>
          <w:p>
            <w:pPr>
              <w:pStyle w:val="63"/>
            </w:pPr>
            <w:r>
              <w:t>集中式饮用水水源地（包括已建成的在用、备用、应急水源地，在建和规划的水源地）准保护区；除集中式饮用水水源地以外的国家或地方政府设定的与地下水环境相关的其它保护区，如热水、矿泉水、温泉等特殊地下水资源保护区。</w:t>
            </w:r>
          </w:p>
        </w:tc>
        <w:tc>
          <w:tcPr>
            <w:tcW w:w="612" w:type="pct"/>
            <w:vMerge w:val="restart"/>
            <w:vAlign w:val="center"/>
          </w:tcPr>
          <w:p>
            <w:pPr>
              <w:pStyle w:val="63"/>
            </w:pPr>
            <w:r>
              <w:t>项目不涉及G1和G2所述区域</w:t>
            </w:r>
          </w:p>
        </w:tc>
        <w:tc>
          <w:tcPr>
            <w:tcW w:w="403" w:type="pct"/>
            <w:vMerge w:val="restart"/>
            <w:tcBorders>
              <w:bottom w:val="single" w:color="000000" w:sz="4" w:space="0"/>
            </w:tcBorders>
            <w:vAlign w:val="center"/>
          </w:tcPr>
          <w:p>
            <w:pPr>
              <w:pStyle w:val="63"/>
            </w:pPr>
            <w:r>
              <w:t>不敏感G3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89" w:type="pct"/>
            <w:vAlign w:val="center"/>
          </w:tcPr>
          <w:p>
            <w:pPr>
              <w:pStyle w:val="63"/>
            </w:pPr>
            <w:r>
              <w:t>较敏感G2</w:t>
            </w:r>
          </w:p>
        </w:tc>
        <w:tc>
          <w:tcPr>
            <w:tcW w:w="3296" w:type="pct"/>
            <w:vAlign w:val="center"/>
          </w:tcPr>
          <w:p>
            <w:pPr>
              <w:pStyle w:val="63"/>
            </w:pPr>
            <w:r>
              <w:t>集中式饮用水水源地（包括已建成的在用、备用、应急水源地，在建和规划的水源地）准保护区以外的补给径流区；特殊地下水资源（如矿泉水、温泉等）保护区以外的分布区以及分散式居民饮用水水</w:t>
            </w:r>
          </w:p>
          <w:p>
            <w:pPr>
              <w:pStyle w:val="63"/>
            </w:pPr>
            <w:r>
              <w:t>源等其它未列入上述敏感分级的环境敏感区。</w:t>
            </w:r>
          </w:p>
        </w:tc>
        <w:tc>
          <w:tcPr>
            <w:tcW w:w="612" w:type="pct"/>
            <w:vMerge w:val="continue"/>
            <w:vAlign w:val="center"/>
          </w:tcPr>
          <w:p>
            <w:pPr>
              <w:pStyle w:val="63"/>
            </w:pPr>
          </w:p>
        </w:tc>
        <w:tc>
          <w:tcPr>
            <w:tcW w:w="403" w:type="pct"/>
            <w:vMerge w:val="continue"/>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89" w:type="pct"/>
            <w:vAlign w:val="center"/>
          </w:tcPr>
          <w:p>
            <w:pPr>
              <w:pStyle w:val="63"/>
            </w:pPr>
            <w:r>
              <w:t>不敏感G3</w:t>
            </w:r>
          </w:p>
        </w:tc>
        <w:tc>
          <w:tcPr>
            <w:tcW w:w="3296" w:type="pct"/>
            <w:vAlign w:val="center"/>
          </w:tcPr>
          <w:p>
            <w:pPr>
              <w:pStyle w:val="63"/>
            </w:pPr>
            <w:r>
              <w:t>上述地区之外的其它地区。</w:t>
            </w:r>
          </w:p>
        </w:tc>
        <w:tc>
          <w:tcPr>
            <w:tcW w:w="612" w:type="pct"/>
            <w:vMerge w:val="continue"/>
            <w:vAlign w:val="center"/>
          </w:tcPr>
          <w:p>
            <w:pPr>
              <w:pStyle w:val="63"/>
            </w:pPr>
          </w:p>
        </w:tc>
        <w:tc>
          <w:tcPr>
            <w:tcW w:w="403" w:type="pct"/>
            <w:vMerge w:val="continue"/>
            <w:vAlign w:val="center"/>
          </w:tcPr>
          <w:p>
            <w:pPr>
              <w:pStyle w:val="63"/>
            </w:pPr>
          </w:p>
        </w:tc>
      </w:tr>
    </w:tbl>
    <w:p>
      <w:pPr>
        <w:spacing w:line="360" w:lineRule="auto"/>
        <w:ind w:firstLine="480" w:firstLineChars="200"/>
        <w:rPr>
          <w:rFonts w:ascii="Times New Roman" w:hAnsi="Times New Roman" w:cs="Times New Roman"/>
        </w:rPr>
      </w:pPr>
      <w:r>
        <w:rPr>
          <w:rFonts w:ascii="Times New Roman" w:hAnsi="Times New Roman" w:cs="Times New Roman"/>
        </w:rPr>
        <w:t>由表上表可知，开发区地下水功能敏感性为不敏感G3。包气带防污性能分级见表下表。</w:t>
      </w:r>
    </w:p>
    <w:p>
      <w:pPr>
        <w:pStyle w:val="6"/>
        <w:rPr>
          <w:rFonts w:ascii="Times New Roman" w:hAnsi="Times New Roman" w:cs="Times New Roman"/>
        </w:rPr>
      </w:pPr>
      <w:r>
        <w:rPr>
          <w:rFonts w:ascii="Times New Roman" w:hAnsi="Times New Roman" w:cs="Times New Roman"/>
        </w:rPr>
        <w:t xml:space="preserve">表7.3-10  </w:t>
      </w:r>
      <w:r>
        <w:rPr>
          <w:rFonts w:ascii="Times New Roman" w:hAnsi="Times New Roman" w:cs="Times New Roman"/>
        </w:rPr>
        <w:tab/>
      </w:r>
      <w:r>
        <w:rPr>
          <w:rFonts w:ascii="Times New Roman" w:hAnsi="Times New Roman" w:cs="Times New Roman"/>
        </w:rPr>
        <w:t>包气带防污性能分级情况一览表</w:t>
      </w:r>
    </w:p>
    <w:tbl>
      <w:tblPr>
        <w:tblStyle w:val="35"/>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51"/>
        <w:gridCol w:w="4766"/>
        <w:gridCol w:w="1844"/>
        <w:gridCol w:w="138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1" w:type="pct"/>
            <w:vAlign w:val="center"/>
          </w:tcPr>
          <w:p>
            <w:pPr>
              <w:pStyle w:val="63"/>
            </w:pPr>
            <w:r>
              <w:t>分级</w:t>
            </w:r>
          </w:p>
        </w:tc>
        <w:tc>
          <w:tcPr>
            <w:tcW w:w="2856" w:type="pct"/>
            <w:vAlign w:val="center"/>
          </w:tcPr>
          <w:p>
            <w:pPr>
              <w:pStyle w:val="63"/>
            </w:pPr>
            <w:r>
              <w:t>分级依据</w:t>
            </w:r>
          </w:p>
        </w:tc>
        <w:tc>
          <w:tcPr>
            <w:tcW w:w="1105" w:type="pct"/>
            <w:vAlign w:val="center"/>
          </w:tcPr>
          <w:p>
            <w:pPr>
              <w:pStyle w:val="63"/>
            </w:pPr>
            <w:r>
              <w:t>项目情况</w:t>
            </w:r>
          </w:p>
        </w:tc>
        <w:tc>
          <w:tcPr>
            <w:tcW w:w="828" w:type="pct"/>
            <w:vAlign w:val="center"/>
          </w:tcPr>
          <w:p>
            <w:pPr>
              <w:pStyle w:val="63"/>
            </w:pPr>
            <w:r>
              <w:t>分级情况</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1" w:type="pct"/>
            <w:vAlign w:val="center"/>
          </w:tcPr>
          <w:p>
            <w:pPr>
              <w:pStyle w:val="63"/>
            </w:pPr>
            <w:r>
              <w:t>D3</w:t>
            </w:r>
          </w:p>
        </w:tc>
        <w:tc>
          <w:tcPr>
            <w:tcW w:w="2856" w:type="pct"/>
            <w:vAlign w:val="center"/>
          </w:tcPr>
          <w:p>
            <w:pPr>
              <w:pStyle w:val="63"/>
            </w:pPr>
            <w:r>
              <w:t>岩（土）层单层厚度Mb≥1.0m，渗透系数K≤10</w:t>
            </w:r>
            <w:r>
              <w:rPr>
                <w:vertAlign w:val="superscript"/>
              </w:rPr>
              <w:t>-7</w:t>
            </w:r>
            <w:r>
              <w:t>cm/s，且分布连续、稳定。</w:t>
            </w:r>
          </w:p>
        </w:tc>
        <w:tc>
          <w:tcPr>
            <w:tcW w:w="1105" w:type="pct"/>
            <w:vMerge w:val="restart"/>
            <w:vAlign w:val="center"/>
          </w:tcPr>
          <w:p>
            <w:pPr>
              <w:pStyle w:val="63"/>
            </w:pPr>
            <w:r>
              <w:t>查阅区域地下水文参数，Mb≥1.0m，1.0×10</w:t>
            </w:r>
            <w:r>
              <w:rPr>
                <w:vertAlign w:val="superscript"/>
              </w:rPr>
              <w:t>-6</w:t>
            </w:r>
            <w:r>
              <w:t>cm/s&lt;K≤1.0×10</w:t>
            </w:r>
            <w:r>
              <w:rPr>
                <w:vertAlign w:val="superscript"/>
              </w:rPr>
              <w:t>-4</w:t>
            </w:r>
            <w:r>
              <w:t>cm/s，且分布连</w:t>
            </w:r>
          </w:p>
          <w:p>
            <w:pPr>
              <w:pStyle w:val="63"/>
            </w:pPr>
            <w:r>
              <w:t>续、稳定</w:t>
            </w:r>
          </w:p>
        </w:tc>
        <w:tc>
          <w:tcPr>
            <w:tcW w:w="828" w:type="pct"/>
            <w:vMerge w:val="restart"/>
            <w:vAlign w:val="center"/>
          </w:tcPr>
          <w:p>
            <w:pPr>
              <w:pStyle w:val="63"/>
            </w:pPr>
            <w:r>
              <w:t>D2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1" w:type="pct"/>
            <w:vAlign w:val="center"/>
          </w:tcPr>
          <w:p>
            <w:pPr>
              <w:pStyle w:val="63"/>
            </w:pPr>
            <w:r>
              <w:t>D2</w:t>
            </w:r>
          </w:p>
        </w:tc>
        <w:tc>
          <w:tcPr>
            <w:tcW w:w="2856" w:type="pct"/>
            <w:vAlign w:val="center"/>
          </w:tcPr>
          <w:p>
            <w:pPr>
              <w:pStyle w:val="63"/>
            </w:pPr>
            <w:r>
              <w:t>岩（土）层单层厚度0.5m≤Mb&lt;1.0m，渗透系数K≤10</w:t>
            </w:r>
            <w:r>
              <w:rPr>
                <w:vertAlign w:val="superscript"/>
              </w:rPr>
              <w:t>-7</w:t>
            </w:r>
            <w:r>
              <w:t>cm/s，且分布连续、稳定。岩（土）层单层厚度Mb≥1.0m，渗透系数10</w:t>
            </w:r>
            <w:r>
              <w:rPr>
                <w:vertAlign w:val="superscript"/>
              </w:rPr>
              <w:t>-7</w:t>
            </w:r>
            <w:r>
              <w:t>cm/s&lt;K≤10</w:t>
            </w:r>
            <w:r>
              <w:rPr>
                <w:vertAlign w:val="superscript"/>
              </w:rPr>
              <w:t>-4</w:t>
            </w:r>
            <w:r>
              <w:t>cm/s，且分布连续、稳定。</w:t>
            </w:r>
          </w:p>
        </w:tc>
        <w:tc>
          <w:tcPr>
            <w:tcW w:w="1105" w:type="pct"/>
            <w:vMerge w:val="continue"/>
            <w:vAlign w:val="center"/>
          </w:tcPr>
          <w:p>
            <w:pPr>
              <w:pStyle w:val="63"/>
            </w:pPr>
          </w:p>
        </w:tc>
        <w:tc>
          <w:tcPr>
            <w:tcW w:w="828" w:type="pct"/>
            <w:vMerge w:val="continue"/>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1" w:type="pct"/>
            <w:vAlign w:val="center"/>
          </w:tcPr>
          <w:p>
            <w:pPr>
              <w:pStyle w:val="63"/>
            </w:pPr>
            <w:r>
              <w:t>D1</w:t>
            </w:r>
          </w:p>
        </w:tc>
        <w:tc>
          <w:tcPr>
            <w:tcW w:w="2856" w:type="pct"/>
            <w:vAlign w:val="center"/>
          </w:tcPr>
          <w:p>
            <w:pPr>
              <w:pStyle w:val="63"/>
            </w:pPr>
            <w:r>
              <w:t>岩（土）层不满足上述“强”和“中”条件。</w:t>
            </w:r>
          </w:p>
        </w:tc>
        <w:tc>
          <w:tcPr>
            <w:tcW w:w="1105" w:type="pct"/>
            <w:vMerge w:val="continue"/>
            <w:vAlign w:val="center"/>
          </w:tcPr>
          <w:p>
            <w:pPr>
              <w:pStyle w:val="63"/>
            </w:pPr>
          </w:p>
        </w:tc>
        <w:tc>
          <w:tcPr>
            <w:tcW w:w="828" w:type="pct"/>
            <w:vMerge w:val="continue"/>
            <w:vAlign w:val="center"/>
          </w:tcPr>
          <w:p>
            <w:pPr>
              <w:pStyle w:val="63"/>
            </w:pPr>
          </w:p>
        </w:tc>
      </w:tr>
    </w:tbl>
    <w:p>
      <w:pPr>
        <w:spacing w:line="360" w:lineRule="auto"/>
        <w:ind w:firstLine="480" w:firstLineChars="200"/>
        <w:rPr>
          <w:rFonts w:ascii="Times New Roman" w:hAnsi="Times New Roman" w:cs="Times New Roman"/>
        </w:rPr>
      </w:pPr>
      <w:r>
        <w:rPr>
          <w:rFonts w:ascii="Times New Roman" w:hAnsi="Times New Roman" w:cs="Times New Roman"/>
        </w:rPr>
        <w:t>由上表可知，项目包气带防污性能为D2。</w:t>
      </w:r>
    </w:p>
    <w:p>
      <w:pPr>
        <w:spacing w:line="360" w:lineRule="auto"/>
        <w:ind w:firstLine="480" w:firstLineChars="200"/>
        <w:rPr>
          <w:rFonts w:ascii="Times New Roman" w:hAnsi="Times New Roman" w:cs="Times New Roman"/>
        </w:rPr>
      </w:pPr>
      <w:r>
        <w:rPr>
          <w:rFonts w:ascii="Times New Roman" w:hAnsi="Times New Roman" w:cs="Times New Roman"/>
        </w:rPr>
        <w:t>根据地下水功能敏感性分级（G）和包气带防污性能（D）确定地下水环境敏感程度，具体见下表。</w:t>
      </w:r>
    </w:p>
    <w:p>
      <w:pPr>
        <w:pStyle w:val="6"/>
        <w:rPr>
          <w:rFonts w:ascii="Times New Roman" w:hAnsi="Times New Roman" w:cs="Times New Roman"/>
        </w:rPr>
      </w:pPr>
      <w:r>
        <w:rPr>
          <w:rFonts w:ascii="Times New Roman" w:hAnsi="Times New Roman" w:cs="Times New Roman"/>
        </w:rPr>
        <w:t>表7.3-11  地下水环境敏感程度等级判断</w:t>
      </w:r>
    </w:p>
    <w:tbl>
      <w:tblPr>
        <w:tblStyle w:val="35"/>
        <w:tblW w:w="0" w:type="auto"/>
        <w:tblInd w:w="115"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591"/>
        <w:gridCol w:w="1644"/>
        <w:gridCol w:w="1644"/>
        <w:gridCol w:w="164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591" w:type="dxa"/>
            <w:vMerge w:val="restart"/>
            <w:vAlign w:val="center"/>
          </w:tcPr>
          <w:p>
            <w:pPr>
              <w:pStyle w:val="63"/>
            </w:pPr>
            <w:r>
              <w:t>包气带防污性能</w:t>
            </w:r>
          </w:p>
        </w:tc>
        <w:tc>
          <w:tcPr>
            <w:tcW w:w="4933" w:type="dxa"/>
            <w:gridSpan w:val="3"/>
            <w:vAlign w:val="center"/>
          </w:tcPr>
          <w:p>
            <w:pPr>
              <w:pStyle w:val="63"/>
            </w:pPr>
            <w:r>
              <w:t>地下水功能敏感性分级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591" w:type="dxa"/>
            <w:vMerge w:val="continue"/>
            <w:vAlign w:val="center"/>
          </w:tcPr>
          <w:p>
            <w:pPr>
              <w:pStyle w:val="63"/>
            </w:pPr>
          </w:p>
        </w:tc>
        <w:tc>
          <w:tcPr>
            <w:tcW w:w="1644" w:type="dxa"/>
            <w:vAlign w:val="center"/>
          </w:tcPr>
          <w:p>
            <w:pPr>
              <w:pStyle w:val="63"/>
            </w:pPr>
            <w:r>
              <w:t>G1</w:t>
            </w:r>
          </w:p>
        </w:tc>
        <w:tc>
          <w:tcPr>
            <w:tcW w:w="1644" w:type="dxa"/>
            <w:vAlign w:val="center"/>
          </w:tcPr>
          <w:p>
            <w:pPr>
              <w:pStyle w:val="63"/>
            </w:pPr>
            <w:r>
              <w:t>G2</w:t>
            </w:r>
          </w:p>
        </w:tc>
        <w:tc>
          <w:tcPr>
            <w:tcW w:w="1645" w:type="dxa"/>
            <w:vAlign w:val="center"/>
          </w:tcPr>
          <w:p>
            <w:pPr>
              <w:pStyle w:val="63"/>
            </w:pPr>
            <w:r>
              <w:t>G3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591" w:type="dxa"/>
            <w:vAlign w:val="center"/>
          </w:tcPr>
          <w:p>
            <w:pPr>
              <w:pStyle w:val="63"/>
            </w:pPr>
            <w:r>
              <w:t>D1</w:t>
            </w:r>
          </w:p>
        </w:tc>
        <w:tc>
          <w:tcPr>
            <w:tcW w:w="1644" w:type="dxa"/>
            <w:vAlign w:val="center"/>
          </w:tcPr>
          <w:p>
            <w:pPr>
              <w:pStyle w:val="63"/>
            </w:pPr>
            <w:r>
              <w:t>E1</w:t>
            </w:r>
          </w:p>
        </w:tc>
        <w:tc>
          <w:tcPr>
            <w:tcW w:w="1644" w:type="dxa"/>
            <w:vAlign w:val="center"/>
          </w:tcPr>
          <w:p>
            <w:pPr>
              <w:pStyle w:val="63"/>
            </w:pPr>
            <w:r>
              <w:t>E1</w:t>
            </w:r>
          </w:p>
        </w:tc>
        <w:tc>
          <w:tcPr>
            <w:tcW w:w="1645" w:type="dxa"/>
            <w:vAlign w:val="center"/>
          </w:tcPr>
          <w:p>
            <w:pPr>
              <w:pStyle w:val="63"/>
            </w:pPr>
            <w:r>
              <w:t>E2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591" w:type="dxa"/>
            <w:vAlign w:val="center"/>
          </w:tcPr>
          <w:p>
            <w:pPr>
              <w:pStyle w:val="63"/>
            </w:pPr>
            <w:r>
              <w:t>D2</w:t>
            </w:r>
          </w:p>
        </w:tc>
        <w:tc>
          <w:tcPr>
            <w:tcW w:w="1644" w:type="dxa"/>
            <w:vAlign w:val="center"/>
          </w:tcPr>
          <w:p>
            <w:pPr>
              <w:pStyle w:val="63"/>
            </w:pPr>
            <w:r>
              <w:t>E1</w:t>
            </w:r>
          </w:p>
        </w:tc>
        <w:tc>
          <w:tcPr>
            <w:tcW w:w="1644" w:type="dxa"/>
            <w:vAlign w:val="center"/>
          </w:tcPr>
          <w:p>
            <w:pPr>
              <w:pStyle w:val="63"/>
            </w:pPr>
            <w:r>
              <w:t>E2</w:t>
            </w:r>
          </w:p>
        </w:tc>
        <w:tc>
          <w:tcPr>
            <w:tcW w:w="1645" w:type="dxa"/>
            <w:vAlign w:val="center"/>
          </w:tcPr>
          <w:p>
            <w:pPr>
              <w:pStyle w:val="63"/>
            </w:pPr>
            <w:r>
              <w:t>E3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591" w:type="dxa"/>
            <w:vAlign w:val="center"/>
          </w:tcPr>
          <w:p>
            <w:pPr>
              <w:pStyle w:val="63"/>
            </w:pPr>
            <w:r>
              <w:t>D3</w:t>
            </w:r>
          </w:p>
        </w:tc>
        <w:tc>
          <w:tcPr>
            <w:tcW w:w="1644" w:type="dxa"/>
            <w:vAlign w:val="center"/>
          </w:tcPr>
          <w:p>
            <w:pPr>
              <w:pStyle w:val="63"/>
            </w:pPr>
            <w:r>
              <w:t>E2</w:t>
            </w:r>
          </w:p>
        </w:tc>
        <w:tc>
          <w:tcPr>
            <w:tcW w:w="1644" w:type="dxa"/>
            <w:vAlign w:val="center"/>
          </w:tcPr>
          <w:p>
            <w:pPr>
              <w:pStyle w:val="63"/>
            </w:pPr>
            <w:r>
              <w:t>E3</w:t>
            </w:r>
          </w:p>
        </w:tc>
        <w:tc>
          <w:tcPr>
            <w:tcW w:w="1645" w:type="dxa"/>
            <w:vAlign w:val="center"/>
          </w:tcPr>
          <w:p>
            <w:pPr>
              <w:pStyle w:val="63"/>
            </w:pPr>
            <w:r>
              <w:t>E3</w:t>
            </w:r>
          </w:p>
        </w:tc>
      </w:tr>
    </w:tbl>
    <w:p>
      <w:pPr>
        <w:spacing w:line="360" w:lineRule="auto"/>
        <w:ind w:firstLine="480" w:firstLineChars="200"/>
        <w:rPr>
          <w:rFonts w:ascii="Times New Roman" w:hAnsi="Times New Roman" w:cs="Times New Roman"/>
        </w:rPr>
      </w:pPr>
      <w:r>
        <w:rPr>
          <w:rFonts w:ascii="Times New Roman" w:hAnsi="Times New Roman" w:cs="Times New Roman"/>
        </w:rPr>
        <w:t>项目地下水功能敏感性分级为不敏感G3，包气带防污性能为D2，则地下水环境敏感程度为E3。</w:t>
      </w:r>
    </w:p>
    <w:p>
      <w:pPr>
        <w:pStyle w:val="4"/>
        <w:rPr>
          <w:rFonts w:ascii="Times New Roman" w:hAnsi="Times New Roman" w:cs="Times New Roman"/>
          <w:u w:val="single"/>
        </w:rPr>
      </w:pPr>
      <w:bookmarkStart w:id="416" w:name="_Toc144276960"/>
      <w:bookmarkStart w:id="417" w:name="_Toc144236830"/>
      <w:bookmarkStart w:id="418" w:name="_Toc147848078"/>
      <w:r>
        <w:rPr>
          <w:rFonts w:ascii="Times New Roman" w:hAnsi="Times New Roman" w:cs="Times New Roman"/>
          <w:u w:val="single"/>
        </w:rPr>
        <w:t>7.3.2 建设项目环境风险潜势判断</w:t>
      </w:r>
      <w:bookmarkEnd w:id="416"/>
      <w:bookmarkEnd w:id="417"/>
      <w:bookmarkEnd w:id="418"/>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根据建设项目涉及的物质和工艺系统的危险性（P）及其所在地的环境敏感程度（E），按照表7.3-12确定环境风险潜势。建设项目环境风险潜势划分为：</w:t>
      </w:r>
      <w:r>
        <w:rPr>
          <w:rFonts w:hint="eastAsia" w:ascii="宋体" w:hAnsi="宋体" w:eastAsia="宋体" w:cs="宋体"/>
          <w:u w:val="single"/>
        </w:rPr>
        <w:t>Ⅰ</w:t>
      </w:r>
      <w:r>
        <w:rPr>
          <w:rFonts w:ascii="Times New Roman" w:hAnsi="Times New Roman" w:cs="Times New Roman"/>
          <w:u w:val="single"/>
        </w:rPr>
        <w:t>、</w:t>
      </w:r>
      <w:r>
        <w:rPr>
          <w:rFonts w:hint="eastAsia" w:ascii="宋体" w:hAnsi="宋体" w:eastAsia="宋体" w:cs="宋体"/>
          <w:u w:val="single"/>
        </w:rPr>
        <w:t>Ⅱ</w:t>
      </w:r>
      <w:r>
        <w:rPr>
          <w:rFonts w:ascii="Times New Roman" w:hAnsi="Times New Roman" w:cs="Times New Roman"/>
          <w:u w:val="single"/>
        </w:rPr>
        <w:t>、</w:t>
      </w:r>
      <w:r>
        <w:rPr>
          <w:rFonts w:hint="eastAsia" w:ascii="宋体" w:hAnsi="宋体" w:eastAsia="宋体" w:cs="宋体"/>
          <w:u w:val="single"/>
        </w:rPr>
        <w:t>Ⅲ</w:t>
      </w:r>
      <w:r>
        <w:rPr>
          <w:rFonts w:ascii="Times New Roman" w:hAnsi="Times New Roman" w:cs="Times New Roman"/>
          <w:u w:val="single"/>
        </w:rPr>
        <w:t>、</w:t>
      </w:r>
      <w:r>
        <w:rPr>
          <w:rFonts w:hint="eastAsia" w:ascii="宋体" w:hAnsi="宋体" w:eastAsia="宋体" w:cs="宋体"/>
          <w:u w:val="single"/>
        </w:rPr>
        <w:t>Ⅳ</w:t>
      </w:r>
      <w:r>
        <w:rPr>
          <w:rFonts w:ascii="Times New Roman" w:hAnsi="Times New Roman" w:cs="Times New Roman"/>
          <w:u w:val="single"/>
        </w:rPr>
        <w:t>/</w:t>
      </w:r>
      <w:r>
        <w:rPr>
          <w:rFonts w:hint="eastAsia" w:ascii="宋体" w:hAnsi="宋体" w:eastAsia="宋体" w:cs="宋体"/>
          <w:u w:val="single"/>
        </w:rPr>
        <w:t>Ⅳ</w:t>
      </w:r>
      <w:r>
        <w:rPr>
          <w:rFonts w:ascii="Times New Roman" w:hAnsi="Times New Roman" w:cs="Times New Roman"/>
          <w:u w:val="single"/>
        </w:rPr>
        <w:t>+级。</w:t>
      </w:r>
    </w:p>
    <w:p>
      <w:pPr>
        <w:pStyle w:val="6"/>
        <w:rPr>
          <w:rFonts w:ascii="Times New Roman" w:hAnsi="Times New Roman" w:cs="Times New Roman"/>
          <w:u w:val="single"/>
        </w:rPr>
      </w:pPr>
      <w:r>
        <w:rPr>
          <w:rFonts w:ascii="Times New Roman" w:hAnsi="Times New Roman" w:cs="Times New Roman"/>
          <w:u w:val="single"/>
        </w:rPr>
        <w:t>表7.3-12  环境风险潜势划分依据一览表</w:t>
      </w:r>
    </w:p>
    <w:tbl>
      <w:tblPr>
        <w:tblStyle w:val="35"/>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324"/>
        <w:gridCol w:w="1468"/>
        <w:gridCol w:w="1558"/>
        <w:gridCol w:w="1529"/>
        <w:gridCol w:w="146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93" w:type="pct"/>
            <w:vMerge w:val="restart"/>
            <w:vAlign w:val="center"/>
          </w:tcPr>
          <w:p>
            <w:pPr>
              <w:pStyle w:val="63"/>
              <w:rPr>
                <w:u w:val="single"/>
              </w:rPr>
            </w:pPr>
            <w:r>
              <w:rPr>
                <w:u w:val="single"/>
              </w:rPr>
              <w:t>环境敏感程度（E）</w:t>
            </w:r>
          </w:p>
        </w:tc>
        <w:tc>
          <w:tcPr>
            <w:tcW w:w="3607" w:type="pct"/>
            <w:gridSpan w:val="4"/>
            <w:vAlign w:val="center"/>
          </w:tcPr>
          <w:p>
            <w:pPr>
              <w:pStyle w:val="63"/>
              <w:rPr>
                <w:u w:val="single"/>
              </w:rPr>
            </w:pPr>
            <w:r>
              <w:rPr>
                <w:u w:val="single"/>
              </w:rPr>
              <w:t>危险物质及工艺系统危险性（P）</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93" w:type="pct"/>
            <w:vMerge w:val="continue"/>
            <w:vAlign w:val="center"/>
          </w:tcPr>
          <w:p>
            <w:pPr>
              <w:pStyle w:val="63"/>
              <w:rPr>
                <w:u w:val="single"/>
              </w:rPr>
            </w:pPr>
          </w:p>
        </w:tc>
        <w:tc>
          <w:tcPr>
            <w:tcW w:w="880" w:type="pct"/>
            <w:vAlign w:val="center"/>
          </w:tcPr>
          <w:p>
            <w:pPr>
              <w:pStyle w:val="63"/>
              <w:rPr>
                <w:u w:val="single"/>
              </w:rPr>
            </w:pPr>
            <w:r>
              <w:rPr>
                <w:u w:val="single"/>
              </w:rPr>
              <w:t>极高危害（P1）</w:t>
            </w:r>
          </w:p>
        </w:tc>
        <w:tc>
          <w:tcPr>
            <w:tcW w:w="934" w:type="pct"/>
            <w:vAlign w:val="center"/>
          </w:tcPr>
          <w:p>
            <w:pPr>
              <w:pStyle w:val="63"/>
              <w:rPr>
                <w:u w:val="single"/>
              </w:rPr>
            </w:pPr>
            <w:r>
              <w:rPr>
                <w:u w:val="single"/>
              </w:rPr>
              <w:t>高度危害（P2）</w:t>
            </w:r>
          </w:p>
        </w:tc>
        <w:tc>
          <w:tcPr>
            <w:tcW w:w="916" w:type="pct"/>
            <w:vAlign w:val="center"/>
          </w:tcPr>
          <w:p>
            <w:pPr>
              <w:pStyle w:val="63"/>
              <w:rPr>
                <w:u w:val="single"/>
              </w:rPr>
            </w:pPr>
            <w:r>
              <w:rPr>
                <w:u w:val="single"/>
              </w:rPr>
              <w:t>中度危害（P3）</w:t>
            </w:r>
          </w:p>
        </w:tc>
        <w:tc>
          <w:tcPr>
            <w:tcW w:w="878" w:type="pct"/>
            <w:vAlign w:val="center"/>
          </w:tcPr>
          <w:p>
            <w:pPr>
              <w:pStyle w:val="63"/>
              <w:rPr>
                <w:u w:val="single"/>
              </w:rPr>
            </w:pPr>
            <w:r>
              <w:rPr>
                <w:u w:val="single"/>
              </w:rPr>
              <w:t>轻度危害（P4）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93" w:type="pct"/>
            <w:vAlign w:val="center"/>
          </w:tcPr>
          <w:p>
            <w:pPr>
              <w:pStyle w:val="63"/>
              <w:rPr>
                <w:u w:val="single"/>
              </w:rPr>
            </w:pPr>
            <w:r>
              <w:rPr>
                <w:u w:val="single"/>
              </w:rPr>
              <w:t>环境高度敏感区（E1）</w:t>
            </w:r>
          </w:p>
        </w:tc>
        <w:tc>
          <w:tcPr>
            <w:tcW w:w="880" w:type="pct"/>
            <w:vAlign w:val="center"/>
          </w:tcPr>
          <w:p>
            <w:pPr>
              <w:pStyle w:val="63"/>
              <w:rPr>
                <w:u w:val="single"/>
              </w:rPr>
            </w:pPr>
            <w:r>
              <w:rPr>
                <w:u w:val="single"/>
              </w:rPr>
              <w:t>IV+</w:t>
            </w:r>
          </w:p>
        </w:tc>
        <w:tc>
          <w:tcPr>
            <w:tcW w:w="934" w:type="pct"/>
            <w:vAlign w:val="center"/>
          </w:tcPr>
          <w:p>
            <w:pPr>
              <w:pStyle w:val="63"/>
              <w:rPr>
                <w:u w:val="single"/>
              </w:rPr>
            </w:pPr>
            <w:r>
              <w:rPr>
                <w:u w:val="single"/>
              </w:rPr>
              <w:t>IV</w:t>
            </w:r>
          </w:p>
        </w:tc>
        <w:tc>
          <w:tcPr>
            <w:tcW w:w="916" w:type="pct"/>
            <w:vAlign w:val="center"/>
          </w:tcPr>
          <w:p>
            <w:pPr>
              <w:pStyle w:val="63"/>
              <w:rPr>
                <w:u w:val="single"/>
              </w:rPr>
            </w:pPr>
            <w:r>
              <w:rPr>
                <w:u w:val="single"/>
              </w:rPr>
              <w:t>III</w:t>
            </w:r>
          </w:p>
        </w:tc>
        <w:tc>
          <w:tcPr>
            <w:tcW w:w="878" w:type="pct"/>
            <w:vAlign w:val="center"/>
          </w:tcPr>
          <w:p>
            <w:pPr>
              <w:pStyle w:val="63"/>
              <w:rPr>
                <w:u w:val="single"/>
              </w:rPr>
            </w:pPr>
            <w:r>
              <w:rPr>
                <w:u w:val="single"/>
              </w:rPr>
              <w:t>III</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93" w:type="pct"/>
            <w:vAlign w:val="center"/>
          </w:tcPr>
          <w:p>
            <w:pPr>
              <w:pStyle w:val="63"/>
              <w:rPr>
                <w:u w:val="single"/>
              </w:rPr>
            </w:pPr>
            <w:r>
              <w:rPr>
                <w:u w:val="single"/>
              </w:rPr>
              <w:t>环境中度敏感区（E2）</w:t>
            </w:r>
          </w:p>
        </w:tc>
        <w:tc>
          <w:tcPr>
            <w:tcW w:w="880" w:type="pct"/>
            <w:vAlign w:val="center"/>
          </w:tcPr>
          <w:p>
            <w:pPr>
              <w:pStyle w:val="63"/>
              <w:rPr>
                <w:u w:val="single"/>
              </w:rPr>
            </w:pPr>
            <w:r>
              <w:rPr>
                <w:u w:val="single"/>
              </w:rPr>
              <w:t>IV</w:t>
            </w:r>
          </w:p>
        </w:tc>
        <w:tc>
          <w:tcPr>
            <w:tcW w:w="934" w:type="pct"/>
            <w:vAlign w:val="center"/>
          </w:tcPr>
          <w:p>
            <w:pPr>
              <w:pStyle w:val="63"/>
              <w:rPr>
                <w:u w:val="single"/>
              </w:rPr>
            </w:pPr>
            <w:r>
              <w:rPr>
                <w:u w:val="single"/>
              </w:rPr>
              <w:t>III</w:t>
            </w:r>
          </w:p>
        </w:tc>
        <w:tc>
          <w:tcPr>
            <w:tcW w:w="916" w:type="pct"/>
            <w:vAlign w:val="center"/>
          </w:tcPr>
          <w:p>
            <w:pPr>
              <w:pStyle w:val="63"/>
              <w:rPr>
                <w:u w:val="single"/>
              </w:rPr>
            </w:pPr>
            <w:r>
              <w:rPr>
                <w:u w:val="single"/>
              </w:rPr>
              <w:t>III</w:t>
            </w:r>
          </w:p>
        </w:tc>
        <w:tc>
          <w:tcPr>
            <w:tcW w:w="878" w:type="pct"/>
            <w:vAlign w:val="center"/>
          </w:tcPr>
          <w:p>
            <w:pPr>
              <w:pStyle w:val="63"/>
              <w:rPr>
                <w:u w:val="single"/>
              </w:rPr>
            </w:pPr>
            <w:r>
              <w:rPr>
                <w:u w:val="single"/>
              </w:rPr>
              <w:t>II</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93" w:type="pct"/>
            <w:vAlign w:val="center"/>
          </w:tcPr>
          <w:p>
            <w:pPr>
              <w:pStyle w:val="63"/>
              <w:rPr>
                <w:u w:val="single"/>
              </w:rPr>
            </w:pPr>
            <w:r>
              <w:rPr>
                <w:u w:val="single"/>
              </w:rPr>
              <w:t>环境低度敏感区（E3）</w:t>
            </w:r>
          </w:p>
        </w:tc>
        <w:tc>
          <w:tcPr>
            <w:tcW w:w="880" w:type="pct"/>
            <w:vAlign w:val="center"/>
          </w:tcPr>
          <w:p>
            <w:pPr>
              <w:pStyle w:val="63"/>
              <w:rPr>
                <w:u w:val="single"/>
              </w:rPr>
            </w:pPr>
            <w:r>
              <w:rPr>
                <w:u w:val="single"/>
              </w:rPr>
              <w:t>III</w:t>
            </w:r>
          </w:p>
        </w:tc>
        <w:tc>
          <w:tcPr>
            <w:tcW w:w="934" w:type="pct"/>
            <w:vAlign w:val="center"/>
          </w:tcPr>
          <w:p>
            <w:pPr>
              <w:pStyle w:val="63"/>
              <w:rPr>
                <w:u w:val="single"/>
              </w:rPr>
            </w:pPr>
            <w:r>
              <w:rPr>
                <w:u w:val="single"/>
              </w:rPr>
              <w:t>III</w:t>
            </w:r>
          </w:p>
        </w:tc>
        <w:tc>
          <w:tcPr>
            <w:tcW w:w="916" w:type="pct"/>
            <w:vAlign w:val="center"/>
          </w:tcPr>
          <w:p>
            <w:pPr>
              <w:pStyle w:val="63"/>
              <w:rPr>
                <w:u w:val="single"/>
              </w:rPr>
            </w:pPr>
            <w:r>
              <w:rPr>
                <w:u w:val="single"/>
              </w:rPr>
              <w:t>II</w:t>
            </w:r>
          </w:p>
        </w:tc>
        <w:tc>
          <w:tcPr>
            <w:tcW w:w="878" w:type="pct"/>
            <w:vAlign w:val="center"/>
          </w:tcPr>
          <w:p>
            <w:pPr>
              <w:pStyle w:val="63"/>
              <w:rPr>
                <w:u w:val="single"/>
              </w:rPr>
            </w:pPr>
            <w:r>
              <w:rPr>
                <w:u w:val="single"/>
              </w:rPr>
              <w:t>I</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00" w:type="pct"/>
            <w:gridSpan w:val="5"/>
            <w:vAlign w:val="center"/>
          </w:tcPr>
          <w:p>
            <w:pPr>
              <w:pStyle w:val="63"/>
              <w:rPr>
                <w:u w:val="single"/>
              </w:rPr>
            </w:pPr>
            <w:r>
              <w:rPr>
                <w:u w:val="single"/>
              </w:rPr>
              <w:t>注：</w:t>
            </w:r>
            <w:r>
              <w:rPr>
                <w:rFonts w:hint="eastAsia" w:ascii="宋体" w:hAnsi="宋体" w:eastAsia="宋体" w:cs="宋体"/>
                <w:u w:val="single"/>
              </w:rPr>
              <w:t>Ⅳ</w:t>
            </w:r>
            <w:r>
              <w:rPr>
                <w:u w:val="single"/>
              </w:rPr>
              <w:t>+为极高环境风险</w:t>
            </w:r>
          </w:p>
        </w:tc>
      </w:tr>
    </w:tbl>
    <w:p>
      <w:pPr>
        <w:spacing w:line="360" w:lineRule="auto"/>
        <w:ind w:firstLine="480" w:firstLineChars="200"/>
        <w:rPr>
          <w:rFonts w:ascii="Times New Roman" w:hAnsi="Times New Roman" w:cs="Times New Roman"/>
          <w:u w:val="single"/>
        </w:rPr>
      </w:pPr>
      <w:r>
        <w:rPr>
          <w:rFonts w:ascii="Times New Roman" w:hAnsi="Times New Roman" w:cs="Times New Roman"/>
          <w:u w:val="single"/>
        </w:rPr>
        <w:t>项目危险物质及工艺系统危险性为P</w:t>
      </w:r>
      <w:r>
        <w:rPr>
          <w:rFonts w:hint="eastAsia" w:ascii="Times New Roman" w:hAnsi="Times New Roman" w:cs="Times New Roman"/>
          <w:u w:val="single"/>
        </w:rPr>
        <w:t>1</w:t>
      </w:r>
      <w:r>
        <w:rPr>
          <w:rFonts w:ascii="Times New Roman" w:hAnsi="Times New Roman" w:cs="Times New Roman"/>
          <w:u w:val="single"/>
        </w:rPr>
        <w:t>，环境空气敏感程度为E1，地表水敏感程度为E2，地下水敏感程度为E3。</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因此本项目环境空气环境风险潜势为</w:t>
      </w:r>
      <w:r>
        <w:rPr>
          <w:u w:val="single"/>
        </w:rPr>
        <w:t>IV+</w:t>
      </w:r>
      <w:r>
        <w:rPr>
          <w:rFonts w:ascii="Times New Roman" w:hAnsi="Times New Roman" w:cs="Times New Roman"/>
          <w:u w:val="single"/>
        </w:rPr>
        <w:t>，地表水环境风险潜势为</w:t>
      </w:r>
      <w:r>
        <w:rPr>
          <w:u w:val="single"/>
        </w:rPr>
        <w:t>IV</w:t>
      </w:r>
      <w:r>
        <w:rPr>
          <w:rFonts w:hint="eastAsia"/>
          <w:u w:val="single"/>
        </w:rPr>
        <w:t>，</w:t>
      </w:r>
      <w:r>
        <w:rPr>
          <w:rFonts w:ascii="Times New Roman" w:hAnsi="Times New Roman" w:cs="Times New Roman"/>
          <w:u w:val="single"/>
        </w:rPr>
        <w:t>地下水环境风险潜势为III。根据导则要求，建设项目环境风险潜势综合等级取各要素等级的相对高值，即项目环境风险潜势综合等级为</w:t>
      </w:r>
      <w:r>
        <w:rPr>
          <w:u w:val="single"/>
        </w:rPr>
        <w:t>IV+</w:t>
      </w:r>
      <w:r>
        <w:rPr>
          <w:rFonts w:ascii="Times New Roman" w:hAnsi="Times New Roman" w:cs="Times New Roman"/>
          <w:u w:val="single"/>
        </w:rPr>
        <w:t>。</w:t>
      </w:r>
    </w:p>
    <w:p>
      <w:pPr>
        <w:pStyle w:val="6"/>
        <w:rPr>
          <w:rFonts w:ascii="Times New Roman" w:hAnsi="Times New Roman" w:cs="Times New Roman"/>
          <w:u w:val="single"/>
        </w:rPr>
      </w:pPr>
      <w:r>
        <w:rPr>
          <w:rFonts w:ascii="Times New Roman" w:hAnsi="Times New Roman" w:cs="Times New Roman"/>
          <w:u w:val="single"/>
        </w:rPr>
        <w:t>表7.3-13  各环境要素环境风险潜势</w:t>
      </w:r>
    </w:p>
    <w:tbl>
      <w:tblPr>
        <w:tblStyle w:val="3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3261"/>
        <w:gridCol w:w="2409"/>
        <w:gridCol w:w="16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2" w:type="dxa"/>
            <w:shd w:val="clear" w:color="auto" w:fill="auto"/>
            <w:vAlign w:val="center"/>
          </w:tcPr>
          <w:p>
            <w:pPr>
              <w:pStyle w:val="63"/>
              <w:rPr>
                <w:u w:val="single"/>
              </w:rPr>
            </w:pPr>
            <w:r>
              <w:rPr>
                <w:u w:val="single"/>
              </w:rPr>
              <w:t>环境要素</w:t>
            </w:r>
          </w:p>
        </w:tc>
        <w:tc>
          <w:tcPr>
            <w:tcW w:w="3261" w:type="dxa"/>
            <w:shd w:val="clear" w:color="auto" w:fill="auto"/>
            <w:vAlign w:val="center"/>
          </w:tcPr>
          <w:p>
            <w:pPr>
              <w:pStyle w:val="63"/>
              <w:rPr>
                <w:u w:val="single"/>
              </w:rPr>
            </w:pPr>
            <w:r>
              <w:rPr>
                <w:u w:val="single"/>
              </w:rPr>
              <w:t>危险物质及工艺系统危险性（P）</w:t>
            </w:r>
          </w:p>
        </w:tc>
        <w:tc>
          <w:tcPr>
            <w:tcW w:w="2409" w:type="dxa"/>
            <w:shd w:val="clear" w:color="auto" w:fill="auto"/>
            <w:vAlign w:val="center"/>
          </w:tcPr>
          <w:p>
            <w:pPr>
              <w:pStyle w:val="63"/>
              <w:rPr>
                <w:u w:val="single"/>
              </w:rPr>
            </w:pPr>
            <w:r>
              <w:rPr>
                <w:u w:val="single"/>
              </w:rPr>
              <w:t>环境敏感程度（E）</w:t>
            </w:r>
          </w:p>
        </w:tc>
        <w:tc>
          <w:tcPr>
            <w:tcW w:w="1617" w:type="dxa"/>
            <w:shd w:val="clear" w:color="auto" w:fill="auto"/>
            <w:vAlign w:val="center"/>
          </w:tcPr>
          <w:p>
            <w:pPr>
              <w:pStyle w:val="63"/>
              <w:rPr>
                <w:u w:val="single"/>
              </w:rPr>
            </w:pPr>
            <w:r>
              <w:rPr>
                <w:u w:val="single"/>
              </w:rPr>
              <w:t>环境风险潜势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2" w:type="dxa"/>
            <w:shd w:val="clear" w:color="auto" w:fill="auto"/>
            <w:vAlign w:val="center"/>
          </w:tcPr>
          <w:p>
            <w:pPr>
              <w:pStyle w:val="63"/>
              <w:rPr>
                <w:u w:val="single"/>
              </w:rPr>
            </w:pPr>
            <w:r>
              <w:rPr>
                <w:u w:val="single"/>
              </w:rPr>
              <w:t>大气</w:t>
            </w:r>
          </w:p>
        </w:tc>
        <w:tc>
          <w:tcPr>
            <w:tcW w:w="3261" w:type="dxa"/>
            <w:vMerge w:val="restart"/>
            <w:shd w:val="clear" w:color="auto" w:fill="auto"/>
            <w:vAlign w:val="center"/>
          </w:tcPr>
          <w:p>
            <w:pPr>
              <w:pStyle w:val="63"/>
              <w:rPr>
                <w:u w:val="single"/>
              </w:rPr>
            </w:pPr>
            <w:r>
              <w:rPr>
                <w:u w:val="single"/>
              </w:rPr>
              <w:t>P</w:t>
            </w:r>
            <w:r>
              <w:rPr>
                <w:rFonts w:hint="eastAsia"/>
                <w:u w:val="single"/>
              </w:rPr>
              <w:t>1</w:t>
            </w:r>
          </w:p>
        </w:tc>
        <w:tc>
          <w:tcPr>
            <w:tcW w:w="2409" w:type="dxa"/>
            <w:shd w:val="clear" w:color="auto" w:fill="auto"/>
            <w:vAlign w:val="center"/>
          </w:tcPr>
          <w:p>
            <w:pPr>
              <w:pStyle w:val="63"/>
              <w:rPr>
                <w:u w:val="single"/>
              </w:rPr>
            </w:pPr>
            <w:r>
              <w:rPr>
                <w:u w:val="single"/>
              </w:rPr>
              <w:t>E1</w:t>
            </w:r>
          </w:p>
        </w:tc>
        <w:tc>
          <w:tcPr>
            <w:tcW w:w="1617" w:type="dxa"/>
            <w:shd w:val="clear" w:color="auto" w:fill="auto"/>
            <w:vAlign w:val="center"/>
          </w:tcPr>
          <w:p>
            <w:pPr>
              <w:pStyle w:val="63"/>
              <w:rPr>
                <w:u w:val="single"/>
              </w:rPr>
            </w:pPr>
            <w:r>
              <w:rPr>
                <w:u w:val="single"/>
              </w:rPr>
              <w:t>IV+</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2" w:type="dxa"/>
            <w:shd w:val="clear" w:color="auto" w:fill="auto"/>
            <w:vAlign w:val="center"/>
          </w:tcPr>
          <w:p>
            <w:pPr>
              <w:pStyle w:val="63"/>
              <w:rPr>
                <w:u w:val="single"/>
              </w:rPr>
            </w:pPr>
            <w:r>
              <w:rPr>
                <w:u w:val="single"/>
              </w:rPr>
              <w:t>地表水</w:t>
            </w:r>
          </w:p>
        </w:tc>
        <w:tc>
          <w:tcPr>
            <w:tcW w:w="3261" w:type="dxa"/>
            <w:vMerge w:val="continue"/>
            <w:shd w:val="clear" w:color="auto" w:fill="auto"/>
            <w:vAlign w:val="center"/>
          </w:tcPr>
          <w:p>
            <w:pPr>
              <w:pStyle w:val="63"/>
              <w:rPr>
                <w:u w:val="single"/>
              </w:rPr>
            </w:pPr>
          </w:p>
        </w:tc>
        <w:tc>
          <w:tcPr>
            <w:tcW w:w="2409" w:type="dxa"/>
            <w:shd w:val="clear" w:color="auto" w:fill="auto"/>
            <w:vAlign w:val="center"/>
          </w:tcPr>
          <w:p>
            <w:pPr>
              <w:pStyle w:val="63"/>
              <w:rPr>
                <w:u w:val="single"/>
              </w:rPr>
            </w:pPr>
            <w:r>
              <w:rPr>
                <w:u w:val="single"/>
              </w:rPr>
              <w:t>E2</w:t>
            </w:r>
          </w:p>
        </w:tc>
        <w:tc>
          <w:tcPr>
            <w:tcW w:w="1617" w:type="dxa"/>
            <w:shd w:val="clear" w:color="auto" w:fill="auto"/>
            <w:vAlign w:val="center"/>
          </w:tcPr>
          <w:p>
            <w:pPr>
              <w:pStyle w:val="63"/>
              <w:rPr>
                <w:u w:val="single"/>
              </w:rPr>
            </w:pPr>
            <w:r>
              <w:rPr>
                <w:u w:val="single"/>
              </w:rPr>
              <w:t>IV</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2" w:type="dxa"/>
            <w:shd w:val="clear" w:color="auto" w:fill="auto"/>
            <w:vAlign w:val="center"/>
          </w:tcPr>
          <w:p>
            <w:pPr>
              <w:pStyle w:val="63"/>
              <w:rPr>
                <w:u w:val="single"/>
              </w:rPr>
            </w:pPr>
            <w:r>
              <w:rPr>
                <w:u w:val="single"/>
              </w:rPr>
              <w:t>地下水</w:t>
            </w:r>
          </w:p>
        </w:tc>
        <w:tc>
          <w:tcPr>
            <w:tcW w:w="3261" w:type="dxa"/>
            <w:vMerge w:val="continue"/>
            <w:shd w:val="clear" w:color="auto" w:fill="auto"/>
            <w:vAlign w:val="center"/>
          </w:tcPr>
          <w:p>
            <w:pPr>
              <w:pStyle w:val="63"/>
              <w:rPr>
                <w:u w:val="single"/>
              </w:rPr>
            </w:pPr>
          </w:p>
        </w:tc>
        <w:tc>
          <w:tcPr>
            <w:tcW w:w="2409" w:type="dxa"/>
            <w:shd w:val="clear" w:color="auto" w:fill="auto"/>
            <w:vAlign w:val="center"/>
          </w:tcPr>
          <w:p>
            <w:pPr>
              <w:pStyle w:val="63"/>
              <w:rPr>
                <w:u w:val="single"/>
              </w:rPr>
            </w:pPr>
            <w:r>
              <w:rPr>
                <w:u w:val="single"/>
              </w:rPr>
              <w:t>E3</w:t>
            </w:r>
          </w:p>
        </w:tc>
        <w:tc>
          <w:tcPr>
            <w:tcW w:w="1617" w:type="dxa"/>
            <w:shd w:val="clear" w:color="auto" w:fill="auto"/>
            <w:vAlign w:val="center"/>
          </w:tcPr>
          <w:p>
            <w:pPr>
              <w:pStyle w:val="63"/>
              <w:rPr>
                <w:u w:val="single"/>
              </w:rPr>
            </w:pPr>
            <w:r>
              <w:rPr>
                <w:u w:val="single"/>
              </w:rPr>
              <w:t>III</w:t>
            </w:r>
          </w:p>
        </w:tc>
      </w:tr>
    </w:tbl>
    <w:p>
      <w:pPr>
        <w:pStyle w:val="4"/>
        <w:rPr>
          <w:rFonts w:ascii="Times New Roman" w:hAnsi="Times New Roman" w:cs="Times New Roman"/>
          <w:u w:val="single"/>
        </w:rPr>
      </w:pPr>
      <w:bookmarkStart w:id="419" w:name="_Toc147848079"/>
      <w:bookmarkStart w:id="420" w:name="_Toc144236831"/>
      <w:bookmarkStart w:id="421" w:name="_Toc144276961"/>
      <w:r>
        <w:rPr>
          <w:rFonts w:ascii="Times New Roman" w:hAnsi="Times New Roman" w:cs="Times New Roman"/>
          <w:u w:val="single"/>
        </w:rPr>
        <w:t>7.3.3 环境风险评价工作等级确定</w:t>
      </w:r>
      <w:bookmarkEnd w:id="419"/>
      <w:bookmarkEnd w:id="420"/>
      <w:bookmarkEnd w:id="421"/>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具体确定评价等级划分表见下表。</w:t>
      </w:r>
    </w:p>
    <w:p>
      <w:pPr>
        <w:pStyle w:val="6"/>
        <w:rPr>
          <w:rFonts w:ascii="Times New Roman" w:hAnsi="Times New Roman" w:cs="Times New Roman"/>
          <w:u w:val="single"/>
        </w:rPr>
      </w:pPr>
      <w:r>
        <w:rPr>
          <w:rFonts w:ascii="Times New Roman" w:hAnsi="Times New Roman" w:cs="Times New Roman"/>
          <w:u w:val="single"/>
        </w:rPr>
        <w:t>表7.3-14  风险评价等级划分表</w:t>
      </w:r>
    </w:p>
    <w:tbl>
      <w:tblPr>
        <w:tblStyle w:val="35"/>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2785"/>
        <w:gridCol w:w="1745"/>
        <w:gridCol w:w="801"/>
        <w:gridCol w:w="804"/>
        <w:gridCol w:w="220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669" w:type="pct"/>
            <w:vAlign w:val="center"/>
          </w:tcPr>
          <w:p>
            <w:pPr>
              <w:pStyle w:val="63"/>
              <w:rPr>
                <w:u w:val="single"/>
              </w:rPr>
            </w:pPr>
            <w:r>
              <w:rPr>
                <w:u w:val="single"/>
              </w:rPr>
              <w:t>环境风险潜势</w:t>
            </w:r>
          </w:p>
        </w:tc>
        <w:tc>
          <w:tcPr>
            <w:tcW w:w="1046" w:type="pct"/>
            <w:vAlign w:val="center"/>
          </w:tcPr>
          <w:p>
            <w:pPr>
              <w:pStyle w:val="63"/>
              <w:rPr>
                <w:u w:val="single"/>
              </w:rPr>
            </w:pPr>
            <w:r>
              <w:rPr>
                <w:rFonts w:hint="eastAsia" w:ascii="宋体" w:hAnsi="宋体" w:eastAsia="宋体" w:cs="宋体"/>
                <w:u w:val="single"/>
              </w:rPr>
              <w:t>Ⅳ</w:t>
            </w:r>
            <w:r>
              <w:rPr>
                <w:u w:val="single"/>
              </w:rPr>
              <w:t>、</w:t>
            </w:r>
            <w:r>
              <w:rPr>
                <w:rFonts w:hint="eastAsia" w:ascii="宋体" w:hAnsi="宋体" w:eastAsia="宋体" w:cs="宋体"/>
                <w:u w:val="single"/>
              </w:rPr>
              <w:t>Ⅳ</w:t>
            </w:r>
            <w:r>
              <w:rPr>
                <w:u w:val="single"/>
              </w:rPr>
              <w:t>+</w:t>
            </w:r>
          </w:p>
        </w:tc>
        <w:tc>
          <w:tcPr>
            <w:tcW w:w="480" w:type="pct"/>
            <w:vAlign w:val="center"/>
          </w:tcPr>
          <w:p>
            <w:pPr>
              <w:pStyle w:val="63"/>
              <w:rPr>
                <w:u w:val="single"/>
              </w:rPr>
            </w:pPr>
            <w:r>
              <w:rPr>
                <w:rFonts w:hint="eastAsia" w:ascii="宋体" w:hAnsi="宋体" w:eastAsia="宋体" w:cs="宋体"/>
                <w:u w:val="single"/>
              </w:rPr>
              <w:t>Ⅲ</w:t>
            </w:r>
          </w:p>
        </w:tc>
        <w:tc>
          <w:tcPr>
            <w:tcW w:w="482" w:type="pct"/>
            <w:vAlign w:val="center"/>
          </w:tcPr>
          <w:p>
            <w:pPr>
              <w:pStyle w:val="63"/>
              <w:rPr>
                <w:u w:val="single"/>
              </w:rPr>
            </w:pPr>
            <w:r>
              <w:rPr>
                <w:rFonts w:hint="eastAsia" w:ascii="宋体" w:hAnsi="宋体" w:eastAsia="宋体" w:cs="宋体"/>
                <w:u w:val="single"/>
              </w:rPr>
              <w:t>Ⅱ</w:t>
            </w:r>
          </w:p>
        </w:tc>
        <w:tc>
          <w:tcPr>
            <w:tcW w:w="1323" w:type="pct"/>
            <w:vAlign w:val="center"/>
          </w:tcPr>
          <w:p>
            <w:pPr>
              <w:pStyle w:val="63"/>
              <w:rPr>
                <w:u w:val="single"/>
              </w:rPr>
            </w:pPr>
            <w:r>
              <w:rPr>
                <w:rFonts w:hint="eastAsia" w:ascii="宋体" w:hAnsi="宋体" w:eastAsia="宋体" w:cs="宋体"/>
                <w:u w:val="single"/>
              </w:rPr>
              <w:t>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669" w:type="pct"/>
            <w:vAlign w:val="center"/>
          </w:tcPr>
          <w:p>
            <w:pPr>
              <w:pStyle w:val="63"/>
              <w:rPr>
                <w:u w:val="single"/>
              </w:rPr>
            </w:pPr>
            <w:r>
              <w:rPr>
                <w:u w:val="single"/>
              </w:rPr>
              <w:t>评价工作等级</w:t>
            </w:r>
          </w:p>
        </w:tc>
        <w:tc>
          <w:tcPr>
            <w:tcW w:w="1046" w:type="pct"/>
            <w:vAlign w:val="center"/>
          </w:tcPr>
          <w:p>
            <w:pPr>
              <w:pStyle w:val="63"/>
              <w:rPr>
                <w:u w:val="single"/>
              </w:rPr>
            </w:pPr>
            <w:r>
              <w:rPr>
                <w:u w:val="single"/>
              </w:rPr>
              <w:t>一</w:t>
            </w:r>
          </w:p>
        </w:tc>
        <w:tc>
          <w:tcPr>
            <w:tcW w:w="480" w:type="pct"/>
            <w:vAlign w:val="center"/>
          </w:tcPr>
          <w:p>
            <w:pPr>
              <w:pStyle w:val="63"/>
              <w:rPr>
                <w:u w:val="single"/>
              </w:rPr>
            </w:pPr>
            <w:r>
              <w:rPr>
                <w:u w:val="single"/>
              </w:rPr>
              <w:t>二</w:t>
            </w:r>
          </w:p>
        </w:tc>
        <w:tc>
          <w:tcPr>
            <w:tcW w:w="482" w:type="pct"/>
            <w:vAlign w:val="center"/>
          </w:tcPr>
          <w:p>
            <w:pPr>
              <w:pStyle w:val="63"/>
              <w:rPr>
                <w:u w:val="single"/>
              </w:rPr>
            </w:pPr>
            <w:r>
              <w:rPr>
                <w:u w:val="single"/>
              </w:rPr>
              <w:t>三</w:t>
            </w:r>
          </w:p>
        </w:tc>
        <w:tc>
          <w:tcPr>
            <w:tcW w:w="1323" w:type="pct"/>
            <w:vAlign w:val="center"/>
          </w:tcPr>
          <w:p>
            <w:pPr>
              <w:pStyle w:val="63"/>
              <w:rPr>
                <w:u w:val="single"/>
              </w:rPr>
            </w:pPr>
            <w:r>
              <w:rPr>
                <w:u w:val="single"/>
              </w:rPr>
              <w:t>简单分析a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5"/>
            <w:vAlign w:val="center"/>
          </w:tcPr>
          <w:p>
            <w:pPr>
              <w:pStyle w:val="63"/>
              <w:rPr>
                <w:u w:val="single"/>
              </w:rPr>
            </w:pPr>
            <w:r>
              <w:rPr>
                <w:u w:val="single"/>
              </w:rPr>
              <w:t>a是相对于详细评价工作内容而言，在描述危险物质、环境影响途径、环境危害后果、风险防范措施等方面给出定性的说明。见附录A。</w:t>
            </w:r>
          </w:p>
        </w:tc>
      </w:tr>
    </w:tbl>
    <w:p>
      <w:pPr>
        <w:adjustRightInd/>
        <w:snapToGrid/>
        <w:spacing w:line="360" w:lineRule="auto"/>
        <w:ind w:firstLine="480" w:firstLineChars="200"/>
        <w:rPr>
          <w:rFonts w:ascii="Times New Roman" w:hAnsi="Times New Roman" w:cs="Times New Roman"/>
          <w:u w:val="single"/>
        </w:rPr>
      </w:pPr>
      <w:r>
        <w:rPr>
          <w:rFonts w:ascii="Times New Roman" w:hAnsi="Times New Roman" w:cs="Times New Roman"/>
          <w:u w:val="single"/>
        </w:rPr>
        <w:t>根据环境风险潜势分析可知，项目环境空气环境风险潜势为</w:t>
      </w:r>
      <w:r>
        <w:rPr>
          <w:u w:val="single"/>
        </w:rPr>
        <w:t>IV+</w:t>
      </w:r>
      <w:r>
        <w:rPr>
          <w:rFonts w:ascii="Times New Roman" w:hAnsi="Times New Roman" w:cs="Times New Roman"/>
          <w:u w:val="single"/>
        </w:rPr>
        <w:t>，地表水环境风险潜势为</w:t>
      </w:r>
      <w:r>
        <w:rPr>
          <w:u w:val="single"/>
        </w:rPr>
        <w:t>IV</w:t>
      </w:r>
      <w:r>
        <w:rPr>
          <w:rFonts w:ascii="Times New Roman" w:hAnsi="Times New Roman" w:cs="Times New Roman"/>
          <w:u w:val="single"/>
        </w:rPr>
        <w:t>，地下水环境风险潜势为III。各环境要素的评价工作等级见下表。</w:t>
      </w:r>
    </w:p>
    <w:p>
      <w:pPr>
        <w:pStyle w:val="6"/>
        <w:rPr>
          <w:rFonts w:ascii="Times New Roman" w:hAnsi="Times New Roman" w:cs="Times New Roman"/>
          <w:u w:val="single"/>
        </w:rPr>
      </w:pPr>
      <w:r>
        <w:rPr>
          <w:rFonts w:ascii="Times New Roman" w:hAnsi="Times New Roman" w:cs="Times New Roman"/>
          <w:u w:val="single"/>
        </w:rPr>
        <w:t>表7.3-15  各环境要素的评价工作等级</w:t>
      </w:r>
    </w:p>
    <w:tbl>
      <w:tblPr>
        <w:tblStyle w:val="35"/>
        <w:tblW w:w="907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025"/>
        <w:gridCol w:w="3025"/>
        <w:gridCol w:w="30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5" w:type="dxa"/>
            <w:tcBorders>
              <w:top w:val="single" w:color="auto" w:sz="12" w:space="0"/>
              <w:left w:val="single" w:color="auto" w:sz="12" w:space="0"/>
              <w:bottom w:val="single" w:color="auto" w:sz="4" w:space="0"/>
              <w:right w:val="single" w:color="auto" w:sz="4" w:space="0"/>
            </w:tcBorders>
            <w:vAlign w:val="center"/>
          </w:tcPr>
          <w:p>
            <w:pPr>
              <w:pStyle w:val="63"/>
              <w:rPr>
                <w:szCs w:val="24"/>
                <w:u w:val="single"/>
              </w:rPr>
            </w:pPr>
            <w:r>
              <w:rPr>
                <w:u w:val="single"/>
              </w:rPr>
              <w:t>类型</w:t>
            </w:r>
          </w:p>
        </w:tc>
        <w:tc>
          <w:tcPr>
            <w:tcW w:w="3025" w:type="dxa"/>
            <w:tcBorders>
              <w:top w:val="single" w:color="auto" w:sz="12" w:space="0"/>
              <w:left w:val="single" w:color="auto" w:sz="4" w:space="0"/>
              <w:bottom w:val="single" w:color="auto" w:sz="4" w:space="0"/>
              <w:right w:val="single" w:color="auto" w:sz="4" w:space="0"/>
            </w:tcBorders>
            <w:vAlign w:val="center"/>
          </w:tcPr>
          <w:p>
            <w:pPr>
              <w:pStyle w:val="63"/>
              <w:rPr>
                <w:szCs w:val="24"/>
                <w:u w:val="single"/>
              </w:rPr>
            </w:pPr>
            <w:r>
              <w:rPr>
                <w:u w:val="single"/>
              </w:rPr>
              <w:t>环境风险潜势</w:t>
            </w:r>
          </w:p>
        </w:tc>
        <w:tc>
          <w:tcPr>
            <w:tcW w:w="3025" w:type="dxa"/>
            <w:tcBorders>
              <w:top w:val="single" w:color="auto" w:sz="12" w:space="0"/>
              <w:left w:val="single" w:color="auto" w:sz="4" w:space="0"/>
              <w:bottom w:val="single" w:color="auto" w:sz="4" w:space="0"/>
              <w:right w:val="single" w:color="auto" w:sz="12" w:space="0"/>
            </w:tcBorders>
            <w:vAlign w:val="center"/>
          </w:tcPr>
          <w:p>
            <w:pPr>
              <w:pStyle w:val="63"/>
              <w:rPr>
                <w:szCs w:val="24"/>
                <w:u w:val="single"/>
              </w:rPr>
            </w:pPr>
            <w:r>
              <w:rPr>
                <w:u w:val="single"/>
              </w:rPr>
              <w:t>评价工作等级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5" w:type="dxa"/>
            <w:tcBorders>
              <w:top w:val="single" w:color="auto" w:sz="4" w:space="0"/>
              <w:left w:val="single" w:color="auto" w:sz="12" w:space="0"/>
              <w:bottom w:val="single" w:color="auto" w:sz="4" w:space="0"/>
              <w:right w:val="single" w:color="auto" w:sz="4" w:space="0"/>
            </w:tcBorders>
            <w:vAlign w:val="center"/>
          </w:tcPr>
          <w:p>
            <w:pPr>
              <w:pStyle w:val="63"/>
              <w:rPr>
                <w:szCs w:val="24"/>
                <w:u w:val="single"/>
              </w:rPr>
            </w:pPr>
            <w:r>
              <w:rPr>
                <w:u w:val="single"/>
              </w:rPr>
              <w:t>大气环境</w:t>
            </w:r>
          </w:p>
        </w:tc>
        <w:tc>
          <w:tcPr>
            <w:tcW w:w="3025" w:type="dxa"/>
            <w:tcBorders>
              <w:top w:val="single" w:color="auto" w:sz="4" w:space="0"/>
              <w:left w:val="single" w:color="auto" w:sz="4" w:space="0"/>
              <w:bottom w:val="single" w:color="auto" w:sz="4" w:space="0"/>
              <w:right w:val="single" w:color="auto" w:sz="4" w:space="0"/>
            </w:tcBorders>
            <w:vAlign w:val="center"/>
          </w:tcPr>
          <w:p>
            <w:pPr>
              <w:pStyle w:val="63"/>
              <w:rPr>
                <w:szCs w:val="24"/>
                <w:u w:val="single"/>
              </w:rPr>
            </w:pPr>
            <w:r>
              <w:rPr>
                <w:u w:val="single"/>
              </w:rPr>
              <w:t>IV+</w:t>
            </w:r>
          </w:p>
        </w:tc>
        <w:tc>
          <w:tcPr>
            <w:tcW w:w="3025" w:type="dxa"/>
            <w:tcBorders>
              <w:top w:val="single" w:color="auto" w:sz="4" w:space="0"/>
              <w:left w:val="single" w:color="auto" w:sz="4" w:space="0"/>
              <w:bottom w:val="single" w:color="auto" w:sz="4" w:space="0"/>
              <w:right w:val="single" w:color="auto" w:sz="12" w:space="0"/>
            </w:tcBorders>
            <w:vAlign w:val="center"/>
          </w:tcPr>
          <w:p>
            <w:pPr>
              <w:pStyle w:val="63"/>
              <w:rPr>
                <w:szCs w:val="24"/>
                <w:u w:val="single"/>
              </w:rPr>
            </w:pPr>
            <w:r>
              <w:rPr>
                <w:u w:val="single"/>
              </w:rPr>
              <w:t>一级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5" w:type="dxa"/>
            <w:tcBorders>
              <w:top w:val="single" w:color="auto" w:sz="4" w:space="0"/>
              <w:left w:val="single" w:color="auto" w:sz="12" w:space="0"/>
              <w:bottom w:val="single" w:color="auto" w:sz="4" w:space="0"/>
              <w:right w:val="single" w:color="auto" w:sz="4" w:space="0"/>
            </w:tcBorders>
            <w:vAlign w:val="center"/>
          </w:tcPr>
          <w:p>
            <w:pPr>
              <w:pStyle w:val="63"/>
              <w:rPr>
                <w:szCs w:val="24"/>
                <w:u w:val="single"/>
              </w:rPr>
            </w:pPr>
            <w:r>
              <w:rPr>
                <w:u w:val="single"/>
              </w:rPr>
              <w:t>地表水环境</w:t>
            </w:r>
          </w:p>
        </w:tc>
        <w:tc>
          <w:tcPr>
            <w:tcW w:w="3025" w:type="dxa"/>
            <w:tcBorders>
              <w:top w:val="single" w:color="auto" w:sz="4" w:space="0"/>
              <w:left w:val="single" w:color="auto" w:sz="4" w:space="0"/>
              <w:bottom w:val="single" w:color="auto" w:sz="4" w:space="0"/>
              <w:right w:val="single" w:color="auto" w:sz="4" w:space="0"/>
            </w:tcBorders>
            <w:vAlign w:val="center"/>
          </w:tcPr>
          <w:p>
            <w:pPr>
              <w:pStyle w:val="63"/>
              <w:rPr>
                <w:szCs w:val="24"/>
                <w:u w:val="single"/>
              </w:rPr>
            </w:pPr>
            <w:r>
              <w:rPr>
                <w:u w:val="single"/>
              </w:rPr>
              <w:t>IV</w:t>
            </w:r>
          </w:p>
        </w:tc>
        <w:tc>
          <w:tcPr>
            <w:tcW w:w="3025" w:type="dxa"/>
            <w:tcBorders>
              <w:top w:val="single" w:color="auto" w:sz="4" w:space="0"/>
              <w:left w:val="single" w:color="auto" w:sz="4" w:space="0"/>
              <w:bottom w:val="single" w:color="auto" w:sz="4" w:space="0"/>
              <w:right w:val="single" w:color="auto" w:sz="12" w:space="0"/>
            </w:tcBorders>
            <w:vAlign w:val="center"/>
          </w:tcPr>
          <w:p>
            <w:pPr>
              <w:pStyle w:val="63"/>
              <w:rPr>
                <w:szCs w:val="24"/>
                <w:u w:val="single"/>
              </w:rPr>
            </w:pPr>
            <w:r>
              <w:rPr>
                <w:u w:val="single"/>
              </w:rPr>
              <w:t>一级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25" w:type="dxa"/>
            <w:tcBorders>
              <w:top w:val="single" w:color="auto" w:sz="4" w:space="0"/>
              <w:left w:val="single" w:color="auto" w:sz="12" w:space="0"/>
              <w:bottom w:val="single" w:color="auto" w:sz="12" w:space="0"/>
              <w:right w:val="single" w:color="auto" w:sz="4" w:space="0"/>
            </w:tcBorders>
            <w:vAlign w:val="center"/>
          </w:tcPr>
          <w:p>
            <w:pPr>
              <w:pStyle w:val="63"/>
              <w:rPr>
                <w:szCs w:val="24"/>
                <w:u w:val="single"/>
              </w:rPr>
            </w:pPr>
            <w:r>
              <w:rPr>
                <w:u w:val="single"/>
              </w:rPr>
              <w:t>地下水环境</w:t>
            </w:r>
          </w:p>
        </w:tc>
        <w:tc>
          <w:tcPr>
            <w:tcW w:w="3025" w:type="dxa"/>
            <w:tcBorders>
              <w:top w:val="single" w:color="auto" w:sz="4" w:space="0"/>
              <w:left w:val="single" w:color="auto" w:sz="4" w:space="0"/>
              <w:bottom w:val="single" w:color="auto" w:sz="12" w:space="0"/>
              <w:right w:val="single" w:color="auto" w:sz="4" w:space="0"/>
            </w:tcBorders>
            <w:vAlign w:val="center"/>
          </w:tcPr>
          <w:p>
            <w:pPr>
              <w:pStyle w:val="63"/>
              <w:rPr>
                <w:szCs w:val="24"/>
                <w:u w:val="single"/>
              </w:rPr>
            </w:pPr>
            <w:r>
              <w:rPr>
                <w:u w:val="single"/>
              </w:rPr>
              <w:t>III</w:t>
            </w:r>
          </w:p>
        </w:tc>
        <w:tc>
          <w:tcPr>
            <w:tcW w:w="3025" w:type="dxa"/>
            <w:tcBorders>
              <w:top w:val="single" w:color="auto" w:sz="4" w:space="0"/>
              <w:left w:val="single" w:color="auto" w:sz="4" w:space="0"/>
              <w:bottom w:val="single" w:color="auto" w:sz="12" w:space="0"/>
              <w:right w:val="single" w:color="auto" w:sz="12" w:space="0"/>
            </w:tcBorders>
            <w:vAlign w:val="center"/>
          </w:tcPr>
          <w:p>
            <w:pPr>
              <w:pStyle w:val="63"/>
              <w:rPr>
                <w:szCs w:val="24"/>
                <w:u w:val="single"/>
              </w:rPr>
            </w:pPr>
            <w:r>
              <w:rPr>
                <w:u w:val="single"/>
              </w:rPr>
              <w:t>二级</w:t>
            </w:r>
          </w:p>
        </w:tc>
      </w:tr>
    </w:tbl>
    <w:p>
      <w:pPr>
        <w:pStyle w:val="3"/>
        <w:rPr>
          <w:rFonts w:ascii="Times New Roman" w:hAnsi="Times New Roman" w:cs="Times New Roman" w:eastAsiaTheme="minorEastAsia"/>
        </w:rPr>
      </w:pPr>
      <w:bookmarkStart w:id="422" w:name="_Toc102658230"/>
      <w:bookmarkStart w:id="423" w:name="_Toc144236832"/>
      <w:bookmarkStart w:id="424" w:name="_Toc147848080"/>
      <w:bookmarkStart w:id="425" w:name="_Toc144276962"/>
      <w:r>
        <w:rPr>
          <w:rFonts w:ascii="Times New Roman" w:hAnsi="Times New Roman" w:cs="Times New Roman" w:eastAsiaTheme="minorEastAsia"/>
        </w:rPr>
        <w:t>7.4 风险识别</w:t>
      </w:r>
      <w:bookmarkEnd w:id="422"/>
      <w:bookmarkEnd w:id="423"/>
      <w:bookmarkEnd w:id="424"/>
      <w:bookmarkEnd w:id="425"/>
    </w:p>
    <w:p>
      <w:pPr>
        <w:pStyle w:val="4"/>
        <w:rPr>
          <w:rFonts w:ascii="Times New Roman" w:hAnsi="Times New Roman" w:cs="Times New Roman"/>
        </w:rPr>
      </w:pPr>
      <w:bookmarkStart w:id="426" w:name="_Toc144276963"/>
      <w:bookmarkStart w:id="427" w:name="_Toc144236833"/>
      <w:bookmarkStart w:id="428" w:name="_Toc147848081"/>
      <w:r>
        <w:rPr>
          <w:rFonts w:ascii="Times New Roman" w:hAnsi="Times New Roman" w:cs="Times New Roman"/>
        </w:rPr>
        <w:t>7.4.1 识别范围</w:t>
      </w:r>
      <w:bookmarkEnd w:id="426"/>
      <w:bookmarkEnd w:id="427"/>
      <w:bookmarkEnd w:id="428"/>
    </w:p>
    <w:p>
      <w:pPr>
        <w:spacing w:line="360" w:lineRule="auto"/>
        <w:ind w:firstLine="480" w:firstLineChars="200"/>
        <w:rPr>
          <w:rFonts w:ascii="Times New Roman" w:hAnsi="Times New Roman" w:cs="Times New Roman"/>
        </w:rPr>
      </w:pPr>
      <w:r>
        <w:rPr>
          <w:rFonts w:ascii="Times New Roman" w:hAnsi="Times New Roman" w:cs="Times New Roman"/>
        </w:rPr>
        <w:t>风险识别范围包括生产设施风险识别和生产过程所涉及的物质风险识别：</w:t>
      </w:r>
    </w:p>
    <w:p>
      <w:pPr>
        <w:spacing w:line="360" w:lineRule="auto"/>
        <w:ind w:firstLine="480" w:firstLineChars="200"/>
        <w:rPr>
          <w:rFonts w:ascii="Times New Roman" w:hAnsi="Times New Roman" w:cs="Times New Roman"/>
        </w:rPr>
      </w:pPr>
      <w:r>
        <w:rPr>
          <w:rFonts w:hint="eastAsia" w:ascii="宋体" w:hAnsi="宋体" w:eastAsia="宋体" w:cs="宋体"/>
        </w:rPr>
        <w:t>①</w:t>
      </w:r>
      <w:r>
        <w:rPr>
          <w:rFonts w:ascii="Times New Roman" w:hAnsi="Times New Roman" w:cs="Times New Roman"/>
        </w:rPr>
        <w:t>生产设施风险识别范围包括：主要生产装置、贮运系统、公用工程系统、工程环保设施及辅助生产设施等；</w:t>
      </w:r>
    </w:p>
    <w:p>
      <w:pPr>
        <w:spacing w:line="360" w:lineRule="auto"/>
        <w:ind w:firstLine="480" w:firstLineChars="200"/>
        <w:rPr>
          <w:rFonts w:ascii="Times New Roman" w:hAnsi="Times New Roman" w:cs="Times New Roman"/>
        </w:rPr>
      </w:pPr>
      <w:r>
        <w:rPr>
          <w:rFonts w:hint="eastAsia" w:ascii="宋体" w:hAnsi="宋体" w:eastAsia="宋体" w:cs="宋体"/>
        </w:rPr>
        <w:t>②</w:t>
      </w:r>
      <w:r>
        <w:rPr>
          <w:rFonts w:ascii="Times New Roman" w:hAnsi="Times New Roman" w:cs="Times New Roman"/>
        </w:rPr>
        <w:t>物质风险识别范围包括：主要原材料及辅助材料、燃料、中间产品、最终产品以及生产过程排放的“三废”污染物等。</w:t>
      </w:r>
    </w:p>
    <w:p>
      <w:pPr>
        <w:pStyle w:val="4"/>
        <w:rPr>
          <w:rFonts w:ascii="Times New Roman" w:hAnsi="Times New Roman" w:cs="Times New Roman"/>
        </w:rPr>
      </w:pPr>
      <w:bookmarkStart w:id="429" w:name="_Toc144236834"/>
      <w:bookmarkStart w:id="430" w:name="_Toc144276964"/>
      <w:bookmarkStart w:id="431" w:name="_Toc147848082"/>
      <w:r>
        <w:rPr>
          <w:rFonts w:ascii="Times New Roman" w:hAnsi="Times New Roman" w:cs="Times New Roman"/>
        </w:rPr>
        <w:t>7.4.2 物质风险识别</w:t>
      </w:r>
      <w:bookmarkEnd w:id="429"/>
      <w:bookmarkEnd w:id="430"/>
      <w:bookmarkEnd w:id="431"/>
    </w:p>
    <w:p>
      <w:pPr>
        <w:spacing w:line="360" w:lineRule="auto"/>
        <w:ind w:firstLine="480" w:firstLineChars="200"/>
        <w:rPr>
          <w:rFonts w:ascii="Times New Roman" w:hAnsi="Times New Roman" w:cs="Times New Roman"/>
        </w:rPr>
      </w:pPr>
      <w:r>
        <w:rPr>
          <w:rFonts w:ascii="Times New Roman" w:hAnsi="Times New Roman" w:cs="Times New Roman"/>
        </w:rPr>
        <w:t>（1）物质风险判别依据</w:t>
      </w:r>
    </w:p>
    <w:p>
      <w:pPr>
        <w:spacing w:line="360" w:lineRule="auto"/>
        <w:ind w:firstLine="480" w:firstLineChars="200"/>
        <w:rPr>
          <w:rFonts w:ascii="Times New Roman" w:hAnsi="Times New Roman" w:cs="Times New Roman"/>
        </w:rPr>
      </w:pPr>
      <w:r>
        <w:rPr>
          <w:rFonts w:ascii="Times New Roman" w:hAnsi="Times New Roman" w:cs="Times New Roman"/>
        </w:rPr>
        <w:t>依据《建设项目环境风险评价建设导则》（HJ/T169-2004）附录A进行物质危险性判定，其标准见下表。</w:t>
      </w:r>
    </w:p>
    <w:p>
      <w:pPr>
        <w:pStyle w:val="6"/>
        <w:rPr>
          <w:rFonts w:ascii="Times New Roman" w:hAnsi="Times New Roman" w:cs="Times New Roman"/>
        </w:rPr>
      </w:pPr>
      <w:r>
        <w:rPr>
          <w:rFonts w:ascii="Times New Roman" w:hAnsi="Times New Roman" w:cs="Times New Roman"/>
        </w:rPr>
        <w:t>表7.4-1 物质危险性判定标准表</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951"/>
        <w:gridCol w:w="577"/>
        <w:gridCol w:w="2142"/>
        <w:gridCol w:w="2288"/>
        <w:gridCol w:w="238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0" w:type="pct"/>
            <w:shd w:val="clear" w:color="auto" w:fill="auto"/>
            <w:vAlign w:val="center"/>
          </w:tcPr>
          <w:p>
            <w:pPr>
              <w:pStyle w:val="63"/>
            </w:pPr>
            <w:r>
              <w:t>物质类别</w:t>
            </w:r>
          </w:p>
        </w:tc>
        <w:tc>
          <w:tcPr>
            <w:tcW w:w="346" w:type="pct"/>
            <w:shd w:val="clear" w:color="auto" w:fill="auto"/>
            <w:vAlign w:val="center"/>
          </w:tcPr>
          <w:p>
            <w:pPr>
              <w:pStyle w:val="63"/>
            </w:pPr>
            <w:r>
              <w:t>等级</w:t>
            </w:r>
          </w:p>
        </w:tc>
        <w:tc>
          <w:tcPr>
            <w:tcW w:w="1284" w:type="pct"/>
            <w:shd w:val="clear" w:color="auto" w:fill="auto"/>
            <w:vAlign w:val="center"/>
          </w:tcPr>
          <w:p>
            <w:pPr>
              <w:pStyle w:val="63"/>
            </w:pPr>
            <w:r>
              <w:t>LD50 （大鼠经口） mg/kg</w:t>
            </w:r>
          </w:p>
        </w:tc>
        <w:tc>
          <w:tcPr>
            <w:tcW w:w="1371" w:type="pct"/>
            <w:shd w:val="clear" w:color="auto" w:fill="auto"/>
            <w:vAlign w:val="center"/>
          </w:tcPr>
          <w:p>
            <w:pPr>
              <w:pStyle w:val="63"/>
            </w:pPr>
            <w:r>
              <w:t>LD50 （大鼠经皮） mg/kg</w:t>
            </w:r>
          </w:p>
        </w:tc>
        <w:tc>
          <w:tcPr>
            <w:tcW w:w="1429" w:type="pct"/>
            <w:shd w:val="clear" w:color="auto" w:fill="auto"/>
            <w:vAlign w:val="center"/>
          </w:tcPr>
          <w:p>
            <w:pPr>
              <w:pStyle w:val="63"/>
            </w:pPr>
            <w:r>
              <w:t>LC50（小鼠吸入，4小时） mg/L</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0" w:type="pct"/>
            <w:vMerge w:val="restart"/>
            <w:shd w:val="clear" w:color="auto" w:fill="auto"/>
            <w:vAlign w:val="center"/>
          </w:tcPr>
          <w:p>
            <w:pPr>
              <w:pStyle w:val="63"/>
            </w:pPr>
            <w:r>
              <w:t>有毒物质</w:t>
            </w:r>
          </w:p>
        </w:tc>
        <w:tc>
          <w:tcPr>
            <w:tcW w:w="346" w:type="pct"/>
            <w:shd w:val="clear" w:color="auto" w:fill="auto"/>
            <w:vAlign w:val="center"/>
          </w:tcPr>
          <w:p>
            <w:pPr>
              <w:pStyle w:val="63"/>
            </w:pPr>
            <w:r>
              <w:t>1</w:t>
            </w:r>
          </w:p>
        </w:tc>
        <w:tc>
          <w:tcPr>
            <w:tcW w:w="1284" w:type="pct"/>
            <w:shd w:val="clear" w:color="auto" w:fill="auto"/>
            <w:vAlign w:val="center"/>
          </w:tcPr>
          <w:p>
            <w:pPr>
              <w:pStyle w:val="63"/>
            </w:pPr>
            <w:r>
              <w:t>&lt;5</w:t>
            </w:r>
          </w:p>
        </w:tc>
        <w:tc>
          <w:tcPr>
            <w:tcW w:w="1371" w:type="pct"/>
            <w:shd w:val="clear" w:color="auto" w:fill="auto"/>
            <w:vAlign w:val="center"/>
          </w:tcPr>
          <w:p>
            <w:pPr>
              <w:pStyle w:val="63"/>
            </w:pPr>
            <w:r>
              <w:t>&lt;1</w:t>
            </w:r>
          </w:p>
        </w:tc>
        <w:tc>
          <w:tcPr>
            <w:tcW w:w="1429" w:type="pct"/>
            <w:shd w:val="clear" w:color="auto" w:fill="auto"/>
            <w:vAlign w:val="center"/>
          </w:tcPr>
          <w:p>
            <w:pPr>
              <w:pStyle w:val="63"/>
            </w:pPr>
            <w:r>
              <w:t>&lt;0.01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0" w:type="pct"/>
            <w:vMerge w:val="continue"/>
            <w:shd w:val="clear" w:color="auto" w:fill="auto"/>
            <w:vAlign w:val="center"/>
          </w:tcPr>
          <w:p>
            <w:pPr>
              <w:pStyle w:val="63"/>
            </w:pPr>
          </w:p>
        </w:tc>
        <w:tc>
          <w:tcPr>
            <w:tcW w:w="346" w:type="pct"/>
            <w:shd w:val="clear" w:color="auto" w:fill="auto"/>
            <w:vAlign w:val="center"/>
          </w:tcPr>
          <w:p>
            <w:pPr>
              <w:pStyle w:val="63"/>
            </w:pPr>
            <w:r>
              <w:t>2</w:t>
            </w:r>
          </w:p>
        </w:tc>
        <w:tc>
          <w:tcPr>
            <w:tcW w:w="1284" w:type="pct"/>
            <w:shd w:val="clear" w:color="auto" w:fill="auto"/>
            <w:vAlign w:val="center"/>
          </w:tcPr>
          <w:p>
            <w:pPr>
              <w:pStyle w:val="63"/>
            </w:pPr>
            <w:r>
              <w:t>5&lt;LD50&lt;25</w:t>
            </w:r>
          </w:p>
        </w:tc>
        <w:tc>
          <w:tcPr>
            <w:tcW w:w="1371" w:type="pct"/>
            <w:shd w:val="clear" w:color="auto" w:fill="auto"/>
            <w:vAlign w:val="center"/>
          </w:tcPr>
          <w:p>
            <w:pPr>
              <w:pStyle w:val="63"/>
            </w:pPr>
            <w:r>
              <w:t>10&lt;LD50&lt;50</w:t>
            </w:r>
          </w:p>
        </w:tc>
        <w:tc>
          <w:tcPr>
            <w:tcW w:w="1429" w:type="pct"/>
            <w:shd w:val="clear" w:color="auto" w:fill="auto"/>
            <w:vAlign w:val="center"/>
          </w:tcPr>
          <w:p>
            <w:pPr>
              <w:pStyle w:val="63"/>
            </w:pPr>
            <w:r>
              <w:t>0.1&lt;LC50&lt;0.5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0" w:type="pct"/>
            <w:vMerge w:val="continue"/>
            <w:shd w:val="clear" w:color="auto" w:fill="auto"/>
            <w:vAlign w:val="center"/>
          </w:tcPr>
          <w:p>
            <w:pPr>
              <w:pStyle w:val="63"/>
            </w:pPr>
          </w:p>
        </w:tc>
        <w:tc>
          <w:tcPr>
            <w:tcW w:w="346" w:type="pct"/>
            <w:shd w:val="clear" w:color="auto" w:fill="auto"/>
            <w:vAlign w:val="center"/>
          </w:tcPr>
          <w:p>
            <w:pPr>
              <w:pStyle w:val="63"/>
            </w:pPr>
            <w:r>
              <w:t>3</w:t>
            </w:r>
          </w:p>
        </w:tc>
        <w:tc>
          <w:tcPr>
            <w:tcW w:w="1284" w:type="pct"/>
            <w:shd w:val="clear" w:color="auto" w:fill="auto"/>
            <w:vAlign w:val="center"/>
          </w:tcPr>
          <w:p>
            <w:pPr>
              <w:pStyle w:val="63"/>
            </w:pPr>
            <w:r>
              <w:t>25&lt;LD50&lt;200</w:t>
            </w:r>
          </w:p>
        </w:tc>
        <w:tc>
          <w:tcPr>
            <w:tcW w:w="1371" w:type="pct"/>
            <w:shd w:val="clear" w:color="auto" w:fill="auto"/>
            <w:vAlign w:val="center"/>
          </w:tcPr>
          <w:p>
            <w:pPr>
              <w:pStyle w:val="63"/>
            </w:pPr>
            <w:r>
              <w:t>50&lt;LD50&lt;400</w:t>
            </w:r>
          </w:p>
        </w:tc>
        <w:tc>
          <w:tcPr>
            <w:tcW w:w="1429" w:type="pct"/>
            <w:shd w:val="clear" w:color="auto" w:fill="auto"/>
            <w:vAlign w:val="center"/>
          </w:tcPr>
          <w:p>
            <w:pPr>
              <w:pStyle w:val="63"/>
            </w:pPr>
            <w:r>
              <w:t>0.5&lt;LC50&lt;2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0" w:type="pct"/>
            <w:vMerge w:val="restart"/>
            <w:shd w:val="clear" w:color="auto" w:fill="auto"/>
            <w:vAlign w:val="center"/>
          </w:tcPr>
          <w:p>
            <w:pPr>
              <w:pStyle w:val="63"/>
            </w:pPr>
            <w:r>
              <w:t>易燃物质</w:t>
            </w:r>
          </w:p>
        </w:tc>
        <w:tc>
          <w:tcPr>
            <w:tcW w:w="346" w:type="pct"/>
            <w:shd w:val="clear" w:color="auto" w:fill="auto"/>
            <w:vAlign w:val="center"/>
          </w:tcPr>
          <w:p>
            <w:pPr>
              <w:pStyle w:val="63"/>
            </w:pPr>
            <w:r>
              <w:t>1</w:t>
            </w:r>
          </w:p>
        </w:tc>
        <w:tc>
          <w:tcPr>
            <w:tcW w:w="4084" w:type="pct"/>
            <w:gridSpan w:val="3"/>
            <w:shd w:val="clear" w:color="auto" w:fill="auto"/>
            <w:vAlign w:val="center"/>
          </w:tcPr>
          <w:p>
            <w:pPr>
              <w:pStyle w:val="63"/>
            </w:pPr>
            <w:r>
              <w:t>可燃气体，在常压下以气态存在并与空气混合形成可燃混合物；其沸点（常压下）是20</w:t>
            </w:r>
            <w:r>
              <w:rPr>
                <w:rFonts w:hint="eastAsia" w:ascii="宋体" w:hAnsi="宋体" w:eastAsia="宋体" w:cs="宋体"/>
              </w:rPr>
              <w:t>℃</w:t>
            </w:r>
            <w:r>
              <w:t>或20</w:t>
            </w:r>
            <w:r>
              <w:rPr>
                <w:rFonts w:hint="eastAsia" w:ascii="宋体" w:hAnsi="宋体" w:eastAsia="宋体" w:cs="宋体"/>
              </w:rPr>
              <w:t>℃</w:t>
            </w:r>
            <w:r>
              <w:t>以下的物质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0" w:type="pct"/>
            <w:vMerge w:val="continue"/>
            <w:shd w:val="clear" w:color="auto" w:fill="auto"/>
            <w:vAlign w:val="center"/>
          </w:tcPr>
          <w:p>
            <w:pPr>
              <w:pStyle w:val="63"/>
            </w:pPr>
          </w:p>
        </w:tc>
        <w:tc>
          <w:tcPr>
            <w:tcW w:w="346" w:type="pct"/>
            <w:shd w:val="clear" w:color="auto" w:fill="auto"/>
            <w:vAlign w:val="center"/>
          </w:tcPr>
          <w:p>
            <w:pPr>
              <w:pStyle w:val="63"/>
            </w:pPr>
            <w:r>
              <w:t>2</w:t>
            </w:r>
          </w:p>
        </w:tc>
        <w:tc>
          <w:tcPr>
            <w:tcW w:w="4084" w:type="pct"/>
            <w:gridSpan w:val="3"/>
            <w:shd w:val="clear" w:color="auto" w:fill="auto"/>
            <w:vAlign w:val="center"/>
          </w:tcPr>
          <w:p>
            <w:pPr>
              <w:pStyle w:val="63"/>
            </w:pPr>
            <w:r>
              <w:t>易燃液体，闪点低于21</w:t>
            </w:r>
            <w:r>
              <w:rPr>
                <w:rFonts w:hint="eastAsia" w:ascii="宋体" w:hAnsi="宋体" w:eastAsia="宋体" w:cs="宋体"/>
              </w:rPr>
              <w:t>℃</w:t>
            </w:r>
            <w:r>
              <w:t>，沸点高于20</w:t>
            </w:r>
            <w:r>
              <w:rPr>
                <w:rFonts w:hint="eastAsia" w:ascii="宋体" w:hAnsi="宋体" w:eastAsia="宋体" w:cs="宋体"/>
              </w:rPr>
              <w:t>℃</w:t>
            </w:r>
            <w:r>
              <w:t>的物质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70" w:type="pct"/>
            <w:vMerge w:val="continue"/>
            <w:shd w:val="clear" w:color="auto" w:fill="auto"/>
            <w:vAlign w:val="center"/>
          </w:tcPr>
          <w:p>
            <w:pPr>
              <w:pStyle w:val="63"/>
            </w:pPr>
          </w:p>
        </w:tc>
        <w:tc>
          <w:tcPr>
            <w:tcW w:w="346" w:type="pct"/>
            <w:shd w:val="clear" w:color="auto" w:fill="auto"/>
            <w:vAlign w:val="center"/>
          </w:tcPr>
          <w:p>
            <w:pPr>
              <w:pStyle w:val="63"/>
            </w:pPr>
            <w:r>
              <w:t>3</w:t>
            </w:r>
          </w:p>
        </w:tc>
        <w:tc>
          <w:tcPr>
            <w:tcW w:w="4084" w:type="pct"/>
            <w:gridSpan w:val="3"/>
            <w:shd w:val="clear" w:color="auto" w:fill="auto"/>
            <w:vAlign w:val="center"/>
          </w:tcPr>
          <w:p>
            <w:pPr>
              <w:pStyle w:val="63"/>
            </w:pPr>
            <w:r>
              <w:t>可燃液体，闪点低于55</w:t>
            </w:r>
            <w:r>
              <w:rPr>
                <w:rFonts w:hint="eastAsia" w:ascii="宋体" w:hAnsi="宋体" w:eastAsia="宋体" w:cs="宋体"/>
              </w:rPr>
              <w:t>℃</w:t>
            </w:r>
            <w:r>
              <w:t>，压力下保持液态，在实际操作条件下（如高温高压）可以引起重大事故的物质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16" w:type="pct"/>
            <w:gridSpan w:val="2"/>
            <w:shd w:val="clear" w:color="auto" w:fill="auto"/>
            <w:vAlign w:val="center"/>
          </w:tcPr>
          <w:p>
            <w:pPr>
              <w:pStyle w:val="63"/>
            </w:pPr>
            <w:r>
              <w:t>爆炸性物质</w:t>
            </w:r>
          </w:p>
        </w:tc>
        <w:tc>
          <w:tcPr>
            <w:tcW w:w="4084" w:type="pct"/>
            <w:gridSpan w:val="3"/>
            <w:shd w:val="clear" w:color="auto" w:fill="auto"/>
            <w:vAlign w:val="center"/>
          </w:tcPr>
          <w:p>
            <w:pPr>
              <w:pStyle w:val="63"/>
            </w:pPr>
            <w:r>
              <w:t>在火焰影响下可以爆炸，或者对冲击、摩擦比硝基苯更为敏感的物质</w:t>
            </w:r>
          </w:p>
        </w:tc>
      </w:tr>
    </w:tbl>
    <w:p>
      <w:pPr>
        <w:ind w:firstLine="420" w:firstLineChars="200"/>
        <w:rPr>
          <w:rFonts w:ascii="Times New Roman" w:hAnsi="Times New Roman" w:cs="Times New Roman"/>
          <w:sz w:val="21"/>
          <w:szCs w:val="21"/>
        </w:rPr>
      </w:pPr>
      <w:r>
        <w:rPr>
          <w:rFonts w:ascii="Times New Roman" w:hAnsi="Times New Roman" w:cs="Times New Roman"/>
          <w:sz w:val="21"/>
          <w:szCs w:val="21"/>
        </w:rPr>
        <w:t>注：（1）有毒物质判定标准序号为1、2的物质，属于剧毒物质；符合有毒物质判定标准序号3的属于一般毒物。（2）凡符合表中易燃物质和爆炸性物质标准的物质，均视为火灾爆炸危险物质。</w:t>
      </w:r>
    </w:p>
    <w:p>
      <w:pPr>
        <w:spacing w:line="360" w:lineRule="auto"/>
        <w:ind w:firstLine="480" w:firstLineChars="200"/>
        <w:rPr>
          <w:rFonts w:ascii="Times New Roman" w:hAnsi="Times New Roman" w:cs="Times New Roman"/>
        </w:rPr>
      </w:pPr>
      <w:r>
        <w:rPr>
          <w:rFonts w:ascii="Times New Roman" w:hAnsi="Times New Roman" w:cs="Times New Roman"/>
        </w:rPr>
        <w:t>（2）危险特性</w:t>
      </w:r>
    </w:p>
    <w:p>
      <w:pPr>
        <w:spacing w:line="360" w:lineRule="auto"/>
        <w:ind w:firstLine="480" w:firstLineChars="200"/>
        <w:rPr>
          <w:rFonts w:ascii="Times New Roman" w:hAnsi="Times New Roman" w:cs="Times New Roman"/>
        </w:rPr>
      </w:pPr>
      <w:r>
        <w:rPr>
          <w:rFonts w:ascii="Times New Roman" w:hAnsi="Times New Roman" w:cs="Times New Roman"/>
        </w:rPr>
        <w:t>根据《建设项目环境风险评价技术导则》（HJ 169-2018）附录 B 对本项目原辅料、燃料、中间产品、副产品、最终产品、污染物、火灾和爆炸伴生/次生等涉及的危险物质进行了识别，识别结果见下表7.4-2。</w:t>
      </w:r>
    </w:p>
    <w:p>
      <w:pPr>
        <w:spacing w:line="360" w:lineRule="auto"/>
        <w:ind w:firstLine="480" w:firstLineChars="200"/>
        <w:rPr>
          <w:rFonts w:ascii="Times New Roman" w:hAnsi="Times New Roman" w:cs="Times New Roman"/>
        </w:rPr>
        <w:sectPr>
          <w:pgSz w:w="11907" w:h="16840"/>
          <w:pgMar w:top="1440" w:right="1797" w:bottom="1440" w:left="1797" w:header="964" w:footer="851" w:gutter="0"/>
          <w:cols w:space="720" w:num="1"/>
          <w:docGrid w:linePitch="311" w:charSpace="0"/>
        </w:sectPr>
      </w:pPr>
    </w:p>
    <w:p>
      <w:pPr>
        <w:pStyle w:val="6"/>
        <w:rPr>
          <w:rFonts w:ascii="Times New Roman" w:hAnsi="Times New Roman" w:cs="Times New Roman"/>
          <w:u w:val="single"/>
        </w:rPr>
      </w:pPr>
      <w:r>
        <w:rPr>
          <w:rFonts w:ascii="Times New Roman" w:hAnsi="Times New Roman" w:cs="Times New Roman"/>
          <w:u w:val="single"/>
        </w:rPr>
        <w:t>表 7.4-2本项目涉及的危险物质的理化性质及危险性一览表</w:t>
      </w:r>
    </w:p>
    <w:tbl>
      <w:tblPr>
        <w:tblStyle w:val="35"/>
        <w:tblW w:w="469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848"/>
        <w:gridCol w:w="848"/>
        <w:gridCol w:w="990"/>
        <w:gridCol w:w="682"/>
        <w:gridCol w:w="887"/>
        <w:gridCol w:w="706"/>
        <w:gridCol w:w="777"/>
        <w:gridCol w:w="908"/>
        <w:gridCol w:w="1202"/>
        <w:gridCol w:w="850"/>
        <w:gridCol w:w="740"/>
        <w:gridCol w:w="968"/>
        <w:gridCol w:w="1026"/>
        <w:gridCol w:w="866"/>
        <w:gridCol w:w="82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23" w:type="pct"/>
            <w:vMerge w:val="restart"/>
            <w:shd w:val="clear" w:color="auto" w:fill="auto"/>
            <w:vAlign w:val="center"/>
          </w:tcPr>
          <w:p>
            <w:pPr>
              <w:pStyle w:val="63"/>
              <w:rPr>
                <w:szCs w:val="21"/>
                <w:u w:val="single"/>
              </w:rPr>
            </w:pPr>
            <w:r>
              <w:rPr>
                <w:szCs w:val="21"/>
                <w:u w:val="single"/>
              </w:rPr>
              <w:t>序号</w:t>
            </w:r>
          </w:p>
        </w:tc>
        <w:tc>
          <w:tcPr>
            <w:tcW w:w="323" w:type="pct"/>
            <w:vMerge w:val="restart"/>
            <w:shd w:val="clear" w:color="auto" w:fill="auto"/>
            <w:vAlign w:val="center"/>
          </w:tcPr>
          <w:p>
            <w:pPr>
              <w:pStyle w:val="63"/>
              <w:rPr>
                <w:szCs w:val="21"/>
                <w:u w:val="single"/>
              </w:rPr>
            </w:pPr>
            <w:r>
              <w:rPr>
                <w:szCs w:val="21"/>
                <w:u w:val="single"/>
              </w:rPr>
              <w:t>物料名称</w:t>
            </w:r>
          </w:p>
        </w:tc>
        <w:tc>
          <w:tcPr>
            <w:tcW w:w="377" w:type="pct"/>
            <w:vMerge w:val="restart"/>
            <w:shd w:val="clear" w:color="auto" w:fill="auto"/>
            <w:vAlign w:val="center"/>
          </w:tcPr>
          <w:p>
            <w:pPr>
              <w:pStyle w:val="63"/>
              <w:rPr>
                <w:szCs w:val="21"/>
                <w:u w:val="single"/>
              </w:rPr>
            </w:pPr>
            <w:r>
              <w:rPr>
                <w:szCs w:val="21"/>
                <w:u w:val="single"/>
              </w:rPr>
              <w:t>CAS 号</w:t>
            </w:r>
          </w:p>
        </w:tc>
        <w:tc>
          <w:tcPr>
            <w:tcW w:w="1967" w:type="pct"/>
            <w:gridSpan w:val="6"/>
            <w:shd w:val="clear" w:color="auto" w:fill="auto"/>
            <w:vAlign w:val="center"/>
          </w:tcPr>
          <w:p>
            <w:pPr>
              <w:pStyle w:val="63"/>
              <w:rPr>
                <w:szCs w:val="21"/>
                <w:u w:val="single"/>
              </w:rPr>
            </w:pPr>
            <w:r>
              <w:rPr>
                <w:szCs w:val="21"/>
                <w:u w:val="single"/>
              </w:rPr>
              <w:t>危险性</w:t>
            </w:r>
          </w:p>
        </w:tc>
        <w:tc>
          <w:tcPr>
            <w:tcW w:w="324" w:type="pct"/>
            <w:vMerge w:val="restart"/>
            <w:shd w:val="clear" w:color="auto" w:fill="auto"/>
            <w:vAlign w:val="center"/>
          </w:tcPr>
          <w:p>
            <w:pPr>
              <w:pStyle w:val="63"/>
              <w:rPr>
                <w:szCs w:val="21"/>
                <w:u w:val="single"/>
              </w:rPr>
            </w:pPr>
            <w:r>
              <w:rPr>
                <w:szCs w:val="21"/>
                <w:u w:val="single"/>
              </w:rPr>
              <w:t>火灾危险类别</w:t>
            </w:r>
          </w:p>
        </w:tc>
        <w:tc>
          <w:tcPr>
            <w:tcW w:w="282" w:type="pct"/>
            <w:vMerge w:val="restart"/>
            <w:shd w:val="clear" w:color="auto" w:fill="auto"/>
            <w:vAlign w:val="center"/>
          </w:tcPr>
          <w:p>
            <w:pPr>
              <w:pStyle w:val="63"/>
              <w:rPr>
                <w:szCs w:val="21"/>
                <w:u w:val="single"/>
              </w:rPr>
            </w:pPr>
            <w:r>
              <w:rPr>
                <w:szCs w:val="21"/>
                <w:u w:val="single"/>
              </w:rPr>
              <w:t>毒性分级</w:t>
            </w:r>
          </w:p>
        </w:tc>
        <w:tc>
          <w:tcPr>
            <w:tcW w:w="760" w:type="pct"/>
            <w:gridSpan w:val="2"/>
            <w:shd w:val="clear" w:color="auto" w:fill="auto"/>
            <w:vAlign w:val="center"/>
          </w:tcPr>
          <w:p>
            <w:pPr>
              <w:pStyle w:val="63"/>
              <w:rPr>
                <w:szCs w:val="21"/>
                <w:u w:val="single"/>
              </w:rPr>
            </w:pPr>
            <w:r>
              <w:rPr>
                <w:szCs w:val="21"/>
                <w:u w:val="single"/>
              </w:rPr>
              <w:t>毒理学特性</w:t>
            </w:r>
          </w:p>
        </w:tc>
        <w:tc>
          <w:tcPr>
            <w:tcW w:w="644" w:type="pct"/>
            <w:gridSpan w:val="2"/>
            <w:shd w:val="clear" w:color="auto" w:fill="auto"/>
            <w:vAlign w:val="center"/>
          </w:tcPr>
          <w:p>
            <w:pPr>
              <w:pStyle w:val="63"/>
              <w:rPr>
                <w:szCs w:val="21"/>
                <w:u w:val="single"/>
              </w:rPr>
            </w:pPr>
            <w:r>
              <w:rPr>
                <w:szCs w:val="21"/>
                <w:u w:val="single"/>
              </w:rPr>
              <w:t>大气毒性终点度浓度</w:t>
            </w:r>
          </w:p>
          <w:p>
            <w:pPr>
              <w:pStyle w:val="63"/>
              <w:rPr>
                <w:szCs w:val="21"/>
                <w:u w:val="single"/>
              </w:rPr>
            </w:pPr>
            <w:r>
              <w:rPr>
                <w:szCs w:val="21"/>
                <w:u w:val="single"/>
              </w:rPr>
              <w:t>mg/m3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23" w:type="pct"/>
            <w:vMerge w:val="continue"/>
            <w:shd w:val="clear" w:color="auto" w:fill="auto"/>
            <w:vAlign w:val="center"/>
          </w:tcPr>
          <w:p>
            <w:pPr>
              <w:pStyle w:val="63"/>
              <w:rPr>
                <w:szCs w:val="21"/>
                <w:u w:val="single"/>
              </w:rPr>
            </w:pPr>
          </w:p>
        </w:tc>
        <w:tc>
          <w:tcPr>
            <w:tcW w:w="323" w:type="pct"/>
            <w:vMerge w:val="continue"/>
            <w:shd w:val="clear" w:color="auto" w:fill="auto"/>
            <w:vAlign w:val="center"/>
          </w:tcPr>
          <w:p>
            <w:pPr>
              <w:pStyle w:val="63"/>
              <w:rPr>
                <w:szCs w:val="21"/>
                <w:u w:val="single"/>
              </w:rPr>
            </w:pPr>
          </w:p>
        </w:tc>
        <w:tc>
          <w:tcPr>
            <w:tcW w:w="377" w:type="pct"/>
            <w:vMerge w:val="continue"/>
            <w:shd w:val="clear" w:color="auto" w:fill="auto"/>
            <w:vAlign w:val="center"/>
          </w:tcPr>
          <w:p>
            <w:pPr>
              <w:pStyle w:val="63"/>
              <w:rPr>
                <w:szCs w:val="21"/>
                <w:u w:val="single"/>
              </w:rPr>
            </w:pPr>
          </w:p>
        </w:tc>
        <w:tc>
          <w:tcPr>
            <w:tcW w:w="260" w:type="pct"/>
            <w:shd w:val="clear" w:color="auto" w:fill="auto"/>
            <w:vAlign w:val="center"/>
          </w:tcPr>
          <w:p>
            <w:pPr>
              <w:pStyle w:val="63"/>
              <w:rPr>
                <w:szCs w:val="21"/>
                <w:u w:val="single"/>
              </w:rPr>
            </w:pPr>
            <w:r>
              <w:rPr>
                <w:szCs w:val="21"/>
                <w:u w:val="single"/>
              </w:rPr>
              <w:t>熔点</w:t>
            </w:r>
          </w:p>
          <w:p>
            <w:pPr>
              <w:pStyle w:val="63"/>
              <w:rPr>
                <w:szCs w:val="21"/>
                <w:u w:val="single"/>
              </w:rPr>
            </w:pPr>
            <w:r>
              <w:rPr>
                <w:szCs w:val="21"/>
                <w:u w:val="single"/>
              </w:rPr>
              <w:t>（</w:t>
            </w:r>
            <w:r>
              <w:rPr>
                <w:rFonts w:hint="eastAsia" w:ascii="宋体" w:hAnsi="宋体" w:eastAsia="宋体" w:cs="宋体"/>
                <w:szCs w:val="21"/>
                <w:u w:val="single"/>
              </w:rPr>
              <w:t>℃</w:t>
            </w:r>
            <w:r>
              <w:rPr>
                <w:szCs w:val="21"/>
                <w:u w:val="single"/>
              </w:rPr>
              <w:t>）</w:t>
            </w:r>
          </w:p>
        </w:tc>
        <w:tc>
          <w:tcPr>
            <w:tcW w:w="338" w:type="pct"/>
            <w:shd w:val="clear" w:color="auto" w:fill="auto"/>
            <w:vAlign w:val="center"/>
          </w:tcPr>
          <w:p>
            <w:pPr>
              <w:pStyle w:val="63"/>
              <w:rPr>
                <w:szCs w:val="21"/>
                <w:u w:val="single"/>
              </w:rPr>
            </w:pPr>
            <w:r>
              <w:rPr>
                <w:szCs w:val="21"/>
                <w:u w:val="single"/>
              </w:rPr>
              <w:t>沸点（</w:t>
            </w:r>
            <w:r>
              <w:rPr>
                <w:rFonts w:hint="eastAsia" w:ascii="宋体" w:hAnsi="宋体" w:eastAsia="宋体" w:cs="宋体"/>
                <w:szCs w:val="21"/>
                <w:u w:val="single"/>
              </w:rPr>
              <w:t>℃</w:t>
            </w:r>
            <w:r>
              <w:rPr>
                <w:szCs w:val="21"/>
                <w:u w:val="single"/>
              </w:rPr>
              <w:t>）</w:t>
            </w:r>
          </w:p>
        </w:tc>
        <w:tc>
          <w:tcPr>
            <w:tcW w:w="269" w:type="pct"/>
            <w:shd w:val="clear" w:color="auto" w:fill="auto"/>
            <w:vAlign w:val="center"/>
          </w:tcPr>
          <w:p>
            <w:pPr>
              <w:pStyle w:val="63"/>
              <w:rPr>
                <w:szCs w:val="21"/>
                <w:u w:val="single"/>
              </w:rPr>
            </w:pPr>
            <w:r>
              <w:rPr>
                <w:szCs w:val="21"/>
                <w:u w:val="single"/>
              </w:rPr>
              <w:t>闪点</w:t>
            </w:r>
          </w:p>
          <w:p>
            <w:pPr>
              <w:pStyle w:val="63"/>
              <w:rPr>
                <w:szCs w:val="21"/>
                <w:u w:val="single"/>
              </w:rPr>
            </w:pPr>
            <w:r>
              <w:rPr>
                <w:szCs w:val="21"/>
                <w:u w:val="single"/>
              </w:rPr>
              <w:t>（</w:t>
            </w:r>
            <w:r>
              <w:rPr>
                <w:rFonts w:hint="eastAsia" w:ascii="宋体" w:hAnsi="宋体" w:eastAsia="宋体" w:cs="宋体"/>
                <w:szCs w:val="21"/>
                <w:u w:val="single"/>
              </w:rPr>
              <w:t>℃</w:t>
            </w:r>
            <w:r>
              <w:rPr>
                <w:szCs w:val="21"/>
                <w:u w:val="single"/>
              </w:rPr>
              <w:t>）</w:t>
            </w:r>
          </w:p>
        </w:tc>
        <w:tc>
          <w:tcPr>
            <w:tcW w:w="296" w:type="pct"/>
            <w:shd w:val="clear" w:color="auto" w:fill="auto"/>
            <w:vAlign w:val="center"/>
          </w:tcPr>
          <w:p>
            <w:pPr>
              <w:pStyle w:val="63"/>
              <w:rPr>
                <w:szCs w:val="21"/>
                <w:u w:val="single"/>
              </w:rPr>
            </w:pPr>
            <w:r>
              <w:rPr>
                <w:szCs w:val="21"/>
                <w:u w:val="single"/>
              </w:rPr>
              <w:t>引燃点</w:t>
            </w:r>
          </w:p>
          <w:p>
            <w:pPr>
              <w:pStyle w:val="63"/>
              <w:rPr>
                <w:szCs w:val="21"/>
                <w:u w:val="single"/>
              </w:rPr>
            </w:pPr>
            <w:r>
              <w:rPr>
                <w:szCs w:val="21"/>
                <w:u w:val="single"/>
              </w:rPr>
              <w:t>（</w:t>
            </w:r>
            <w:r>
              <w:rPr>
                <w:rFonts w:hint="eastAsia" w:ascii="宋体" w:hAnsi="宋体" w:eastAsia="宋体" w:cs="宋体"/>
                <w:szCs w:val="21"/>
                <w:u w:val="single"/>
              </w:rPr>
              <w:t>℃</w:t>
            </w:r>
            <w:r>
              <w:rPr>
                <w:szCs w:val="21"/>
                <w:u w:val="single"/>
              </w:rPr>
              <w:t>）</w:t>
            </w:r>
          </w:p>
        </w:tc>
        <w:tc>
          <w:tcPr>
            <w:tcW w:w="346" w:type="pct"/>
            <w:shd w:val="clear" w:color="auto" w:fill="auto"/>
            <w:vAlign w:val="center"/>
          </w:tcPr>
          <w:p>
            <w:pPr>
              <w:pStyle w:val="63"/>
              <w:rPr>
                <w:szCs w:val="21"/>
                <w:u w:val="single"/>
              </w:rPr>
            </w:pPr>
            <w:r>
              <w:rPr>
                <w:szCs w:val="21"/>
                <w:u w:val="single"/>
              </w:rPr>
              <w:t>爆炸极限</w:t>
            </w:r>
          </w:p>
        </w:tc>
        <w:tc>
          <w:tcPr>
            <w:tcW w:w="458" w:type="pct"/>
            <w:shd w:val="clear" w:color="auto" w:fill="auto"/>
            <w:vAlign w:val="center"/>
          </w:tcPr>
          <w:p>
            <w:pPr>
              <w:pStyle w:val="63"/>
              <w:rPr>
                <w:szCs w:val="21"/>
                <w:u w:val="single"/>
              </w:rPr>
            </w:pPr>
            <w:r>
              <w:rPr>
                <w:szCs w:val="21"/>
                <w:u w:val="single"/>
              </w:rPr>
              <w:t>危险性类别</w:t>
            </w:r>
          </w:p>
        </w:tc>
        <w:tc>
          <w:tcPr>
            <w:tcW w:w="324" w:type="pct"/>
            <w:vMerge w:val="continue"/>
            <w:shd w:val="clear" w:color="auto" w:fill="auto"/>
            <w:vAlign w:val="center"/>
          </w:tcPr>
          <w:p>
            <w:pPr>
              <w:pStyle w:val="63"/>
              <w:rPr>
                <w:szCs w:val="21"/>
                <w:u w:val="single"/>
              </w:rPr>
            </w:pPr>
          </w:p>
        </w:tc>
        <w:tc>
          <w:tcPr>
            <w:tcW w:w="282" w:type="pct"/>
            <w:vMerge w:val="continue"/>
            <w:shd w:val="clear" w:color="auto" w:fill="auto"/>
            <w:vAlign w:val="center"/>
          </w:tcPr>
          <w:p>
            <w:pPr>
              <w:pStyle w:val="63"/>
              <w:rPr>
                <w:szCs w:val="21"/>
                <w:u w:val="single"/>
              </w:rPr>
            </w:pPr>
          </w:p>
        </w:tc>
        <w:tc>
          <w:tcPr>
            <w:tcW w:w="369" w:type="pct"/>
            <w:shd w:val="clear" w:color="auto" w:fill="auto"/>
            <w:vAlign w:val="center"/>
          </w:tcPr>
          <w:p>
            <w:pPr>
              <w:pStyle w:val="63"/>
              <w:rPr>
                <w:szCs w:val="21"/>
                <w:u w:val="single"/>
              </w:rPr>
            </w:pPr>
            <w:r>
              <w:rPr>
                <w:szCs w:val="21"/>
                <w:u w:val="single"/>
              </w:rPr>
              <w:t>LD50</w:t>
            </w:r>
          </w:p>
          <w:p>
            <w:pPr>
              <w:pStyle w:val="63"/>
              <w:rPr>
                <w:szCs w:val="21"/>
                <w:u w:val="single"/>
              </w:rPr>
            </w:pPr>
            <w:r>
              <w:rPr>
                <w:szCs w:val="21"/>
                <w:u w:val="single"/>
              </w:rPr>
              <w:t>（mg/kg）</w:t>
            </w:r>
          </w:p>
        </w:tc>
        <w:tc>
          <w:tcPr>
            <w:tcW w:w="391" w:type="pct"/>
            <w:shd w:val="clear" w:color="auto" w:fill="auto"/>
            <w:vAlign w:val="center"/>
          </w:tcPr>
          <w:p>
            <w:pPr>
              <w:pStyle w:val="63"/>
              <w:rPr>
                <w:szCs w:val="21"/>
                <w:u w:val="single"/>
              </w:rPr>
            </w:pPr>
            <w:r>
              <w:rPr>
                <w:szCs w:val="21"/>
                <w:u w:val="single"/>
              </w:rPr>
              <w:t>LC50</w:t>
            </w:r>
          </w:p>
          <w:p>
            <w:pPr>
              <w:pStyle w:val="63"/>
              <w:rPr>
                <w:szCs w:val="21"/>
                <w:u w:val="single"/>
              </w:rPr>
            </w:pPr>
            <w:r>
              <w:rPr>
                <w:szCs w:val="21"/>
                <w:u w:val="single"/>
              </w:rPr>
              <w:t>（mg/m3）</w:t>
            </w:r>
          </w:p>
        </w:tc>
        <w:tc>
          <w:tcPr>
            <w:tcW w:w="330" w:type="pct"/>
            <w:shd w:val="clear" w:color="auto" w:fill="auto"/>
            <w:vAlign w:val="center"/>
          </w:tcPr>
          <w:p>
            <w:pPr>
              <w:pStyle w:val="63"/>
              <w:rPr>
                <w:szCs w:val="21"/>
                <w:u w:val="single"/>
              </w:rPr>
            </w:pPr>
            <w:r>
              <w:rPr>
                <w:szCs w:val="21"/>
                <w:u w:val="single"/>
              </w:rPr>
              <w:t>毒性终点浓度-1</w:t>
            </w:r>
          </w:p>
        </w:tc>
        <w:tc>
          <w:tcPr>
            <w:tcW w:w="314" w:type="pct"/>
            <w:shd w:val="clear" w:color="auto" w:fill="auto"/>
            <w:vAlign w:val="center"/>
          </w:tcPr>
          <w:p>
            <w:pPr>
              <w:pStyle w:val="63"/>
              <w:rPr>
                <w:szCs w:val="21"/>
                <w:u w:val="single"/>
              </w:rPr>
            </w:pPr>
            <w:r>
              <w:rPr>
                <w:szCs w:val="21"/>
                <w:u w:val="single"/>
              </w:rPr>
              <w:t>毒性终点浓度-2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23" w:type="pct"/>
            <w:shd w:val="clear" w:color="auto" w:fill="auto"/>
            <w:vAlign w:val="center"/>
          </w:tcPr>
          <w:p>
            <w:pPr>
              <w:pStyle w:val="63"/>
              <w:rPr>
                <w:szCs w:val="21"/>
                <w:u w:val="single"/>
              </w:rPr>
            </w:pPr>
            <w:r>
              <w:rPr>
                <w:szCs w:val="21"/>
                <w:u w:val="single"/>
              </w:rPr>
              <w:t>1</w:t>
            </w:r>
          </w:p>
        </w:tc>
        <w:tc>
          <w:tcPr>
            <w:tcW w:w="323" w:type="pct"/>
            <w:shd w:val="clear" w:color="auto" w:fill="auto"/>
            <w:vAlign w:val="center"/>
          </w:tcPr>
          <w:p>
            <w:pPr>
              <w:pStyle w:val="63"/>
              <w:rPr>
                <w:szCs w:val="21"/>
                <w:u w:val="single"/>
              </w:rPr>
            </w:pPr>
            <w:r>
              <w:rPr>
                <w:szCs w:val="21"/>
                <w:u w:val="single"/>
              </w:rPr>
              <w:t>硫酸</w:t>
            </w:r>
          </w:p>
          <w:p>
            <w:pPr>
              <w:pStyle w:val="63"/>
              <w:rPr>
                <w:szCs w:val="21"/>
                <w:u w:val="single"/>
              </w:rPr>
            </w:pPr>
            <w:r>
              <w:rPr>
                <w:szCs w:val="21"/>
                <w:u w:val="single"/>
              </w:rPr>
              <w:t>（93%）</w:t>
            </w:r>
          </w:p>
        </w:tc>
        <w:tc>
          <w:tcPr>
            <w:tcW w:w="377" w:type="pct"/>
            <w:shd w:val="clear" w:color="auto" w:fill="auto"/>
            <w:vAlign w:val="center"/>
          </w:tcPr>
          <w:p>
            <w:pPr>
              <w:pStyle w:val="63"/>
              <w:rPr>
                <w:szCs w:val="21"/>
                <w:u w:val="single"/>
              </w:rPr>
            </w:pPr>
            <w:r>
              <w:rPr>
                <w:szCs w:val="21"/>
                <w:u w:val="single"/>
              </w:rPr>
              <w:t>7664-93-9</w:t>
            </w:r>
          </w:p>
        </w:tc>
        <w:tc>
          <w:tcPr>
            <w:tcW w:w="260" w:type="pct"/>
            <w:shd w:val="clear" w:color="auto" w:fill="auto"/>
            <w:vAlign w:val="center"/>
          </w:tcPr>
          <w:p>
            <w:pPr>
              <w:pStyle w:val="63"/>
              <w:rPr>
                <w:szCs w:val="21"/>
                <w:u w:val="single"/>
              </w:rPr>
            </w:pPr>
            <w:r>
              <w:rPr>
                <w:szCs w:val="21"/>
                <w:u w:val="single"/>
              </w:rPr>
              <w:t>10.37</w:t>
            </w:r>
          </w:p>
        </w:tc>
        <w:tc>
          <w:tcPr>
            <w:tcW w:w="338" w:type="pct"/>
            <w:shd w:val="clear" w:color="auto" w:fill="auto"/>
            <w:vAlign w:val="center"/>
          </w:tcPr>
          <w:p>
            <w:pPr>
              <w:pStyle w:val="63"/>
              <w:rPr>
                <w:szCs w:val="21"/>
                <w:u w:val="single"/>
              </w:rPr>
            </w:pPr>
            <w:r>
              <w:rPr>
                <w:szCs w:val="21"/>
                <w:u w:val="single"/>
              </w:rPr>
              <w:t>337</w:t>
            </w:r>
          </w:p>
        </w:tc>
        <w:tc>
          <w:tcPr>
            <w:tcW w:w="269" w:type="pct"/>
            <w:shd w:val="clear" w:color="auto" w:fill="auto"/>
            <w:vAlign w:val="center"/>
          </w:tcPr>
          <w:p>
            <w:pPr>
              <w:pStyle w:val="63"/>
              <w:rPr>
                <w:szCs w:val="21"/>
                <w:u w:val="single"/>
              </w:rPr>
            </w:pPr>
            <w:r>
              <w:rPr>
                <w:szCs w:val="21"/>
                <w:u w:val="single"/>
              </w:rPr>
              <w:t>—</w:t>
            </w:r>
          </w:p>
        </w:tc>
        <w:tc>
          <w:tcPr>
            <w:tcW w:w="296" w:type="pct"/>
            <w:shd w:val="clear" w:color="auto" w:fill="auto"/>
            <w:vAlign w:val="center"/>
          </w:tcPr>
          <w:p>
            <w:pPr>
              <w:pStyle w:val="63"/>
              <w:rPr>
                <w:szCs w:val="21"/>
                <w:u w:val="single"/>
              </w:rPr>
            </w:pPr>
            <w:r>
              <w:rPr>
                <w:szCs w:val="21"/>
                <w:u w:val="single"/>
              </w:rPr>
              <w:t>—</w:t>
            </w:r>
          </w:p>
        </w:tc>
        <w:tc>
          <w:tcPr>
            <w:tcW w:w="346" w:type="pct"/>
            <w:shd w:val="clear" w:color="auto" w:fill="auto"/>
            <w:vAlign w:val="center"/>
          </w:tcPr>
          <w:p>
            <w:pPr>
              <w:pStyle w:val="63"/>
              <w:rPr>
                <w:szCs w:val="21"/>
                <w:u w:val="single"/>
              </w:rPr>
            </w:pPr>
            <w:r>
              <w:rPr>
                <w:szCs w:val="21"/>
                <w:u w:val="single"/>
              </w:rPr>
              <w:t>—</w:t>
            </w:r>
          </w:p>
        </w:tc>
        <w:tc>
          <w:tcPr>
            <w:tcW w:w="458" w:type="pct"/>
            <w:shd w:val="clear" w:color="auto" w:fill="auto"/>
            <w:vAlign w:val="center"/>
          </w:tcPr>
          <w:p>
            <w:pPr>
              <w:pStyle w:val="63"/>
              <w:rPr>
                <w:szCs w:val="21"/>
                <w:u w:val="single"/>
              </w:rPr>
            </w:pPr>
            <w:r>
              <w:rPr>
                <w:szCs w:val="21"/>
                <w:u w:val="single"/>
              </w:rPr>
              <w:t>腐蚀性液体</w:t>
            </w:r>
          </w:p>
        </w:tc>
        <w:tc>
          <w:tcPr>
            <w:tcW w:w="324" w:type="pct"/>
            <w:shd w:val="clear" w:color="auto" w:fill="auto"/>
            <w:vAlign w:val="center"/>
          </w:tcPr>
          <w:p>
            <w:pPr>
              <w:pStyle w:val="63"/>
              <w:rPr>
                <w:szCs w:val="21"/>
                <w:u w:val="single"/>
              </w:rPr>
            </w:pPr>
            <w:r>
              <w:rPr>
                <w:szCs w:val="21"/>
                <w:u w:val="single"/>
              </w:rPr>
              <w:t>丙类</w:t>
            </w:r>
          </w:p>
        </w:tc>
        <w:tc>
          <w:tcPr>
            <w:tcW w:w="282" w:type="pct"/>
            <w:shd w:val="clear" w:color="auto" w:fill="auto"/>
            <w:vAlign w:val="center"/>
          </w:tcPr>
          <w:p>
            <w:pPr>
              <w:pStyle w:val="63"/>
              <w:rPr>
                <w:szCs w:val="21"/>
                <w:u w:val="single"/>
              </w:rPr>
            </w:pPr>
            <w:r>
              <w:rPr>
                <w:szCs w:val="21"/>
                <w:u w:val="single"/>
              </w:rPr>
              <w:t>中等毒</w:t>
            </w:r>
          </w:p>
        </w:tc>
        <w:tc>
          <w:tcPr>
            <w:tcW w:w="369" w:type="pct"/>
            <w:shd w:val="clear" w:color="auto" w:fill="auto"/>
            <w:vAlign w:val="center"/>
          </w:tcPr>
          <w:p>
            <w:pPr>
              <w:pStyle w:val="63"/>
              <w:rPr>
                <w:szCs w:val="21"/>
                <w:u w:val="single"/>
              </w:rPr>
            </w:pPr>
            <w:r>
              <w:rPr>
                <w:szCs w:val="21"/>
                <w:u w:val="single"/>
              </w:rPr>
              <w:t>2140</w:t>
            </w:r>
          </w:p>
        </w:tc>
        <w:tc>
          <w:tcPr>
            <w:tcW w:w="391" w:type="pct"/>
            <w:shd w:val="clear" w:color="auto" w:fill="auto"/>
            <w:vAlign w:val="center"/>
          </w:tcPr>
          <w:p>
            <w:pPr>
              <w:pStyle w:val="63"/>
              <w:rPr>
                <w:szCs w:val="21"/>
                <w:u w:val="single"/>
              </w:rPr>
            </w:pPr>
            <w:r>
              <w:rPr>
                <w:szCs w:val="21"/>
                <w:u w:val="single"/>
              </w:rPr>
              <w:t>510</w:t>
            </w:r>
          </w:p>
        </w:tc>
        <w:tc>
          <w:tcPr>
            <w:tcW w:w="330" w:type="pct"/>
            <w:shd w:val="clear" w:color="auto" w:fill="auto"/>
            <w:vAlign w:val="center"/>
          </w:tcPr>
          <w:p>
            <w:pPr>
              <w:pStyle w:val="63"/>
              <w:rPr>
                <w:szCs w:val="21"/>
                <w:u w:val="single"/>
              </w:rPr>
            </w:pPr>
            <w:r>
              <w:rPr>
                <w:szCs w:val="21"/>
                <w:u w:val="single"/>
              </w:rPr>
              <w:t>160*</w:t>
            </w:r>
          </w:p>
        </w:tc>
        <w:tc>
          <w:tcPr>
            <w:tcW w:w="314" w:type="pct"/>
            <w:shd w:val="clear" w:color="auto" w:fill="auto"/>
            <w:vAlign w:val="center"/>
          </w:tcPr>
          <w:p>
            <w:pPr>
              <w:pStyle w:val="63"/>
              <w:rPr>
                <w:szCs w:val="21"/>
                <w:u w:val="single"/>
              </w:rPr>
            </w:pPr>
            <w:r>
              <w:rPr>
                <w:szCs w:val="21"/>
                <w:u w:val="single"/>
              </w:rPr>
              <w:t>8.7*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23" w:type="pct"/>
            <w:shd w:val="clear" w:color="auto" w:fill="auto"/>
            <w:vAlign w:val="center"/>
          </w:tcPr>
          <w:p>
            <w:pPr>
              <w:pStyle w:val="63"/>
              <w:rPr>
                <w:szCs w:val="21"/>
                <w:u w:val="single"/>
              </w:rPr>
            </w:pPr>
            <w:r>
              <w:rPr>
                <w:szCs w:val="21"/>
                <w:u w:val="single"/>
              </w:rPr>
              <w:t>2</w:t>
            </w:r>
          </w:p>
        </w:tc>
        <w:tc>
          <w:tcPr>
            <w:tcW w:w="323" w:type="pct"/>
            <w:shd w:val="clear" w:color="auto" w:fill="auto"/>
            <w:vAlign w:val="center"/>
          </w:tcPr>
          <w:p>
            <w:pPr>
              <w:pStyle w:val="63"/>
              <w:rPr>
                <w:szCs w:val="21"/>
                <w:u w:val="single"/>
              </w:rPr>
            </w:pPr>
            <w:r>
              <w:rPr>
                <w:szCs w:val="21"/>
                <w:u w:val="single"/>
              </w:rPr>
              <w:t>260#磺化煤油</w:t>
            </w:r>
          </w:p>
        </w:tc>
        <w:tc>
          <w:tcPr>
            <w:tcW w:w="377" w:type="pct"/>
            <w:shd w:val="clear" w:color="auto" w:fill="auto"/>
            <w:vAlign w:val="center"/>
          </w:tcPr>
          <w:p>
            <w:pPr>
              <w:pStyle w:val="63"/>
              <w:rPr>
                <w:szCs w:val="21"/>
                <w:u w:val="single"/>
              </w:rPr>
            </w:pPr>
            <w:r>
              <w:rPr>
                <w:szCs w:val="21"/>
                <w:u w:val="single"/>
              </w:rPr>
              <w:t>—</w:t>
            </w:r>
          </w:p>
        </w:tc>
        <w:tc>
          <w:tcPr>
            <w:tcW w:w="260" w:type="pct"/>
            <w:shd w:val="clear" w:color="auto" w:fill="auto"/>
            <w:vAlign w:val="center"/>
          </w:tcPr>
          <w:p>
            <w:pPr>
              <w:pStyle w:val="63"/>
              <w:rPr>
                <w:szCs w:val="21"/>
                <w:u w:val="single"/>
              </w:rPr>
            </w:pPr>
            <w:r>
              <w:rPr>
                <w:szCs w:val="21"/>
                <w:u w:val="single"/>
              </w:rPr>
              <w:t>—</w:t>
            </w:r>
          </w:p>
        </w:tc>
        <w:tc>
          <w:tcPr>
            <w:tcW w:w="338" w:type="pct"/>
            <w:shd w:val="clear" w:color="auto" w:fill="auto"/>
            <w:vAlign w:val="center"/>
          </w:tcPr>
          <w:p>
            <w:pPr>
              <w:pStyle w:val="63"/>
              <w:rPr>
                <w:szCs w:val="21"/>
                <w:u w:val="single"/>
              </w:rPr>
            </w:pPr>
            <w:r>
              <w:rPr>
                <w:szCs w:val="21"/>
                <w:u w:val="single"/>
              </w:rPr>
              <w:t>—</w:t>
            </w:r>
          </w:p>
        </w:tc>
        <w:tc>
          <w:tcPr>
            <w:tcW w:w="269" w:type="pct"/>
            <w:shd w:val="clear" w:color="auto" w:fill="auto"/>
            <w:vAlign w:val="center"/>
          </w:tcPr>
          <w:p>
            <w:pPr>
              <w:pStyle w:val="63"/>
              <w:rPr>
                <w:szCs w:val="21"/>
                <w:u w:val="single"/>
              </w:rPr>
            </w:pPr>
            <w:r>
              <w:rPr>
                <w:szCs w:val="21"/>
                <w:u w:val="single"/>
              </w:rPr>
              <w:t>80</w:t>
            </w:r>
          </w:p>
        </w:tc>
        <w:tc>
          <w:tcPr>
            <w:tcW w:w="296" w:type="pct"/>
            <w:shd w:val="clear" w:color="auto" w:fill="auto"/>
            <w:vAlign w:val="center"/>
          </w:tcPr>
          <w:p>
            <w:pPr>
              <w:pStyle w:val="63"/>
              <w:rPr>
                <w:szCs w:val="21"/>
                <w:u w:val="single"/>
              </w:rPr>
            </w:pPr>
            <w:r>
              <w:rPr>
                <w:szCs w:val="21"/>
                <w:u w:val="single"/>
              </w:rPr>
              <w:t>—</w:t>
            </w:r>
          </w:p>
        </w:tc>
        <w:tc>
          <w:tcPr>
            <w:tcW w:w="346" w:type="pct"/>
            <w:shd w:val="clear" w:color="auto" w:fill="auto"/>
            <w:vAlign w:val="center"/>
          </w:tcPr>
          <w:p>
            <w:pPr>
              <w:pStyle w:val="63"/>
              <w:rPr>
                <w:szCs w:val="21"/>
                <w:u w:val="single"/>
              </w:rPr>
            </w:pPr>
            <w:r>
              <w:rPr>
                <w:szCs w:val="21"/>
                <w:u w:val="single"/>
              </w:rPr>
              <w:t>—</w:t>
            </w:r>
          </w:p>
        </w:tc>
        <w:tc>
          <w:tcPr>
            <w:tcW w:w="458" w:type="pct"/>
            <w:shd w:val="clear" w:color="auto" w:fill="auto"/>
            <w:vAlign w:val="center"/>
          </w:tcPr>
          <w:p>
            <w:pPr>
              <w:pStyle w:val="63"/>
              <w:rPr>
                <w:szCs w:val="21"/>
                <w:u w:val="single"/>
              </w:rPr>
            </w:pPr>
            <w:r>
              <w:rPr>
                <w:szCs w:val="21"/>
                <w:u w:val="single"/>
              </w:rPr>
              <w:t>易燃液体</w:t>
            </w:r>
          </w:p>
        </w:tc>
        <w:tc>
          <w:tcPr>
            <w:tcW w:w="324" w:type="pct"/>
            <w:shd w:val="clear" w:color="auto" w:fill="auto"/>
            <w:vAlign w:val="center"/>
          </w:tcPr>
          <w:p>
            <w:pPr>
              <w:pStyle w:val="63"/>
              <w:rPr>
                <w:szCs w:val="21"/>
                <w:u w:val="single"/>
              </w:rPr>
            </w:pPr>
            <w:r>
              <w:rPr>
                <w:szCs w:val="21"/>
                <w:u w:val="single"/>
              </w:rPr>
              <w:t>乙类</w:t>
            </w:r>
          </w:p>
        </w:tc>
        <w:tc>
          <w:tcPr>
            <w:tcW w:w="282" w:type="pct"/>
            <w:shd w:val="clear" w:color="auto" w:fill="auto"/>
            <w:vAlign w:val="center"/>
          </w:tcPr>
          <w:p>
            <w:pPr>
              <w:pStyle w:val="63"/>
              <w:rPr>
                <w:szCs w:val="21"/>
                <w:u w:val="single"/>
              </w:rPr>
            </w:pPr>
            <w:r>
              <w:rPr>
                <w:szCs w:val="21"/>
                <w:u w:val="single"/>
              </w:rPr>
              <w:t>微毒</w:t>
            </w:r>
          </w:p>
        </w:tc>
        <w:tc>
          <w:tcPr>
            <w:tcW w:w="369" w:type="pct"/>
            <w:shd w:val="clear" w:color="auto" w:fill="auto"/>
            <w:vAlign w:val="center"/>
          </w:tcPr>
          <w:p>
            <w:pPr>
              <w:pStyle w:val="63"/>
              <w:rPr>
                <w:szCs w:val="21"/>
                <w:u w:val="single"/>
              </w:rPr>
            </w:pPr>
            <w:r>
              <w:rPr>
                <w:szCs w:val="21"/>
                <w:u w:val="single"/>
              </w:rPr>
              <w:t>36000</w:t>
            </w:r>
          </w:p>
        </w:tc>
        <w:tc>
          <w:tcPr>
            <w:tcW w:w="391" w:type="pct"/>
            <w:shd w:val="clear" w:color="auto" w:fill="auto"/>
            <w:vAlign w:val="center"/>
          </w:tcPr>
          <w:p>
            <w:pPr>
              <w:pStyle w:val="63"/>
              <w:rPr>
                <w:szCs w:val="21"/>
                <w:u w:val="single"/>
              </w:rPr>
            </w:pPr>
            <w:r>
              <w:rPr>
                <w:szCs w:val="21"/>
                <w:u w:val="single"/>
              </w:rPr>
              <w:t>7072</w:t>
            </w:r>
          </w:p>
        </w:tc>
        <w:tc>
          <w:tcPr>
            <w:tcW w:w="330" w:type="pct"/>
            <w:shd w:val="clear" w:color="auto" w:fill="auto"/>
            <w:vAlign w:val="center"/>
          </w:tcPr>
          <w:p>
            <w:pPr>
              <w:pStyle w:val="63"/>
              <w:rPr>
                <w:szCs w:val="21"/>
                <w:u w:val="single"/>
              </w:rPr>
            </w:pPr>
            <w:r>
              <w:rPr>
                <w:szCs w:val="21"/>
                <w:u w:val="single"/>
              </w:rPr>
              <w:t>—</w:t>
            </w:r>
          </w:p>
        </w:tc>
        <w:tc>
          <w:tcPr>
            <w:tcW w:w="314" w:type="pct"/>
            <w:shd w:val="clear" w:color="auto" w:fill="auto"/>
            <w:vAlign w:val="center"/>
          </w:tcPr>
          <w:p>
            <w:pPr>
              <w:pStyle w:val="63"/>
              <w:rPr>
                <w:szCs w:val="21"/>
                <w:u w:val="single"/>
              </w:rPr>
            </w:pPr>
            <w:r>
              <w:rPr>
                <w:szCs w:val="21"/>
                <w:u w:val="singl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23" w:type="pct"/>
            <w:shd w:val="clear" w:color="auto" w:fill="auto"/>
            <w:vAlign w:val="center"/>
          </w:tcPr>
          <w:p>
            <w:pPr>
              <w:pStyle w:val="63"/>
              <w:rPr>
                <w:szCs w:val="21"/>
                <w:u w:val="single"/>
              </w:rPr>
            </w:pPr>
            <w:r>
              <w:rPr>
                <w:rFonts w:hint="eastAsia"/>
                <w:szCs w:val="21"/>
                <w:u w:val="single"/>
              </w:rPr>
              <w:t>3</w:t>
            </w:r>
          </w:p>
        </w:tc>
        <w:tc>
          <w:tcPr>
            <w:tcW w:w="323" w:type="pct"/>
            <w:shd w:val="clear" w:color="auto" w:fill="auto"/>
            <w:vAlign w:val="center"/>
          </w:tcPr>
          <w:p>
            <w:pPr>
              <w:pStyle w:val="63"/>
              <w:rPr>
                <w:szCs w:val="21"/>
                <w:u w:val="single"/>
              </w:rPr>
            </w:pPr>
            <w:r>
              <w:rPr>
                <w:szCs w:val="21"/>
                <w:u w:val="single"/>
              </w:rPr>
              <w:t>硫酸镍</w:t>
            </w:r>
          </w:p>
        </w:tc>
        <w:tc>
          <w:tcPr>
            <w:tcW w:w="377" w:type="pct"/>
            <w:shd w:val="clear" w:color="auto" w:fill="auto"/>
            <w:vAlign w:val="center"/>
          </w:tcPr>
          <w:p>
            <w:pPr>
              <w:pStyle w:val="63"/>
              <w:rPr>
                <w:szCs w:val="21"/>
                <w:u w:val="single"/>
              </w:rPr>
            </w:pPr>
            <w:r>
              <w:rPr>
                <w:szCs w:val="21"/>
                <w:u w:val="single"/>
              </w:rPr>
              <w:t>7786-81-4</w:t>
            </w:r>
          </w:p>
        </w:tc>
        <w:tc>
          <w:tcPr>
            <w:tcW w:w="260" w:type="pct"/>
            <w:shd w:val="clear" w:color="auto" w:fill="auto"/>
            <w:vAlign w:val="center"/>
          </w:tcPr>
          <w:p>
            <w:pPr>
              <w:pStyle w:val="63"/>
              <w:rPr>
                <w:szCs w:val="21"/>
                <w:u w:val="single"/>
              </w:rPr>
            </w:pPr>
            <w:r>
              <w:rPr>
                <w:szCs w:val="21"/>
                <w:u w:val="single"/>
              </w:rPr>
              <w:t>53</w:t>
            </w:r>
          </w:p>
        </w:tc>
        <w:tc>
          <w:tcPr>
            <w:tcW w:w="338" w:type="pct"/>
            <w:shd w:val="clear" w:color="auto" w:fill="auto"/>
            <w:vAlign w:val="center"/>
          </w:tcPr>
          <w:p>
            <w:pPr>
              <w:pStyle w:val="63"/>
              <w:rPr>
                <w:szCs w:val="21"/>
                <w:u w:val="single"/>
              </w:rPr>
            </w:pPr>
            <w:r>
              <w:rPr>
                <w:szCs w:val="21"/>
                <w:u w:val="single"/>
              </w:rPr>
              <w:t>840</w:t>
            </w:r>
          </w:p>
        </w:tc>
        <w:tc>
          <w:tcPr>
            <w:tcW w:w="269" w:type="pct"/>
            <w:shd w:val="clear" w:color="auto" w:fill="auto"/>
            <w:vAlign w:val="center"/>
          </w:tcPr>
          <w:p>
            <w:pPr>
              <w:pStyle w:val="63"/>
              <w:rPr>
                <w:szCs w:val="21"/>
                <w:u w:val="single"/>
              </w:rPr>
            </w:pPr>
            <w:r>
              <w:rPr>
                <w:szCs w:val="21"/>
                <w:u w:val="single"/>
              </w:rPr>
              <w:t>—</w:t>
            </w:r>
          </w:p>
        </w:tc>
        <w:tc>
          <w:tcPr>
            <w:tcW w:w="296" w:type="pct"/>
            <w:shd w:val="clear" w:color="auto" w:fill="auto"/>
            <w:vAlign w:val="center"/>
          </w:tcPr>
          <w:p>
            <w:pPr>
              <w:pStyle w:val="63"/>
              <w:rPr>
                <w:szCs w:val="21"/>
                <w:u w:val="single"/>
              </w:rPr>
            </w:pPr>
            <w:r>
              <w:rPr>
                <w:szCs w:val="21"/>
                <w:u w:val="single"/>
              </w:rPr>
              <w:t>—</w:t>
            </w:r>
          </w:p>
        </w:tc>
        <w:tc>
          <w:tcPr>
            <w:tcW w:w="346" w:type="pct"/>
            <w:shd w:val="clear" w:color="auto" w:fill="auto"/>
            <w:vAlign w:val="center"/>
          </w:tcPr>
          <w:p>
            <w:pPr>
              <w:pStyle w:val="63"/>
              <w:rPr>
                <w:szCs w:val="21"/>
                <w:u w:val="single"/>
              </w:rPr>
            </w:pPr>
            <w:r>
              <w:rPr>
                <w:szCs w:val="21"/>
                <w:u w:val="single"/>
              </w:rPr>
              <w:t>—</w:t>
            </w:r>
          </w:p>
        </w:tc>
        <w:tc>
          <w:tcPr>
            <w:tcW w:w="458" w:type="pct"/>
            <w:shd w:val="clear" w:color="auto" w:fill="auto"/>
            <w:vAlign w:val="center"/>
          </w:tcPr>
          <w:p>
            <w:pPr>
              <w:pStyle w:val="63"/>
              <w:rPr>
                <w:szCs w:val="21"/>
                <w:u w:val="single"/>
              </w:rPr>
            </w:pPr>
            <w:r>
              <w:rPr>
                <w:szCs w:val="21"/>
                <w:u w:val="single"/>
              </w:rPr>
              <w:t>刺激性</w:t>
            </w:r>
          </w:p>
        </w:tc>
        <w:tc>
          <w:tcPr>
            <w:tcW w:w="324" w:type="pct"/>
            <w:shd w:val="clear" w:color="auto" w:fill="auto"/>
            <w:vAlign w:val="center"/>
          </w:tcPr>
          <w:p>
            <w:pPr>
              <w:pStyle w:val="63"/>
              <w:rPr>
                <w:szCs w:val="21"/>
                <w:u w:val="single"/>
              </w:rPr>
            </w:pPr>
            <w:r>
              <w:rPr>
                <w:szCs w:val="21"/>
                <w:u w:val="single"/>
              </w:rPr>
              <w:t>丙类</w:t>
            </w:r>
          </w:p>
        </w:tc>
        <w:tc>
          <w:tcPr>
            <w:tcW w:w="282" w:type="pct"/>
            <w:shd w:val="clear" w:color="auto" w:fill="auto"/>
            <w:vAlign w:val="center"/>
          </w:tcPr>
          <w:p>
            <w:pPr>
              <w:pStyle w:val="63"/>
              <w:rPr>
                <w:szCs w:val="21"/>
                <w:u w:val="single"/>
              </w:rPr>
            </w:pPr>
            <w:r>
              <w:rPr>
                <w:szCs w:val="21"/>
                <w:u w:val="single"/>
              </w:rPr>
              <w:t>高毒</w:t>
            </w:r>
          </w:p>
        </w:tc>
        <w:tc>
          <w:tcPr>
            <w:tcW w:w="369" w:type="pct"/>
            <w:shd w:val="clear" w:color="auto" w:fill="auto"/>
            <w:vAlign w:val="center"/>
          </w:tcPr>
          <w:p>
            <w:pPr>
              <w:pStyle w:val="63"/>
              <w:rPr>
                <w:szCs w:val="21"/>
                <w:u w:val="single"/>
              </w:rPr>
            </w:pPr>
            <w:r>
              <w:rPr>
                <w:szCs w:val="21"/>
                <w:u w:val="single"/>
              </w:rPr>
              <w:t>—</w:t>
            </w:r>
          </w:p>
        </w:tc>
        <w:tc>
          <w:tcPr>
            <w:tcW w:w="391" w:type="pct"/>
            <w:shd w:val="clear" w:color="auto" w:fill="auto"/>
            <w:vAlign w:val="center"/>
          </w:tcPr>
          <w:p>
            <w:pPr>
              <w:pStyle w:val="63"/>
              <w:rPr>
                <w:szCs w:val="21"/>
                <w:u w:val="single"/>
              </w:rPr>
            </w:pPr>
            <w:r>
              <w:rPr>
                <w:szCs w:val="21"/>
                <w:u w:val="single"/>
              </w:rPr>
              <w:t>—</w:t>
            </w:r>
          </w:p>
        </w:tc>
        <w:tc>
          <w:tcPr>
            <w:tcW w:w="330" w:type="pct"/>
            <w:shd w:val="clear" w:color="auto" w:fill="auto"/>
            <w:vAlign w:val="center"/>
          </w:tcPr>
          <w:p>
            <w:pPr>
              <w:pStyle w:val="63"/>
              <w:rPr>
                <w:szCs w:val="21"/>
                <w:u w:val="single"/>
              </w:rPr>
            </w:pPr>
            <w:r>
              <w:rPr>
                <w:szCs w:val="21"/>
                <w:u w:val="single"/>
              </w:rPr>
              <w:t>51</w:t>
            </w:r>
          </w:p>
        </w:tc>
        <w:tc>
          <w:tcPr>
            <w:tcW w:w="314" w:type="pct"/>
            <w:shd w:val="clear" w:color="auto" w:fill="auto"/>
            <w:vAlign w:val="center"/>
          </w:tcPr>
          <w:p>
            <w:pPr>
              <w:pStyle w:val="63"/>
              <w:rPr>
                <w:szCs w:val="21"/>
                <w:u w:val="single"/>
              </w:rPr>
            </w:pPr>
            <w:r>
              <w:rPr>
                <w:szCs w:val="21"/>
                <w:u w:val="single"/>
              </w:rPr>
              <w:t>8.6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23" w:type="pct"/>
            <w:shd w:val="clear" w:color="auto" w:fill="auto"/>
            <w:vAlign w:val="center"/>
          </w:tcPr>
          <w:p>
            <w:pPr>
              <w:pStyle w:val="63"/>
              <w:rPr>
                <w:szCs w:val="21"/>
                <w:u w:val="single"/>
              </w:rPr>
            </w:pPr>
            <w:r>
              <w:rPr>
                <w:rFonts w:hint="eastAsia"/>
                <w:szCs w:val="21"/>
                <w:u w:val="single"/>
              </w:rPr>
              <w:t>4</w:t>
            </w:r>
          </w:p>
        </w:tc>
        <w:tc>
          <w:tcPr>
            <w:tcW w:w="323" w:type="pct"/>
            <w:shd w:val="clear" w:color="auto" w:fill="auto"/>
            <w:vAlign w:val="center"/>
          </w:tcPr>
          <w:p>
            <w:pPr>
              <w:pStyle w:val="63"/>
              <w:rPr>
                <w:szCs w:val="21"/>
                <w:u w:val="single"/>
              </w:rPr>
            </w:pPr>
            <w:r>
              <w:rPr>
                <w:rFonts w:hint="eastAsia"/>
                <w:szCs w:val="21"/>
                <w:u w:val="single"/>
              </w:rPr>
              <w:t>硫酸锰</w:t>
            </w:r>
          </w:p>
        </w:tc>
        <w:tc>
          <w:tcPr>
            <w:tcW w:w="377" w:type="pct"/>
            <w:shd w:val="clear" w:color="auto" w:fill="auto"/>
            <w:vAlign w:val="center"/>
          </w:tcPr>
          <w:p>
            <w:pPr>
              <w:pStyle w:val="63"/>
              <w:rPr>
                <w:szCs w:val="21"/>
                <w:u w:val="single"/>
              </w:rPr>
            </w:pPr>
            <w:r>
              <w:rPr>
                <w:szCs w:val="21"/>
                <w:u w:val="single"/>
              </w:rPr>
              <w:t>10034</w:t>
            </w:r>
            <w:r>
              <w:rPr>
                <w:rFonts w:hint="eastAsia"/>
                <w:szCs w:val="21"/>
                <w:u w:val="single"/>
              </w:rPr>
              <w:t>-</w:t>
            </w:r>
            <w:r>
              <w:rPr>
                <w:szCs w:val="21"/>
                <w:u w:val="single"/>
              </w:rPr>
              <w:t>96</w:t>
            </w:r>
            <w:r>
              <w:rPr>
                <w:rFonts w:hint="eastAsia"/>
                <w:szCs w:val="21"/>
                <w:u w:val="single"/>
              </w:rPr>
              <w:t>-</w:t>
            </w:r>
            <w:r>
              <w:rPr>
                <w:szCs w:val="21"/>
                <w:u w:val="single"/>
              </w:rPr>
              <w:t>5</w:t>
            </w:r>
          </w:p>
        </w:tc>
        <w:tc>
          <w:tcPr>
            <w:tcW w:w="260" w:type="pct"/>
            <w:shd w:val="clear" w:color="auto" w:fill="auto"/>
            <w:vAlign w:val="center"/>
          </w:tcPr>
          <w:p>
            <w:pPr>
              <w:pStyle w:val="63"/>
              <w:rPr>
                <w:szCs w:val="21"/>
                <w:u w:val="single"/>
              </w:rPr>
            </w:pPr>
            <w:r>
              <w:rPr>
                <w:rFonts w:hint="eastAsia"/>
                <w:szCs w:val="21"/>
                <w:u w:val="single"/>
              </w:rPr>
              <w:t>--</w:t>
            </w:r>
          </w:p>
        </w:tc>
        <w:tc>
          <w:tcPr>
            <w:tcW w:w="338" w:type="pct"/>
            <w:shd w:val="clear" w:color="auto" w:fill="auto"/>
            <w:vAlign w:val="center"/>
          </w:tcPr>
          <w:p>
            <w:pPr>
              <w:pStyle w:val="63"/>
              <w:rPr>
                <w:szCs w:val="21"/>
                <w:u w:val="single"/>
              </w:rPr>
            </w:pPr>
            <w:r>
              <w:rPr>
                <w:rFonts w:hint="eastAsia"/>
                <w:szCs w:val="21"/>
                <w:u w:val="single"/>
              </w:rPr>
              <w:t>7</w:t>
            </w:r>
            <w:r>
              <w:rPr>
                <w:szCs w:val="21"/>
                <w:u w:val="single"/>
              </w:rPr>
              <w:t>00</w:t>
            </w:r>
            <w:r>
              <w:rPr>
                <w:rFonts w:hint="eastAsia"/>
                <w:szCs w:val="21"/>
                <w:u w:val="single"/>
              </w:rPr>
              <w:t>-</w:t>
            </w:r>
          </w:p>
        </w:tc>
        <w:tc>
          <w:tcPr>
            <w:tcW w:w="269" w:type="pct"/>
            <w:shd w:val="clear" w:color="auto" w:fill="auto"/>
            <w:vAlign w:val="center"/>
          </w:tcPr>
          <w:p>
            <w:pPr>
              <w:pStyle w:val="63"/>
              <w:rPr>
                <w:szCs w:val="21"/>
                <w:u w:val="single"/>
              </w:rPr>
            </w:pPr>
            <w:r>
              <w:rPr>
                <w:szCs w:val="21"/>
                <w:u w:val="single"/>
              </w:rPr>
              <w:t>—</w:t>
            </w:r>
          </w:p>
        </w:tc>
        <w:tc>
          <w:tcPr>
            <w:tcW w:w="296" w:type="pct"/>
            <w:shd w:val="clear" w:color="auto" w:fill="auto"/>
            <w:vAlign w:val="center"/>
          </w:tcPr>
          <w:p>
            <w:pPr>
              <w:pStyle w:val="63"/>
              <w:rPr>
                <w:szCs w:val="21"/>
                <w:u w:val="single"/>
              </w:rPr>
            </w:pPr>
            <w:r>
              <w:rPr>
                <w:szCs w:val="21"/>
                <w:u w:val="single"/>
              </w:rPr>
              <w:t>—</w:t>
            </w:r>
          </w:p>
        </w:tc>
        <w:tc>
          <w:tcPr>
            <w:tcW w:w="346" w:type="pct"/>
            <w:shd w:val="clear" w:color="auto" w:fill="auto"/>
            <w:vAlign w:val="center"/>
          </w:tcPr>
          <w:p>
            <w:pPr>
              <w:pStyle w:val="63"/>
              <w:rPr>
                <w:szCs w:val="21"/>
                <w:u w:val="single"/>
              </w:rPr>
            </w:pPr>
            <w:r>
              <w:rPr>
                <w:rFonts w:hint="eastAsia"/>
                <w:szCs w:val="21"/>
                <w:u w:val="single"/>
              </w:rPr>
              <w:t>--</w:t>
            </w:r>
          </w:p>
        </w:tc>
        <w:tc>
          <w:tcPr>
            <w:tcW w:w="458" w:type="pct"/>
            <w:shd w:val="clear" w:color="auto" w:fill="auto"/>
            <w:vAlign w:val="center"/>
          </w:tcPr>
          <w:p>
            <w:pPr>
              <w:pStyle w:val="63"/>
              <w:rPr>
                <w:szCs w:val="21"/>
                <w:u w:val="single"/>
              </w:rPr>
            </w:pPr>
            <w:r>
              <w:rPr>
                <w:rFonts w:hint="eastAsia"/>
                <w:szCs w:val="21"/>
                <w:u w:val="single"/>
              </w:rPr>
              <w:t>--</w:t>
            </w:r>
          </w:p>
        </w:tc>
        <w:tc>
          <w:tcPr>
            <w:tcW w:w="324" w:type="pct"/>
            <w:shd w:val="clear" w:color="auto" w:fill="auto"/>
            <w:vAlign w:val="center"/>
          </w:tcPr>
          <w:p>
            <w:pPr>
              <w:pStyle w:val="63"/>
              <w:rPr>
                <w:szCs w:val="21"/>
                <w:u w:val="single"/>
              </w:rPr>
            </w:pPr>
            <w:r>
              <w:rPr>
                <w:rFonts w:hint="eastAsia"/>
                <w:szCs w:val="21"/>
                <w:u w:val="single"/>
              </w:rPr>
              <w:t>乙类</w:t>
            </w:r>
          </w:p>
        </w:tc>
        <w:tc>
          <w:tcPr>
            <w:tcW w:w="282" w:type="pct"/>
            <w:shd w:val="clear" w:color="auto" w:fill="auto"/>
            <w:vAlign w:val="center"/>
          </w:tcPr>
          <w:p>
            <w:pPr>
              <w:pStyle w:val="63"/>
              <w:rPr>
                <w:szCs w:val="21"/>
                <w:u w:val="single"/>
              </w:rPr>
            </w:pPr>
            <w:r>
              <w:rPr>
                <w:rFonts w:hint="eastAsia"/>
                <w:szCs w:val="21"/>
                <w:u w:val="single"/>
              </w:rPr>
              <w:t>中等毒</w:t>
            </w:r>
          </w:p>
        </w:tc>
        <w:tc>
          <w:tcPr>
            <w:tcW w:w="369" w:type="pct"/>
            <w:shd w:val="clear" w:color="auto" w:fill="auto"/>
            <w:vAlign w:val="center"/>
          </w:tcPr>
          <w:p>
            <w:pPr>
              <w:pStyle w:val="63"/>
              <w:rPr>
                <w:szCs w:val="21"/>
                <w:u w:val="single"/>
              </w:rPr>
            </w:pPr>
            <w:r>
              <w:rPr>
                <w:rFonts w:hint="eastAsia"/>
                <w:szCs w:val="21"/>
                <w:u w:val="single"/>
              </w:rPr>
              <w:t>6</w:t>
            </w:r>
            <w:r>
              <w:rPr>
                <w:szCs w:val="21"/>
                <w:u w:val="single"/>
              </w:rPr>
              <w:t>4</w:t>
            </w:r>
          </w:p>
        </w:tc>
        <w:tc>
          <w:tcPr>
            <w:tcW w:w="391" w:type="pct"/>
            <w:shd w:val="clear" w:color="auto" w:fill="auto"/>
            <w:vAlign w:val="center"/>
          </w:tcPr>
          <w:p>
            <w:pPr>
              <w:pStyle w:val="63"/>
              <w:rPr>
                <w:szCs w:val="21"/>
                <w:u w:val="single"/>
              </w:rPr>
            </w:pPr>
            <w:r>
              <w:rPr>
                <w:szCs w:val="21"/>
                <w:u w:val="single"/>
              </w:rPr>
              <w:t>—</w:t>
            </w:r>
          </w:p>
        </w:tc>
        <w:tc>
          <w:tcPr>
            <w:tcW w:w="330" w:type="pct"/>
            <w:shd w:val="clear" w:color="auto" w:fill="auto"/>
            <w:vAlign w:val="center"/>
          </w:tcPr>
          <w:p>
            <w:pPr>
              <w:pStyle w:val="63"/>
              <w:rPr>
                <w:szCs w:val="21"/>
                <w:u w:val="single"/>
              </w:rPr>
            </w:pPr>
            <w:r>
              <w:rPr>
                <w:szCs w:val="21"/>
                <w:u w:val="single"/>
              </w:rPr>
              <w:t>—</w:t>
            </w:r>
          </w:p>
        </w:tc>
        <w:tc>
          <w:tcPr>
            <w:tcW w:w="314" w:type="pct"/>
            <w:shd w:val="clear" w:color="auto" w:fill="auto"/>
            <w:vAlign w:val="center"/>
          </w:tcPr>
          <w:p>
            <w:pPr>
              <w:pStyle w:val="63"/>
              <w:rPr>
                <w:szCs w:val="21"/>
                <w:u w:val="single"/>
              </w:rPr>
            </w:pPr>
            <w:r>
              <w:rPr>
                <w:szCs w:val="21"/>
                <w:u w:val="singl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23" w:type="pct"/>
            <w:shd w:val="clear" w:color="auto" w:fill="auto"/>
            <w:vAlign w:val="center"/>
          </w:tcPr>
          <w:p>
            <w:pPr>
              <w:pStyle w:val="63"/>
              <w:rPr>
                <w:szCs w:val="21"/>
                <w:u w:val="single"/>
              </w:rPr>
            </w:pPr>
            <w:r>
              <w:rPr>
                <w:rFonts w:hint="eastAsia"/>
                <w:szCs w:val="21"/>
                <w:u w:val="single"/>
              </w:rPr>
              <w:t>5</w:t>
            </w:r>
          </w:p>
        </w:tc>
        <w:tc>
          <w:tcPr>
            <w:tcW w:w="323" w:type="pct"/>
            <w:shd w:val="clear" w:color="auto" w:fill="auto"/>
            <w:vAlign w:val="center"/>
          </w:tcPr>
          <w:p>
            <w:pPr>
              <w:pStyle w:val="63"/>
              <w:rPr>
                <w:szCs w:val="21"/>
                <w:u w:val="single"/>
              </w:rPr>
            </w:pPr>
            <w:r>
              <w:rPr>
                <w:szCs w:val="21"/>
                <w:u w:val="single"/>
              </w:rPr>
              <w:t>CO</w:t>
            </w:r>
          </w:p>
        </w:tc>
        <w:tc>
          <w:tcPr>
            <w:tcW w:w="377" w:type="pct"/>
            <w:shd w:val="clear" w:color="auto" w:fill="auto"/>
            <w:vAlign w:val="center"/>
          </w:tcPr>
          <w:p>
            <w:pPr>
              <w:pStyle w:val="63"/>
              <w:rPr>
                <w:szCs w:val="21"/>
                <w:u w:val="single"/>
              </w:rPr>
            </w:pPr>
            <w:r>
              <w:rPr>
                <w:szCs w:val="21"/>
                <w:u w:val="single"/>
              </w:rPr>
              <w:t>630-08-0</w:t>
            </w:r>
          </w:p>
        </w:tc>
        <w:tc>
          <w:tcPr>
            <w:tcW w:w="260" w:type="pct"/>
            <w:shd w:val="clear" w:color="auto" w:fill="auto"/>
            <w:vAlign w:val="center"/>
          </w:tcPr>
          <w:p>
            <w:pPr>
              <w:pStyle w:val="63"/>
              <w:rPr>
                <w:szCs w:val="21"/>
                <w:u w:val="single"/>
              </w:rPr>
            </w:pPr>
            <w:r>
              <w:rPr>
                <w:szCs w:val="21"/>
                <w:u w:val="single"/>
              </w:rPr>
              <w:t>-205</w:t>
            </w:r>
          </w:p>
        </w:tc>
        <w:tc>
          <w:tcPr>
            <w:tcW w:w="338" w:type="pct"/>
            <w:shd w:val="clear" w:color="auto" w:fill="auto"/>
            <w:vAlign w:val="center"/>
          </w:tcPr>
          <w:p>
            <w:pPr>
              <w:pStyle w:val="63"/>
              <w:rPr>
                <w:szCs w:val="21"/>
                <w:u w:val="single"/>
              </w:rPr>
            </w:pPr>
            <w:r>
              <w:rPr>
                <w:szCs w:val="21"/>
                <w:u w:val="single"/>
              </w:rPr>
              <w:t>-191.5</w:t>
            </w:r>
          </w:p>
        </w:tc>
        <w:tc>
          <w:tcPr>
            <w:tcW w:w="269" w:type="pct"/>
            <w:shd w:val="clear" w:color="auto" w:fill="auto"/>
            <w:vAlign w:val="center"/>
          </w:tcPr>
          <w:p>
            <w:pPr>
              <w:pStyle w:val="63"/>
              <w:rPr>
                <w:szCs w:val="21"/>
                <w:u w:val="single"/>
              </w:rPr>
            </w:pPr>
            <w:r>
              <w:rPr>
                <w:szCs w:val="21"/>
                <w:u w:val="single"/>
              </w:rPr>
              <w:t>＜-50</w:t>
            </w:r>
          </w:p>
        </w:tc>
        <w:tc>
          <w:tcPr>
            <w:tcW w:w="296" w:type="pct"/>
            <w:shd w:val="clear" w:color="auto" w:fill="auto"/>
            <w:vAlign w:val="center"/>
          </w:tcPr>
          <w:p>
            <w:pPr>
              <w:pStyle w:val="63"/>
              <w:rPr>
                <w:szCs w:val="21"/>
                <w:u w:val="single"/>
              </w:rPr>
            </w:pPr>
            <w:r>
              <w:rPr>
                <w:szCs w:val="21"/>
                <w:u w:val="single"/>
              </w:rPr>
              <w:t>610</w:t>
            </w:r>
          </w:p>
        </w:tc>
        <w:tc>
          <w:tcPr>
            <w:tcW w:w="346" w:type="pct"/>
            <w:shd w:val="clear" w:color="auto" w:fill="auto"/>
            <w:vAlign w:val="center"/>
          </w:tcPr>
          <w:p>
            <w:pPr>
              <w:pStyle w:val="63"/>
              <w:rPr>
                <w:szCs w:val="21"/>
                <w:u w:val="single"/>
              </w:rPr>
            </w:pPr>
            <w:r>
              <w:rPr>
                <w:szCs w:val="21"/>
                <w:u w:val="single"/>
              </w:rPr>
              <w:t>12.5-74.2</w:t>
            </w:r>
          </w:p>
        </w:tc>
        <w:tc>
          <w:tcPr>
            <w:tcW w:w="458" w:type="pct"/>
            <w:shd w:val="clear" w:color="auto" w:fill="auto"/>
            <w:vAlign w:val="center"/>
          </w:tcPr>
          <w:p>
            <w:pPr>
              <w:pStyle w:val="63"/>
              <w:rPr>
                <w:szCs w:val="21"/>
                <w:u w:val="single"/>
              </w:rPr>
            </w:pPr>
            <w:r>
              <w:rPr>
                <w:szCs w:val="21"/>
                <w:u w:val="single"/>
              </w:rPr>
              <w:t>有毒气体易燃气体</w:t>
            </w:r>
          </w:p>
        </w:tc>
        <w:tc>
          <w:tcPr>
            <w:tcW w:w="324" w:type="pct"/>
            <w:shd w:val="clear" w:color="auto" w:fill="auto"/>
            <w:vAlign w:val="center"/>
          </w:tcPr>
          <w:p>
            <w:pPr>
              <w:pStyle w:val="63"/>
              <w:rPr>
                <w:szCs w:val="21"/>
                <w:u w:val="single"/>
              </w:rPr>
            </w:pPr>
            <w:r>
              <w:rPr>
                <w:szCs w:val="21"/>
                <w:u w:val="single"/>
              </w:rPr>
              <w:t>乙类</w:t>
            </w:r>
          </w:p>
        </w:tc>
        <w:tc>
          <w:tcPr>
            <w:tcW w:w="282" w:type="pct"/>
            <w:shd w:val="clear" w:color="auto" w:fill="auto"/>
            <w:vAlign w:val="center"/>
          </w:tcPr>
          <w:p>
            <w:pPr>
              <w:pStyle w:val="63"/>
              <w:rPr>
                <w:szCs w:val="21"/>
                <w:u w:val="single"/>
              </w:rPr>
            </w:pPr>
            <w:r>
              <w:rPr>
                <w:szCs w:val="21"/>
                <w:u w:val="single"/>
              </w:rPr>
              <w:t>中等毒</w:t>
            </w:r>
          </w:p>
        </w:tc>
        <w:tc>
          <w:tcPr>
            <w:tcW w:w="369" w:type="pct"/>
            <w:shd w:val="clear" w:color="auto" w:fill="auto"/>
            <w:vAlign w:val="center"/>
          </w:tcPr>
          <w:p>
            <w:pPr>
              <w:pStyle w:val="63"/>
              <w:rPr>
                <w:szCs w:val="21"/>
                <w:u w:val="single"/>
              </w:rPr>
            </w:pPr>
            <w:r>
              <w:rPr>
                <w:szCs w:val="21"/>
                <w:u w:val="single"/>
              </w:rPr>
              <w:t>—</w:t>
            </w:r>
          </w:p>
        </w:tc>
        <w:tc>
          <w:tcPr>
            <w:tcW w:w="391" w:type="pct"/>
            <w:shd w:val="clear" w:color="auto" w:fill="auto"/>
            <w:vAlign w:val="center"/>
          </w:tcPr>
          <w:p>
            <w:pPr>
              <w:pStyle w:val="63"/>
              <w:rPr>
                <w:szCs w:val="21"/>
                <w:u w:val="single"/>
              </w:rPr>
            </w:pPr>
            <w:r>
              <w:rPr>
                <w:szCs w:val="21"/>
                <w:u w:val="single"/>
              </w:rPr>
              <w:t>1807</w:t>
            </w:r>
          </w:p>
        </w:tc>
        <w:tc>
          <w:tcPr>
            <w:tcW w:w="330" w:type="pct"/>
            <w:shd w:val="clear" w:color="auto" w:fill="auto"/>
            <w:vAlign w:val="center"/>
          </w:tcPr>
          <w:p>
            <w:pPr>
              <w:pStyle w:val="63"/>
              <w:rPr>
                <w:szCs w:val="21"/>
                <w:u w:val="single"/>
              </w:rPr>
            </w:pPr>
            <w:r>
              <w:rPr>
                <w:szCs w:val="21"/>
                <w:u w:val="single"/>
              </w:rPr>
              <w:t>380</w:t>
            </w:r>
          </w:p>
        </w:tc>
        <w:tc>
          <w:tcPr>
            <w:tcW w:w="314" w:type="pct"/>
            <w:shd w:val="clear" w:color="auto" w:fill="auto"/>
            <w:vAlign w:val="center"/>
          </w:tcPr>
          <w:p>
            <w:pPr>
              <w:pStyle w:val="63"/>
              <w:rPr>
                <w:szCs w:val="21"/>
                <w:u w:val="single"/>
              </w:rPr>
            </w:pPr>
            <w:r>
              <w:rPr>
                <w:szCs w:val="21"/>
                <w:u w:val="single"/>
              </w:rPr>
              <w:t>95</w:t>
            </w:r>
          </w:p>
        </w:tc>
      </w:tr>
    </w:tbl>
    <w:p>
      <w:pPr>
        <w:spacing w:line="360" w:lineRule="auto"/>
        <w:ind w:firstLine="480" w:firstLineChars="200"/>
        <w:rPr>
          <w:rFonts w:ascii="Times New Roman" w:hAnsi="Times New Roman" w:cs="Times New Roman"/>
        </w:rPr>
        <w:sectPr>
          <w:pgSz w:w="16840" w:h="11907" w:orient="landscape"/>
          <w:pgMar w:top="1797" w:right="1440" w:bottom="1797" w:left="1440" w:header="964" w:footer="851" w:gutter="0"/>
          <w:cols w:space="720" w:num="1"/>
          <w:docGrid w:linePitch="311" w:charSpace="0"/>
        </w:sectPr>
      </w:pPr>
    </w:p>
    <w:p>
      <w:pPr>
        <w:pStyle w:val="4"/>
        <w:rPr>
          <w:rFonts w:ascii="Times New Roman" w:hAnsi="Times New Roman" w:cs="Times New Roman"/>
        </w:rPr>
      </w:pPr>
      <w:bookmarkStart w:id="432" w:name="_Toc144236835"/>
      <w:bookmarkStart w:id="433" w:name="_Toc144276965"/>
      <w:bookmarkStart w:id="434" w:name="_Toc147848083"/>
      <w:r>
        <w:rPr>
          <w:rFonts w:ascii="Times New Roman" w:hAnsi="Times New Roman" w:cs="Times New Roman"/>
        </w:rPr>
        <w:t>7.4.3 生产系统危险性识别</w:t>
      </w:r>
      <w:bookmarkEnd w:id="432"/>
      <w:bookmarkEnd w:id="433"/>
      <w:bookmarkEnd w:id="434"/>
    </w:p>
    <w:p>
      <w:pPr>
        <w:spacing w:line="360" w:lineRule="auto"/>
        <w:ind w:firstLine="480" w:firstLineChars="200"/>
        <w:rPr>
          <w:rFonts w:ascii="Times New Roman" w:hAnsi="Times New Roman" w:cs="Times New Roman"/>
        </w:rPr>
      </w:pPr>
      <w:r>
        <w:rPr>
          <w:rFonts w:ascii="Times New Roman" w:hAnsi="Times New Roman" w:cs="Times New Roman"/>
        </w:rPr>
        <w:t>各生产车间和辅助生产设备中涉及的设备、管道、阀门等设施可能发生泄漏，如各种原辅材料和产品以及副产品、废水输送管道及贮存等设施发生泄漏；停电、设备故障、工作人员违章操作、误操作可能造成生产线不正常运转，发生溢流、倾泻等，从而引起局域毒性或腐蚀性的化学品泄漏，对周边水体及地下水造成影响；装置和储罐区发生火灾、爆炸等事故，硫酸泄漏对周边水体及地下水造成影响，火灾爆炸产生的二次污染物对大气造成影响。</w:t>
      </w:r>
    </w:p>
    <w:p>
      <w:pPr>
        <w:spacing w:line="360" w:lineRule="auto"/>
        <w:ind w:firstLine="480" w:firstLineChars="200"/>
        <w:rPr>
          <w:rFonts w:ascii="Times New Roman" w:hAnsi="Times New Roman" w:cs="Times New Roman"/>
        </w:rPr>
      </w:pPr>
      <w:r>
        <w:rPr>
          <w:rFonts w:ascii="Times New Roman" w:hAnsi="Times New Roman" w:cs="Times New Roman"/>
        </w:rPr>
        <w:t>本项目废气的收集及处理设施出现故障或者操作失误，导致收集、处理失效、引起废气的事故性排放，进而污染周边水体和大气。</w:t>
      </w:r>
    </w:p>
    <w:p>
      <w:pPr>
        <w:pStyle w:val="4"/>
        <w:rPr>
          <w:rFonts w:ascii="Times New Roman" w:hAnsi="Times New Roman" w:cs="Times New Roman"/>
        </w:rPr>
      </w:pPr>
      <w:bookmarkStart w:id="435" w:name="_Toc144276966"/>
      <w:bookmarkStart w:id="436" w:name="_Toc144236836"/>
      <w:bookmarkStart w:id="437" w:name="_Toc147848084"/>
      <w:r>
        <w:rPr>
          <w:rFonts w:ascii="Times New Roman" w:hAnsi="Times New Roman" w:cs="Times New Roman"/>
        </w:rPr>
        <w:t>7.4.4 生产工艺过程风险识别</w:t>
      </w:r>
      <w:bookmarkEnd w:id="435"/>
      <w:bookmarkEnd w:id="436"/>
      <w:bookmarkEnd w:id="437"/>
    </w:p>
    <w:p>
      <w:pPr>
        <w:spacing w:line="360" w:lineRule="auto"/>
        <w:ind w:firstLine="480" w:firstLineChars="200"/>
        <w:rPr>
          <w:rFonts w:ascii="Times New Roman" w:hAnsi="Times New Roman" w:cs="Times New Roman"/>
        </w:rPr>
      </w:pPr>
      <w:r>
        <w:rPr>
          <w:rFonts w:ascii="Times New Roman" w:hAnsi="Times New Roman" w:cs="Times New Roman"/>
        </w:rPr>
        <w:t>工程生产过程中存在的危险因素主要是有害化学品泄漏和火灾、爆炸，另外还存在可造成腐蚀、电气伤害、机械伤害等事故的危险因素。</w:t>
      </w:r>
    </w:p>
    <w:p>
      <w:pPr>
        <w:spacing w:line="360" w:lineRule="auto"/>
        <w:ind w:firstLine="480" w:firstLineChars="200"/>
        <w:rPr>
          <w:rFonts w:ascii="Times New Roman" w:hAnsi="Times New Roman" w:cs="Times New Roman"/>
        </w:rPr>
      </w:pPr>
      <w:r>
        <w:rPr>
          <w:rFonts w:ascii="Times New Roman" w:hAnsi="Times New Roman" w:cs="Times New Roman"/>
        </w:rPr>
        <w:t>（1）化学毒物危害</w:t>
      </w:r>
    </w:p>
    <w:p>
      <w:pPr>
        <w:spacing w:line="360" w:lineRule="auto"/>
        <w:ind w:firstLine="480" w:firstLineChars="200"/>
        <w:rPr>
          <w:rFonts w:ascii="Times New Roman" w:hAnsi="Times New Roman" w:cs="Times New Roman"/>
        </w:rPr>
      </w:pPr>
      <w:r>
        <w:rPr>
          <w:rFonts w:ascii="Times New Roman" w:hAnsi="Times New Roman" w:cs="Times New Roman"/>
        </w:rPr>
        <w:t>浓硫酸主要存在于酸浸工序的酸浸槽，萃取工序的萃取槽和储罐区，如发生泄漏，会造成作业场所人员及区域环境化学毒物的危害。</w:t>
      </w:r>
    </w:p>
    <w:p>
      <w:pPr>
        <w:spacing w:line="360" w:lineRule="auto"/>
        <w:ind w:firstLine="480" w:firstLineChars="200"/>
        <w:rPr>
          <w:rFonts w:ascii="Times New Roman" w:hAnsi="Times New Roman" w:cs="Times New Roman"/>
        </w:rPr>
      </w:pPr>
      <w:r>
        <w:rPr>
          <w:rFonts w:ascii="Times New Roman" w:hAnsi="Times New Roman" w:cs="Times New Roman"/>
        </w:rPr>
        <w:t>（2）火灾爆炸危险</w:t>
      </w:r>
    </w:p>
    <w:p>
      <w:pPr>
        <w:spacing w:line="360" w:lineRule="auto"/>
        <w:ind w:firstLine="480" w:firstLineChars="200"/>
        <w:rPr>
          <w:rFonts w:ascii="Times New Roman" w:hAnsi="Times New Roman" w:cs="Times New Roman"/>
        </w:rPr>
      </w:pPr>
      <w:r>
        <w:rPr>
          <w:rFonts w:ascii="Times New Roman" w:hAnsi="Times New Roman" w:cs="Times New Roman"/>
        </w:rPr>
        <w:t>磺化煤油具有强挥发性，如遇明火、高热能引起燃烧爆炸的危险。</w:t>
      </w:r>
    </w:p>
    <w:p>
      <w:pPr>
        <w:spacing w:line="360" w:lineRule="auto"/>
        <w:ind w:firstLine="480" w:firstLineChars="200"/>
        <w:rPr>
          <w:rFonts w:ascii="Times New Roman" w:hAnsi="Times New Roman" w:cs="Times New Roman"/>
        </w:rPr>
      </w:pPr>
      <w:r>
        <w:rPr>
          <w:rFonts w:ascii="Times New Roman" w:hAnsi="Times New Roman" w:cs="Times New Roman"/>
        </w:rPr>
        <w:t>（3）腐蚀危害</w:t>
      </w:r>
    </w:p>
    <w:p>
      <w:pPr>
        <w:spacing w:line="360" w:lineRule="auto"/>
        <w:ind w:firstLine="480" w:firstLineChars="200"/>
        <w:rPr>
          <w:rFonts w:ascii="Times New Roman" w:hAnsi="Times New Roman" w:cs="Times New Roman"/>
        </w:rPr>
      </w:pPr>
      <w:r>
        <w:rPr>
          <w:rFonts w:ascii="Times New Roman" w:hAnsi="Times New Roman" w:cs="Times New Roman"/>
        </w:rPr>
        <w:t>浓硫酸、氢氧化钠溶液具有强腐蚀危害。全厂中含有大量酸、碱和重金属，如反应槽、储槽及管道发生破裂，将造成有毒重金属酸性或碱性液体泄漏，具有腐蚀危害。</w:t>
      </w:r>
    </w:p>
    <w:p>
      <w:pPr>
        <w:spacing w:line="360" w:lineRule="auto"/>
        <w:ind w:firstLine="480" w:firstLineChars="200"/>
        <w:rPr>
          <w:rFonts w:ascii="Times New Roman" w:hAnsi="Times New Roman" w:cs="Times New Roman"/>
        </w:rPr>
      </w:pPr>
      <w:r>
        <w:rPr>
          <w:rFonts w:ascii="Times New Roman" w:hAnsi="Times New Roman" w:cs="Times New Roman"/>
        </w:rPr>
        <w:t>（4）贮运风险</w:t>
      </w:r>
    </w:p>
    <w:p>
      <w:pPr>
        <w:spacing w:line="360" w:lineRule="auto"/>
        <w:ind w:firstLine="480" w:firstLineChars="200"/>
        <w:rPr>
          <w:rFonts w:ascii="Times New Roman" w:hAnsi="Times New Roman" w:cs="Times New Roman"/>
        </w:rPr>
      </w:pPr>
      <w:r>
        <w:rPr>
          <w:rFonts w:ascii="Times New Roman" w:hAnsi="Times New Roman" w:cs="Times New Roman"/>
        </w:rPr>
        <w:t>工程使用的浓硫酸、液碱及磺化煤油等化学品外购获得，在运输过程中存在因交通事故引起浓硫酸、液碱及磺化煤油泄漏的危险。</w:t>
      </w:r>
      <w:r>
        <w:rPr>
          <w:rFonts w:hint="eastAsia" w:ascii="Times New Roman" w:hAnsi="Times New Roman" w:cs="Times New Roman"/>
        </w:rPr>
        <w:t>工程产品硫酸镍、硫酸钴在生产输送过程中存在因管道破裂事故引起重金属泄漏的危险。</w:t>
      </w:r>
    </w:p>
    <w:p>
      <w:pPr>
        <w:pStyle w:val="4"/>
        <w:rPr>
          <w:rFonts w:ascii="Times New Roman" w:hAnsi="Times New Roman" w:cs="Times New Roman"/>
        </w:rPr>
      </w:pPr>
      <w:bookmarkStart w:id="438" w:name="_Toc144236837"/>
      <w:bookmarkStart w:id="439" w:name="_Toc144276967"/>
      <w:bookmarkStart w:id="440" w:name="_Toc147848085"/>
      <w:r>
        <w:rPr>
          <w:rFonts w:ascii="Times New Roman" w:hAnsi="Times New Roman" w:cs="Times New Roman"/>
        </w:rPr>
        <w:t>7.4.5 储运过程环境风险识别</w:t>
      </w:r>
      <w:bookmarkEnd w:id="438"/>
      <w:bookmarkEnd w:id="439"/>
      <w:bookmarkEnd w:id="440"/>
    </w:p>
    <w:p>
      <w:pPr>
        <w:spacing w:line="360" w:lineRule="auto"/>
        <w:ind w:firstLine="480" w:firstLineChars="200"/>
        <w:rPr>
          <w:rFonts w:ascii="Times New Roman" w:hAnsi="Times New Roman" w:cs="Times New Roman"/>
        </w:rPr>
      </w:pPr>
      <w:r>
        <w:rPr>
          <w:rFonts w:ascii="Times New Roman" w:hAnsi="Times New Roman" w:cs="Times New Roman"/>
        </w:rPr>
        <w:t>项目使用的浓硫酸、液碱、磺化煤油以及各类萃取剂等主均从生产厂家采购，从厂区外采购的危险品物料，由销售方的专用车辆送到本项目厂区卸货入库，从销售地到项目厂区，车辆沿途可能经桥梁、隧道等路段，路况较复杂，一旦发生交通事故或罐体泄漏等情况，泄漏入水会对周边地表水环境产生污染影响。</w:t>
      </w:r>
    </w:p>
    <w:p>
      <w:pPr>
        <w:spacing w:line="360" w:lineRule="auto"/>
        <w:ind w:firstLine="480" w:firstLineChars="200"/>
        <w:rPr>
          <w:rFonts w:ascii="Times New Roman" w:hAnsi="Times New Roman" w:cs="Times New Roman"/>
        </w:rPr>
      </w:pPr>
      <w:r>
        <w:rPr>
          <w:rFonts w:ascii="Times New Roman" w:hAnsi="Times New Roman" w:cs="Times New Roman"/>
        </w:rPr>
        <w:t>储罐区的危险化学品在储存过程中因设备自然老化、检修不及时、装卸及工艺操作不当、人为破坏、自然灾害等原因，将导致储罐、物料输送管道、阀门、接头或法兰产生裂纹、开裂或破损，发生危险化学品泄漏突发环境事件，使作业场所人员、周边居民及区域环境受到化学品腐蚀和中毒危害。</w:t>
      </w:r>
    </w:p>
    <w:p>
      <w:pPr>
        <w:spacing w:line="360" w:lineRule="auto"/>
        <w:ind w:firstLine="480" w:firstLineChars="200"/>
        <w:rPr>
          <w:rFonts w:ascii="Times New Roman" w:hAnsi="Times New Roman" w:cs="Times New Roman"/>
        </w:rPr>
      </w:pPr>
      <w:r>
        <w:rPr>
          <w:rFonts w:ascii="Times New Roman" w:hAnsi="Times New Roman" w:cs="Times New Roman"/>
        </w:rPr>
        <w:t>本项目使用了多种危险化学品，如硫酸、磺化煤油、P204和P507等，生产过程中因设备故障、中间料液槽罐破裂、管道破裂、火灾或操作不当等将可能导致危险化学品发生泄漏，对车间环境和区域 大气环境造成污染，影响企业生产员工、周边企业员工和居民的身体健康。</w:t>
      </w:r>
    </w:p>
    <w:p>
      <w:pPr>
        <w:pStyle w:val="4"/>
        <w:rPr>
          <w:rFonts w:ascii="Times New Roman" w:hAnsi="Times New Roman" w:cs="Times New Roman"/>
        </w:rPr>
      </w:pPr>
      <w:bookmarkStart w:id="441" w:name="_Toc144276968"/>
      <w:bookmarkStart w:id="442" w:name="_Toc147848086"/>
      <w:bookmarkStart w:id="443" w:name="_Toc144236838"/>
      <w:r>
        <w:rPr>
          <w:rFonts w:ascii="Times New Roman" w:hAnsi="Times New Roman" w:cs="Times New Roman"/>
        </w:rPr>
        <w:t>7.4.6 环保工程环境风险识别</w:t>
      </w:r>
      <w:bookmarkEnd w:id="441"/>
      <w:bookmarkEnd w:id="442"/>
      <w:bookmarkEnd w:id="443"/>
    </w:p>
    <w:p>
      <w:pPr>
        <w:spacing w:line="360" w:lineRule="auto"/>
        <w:ind w:firstLine="480" w:firstLineChars="200"/>
        <w:rPr>
          <w:rFonts w:ascii="Times New Roman" w:hAnsi="Times New Roman" w:cs="Times New Roman"/>
        </w:rPr>
      </w:pPr>
      <w:r>
        <w:rPr>
          <w:rFonts w:ascii="Times New Roman" w:hAnsi="Times New Roman" w:cs="Times New Roman"/>
        </w:rPr>
        <w:t>（1）废气处理设施</w:t>
      </w:r>
    </w:p>
    <w:p>
      <w:pPr>
        <w:spacing w:line="360" w:lineRule="auto"/>
        <w:ind w:firstLine="480" w:firstLineChars="200"/>
        <w:rPr>
          <w:rFonts w:ascii="Times New Roman" w:hAnsi="Times New Roman" w:cs="Times New Roman"/>
        </w:rPr>
      </w:pPr>
      <w:r>
        <w:rPr>
          <w:rFonts w:ascii="Times New Roman" w:hAnsi="Times New Roman" w:cs="Times New Roman"/>
        </w:rPr>
        <w:t>本项目厂区处理废气主要为有组织收集废气，主要为有机废气、酸性废气及含尘废气，各股废气均采用相应废气处理措施处理后通过排气筒排放。若发生设施断电、风机故障、处理效率下降等均可能导致大气污染物事故排放，对环境空气会造成影响，使一定范围内大气质量浓度超标，影响周边人员的身体健康，污染物也会随着自然降雨污染地表径流，并影响土壤。因此，项目废气处理设施为潜在环境风险源。</w:t>
      </w:r>
    </w:p>
    <w:p>
      <w:pPr>
        <w:spacing w:line="360" w:lineRule="auto"/>
        <w:ind w:firstLine="480" w:firstLineChars="200"/>
        <w:rPr>
          <w:rFonts w:ascii="Times New Roman" w:hAnsi="Times New Roman" w:cs="Times New Roman"/>
        </w:rPr>
      </w:pPr>
      <w:r>
        <w:rPr>
          <w:rFonts w:ascii="Times New Roman" w:hAnsi="Times New Roman" w:cs="Times New Roman"/>
        </w:rPr>
        <w:t>（2）废水处理设施</w:t>
      </w:r>
    </w:p>
    <w:p>
      <w:pPr>
        <w:spacing w:line="360" w:lineRule="auto"/>
        <w:ind w:firstLine="480" w:firstLineChars="200"/>
        <w:rPr>
          <w:rFonts w:ascii="Times New Roman" w:hAnsi="Times New Roman" w:cs="Times New Roman"/>
        </w:rPr>
      </w:pPr>
      <w:r>
        <w:rPr>
          <w:rFonts w:ascii="Times New Roman" w:hAnsi="Times New Roman" w:cs="Times New Roman"/>
        </w:rPr>
        <w:t>本项目生产废水、初期雨水经处理后全部回用，不外排；生活污水经化粪池处理后排入园区污水管网。因此项目废水处理设施不为风险源。</w:t>
      </w:r>
    </w:p>
    <w:p>
      <w:pPr>
        <w:spacing w:line="360" w:lineRule="auto"/>
        <w:ind w:firstLine="480" w:firstLineChars="200"/>
        <w:rPr>
          <w:rFonts w:ascii="Times New Roman" w:hAnsi="Times New Roman" w:cs="Times New Roman"/>
        </w:rPr>
      </w:pPr>
      <w:r>
        <w:rPr>
          <w:rFonts w:ascii="Times New Roman" w:hAnsi="Times New Roman" w:cs="Times New Roman"/>
        </w:rPr>
        <w:t>（3）危险废物暂存间</w:t>
      </w:r>
    </w:p>
    <w:p>
      <w:pPr>
        <w:spacing w:line="360" w:lineRule="auto"/>
        <w:ind w:firstLine="480" w:firstLineChars="200"/>
        <w:rPr>
          <w:rFonts w:ascii="Times New Roman" w:hAnsi="Times New Roman" w:cs="Times New Roman"/>
        </w:rPr>
      </w:pPr>
      <w:r>
        <w:rPr>
          <w:rFonts w:ascii="Times New Roman" w:hAnsi="Times New Roman" w:cs="Times New Roman"/>
        </w:rPr>
        <w:t>本项目危险废物暂存间会存放废油等危险废物，其中液态危险废物一般为桶装暂存，存在泄漏的风险，若恰逢固废暂存间地面防渗层破损，将会下渗污染土壤和地下水环境。因此，危险废物暂存间为潜在环境风险源。</w:t>
      </w:r>
    </w:p>
    <w:p>
      <w:pPr>
        <w:pStyle w:val="4"/>
        <w:rPr>
          <w:rFonts w:ascii="Times New Roman" w:hAnsi="Times New Roman" w:cs="Times New Roman"/>
          <w:u w:val="single"/>
        </w:rPr>
      </w:pPr>
      <w:bookmarkStart w:id="444" w:name="_Toc144276969"/>
      <w:bookmarkStart w:id="445" w:name="_Toc147848087"/>
      <w:bookmarkStart w:id="446" w:name="_Toc144236839"/>
      <w:r>
        <w:rPr>
          <w:rFonts w:ascii="Times New Roman" w:hAnsi="Times New Roman" w:cs="Times New Roman"/>
          <w:u w:val="single"/>
        </w:rPr>
        <w:t>7.4.7 风险识别结果</w:t>
      </w:r>
      <w:bookmarkEnd w:id="444"/>
      <w:bookmarkEnd w:id="445"/>
      <w:bookmarkEnd w:id="446"/>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本项目风险识别结果见下表。</w:t>
      </w:r>
    </w:p>
    <w:p>
      <w:pPr>
        <w:pStyle w:val="6"/>
        <w:rPr>
          <w:rFonts w:ascii="Times New Roman" w:hAnsi="Times New Roman" w:cs="Times New Roman"/>
          <w:u w:val="single"/>
        </w:rPr>
      </w:pPr>
      <w:r>
        <w:rPr>
          <w:rFonts w:ascii="Times New Roman" w:hAnsi="Times New Roman" w:cs="Times New Roman"/>
          <w:u w:val="single"/>
        </w:rPr>
        <w:t>表7.4-3  建设项目环境风险识别表</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848"/>
        <w:gridCol w:w="1119"/>
        <w:gridCol w:w="1069"/>
        <w:gridCol w:w="1369"/>
        <w:gridCol w:w="990"/>
        <w:gridCol w:w="1747"/>
        <w:gridCol w:w="119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509" w:type="pct"/>
            <w:shd w:val="clear" w:color="auto" w:fill="auto"/>
            <w:vAlign w:val="center"/>
          </w:tcPr>
          <w:p>
            <w:pPr>
              <w:pStyle w:val="63"/>
              <w:rPr>
                <w:u w:val="single"/>
              </w:rPr>
            </w:pPr>
            <w:r>
              <w:rPr>
                <w:u w:val="single"/>
              </w:rPr>
              <w:t>单元</w:t>
            </w:r>
          </w:p>
        </w:tc>
        <w:tc>
          <w:tcPr>
            <w:tcW w:w="671" w:type="pct"/>
            <w:shd w:val="clear" w:color="auto" w:fill="auto"/>
            <w:vAlign w:val="center"/>
          </w:tcPr>
          <w:p>
            <w:pPr>
              <w:pStyle w:val="63"/>
              <w:rPr>
                <w:u w:val="single"/>
              </w:rPr>
            </w:pPr>
            <w:r>
              <w:rPr>
                <w:u w:val="single"/>
              </w:rPr>
              <w:t>危险单元</w:t>
            </w:r>
          </w:p>
        </w:tc>
        <w:tc>
          <w:tcPr>
            <w:tcW w:w="641" w:type="pct"/>
            <w:shd w:val="clear" w:color="auto" w:fill="auto"/>
            <w:vAlign w:val="center"/>
          </w:tcPr>
          <w:p>
            <w:pPr>
              <w:pStyle w:val="63"/>
              <w:rPr>
                <w:u w:val="single"/>
              </w:rPr>
            </w:pPr>
            <w:r>
              <w:rPr>
                <w:u w:val="single"/>
              </w:rPr>
              <w:t>风险源</w:t>
            </w:r>
          </w:p>
        </w:tc>
        <w:tc>
          <w:tcPr>
            <w:tcW w:w="821" w:type="pct"/>
            <w:shd w:val="clear" w:color="auto" w:fill="auto"/>
            <w:vAlign w:val="center"/>
          </w:tcPr>
          <w:p>
            <w:pPr>
              <w:pStyle w:val="63"/>
              <w:rPr>
                <w:u w:val="single"/>
              </w:rPr>
            </w:pPr>
            <w:r>
              <w:rPr>
                <w:u w:val="single"/>
              </w:rPr>
              <w:t>主要物质</w:t>
            </w:r>
          </w:p>
        </w:tc>
        <w:tc>
          <w:tcPr>
            <w:tcW w:w="594" w:type="pct"/>
            <w:shd w:val="clear" w:color="auto" w:fill="auto"/>
            <w:vAlign w:val="center"/>
          </w:tcPr>
          <w:p>
            <w:pPr>
              <w:pStyle w:val="63"/>
              <w:rPr>
                <w:u w:val="single"/>
              </w:rPr>
            </w:pPr>
            <w:r>
              <w:rPr>
                <w:u w:val="single"/>
              </w:rPr>
              <w:t>环境风险</w:t>
            </w:r>
          </w:p>
          <w:p>
            <w:pPr>
              <w:pStyle w:val="63"/>
              <w:rPr>
                <w:u w:val="single"/>
              </w:rPr>
            </w:pPr>
            <w:r>
              <w:rPr>
                <w:u w:val="single"/>
              </w:rPr>
              <w:t>类型</w:t>
            </w:r>
          </w:p>
        </w:tc>
        <w:tc>
          <w:tcPr>
            <w:tcW w:w="1048" w:type="pct"/>
            <w:shd w:val="clear" w:color="auto" w:fill="auto"/>
            <w:vAlign w:val="center"/>
          </w:tcPr>
          <w:p>
            <w:pPr>
              <w:pStyle w:val="63"/>
              <w:rPr>
                <w:u w:val="single"/>
              </w:rPr>
            </w:pPr>
            <w:r>
              <w:rPr>
                <w:u w:val="single"/>
              </w:rPr>
              <w:t>环境影响途径</w:t>
            </w:r>
          </w:p>
        </w:tc>
        <w:tc>
          <w:tcPr>
            <w:tcW w:w="716" w:type="pct"/>
            <w:shd w:val="clear" w:color="auto" w:fill="auto"/>
            <w:vAlign w:val="center"/>
          </w:tcPr>
          <w:p>
            <w:pPr>
              <w:pStyle w:val="63"/>
              <w:rPr>
                <w:u w:val="single"/>
              </w:rPr>
            </w:pPr>
            <w:r>
              <w:rPr>
                <w:u w:val="single"/>
              </w:rPr>
              <w:t>可能受影响的环境敏感目标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9" w:type="pct"/>
            <w:vMerge w:val="restart"/>
            <w:shd w:val="clear" w:color="auto" w:fill="auto"/>
            <w:vAlign w:val="center"/>
          </w:tcPr>
          <w:p>
            <w:pPr>
              <w:pStyle w:val="63"/>
              <w:rPr>
                <w:u w:val="single"/>
              </w:rPr>
            </w:pPr>
            <w:r>
              <w:rPr>
                <w:u w:val="single"/>
              </w:rPr>
              <w:t>生产装置</w:t>
            </w:r>
          </w:p>
        </w:tc>
        <w:tc>
          <w:tcPr>
            <w:tcW w:w="671" w:type="pct"/>
            <w:shd w:val="clear" w:color="auto" w:fill="auto"/>
            <w:vAlign w:val="center"/>
          </w:tcPr>
          <w:p>
            <w:pPr>
              <w:pStyle w:val="63"/>
              <w:rPr>
                <w:u w:val="single"/>
              </w:rPr>
            </w:pPr>
            <w:r>
              <w:rPr>
                <w:u w:val="single"/>
              </w:rPr>
              <w:t>浸出车间</w:t>
            </w:r>
          </w:p>
        </w:tc>
        <w:tc>
          <w:tcPr>
            <w:tcW w:w="641" w:type="pct"/>
            <w:shd w:val="clear" w:color="auto" w:fill="auto"/>
            <w:vAlign w:val="center"/>
          </w:tcPr>
          <w:p>
            <w:pPr>
              <w:pStyle w:val="63"/>
              <w:rPr>
                <w:u w:val="single"/>
              </w:rPr>
            </w:pPr>
            <w:r>
              <w:rPr>
                <w:u w:val="single"/>
              </w:rPr>
              <w:t>浸出槽</w:t>
            </w:r>
          </w:p>
        </w:tc>
        <w:tc>
          <w:tcPr>
            <w:tcW w:w="821" w:type="pct"/>
            <w:shd w:val="clear" w:color="auto" w:fill="auto"/>
            <w:vAlign w:val="center"/>
          </w:tcPr>
          <w:p>
            <w:pPr>
              <w:pStyle w:val="63"/>
              <w:rPr>
                <w:u w:val="single"/>
              </w:rPr>
            </w:pPr>
            <w:r>
              <w:rPr>
                <w:u w:val="single"/>
              </w:rPr>
              <w:t>硫酸</w:t>
            </w:r>
          </w:p>
        </w:tc>
        <w:tc>
          <w:tcPr>
            <w:tcW w:w="594" w:type="pct"/>
            <w:shd w:val="clear" w:color="auto" w:fill="auto"/>
            <w:vAlign w:val="center"/>
          </w:tcPr>
          <w:p>
            <w:pPr>
              <w:pStyle w:val="63"/>
              <w:rPr>
                <w:u w:val="single"/>
              </w:rPr>
            </w:pPr>
            <w:r>
              <w:rPr>
                <w:u w:val="single"/>
              </w:rPr>
              <w:t>泄漏</w:t>
            </w:r>
          </w:p>
        </w:tc>
        <w:tc>
          <w:tcPr>
            <w:tcW w:w="1048" w:type="pct"/>
            <w:shd w:val="clear" w:color="auto" w:fill="auto"/>
            <w:vAlign w:val="center"/>
          </w:tcPr>
          <w:p>
            <w:pPr>
              <w:pStyle w:val="63"/>
              <w:rPr>
                <w:u w:val="single"/>
              </w:rPr>
            </w:pPr>
            <w:r>
              <w:rPr>
                <w:u w:val="single"/>
              </w:rPr>
              <w:t>槽体破裂泄漏致外</w:t>
            </w:r>
          </w:p>
          <w:p>
            <w:pPr>
              <w:pStyle w:val="63"/>
              <w:rPr>
                <w:u w:val="single"/>
              </w:rPr>
            </w:pPr>
            <w:r>
              <w:rPr>
                <w:u w:val="single"/>
              </w:rPr>
              <w:t>环境，引起火灾爆炸</w:t>
            </w:r>
          </w:p>
        </w:tc>
        <w:tc>
          <w:tcPr>
            <w:tcW w:w="716" w:type="pct"/>
            <w:vMerge w:val="restart"/>
            <w:shd w:val="clear" w:color="auto" w:fill="auto"/>
            <w:vAlign w:val="center"/>
          </w:tcPr>
          <w:p>
            <w:pPr>
              <w:pStyle w:val="63"/>
              <w:rPr>
                <w:u w:val="single"/>
              </w:rPr>
            </w:pPr>
            <w:r>
              <w:rPr>
                <w:u w:val="single"/>
              </w:rPr>
              <w:t>（1）评价范围内居民敏感目标；（2）地表水体倒流沟、颍河；（3）评价范围内土壤和地下水；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9" w:type="pct"/>
            <w:vMerge w:val="continue"/>
            <w:shd w:val="clear" w:color="auto" w:fill="auto"/>
            <w:vAlign w:val="center"/>
          </w:tcPr>
          <w:p>
            <w:pPr>
              <w:pStyle w:val="63"/>
              <w:rPr>
                <w:u w:val="single"/>
              </w:rPr>
            </w:pPr>
          </w:p>
        </w:tc>
        <w:tc>
          <w:tcPr>
            <w:tcW w:w="671" w:type="pct"/>
            <w:shd w:val="clear" w:color="auto" w:fill="auto"/>
            <w:vAlign w:val="center"/>
          </w:tcPr>
          <w:p>
            <w:pPr>
              <w:pStyle w:val="63"/>
              <w:rPr>
                <w:u w:val="single"/>
              </w:rPr>
            </w:pPr>
            <w:r>
              <w:rPr>
                <w:u w:val="single"/>
              </w:rPr>
              <w:t>萃取车间</w:t>
            </w:r>
          </w:p>
        </w:tc>
        <w:tc>
          <w:tcPr>
            <w:tcW w:w="641" w:type="pct"/>
            <w:shd w:val="clear" w:color="auto" w:fill="auto"/>
            <w:vAlign w:val="center"/>
          </w:tcPr>
          <w:p>
            <w:pPr>
              <w:pStyle w:val="63"/>
              <w:rPr>
                <w:u w:val="single"/>
              </w:rPr>
            </w:pPr>
            <w:r>
              <w:rPr>
                <w:u w:val="single"/>
              </w:rPr>
              <w:t>萃取槽</w:t>
            </w:r>
          </w:p>
        </w:tc>
        <w:tc>
          <w:tcPr>
            <w:tcW w:w="821" w:type="pct"/>
            <w:shd w:val="clear" w:color="auto" w:fill="auto"/>
            <w:vAlign w:val="center"/>
          </w:tcPr>
          <w:p>
            <w:pPr>
              <w:pStyle w:val="63"/>
              <w:rPr>
                <w:u w:val="single"/>
              </w:rPr>
            </w:pPr>
            <w:r>
              <w:rPr>
                <w:u w:val="single"/>
              </w:rPr>
              <w:t>硫酸、260#磺化煤油</w:t>
            </w:r>
          </w:p>
        </w:tc>
        <w:tc>
          <w:tcPr>
            <w:tcW w:w="594" w:type="pct"/>
            <w:shd w:val="clear" w:color="auto" w:fill="auto"/>
            <w:vAlign w:val="center"/>
          </w:tcPr>
          <w:p>
            <w:pPr>
              <w:pStyle w:val="63"/>
              <w:rPr>
                <w:u w:val="single"/>
              </w:rPr>
            </w:pPr>
            <w:r>
              <w:rPr>
                <w:u w:val="single"/>
              </w:rPr>
              <w:t>泄漏、火</w:t>
            </w:r>
          </w:p>
          <w:p>
            <w:pPr>
              <w:pStyle w:val="63"/>
              <w:rPr>
                <w:u w:val="single"/>
              </w:rPr>
            </w:pPr>
            <w:r>
              <w:rPr>
                <w:u w:val="single"/>
              </w:rPr>
              <w:t>灾、爆炸</w:t>
            </w:r>
          </w:p>
        </w:tc>
        <w:tc>
          <w:tcPr>
            <w:tcW w:w="1048" w:type="pct"/>
            <w:shd w:val="clear" w:color="auto" w:fill="auto"/>
            <w:vAlign w:val="center"/>
          </w:tcPr>
          <w:p>
            <w:pPr>
              <w:pStyle w:val="63"/>
              <w:rPr>
                <w:u w:val="single"/>
              </w:rPr>
            </w:pPr>
            <w:r>
              <w:rPr>
                <w:u w:val="single"/>
              </w:rPr>
              <w:t>萃取槽破裂泄漏致</w:t>
            </w:r>
          </w:p>
          <w:p>
            <w:pPr>
              <w:pStyle w:val="63"/>
              <w:rPr>
                <w:u w:val="single"/>
              </w:rPr>
            </w:pPr>
            <w:r>
              <w:rPr>
                <w:u w:val="single"/>
              </w:rPr>
              <w:t>外环境，引起中毒及火灾爆炸</w:t>
            </w:r>
          </w:p>
        </w:tc>
        <w:tc>
          <w:tcPr>
            <w:tcW w:w="716" w:type="pct"/>
            <w:vMerge w:val="continue"/>
            <w:shd w:val="clear" w:color="auto" w:fill="auto"/>
            <w:vAlign w:val="center"/>
          </w:tcPr>
          <w:p>
            <w:pPr>
              <w:pStyle w:val="63"/>
              <w:rPr>
                <w:u w:val="singl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9" w:type="pct"/>
            <w:vMerge w:val="continue"/>
            <w:shd w:val="clear" w:color="auto" w:fill="auto"/>
            <w:vAlign w:val="center"/>
          </w:tcPr>
          <w:p>
            <w:pPr>
              <w:pStyle w:val="63"/>
              <w:rPr>
                <w:u w:val="single"/>
              </w:rPr>
            </w:pPr>
          </w:p>
        </w:tc>
        <w:tc>
          <w:tcPr>
            <w:tcW w:w="671" w:type="pct"/>
            <w:shd w:val="clear" w:color="auto" w:fill="auto"/>
            <w:vAlign w:val="center"/>
          </w:tcPr>
          <w:p>
            <w:pPr>
              <w:pStyle w:val="63"/>
              <w:rPr>
                <w:u w:val="single"/>
              </w:rPr>
            </w:pPr>
            <w:r>
              <w:rPr>
                <w:rFonts w:hint="eastAsia"/>
                <w:u w:val="single"/>
              </w:rPr>
              <w:t>成品车间</w:t>
            </w:r>
          </w:p>
        </w:tc>
        <w:tc>
          <w:tcPr>
            <w:tcW w:w="641" w:type="pct"/>
            <w:shd w:val="clear" w:color="auto" w:fill="auto"/>
            <w:vAlign w:val="center"/>
          </w:tcPr>
          <w:p>
            <w:pPr>
              <w:pStyle w:val="63"/>
              <w:rPr>
                <w:u w:val="single"/>
              </w:rPr>
            </w:pPr>
            <w:r>
              <w:rPr>
                <w:rFonts w:hint="eastAsia"/>
                <w:u w:val="single"/>
              </w:rPr>
              <w:t>硫酸镍、硫酸锰存放区</w:t>
            </w:r>
          </w:p>
        </w:tc>
        <w:tc>
          <w:tcPr>
            <w:tcW w:w="821" w:type="pct"/>
            <w:shd w:val="clear" w:color="auto" w:fill="auto"/>
            <w:vAlign w:val="center"/>
          </w:tcPr>
          <w:p>
            <w:pPr>
              <w:pStyle w:val="63"/>
              <w:rPr>
                <w:u w:val="single"/>
              </w:rPr>
            </w:pPr>
            <w:r>
              <w:rPr>
                <w:u w:val="single"/>
              </w:rPr>
              <w:t>硫酸镍</w:t>
            </w:r>
            <w:r>
              <w:rPr>
                <w:rFonts w:hint="eastAsia"/>
                <w:u w:val="single"/>
              </w:rPr>
              <w:t>、硫酸锰</w:t>
            </w:r>
          </w:p>
        </w:tc>
        <w:tc>
          <w:tcPr>
            <w:tcW w:w="594" w:type="pct"/>
            <w:shd w:val="clear" w:color="auto" w:fill="auto"/>
            <w:vAlign w:val="center"/>
          </w:tcPr>
          <w:p>
            <w:pPr>
              <w:pStyle w:val="63"/>
              <w:rPr>
                <w:u w:val="single"/>
              </w:rPr>
            </w:pPr>
            <w:r>
              <w:rPr>
                <w:u w:val="single"/>
              </w:rPr>
              <w:t>泄漏</w:t>
            </w:r>
          </w:p>
        </w:tc>
        <w:tc>
          <w:tcPr>
            <w:tcW w:w="1048" w:type="pct"/>
            <w:shd w:val="clear" w:color="auto" w:fill="auto"/>
            <w:vAlign w:val="center"/>
          </w:tcPr>
          <w:p>
            <w:pPr>
              <w:pStyle w:val="63"/>
              <w:rPr>
                <w:u w:val="single"/>
              </w:rPr>
            </w:pPr>
            <w:r>
              <w:rPr>
                <w:rFonts w:hint="eastAsia"/>
                <w:u w:val="single"/>
              </w:rPr>
              <w:t>泄漏至外环境，引起中毒</w:t>
            </w:r>
          </w:p>
        </w:tc>
        <w:tc>
          <w:tcPr>
            <w:tcW w:w="716" w:type="pct"/>
            <w:vMerge w:val="continue"/>
            <w:shd w:val="clear" w:color="auto" w:fill="auto"/>
            <w:vAlign w:val="center"/>
          </w:tcPr>
          <w:p>
            <w:pPr>
              <w:pStyle w:val="63"/>
              <w:rPr>
                <w:u w:val="singl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9" w:type="pct"/>
            <w:shd w:val="clear" w:color="auto" w:fill="auto"/>
            <w:vAlign w:val="center"/>
          </w:tcPr>
          <w:p>
            <w:pPr>
              <w:pStyle w:val="63"/>
              <w:rPr>
                <w:u w:val="single"/>
              </w:rPr>
            </w:pPr>
            <w:r>
              <w:rPr>
                <w:u w:val="single"/>
              </w:rPr>
              <w:t>贮存系统</w:t>
            </w:r>
          </w:p>
        </w:tc>
        <w:tc>
          <w:tcPr>
            <w:tcW w:w="671" w:type="pct"/>
            <w:shd w:val="clear" w:color="auto" w:fill="auto"/>
            <w:vAlign w:val="center"/>
          </w:tcPr>
          <w:p>
            <w:pPr>
              <w:pStyle w:val="63"/>
              <w:rPr>
                <w:u w:val="single"/>
              </w:rPr>
            </w:pPr>
            <w:r>
              <w:rPr>
                <w:u w:val="single"/>
              </w:rPr>
              <w:t>储罐区</w:t>
            </w:r>
          </w:p>
        </w:tc>
        <w:tc>
          <w:tcPr>
            <w:tcW w:w="641" w:type="pct"/>
            <w:shd w:val="clear" w:color="auto" w:fill="auto"/>
            <w:vAlign w:val="center"/>
          </w:tcPr>
          <w:p>
            <w:pPr>
              <w:pStyle w:val="63"/>
              <w:rPr>
                <w:u w:val="single"/>
              </w:rPr>
            </w:pPr>
            <w:r>
              <w:rPr>
                <w:u w:val="single"/>
              </w:rPr>
              <w:t>储罐</w:t>
            </w:r>
          </w:p>
        </w:tc>
        <w:tc>
          <w:tcPr>
            <w:tcW w:w="821" w:type="pct"/>
            <w:shd w:val="clear" w:color="auto" w:fill="auto"/>
            <w:vAlign w:val="center"/>
          </w:tcPr>
          <w:p>
            <w:pPr>
              <w:pStyle w:val="63"/>
              <w:rPr>
                <w:u w:val="single"/>
              </w:rPr>
            </w:pPr>
            <w:r>
              <w:rPr>
                <w:u w:val="single"/>
              </w:rPr>
              <w:t>硫酸</w:t>
            </w:r>
          </w:p>
        </w:tc>
        <w:tc>
          <w:tcPr>
            <w:tcW w:w="594" w:type="pct"/>
            <w:shd w:val="clear" w:color="auto" w:fill="auto"/>
            <w:vAlign w:val="center"/>
          </w:tcPr>
          <w:p>
            <w:pPr>
              <w:pStyle w:val="63"/>
              <w:rPr>
                <w:u w:val="single"/>
              </w:rPr>
            </w:pPr>
            <w:r>
              <w:rPr>
                <w:u w:val="single"/>
              </w:rPr>
              <w:t>泄漏</w:t>
            </w:r>
          </w:p>
        </w:tc>
        <w:tc>
          <w:tcPr>
            <w:tcW w:w="1048" w:type="pct"/>
            <w:shd w:val="clear" w:color="auto" w:fill="auto"/>
            <w:vAlign w:val="center"/>
          </w:tcPr>
          <w:p>
            <w:pPr>
              <w:pStyle w:val="63"/>
              <w:rPr>
                <w:u w:val="single"/>
              </w:rPr>
            </w:pPr>
            <w:r>
              <w:rPr>
                <w:u w:val="single"/>
              </w:rPr>
              <w:t>储罐泄漏泄漏致外环境，引起中毒</w:t>
            </w:r>
          </w:p>
        </w:tc>
        <w:tc>
          <w:tcPr>
            <w:tcW w:w="716" w:type="pct"/>
            <w:vMerge w:val="continue"/>
            <w:shd w:val="clear" w:color="auto" w:fill="auto"/>
            <w:vAlign w:val="center"/>
          </w:tcPr>
          <w:p>
            <w:pPr>
              <w:pStyle w:val="63"/>
              <w:rPr>
                <w:u w:val="singl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9" w:type="pct"/>
            <w:vMerge w:val="restart"/>
            <w:shd w:val="clear" w:color="auto" w:fill="auto"/>
            <w:vAlign w:val="center"/>
          </w:tcPr>
          <w:p>
            <w:pPr>
              <w:pStyle w:val="63"/>
              <w:rPr>
                <w:u w:val="single"/>
              </w:rPr>
            </w:pPr>
            <w:r>
              <w:rPr>
                <w:u w:val="single"/>
              </w:rPr>
              <w:t>输送系统</w:t>
            </w:r>
          </w:p>
        </w:tc>
        <w:tc>
          <w:tcPr>
            <w:tcW w:w="671" w:type="pct"/>
            <w:shd w:val="clear" w:color="auto" w:fill="auto"/>
            <w:vAlign w:val="center"/>
          </w:tcPr>
          <w:p>
            <w:pPr>
              <w:pStyle w:val="63"/>
              <w:rPr>
                <w:u w:val="single"/>
              </w:rPr>
            </w:pPr>
            <w:r>
              <w:rPr>
                <w:u w:val="single"/>
              </w:rPr>
              <w:t>天然气管道</w:t>
            </w:r>
          </w:p>
        </w:tc>
        <w:tc>
          <w:tcPr>
            <w:tcW w:w="641" w:type="pct"/>
            <w:shd w:val="clear" w:color="auto" w:fill="auto"/>
            <w:vAlign w:val="center"/>
          </w:tcPr>
          <w:p>
            <w:pPr>
              <w:pStyle w:val="63"/>
              <w:rPr>
                <w:u w:val="single"/>
              </w:rPr>
            </w:pPr>
            <w:r>
              <w:rPr>
                <w:u w:val="single"/>
              </w:rPr>
              <w:t>管道</w:t>
            </w:r>
          </w:p>
        </w:tc>
        <w:tc>
          <w:tcPr>
            <w:tcW w:w="821" w:type="pct"/>
            <w:shd w:val="clear" w:color="auto" w:fill="auto"/>
            <w:vAlign w:val="center"/>
          </w:tcPr>
          <w:p>
            <w:pPr>
              <w:pStyle w:val="63"/>
              <w:rPr>
                <w:u w:val="single"/>
              </w:rPr>
            </w:pPr>
            <w:r>
              <w:rPr>
                <w:u w:val="single"/>
              </w:rPr>
              <w:t>天然气（甲烷）</w:t>
            </w:r>
          </w:p>
        </w:tc>
        <w:tc>
          <w:tcPr>
            <w:tcW w:w="594" w:type="pct"/>
            <w:shd w:val="clear" w:color="auto" w:fill="auto"/>
            <w:vAlign w:val="center"/>
          </w:tcPr>
          <w:p>
            <w:pPr>
              <w:pStyle w:val="63"/>
              <w:rPr>
                <w:u w:val="single"/>
              </w:rPr>
            </w:pPr>
            <w:r>
              <w:rPr>
                <w:u w:val="single"/>
              </w:rPr>
              <w:t>泄漏、火灾、爆炸</w:t>
            </w:r>
          </w:p>
        </w:tc>
        <w:tc>
          <w:tcPr>
            <w:tcW w:w="1048" w:type="pct"/>
            <w:shd w:val="clear" w:color="auto" w:fill="auto"/>
            <w:vAlign w:val="center"/>
          </w:tcPr>
          <w:p>
            <w:pPr>
              <w:pStyle w:val="63"/>
              <w:rPr>
                <w:u w:val="single"/>
              </w:rPr>
            </w:pPr>
            <w:r>
              <w:rPr>
                <w:u w:val="single"/>
              </w:rPr>
              <w:t>管道泄漏致外环境，引起火灾爆炸</w:t>
            </w:r>
          </w:p>
        </w:tc>
        <w:tc>
          <w:tcPr>
            <w:tcW w:w="716" w:type="pct"/>
            <w:vMerge w:val="continue"/>
            <w:shd w:val="clear" w:color="auto" w:fill="auto"/>
            <w:vAlign w:val="center"/>
          </w:tcPr>
          <w:p>
            <w:pPr>
              <w:pStyle w:val="63"/>
              <w:rPr>
                <w:u w:val="singl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9" w:type="pct"/>
            <w:vMerge w:val="continue"/>
            <w:shd w:val="clear" w:color="auto" w:fill="auto"/>
            <w:vAlign w:val="center"/>
          </w:tcPr>
          <w:p>
            <w:pPr>
              <w:pStyle w:val="63"/>
              <w:rPr>
                <w:u w:val="single"/>
              </w:rPr>
            </w:pPr>
          </w:p>
        </w:tc>
        <w:tc>
          <w:tcPr>
            <w:tcW w:w="671" w:type="pct"/>
            <w:shd w:val="clear" w:color="auto" w:fill="auto"/>
            <w:vAlign w:val="center"/>
          </w:tcPr>
          <w:p>
            <w:pPr>
              <w:pStyle w:val="63"/>
              <w:rPr>
                <w:u w:val="single"/>
              </w:rPr>
            </w:pPr>
            <w:r>
              <w:rPr>
                <w:u w:val="single"/>
              </w:rPr>
              <w:t>液体物料输送管管道</w:t>
            </w:r>
          </w:p>
        </w:tc>
        <w:tc>
          <w:tcPr>
            <w:tcW w:w="641" w:type="pct"/>
            <w:shd w:val="clear" w:color="auto" w:fill="auto"/>
            <w:vAlign w:val="center"/>
          </w:tcPr>
          <w:p>
            <w:pPr>
              <w:pStyle w:val="63"/>
              <w:rPr>
                <w:u w:val="single"/>
              </w:rPr>
            </w:pPr>
            <w:r>
              <w:rPr>
                <w:u w:val="single"/>
              </w:rPr>
              <w:t>管道</w:t>
            </w:r>
          </w:p>
        </w:tc>
        <w:tc>
          <w:tcPr>
            <w:tcW w:w="821" w:type="pct"/>
            <w:shd w:val="clear" w:color="auto" w:fill="auto"/>
            <w:vAlign w:val="center"/>
          </w:tcPr>
          <w:p>
            <w:pPr>
              <w:pStyle w:val="63"/>
              <w:rPr>
                <w:u w:val="single"/>
              </w:rPr>
            </w:pPr>
            <w:r>
              <w:rPr>
                <w:u w:val="single"/>
              </w:rPr>
              <w:t>硫酸、磺化煤油</w:t>
            </w:r>
          </w:p>
        </w:tc>
        <w:tc>
          <w:tcPr>
            <w:tcW w:w="594" w:type="pct"/>
            <w:shd w:val="clear" w:color="auto" w:fill="auto"/>
            <w:vAlign w:val="center"/>
          </w:tcPr>
          <w:p>
            <w:pPr>
              <w:pStyle w:val="63"/>
              <w:rPr>
                <w:u w:val="single"/>
              </w:rPr>
            </w:pPr>
            <w:r>
              <w:rPr>
                <w:u w:val="single"/>
              </w:rPr>
              <w:t>泄漏</w:t>
            </w:r>
          </w:p>
        </w:tc>
        <w:tc>
          <w:tcPr>
            <w:tcW w:w="1048" w:type="pct"/>
            <w:shd w:val="clear" w:color="auto" w:fill="auto"/>
            <w:vAlign w:val="center"/>
          </w:tcPr>
          <w:p>
            <w:pPr>
              <w:pStyle w:val="63"/>
              <w:rPr>
                <w:u w:val="single"/>
              </w:rPr>
            </w:pPr>
            <w:r>
              <w:rPr>
                <w:u w:val="single"/>
              </w:rPr>
              <w:t>管道泄漏致外环境，引起中毒、火灾爆炸</w:t>
            </w:r>
          </w:p>
        </w:tc>
        <w:tc>
          <w:tcPr>
            <w:tcW w:w="716" w:type="pct"/>
            <w:vMerge w:val="continue"/>
            <w:shd w:val="clear" w:color="auto" w:fill="auto"/>
            <w:vAlign w:val="center"/>
          </w:tcPr>
          <w:p>
            <w:pPr>
              <w:pStyle w:val="63"/>
              <w:rPr>
                <w:u w:val="singl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9" w:type="pct"/>
            <w:vMerge w:val="restart"/>
            <w:shd w:val="clear" w:color="auto" w:fill="auto"/>
            <w:vAlign w:val="center"/>
          </w:tcPr>
          <w:p>
            <w:pPr>
              <w:pStyle w:val="63"/>
              <w:rPr>
                <w:u w:val="single"/>
              </w:rPr>
            </w:pPr>
            <w:r>
              <w:rPr>
                <w:u w:val="single"/>
              </w:rPr>
              <w:t>环保系统</w:t>
            </w:r>
          </w:p>
        </w:tc>
        <w:tc>
          <w:tcPr>
            <w:tcW w:w="1312" w:type="pct"/>
            <w:gridSpan w:val="2"/>
            <w:shd w:val="clear" w:color="auto" w:fill="auto"/>
            <w:vAlign w:val="center"/>
          </w:tcPr>
          <w:p>
            <w:pPr>
              <w:pStyle w:val="63"/>
              <w:rPr>
                <w:u w:val="single"/>
              </w:rPr>
            </w:pPr>
            <w:r>
              <w:rPr>
                <w:u w:val="single"/>
              </w:rPr>
              <w:t>高温焚烧+布袋除尘器+喷淋塔</w:t>
            </w:r>
          </w:p>
        </w:tc>
        <w:tc>
          <w:tcPr>
            <w:tcW w:w="821" w:type="pct"/>
            <w:shd w:val="clear" w:color="auto" w:fill="auto"/>
            <w:vAlign w:val="center"/>
          </w:tcPr>
          <w:p>
            <w:pPr>
              <w:pStyle w:val="63"/>
              <w:rPr>
                <w:u w:val="single"/>
              </w:rPr>
            </w:pPr>
            <w:r>
              <w:rPr>
                <w:u w:val="single"/>
              </w:rPr>
              <w:t>镍及其化合物、二氧化硫、氟化氢、NOx</w:t>
            </w:r>
          </w:p>
        </w:tc>
        <w:tc>
          <w:tcPr>
            <w:tcW w:w="594" w:type="pct"/>
            <w:shd w:val="clear" w:color="auto" w:fill="auto"/>
            <w:vAlign w:val="center"/>
          </w:tcPr>
          <w:p>
            <w:pPr>
              <w:pStyle w:val="63"/>
              <w:rPr>
                <w:u w:val="single"/>
              </w:rPr>
            </w:pPr>
            <w:r>
              <w:rPr>
                <w:u w:val="single"/>
              </w:rPr>
              <w:t>泄漏</w:t>
            </w:r>
          </w:p>
        </w:tc>
        <w:tc>
          <w:tcPr>
            <w:tcW w:w="1048" w:type="pct"/>
            <w:vMerge w:val="restart"/>
            <w:shd w:val="clear" w:color="auto" w:fill="auto"/>
            <w:vAlign w:val="center"/>
          </w:tcPr>
          <w:p>
            <w:pPr>
              <w:pStyle w:val="63"/>
              <w:rPr>
                <w:u w:val="single"/>
              </w:rPr>
            </w:pPr>
            <w:r>
              <w:rPr>
                <w:u w:val="single"/>
              </w:rPr>
              <w:t>废气处理装置失效，废气泄漏致外环境，引起中毒</w:t>
            </w:r>
          </w:p>
        </w:tc>
        <w:tc>
          <w:tcPr>
            <w:tcW w:w="716" w:type="pct"/>
            <w:vMerge w:val="continue"/>
            <w:shd w:val="clear" w:color="auto" w:fill="auto"/>
            <w:vAlign w:val="center"/>
          </w:tcPr>
          <w:p>
            <w:pPr>
              <w:pStyle w:val="63"/>
              <w:rPr>
                <w:u w:val="singl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9" w:type="pct"/>
            <w:vMerge w:val="continue"/>
            <w:shd w:val="clear" w:color="auto" w:fill="auto"/>
            <w:vAlign w:val="center"/>
          </w:tcPr>
          <w:p>
            <w:pPr>
              <w:pStyle w:val="63"/>
              <w:rPr>
                <w:u w:val="single"/>
              </w:rPr>
            </w:pPr>
          </w:p>
        </w:tc>
        <w:tc>
          <w:tcPr>
            <w:tcW w:w="1312" w:type="pct"/>
            <w:gridSpan w:val="2"/>
            <w:shd w:val="clear" w:color="auto" w:fill="auto"/>
            <w:vAlign w:val="center"/>
          </w:tcPr>
          <w:p>
            <w:pPr>
              <w:pStyle w:val="63"/>
              <w:rPr>
                <w:u w:val="single"/>
              </w:rPr>
            </w:pPr>
            <w:r>
              <w:rPr>
                <w:u w:val="single"/>
              </w:rPr>
              <w:t>各喷淋塔</w:t>
            </w:r>
          </w:p>
        </w:tc>
        <w:tc>
          <w:tcPr>
            <w:tcW w:w="821" w:type="pct"/>
            <w:shd w:val="clear" w:color="auto" w:fill="auto"/>
            <w:vAlign w:val="center"/>
          </w:tcPr>
          <w:p>
            <w:pPr>
              <w:pStyle w:val="63"/>
              <w:rPr>
                <w:u w:val="single"/>
              </w:rPr>
            </w:pPr>
            <w:r>
              <w:rPr>
                <w:u w:val="single"/>
              </w:rPr>
              <w:t>硫酸雾、HCl</w:t>
            </w:r>
          </w:p>
        </w:tc>
        <w:tc>
          <w:tcPr>
            <w:tcW w:w="594" w:type="pct"/>
            <w:shd w:val="clear" w:color="auto" w:fill="auto"/>
            <w:vAlign w:val="center"/>
          </w:tcPr>
          <w:p>
            <w:pPr>
              <w:pStyle w:val="63"/>
              <w:rPr>
                <w:u w:val="single"/>
              </w:rPr>
            </w:pPr>
            <w:r>
              <w:rPr>
                <w:u w:val="single"/>
              </w:rPr>
              <w:t>泄漏</w:t>
            </w:r>
          </w:p>
        </w:tc>
        <w:tc>
          <w:tcPr>
            <w:tcW w:w="1048" w:type="pct"/>
            <w:vMerge w:val="continue"/>
            <w:shd w:val="clear" w:color="auto" w:fill="auto"/>
            <w:vAlign w:val="center"/>
          </w:tcPr>
          <w:p>
            <w:pPr>
              <w:pStyle w:val="63"/>
              <w:rPr>
                <w:u w:val="single"/>
              </w:rPr>
            </w:pPr>
          </w:p>
        </w:tc>
        <w:tc>
          <w:tcPr>
            <w:tcW w:w="716" w:type="pct"/>
            <w:vMerge w:val="continue"/>
            <w:shd w:val="clear" w:color="auto" w:fill="auto"/>
            <w:vAlign w:val="center"/>
          </w:tcPr>
          <w:p>
            <w:pPr>
              <w:pStyle w:val="63"/>
              <w:rPr>
                <w:u w:val="singl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9" w:type="pct"/>
            <w:vMerge w:val="continue"/>
            <w:shd w:val="clear" w:color="auto" w:fill="auto"/>
            <w:vAlign w:val="center"/>
          </w:tcPr>
          <w:p>
            <w:pPr>
              <w:pStyle w:val="63"/>
              <w:rPr>
                <w:u w:val="single"/>
              </w:rPr>
            </w:pPr>
          </w:p>
        </w:tc>
        <w:tc>
          <w:tcPr>
            <w:tcW w:w="1312" w:type="pct"/>
            <w:gridSpan w:val="2"/>
            <w:shd w:val="clear" w:color="auto" w:fill="auto"/>
            <w:vAlign w:val="center"/>
          </w:tcPr>
          <w:p>
            <w:pPr>
              <w:pStyle w:val="63"/>
              <w:rPr>
                <w:u w:val="single"/>
              </w:rPr>
            </w:pPr>
            <w:r>
              <w:rPr>
                <w:u w:val="single"/>
              </w:rPr>
              <w:t>危废暂存间</w:t>
            </w:r>
          </w:p>
        </w:tc>
        <w:tc>
          <w:tcPr>
            <w:tcW w:w="821" w:type="pct"/>
            <w:shd w:val="clear" w:color="auto" w:fill="auto"/>
            <w:vAlign w:val="center"/>
          </w:tcPr>
          <w:p>
            <w:pPr>
              <w:pStyle w:val="63"/>
              <w:rPr>
                <w:u w:val="single"/>
              </w:rPr>
            </w:pPr>
            <w:r>
              <w:rPr>
                <w:u w:val="single"/>
              </w:rPr>
              <w:t>废油</w:t>
            </w:r>
          </w:p>
        </w:tc>
        <w:tc>
          <w:tcPr>
            <w:tcW w:w="594" w:type="pct"/>
            <w:shd w:val="clear" w:color="auto" w:fill="auto"/>
            <w:vAlign w:val="center"/>
          </w:tcPr>
          <w:p>
            <w:pPr>
              <w:pStyle w:val="63"/>
              <w:rPr>
                <w:u w:val="single"/>
              </w:rPr>
            </w:pPr>
            <w:r>
              <w:rPr>
                <w:u w:val="single"/>
              </w:rPr>
              <w:t>泄漏</w:t>
            </w:r>
          </w:p>
        </w:tc>
        <w:tc>
          <w:tcPr>
            <w:tcW w:w="1048" w:type="pct"/>
            <w:shd w:val="clear" w:color="auto" w:fill="auto"/>
            <w:vAlign w:val="center"/>
          </w:tcPr>
          <w:p>
            <w:pPr>
              <w:pStyle w:val="63"/>
              <w:rPr>
                <w:u w:val="single"/>
              </w:rPr>
            </w:pPr>
            <w:r>
              <w:rPr>
                <w:u w:val="single"/>
              </w:rPr>
              <w:t>泄漏进入外环境，引起中毒，火灾、爆炸</w:t>
            </w:r>
          </w:p>
        </w:tc>
        <w:tc>
          <w:tcPr>
            <w:tcW w:w="716" w:type="pct"/>
            <w:vMerge w:val="continue"/>
            <w:shd w:val="clear" w:color="auto" w:fill="auto"/>
            <w:vAlign w:val="center"/>
          </w:tcPr>
          <w:p>
            <w:pPr>
              <w:pStyle w:val="63"/>
              <w:rPr>
                <w:u w:val="single"/>
              </w:rPr>
            </w:pPr>
          </w:p>
        </w:tc>
      </w:tr>
    </w:tbl>
    <w:p>
      <w:pPr>
        <w:pStyle w:val="3"/>
        <w:rPr>
          <w:rFonts w:ascii="Times New Roman" w:hAnsi="Times New Roman" w:cs="Times New Roman" w:eastAsiaTheme="minorEastAsia"/>
        </w:rPr>
      </w:pPr>
      <w:bookmarkStart w:id="447" w:name="_Toc147848088"/>
      <w:bookmarkStart w:id="448" w:name="_Toc102658231"/>
      <w:bookmarkStart w:id="449" w:name="_Toc144236840"/>
      <w:bookmarkStart w:id="450" w:name="_Toc144276970"/>
      <w:r>
        <w:rPr>
          <w:rFonts w:ascii="Times New Roman" w:hAnsi="Times New Roman" w:cs="Times New Roman" w:eastAsiaTheme="minorEastAsia"/>
        </w:rPr>
        <w:t>7.5 源项分析</w:t>
      </w:r>
      <w:bookmarkEnd w:id="447"/>
      <w:bookmarkEnd w:id="448"/>
      <w:bookmarkEnd w:id="449"/>
      <w:bookmarkEnd w:id="450"/>
    </w:p>
    <w:p>
      <w:pPr>
        <w:pStyle w:val="4"/>
        <w:rPr>
          <w:rFonts w:ascii="Times New Roman" w:hAnsi="Times New Roman" w:cs="Times New Roman"/>
        </w:rPr>
      </w:pPr>
      <w:bookmarkStart w:id="451" w:name="_Toc144236841"/>
      <w:bookmarkStart w:id="452" w:name="_Toc147848089"/>
      <w:bookmarkStart w:id="453" w:name="_Toc144276971"/>
      <w:r>
        <w:rPr>
          <w:rFonts w:ascii="Times New Roman" w:hAnsi="Times New Roman" w:cs="Times New Roman"/>
        </w:rPr>
        <w:t>7.5.1 最大可信事故的确定</w:t>
      </w:r>
      <w:bookmarkEnd w:id="451"/>
      <w:bookmarkEnd w:id="452"/>
      <w:bookmarkEnd w:id="453"/>
    </w:p>
    <w:p>
      <w:pPr>
        <w:spacing w:line="360" w:lineRule="auto"/>
        <w:ind w:firstLine="480" w:firstLineChars="200"/>
        <w:rPr>
          <w:rFonts w:ascii="Times New Roman" w:hAnsi="Times New Roman" w:cs="Times New Roman"/>
        </w:rPr>
      </w:pPr>
      <w:r>
        <w:rPr>
          <w:rFonts w:ascii="Times New Roman" w:hAnsi="Times New Roman" w:cs="Times New Roman"/>
        </w:rPr>
        <w:t>按照《建设项目环境风险评价技术导则》中的定义，最大可信事故指：在所有预测的概率不为零的事故中，对环境（或健康）危害最严重的重大事故。参照国内同类型行业、硫酸及生产和使用企业事故类型及危害程度，同时结合本项目特点及前述的风险事故类型和危害分析，硫酸泄漏事故相对较为易发，如发生大规模泄漏将会对环境造成严重的污染影响。因此，本次评价对浓硫酸泄漏事故环境影响进行分析。</w:t>
      </w:r>
    </w:p>
    <w:p>
      <w:pPr>
        <w:pStyle w:val="6"/>
        <w:rPr>
          <w:rFonts w:ascii="Times New Roman" w:hAnsi="Times New Roman" w:cs="Times New Roman"/>
        </w:rPr>
      </w:pPr>
      <w:r>
        <w:rPr>
          <w:rFonts w:ascii="Times New Roman" w:hAnsi="Times New Roman" w:cs="Times New Roman"/>
        </w:rPr>
        <w:t>表7.5-6  本项目环境风险事故情形设定一栏表</w:t>
      </w:r>
    </w:p>
    <w:tbl>
      <w:tblPr>
        <w:tblStyle w:val="35"/>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32"/>
        <w:gridCol w:w="784"/>
        <w:gridCol w:w="1067"/>
        <w:gridCol w:w="1275"/>
        <w:gridCol w:w="1272"/>
        <w:gridCol w:w="350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59" w:type="pct"/>
            <w:tcBorders>
              <w:tl2br w:val="nil"/>
              <w:tr2bl w:val="nil"/>
            </w:tcBorders>
            <w:vAlign w:val="center"/>
          </w:tcPr>
          <w:p>
            <w:pPr>
              <w:pStyle w:val="63"/>
              <w:rPr>
                <w:u w:val="single"/>
              </w:rPr>
            </w:pPr>
            <w:r>
              <w:rPr>
                <w:u w:val="single"/>
              </w:rPr>
              <w:t>序号</w:t>
            </w:r>
          </w:p>
        </w:tc>
        <w:tc>
          <w:tcPr>
            <w:tcW w:w="470" w:type="pct"/>
            <w:tcBorders>
              <w:tl2br w:val="nil"/>
              <w:tr2bl w:val="nil"/>
            </w:tcBorders>
            <w:vAlign w:val="center"/>
          </w:tcPr>
          <w:p>
            <w:pPr>
              <w:pStyle w:val="63"/>
              <w:rPr>
                <w:u w:val="single"/>
              </w:rPr>
            </w:pPr>
            <w:r>
              <w:rPr>
                <w:u w:val="single"/>
              </w:rPr>
              <w:t>危险单元</w:t>
            </w:r>
          </w:p>
        </w:tc>
        <w:tc>
          <w:tcPr>
            <w:tcW w:w="640" w:type="pct"/>
            <w:tcBorders>
              <w:tl2br w:val="nil"/>
              <w:tr2bl w:val="nil"/>
            </w:tcBorders>
            <w:vAlign w:val="center"/>
          </w:tcPr>
          <w:p>
            <w:pPr>
              <w:pStyle w:val="63"/>
              <w:rPr>
                <w:u w:val="single"/>
              </w:rPr>
            </w:pPr>
            <w:r>
              <w:rPr>
                <w:u w:val="single"/>
              </w:rPr>
              <w:t>风险源</w:t>
            </w:r>
          </w:p>
        </w:tc>
        <w:tc>
          <w:tcPr>
            <w:tcW w:w="765" w:type="pct"/>
            <w:tcBorders>
              <w:tl2br w:val="nil"/>
              <w:tr2bl w:val="nil"/>
            </w:tcBorders>
            <w:vAlign w:val="center"/>
          </w:tcPr>
          <w:p>
            <w:pPr>
              <w:pStyle w:val="63"/>
              <w:rPr>
                <w:u w:val="single"/>
              </w:rPr>
            </w:pPr>
            <w:r>
              <w:rPr>
                <w:u w:val="single"/>
              </w:rPr>
              <w:t>主要危险物质</w:t>
            </w:r>
          </w:p>
        </w:tc>
        <w:tc>
          <w:tcPr>
            <w:tcW w:w="763" w:type="pct"/>
            <w:tcBorders>
              <w:tl2br w:val="nil"/>
              <w:tr2bl w:val="nil"/>
            </w:tcBorders>
            <w:vAlign w:val="center"/>
          </w:tcPr>
          <w:p>
            <w:pPr>
              <w:pStyle w:val="63"/>
              <w:rPr>
                <w:u w:val="single"/>
              </w:rPr>
            </w:pPr>
            <w:r>
              <w:rPr>
                <w:u w:val="single"/>
              </w:rPr>
              <w:t>环境风险类型</w:t>
            </w:r>
          </w:p>
        </w:tc>
        <w:tc>
          <w:tcPr>
            <w:tcW w:w="2103" w:type="pct"/>
            <w:tcBorders>
              <w:tl2br w:val="nil"/>
              <w:tr2bl w:val="nil"/>
            </w:tcBorders>
            <w:vAlign w:val="center"/>
          </w:tcPr>
          <w:p>
            <w:pPr>
              <w:pStyle w:val="63"/>
              <w:rPr>
                <w:u w:val="single"/>
              </w:rPr>
            </w:pPr>
            <w:r>
              <w:rPr>
                <w:u w:val="single"/>
              </w:rPr>
              <w:t>环境影响途径</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59" w:type="pct"/>
            <w:tcBorders>
              <w:tl2br w:val="nil"/>
              <w:tr2bl w:val="nil"/>
            </w:tcBorders>
            <w:vAlign w:val="center"/>
          </w:tcPr>
          <w:p>
            <w:pPr>
              <w:pStyle w:val="63"/>
              <w:rPr>
                <w:u w:val="single"/>
              </w:rPr>
            </w:pPr>
            <w:r>
              <w:rPr>
                <w:u w:val="single"/>
              </w:rPr>
              <w:t>1</w:t>
            </w:r>
          </w:p>
        </w:tc>
        <w:tc>
          <w:tcPr>
            <w:tcW w:w="470" w:type="pct"/>
            <w:tcBorders>
              <w:tl2br w:val="nil"/>
              <w:tr2bl w:val="nil"/>
            </w:tcBorders>
            <w:vAlign w:val="center"/>
          </w:tcPr>
          <w:p>
            <w:pPr>
              <w:pStyle w:val="63"/>
              <w:rPr>
                <w:u w:val="single"/>
              </w:rPr>
            </w:pPr>
            <w:r>
              <w:rPr>
                <w:u w:val="single"/>
              </w:rPr>
              <w:t>罐区</w:t>
            </w:r>
          </w:p>
        </w:tc>
        <w:tc>
          <w:tcPr>
            <w:tcW w:w="640" w:type="pct"/>
            <w:tcBorders>
              <w:tl2br w:val="nil"/>
              <w:tr2bl w:val="nil"/>
            </w:tcBorders>
            <w:vAlign w:val="center"/>
          </w:tcPr>
          <w:p>
            <w:pPr>
              <w:pStyle w:val="63"/>
              <w:rPr>
                <w:u w:val="single"/>
              </w:rPr>
            </w:pPr>
            <w:r>
              <w:rPr>
                <w:u w:val="single"/>
              </w:rPr>
              <w:t>原辅料储罐</w:t>
            </w:r>
          </w:p>
        </w:tc>
        <w:tc>
          <w:tcPr>
            <w:tcW w:w="765" w:type="pct"/>
            <w:tcBorders>
              <w:tl2br w:val="nil"/>
              <w:tr2bl w:val="nil"/>
            </w:tcBorders>
            <w:vAlign w:val="center"/>
          </w:tcPr>
          <w:p>
            <w:pPr>
              <w:pStyle w:val="63"/>
              <w:rPr>
                <w:u w:val="single"/>
              </w:rPr>
            </w:pPr>
            <w:r>
              <w:rPr>
                <w:u w:val="single"/>
              </w:rPr>
              <w:t>硫酸</w:t>
            </w:r>
          </w:p>
        </w:tc>
        <w:tc>
          <w:tcPr>
            <w:tcW w:w="763" w:type="pct"/>
            <w:tcBorders>
              <w:tl2br w:val="nil"/>
              <w:tr2bl w:val="nil"/>
            </w:tcBorders>
            <w:vAlign w:val="center"/>
          </w:tcPr>
          <w:p>
            <w:pPr>
              <w:pStyle w:val="63"/>
              <w:rPr>
                <w:u w:val="single"/>
              </w:rPr>
            </w:pPr>
            <w:r>
              <w:rPr>
                <w:u w:val="single"/>
              </w:rPr>
              <w:t>泄漏</w:t>
            </w:r>
          </w:p>
        </w:tc>
        <w:tc>
          <w:tcPr>
            <w:tcW w:w="2103" w:type="pct"/>
            <w:tcBorders>
              <w:tl2br w:val="nil"/>
              <w:tr2bl w:val="nil"/>
            </w:tcBorders>
            <w:vAlign w:val="center"/>
          </w:tcPr>
          <w:p>
            <w:pPr>
              <w:pStyle w:val="63"/>
              <w:rPr>
                <w:u w:val="single"/>
              </w:rPr>
            </w:pPr>
            <w:r>
              <w:rPr>
                <w:u w:val="single"/>
              </w:rPr>
              <w:t>泄漏的有毒物质进入外环境对大气环境、水环境以及土壤产生不利影响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59" w:type="pct"/>
            <w:vMerge w:val="restart"/>
            <w:tcBorders>
              <w:tl2br w:val="nil"/>
              <w:tr2bl w:val="nil"/>
            </w:tcBorders>
            <w:vAlign w:val="center"/>
          </w:tcPr>
          <w:p>
            <w:pPr>
              <w:pStyle w:val="63"/>
              <w:rPr>
                <w:u w:val="single"/>
              </w:rPr>
            </w:pPr>
            <w:r>
              <w:rPr>
                <w:u w:val="single"/>
              </w:rPr>
              <w:t>2</w:t>
            </w:r>
          </w:p>
        </w:tc>
        <w:tc>
          <w:tcPr>
            <w:tcW w:w="470" w:type="pct"/>
            <w:vMerge w:val="restart"/>
            <w:tcBorders>
              <w:tl2br w:val="nil"/>
              <w:tr2bl w:val="nil"/>
            </w:tcBorders>
            <w:vAlign w:val="center"/>
          </w:tcPr>
          <w:p>
            <w:pPr>
              <w:pStyle w:val="63"/>
              <w:rPr>
                <w:u w:val="single"/>
              </w:rPr>
            </w:pPr>
            <w:r>
              <w:rPr>
                <w:u w:val="single"/>
              </w:rPr>
              <w:t>生产装置区</w:t>
            </w:r>
          </w:p>
        </w:tc>
        <w:tc>
          <w:tcPr>
            <w:tcW w:w="640" w:type="pct"/>
            <w:tcBorders>
              <w:tl2br w:val="nil"/>
              <w:tr2bl w:val="nil"/>
            </w:tcBorders>
            <w:vAlign w:val="center"/>
          </w:tcPr>
          <w:p>
            <w:pPr>
              <w:pStyle w:val="63"/>
              <w:rPr>
                <w:u w:val="single"/>
              </w:rPr>
            </w:pPr>
            <w:r>
              <w:rPr>
                <w:u w:val="single"/>
              </w:rPr>
              <w:t>酸浸槽</w:t>
            </w:r>
          </w:p>
        </w:tc>
        <w:tc>
          <w:tcPr>
            <w:tcW w:w="765" w:type="pct"/>
            <w:tcBorders>
              <w:tl2br w:val="nil"/>
              <w:tr2bl w:val="nil"/>
            </w:tcBorders>
            <w:vAlign w:val="center"/>
          </w:tcPr>
          <w:p>
            <w:pPr>
              <w:pStyle w:val="63"/>
              <w:rPr>
                <w:u w:val="single"/>
              </w:rPr>
            </w:pPr>
            <w:r>
              <w:rPr>
                <w:u w:val="single"/>
              </w:rPr>
              <w:t>硫酸</w:t>
            </w:r>
          </w:p>
        </w:tc>
        <w:tc>
          <w:tcPr>
            <w:tcW w:w="763" w:type="pct"/>
            <w:tcBorders>
              <w:tl2br w:val="nil"/>
              <w:tr2bl w:val="nil"/>
            </w:tcBorders>
            <w:vAlign w:val="center"/>
          </w:tcPr>
          <w:p>
            <w:pPr>
              <w:pStyle w:val="63"/>
              <w:rPr>
                <w:u w:val="single"/>
              </w:rPr>
            </w:pPr>
            <w:r>
              <w:rPr>
                <w:u w:val="single"/>
              </w:rPr>
              <w:t>泄漏</w:t>
            </w:r>
          </w:p>
        </w:tc>
        <w:tc>
          <w:tcPr>
            <w:tcW w:w="2103" w:type="pct"/>
            <w:tcBorders>
              <w:tl2br w:val="nil"/>
              <w:tr2bl w:val="nil"/>
            </w:tcBorders>
            <w:vAlign w:val="center"/>
          </w:tcPr>
          <w:p>
            <w:pPr>
              <w:pStyle w:val="63"/>
              <w:rPr>
                <w:u w:val="single"/>
              </w:rPr>
            </w:pPr>
            <w:r>
              <w:rPr>
                <w:u w:val="single"/>
              </w:rPr>
              <w:t>泄漏的有毒物质进入外环境对大气环境、水环境以及土壤产生不利影响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59" w:type="pct"/>
            <w:vMerge w:val="continue"/>
            <w:tcBorders>
              <w:tl2br w:val="nil"/>
              <w:tr2bl w:val="nil"/>
            </w:tcBorders>
            <w:vAlign w:val="center"/>
          </w:tcPr>
          <w:p>
            <w:pPr>
              <w:pStyle w:val="63"/>
              <w:rPr>
                <w:u w:val="single"/>
              </w:rPr>
            </w:pPr>
          </w:p>
        </w:tc>
        <w:tc>
          <w:tcPr>
            <w:tcW w:w="470" w:type="pct"/>
            <w:vMerge w:val="continue"/>
            <w:tcBorders>
              <w:tl2br w:val="nil"/>
              <w:tr2bl w:val="nil"/>
            </w:tcBorders>
            <w:vAlign w:val="center"/>
          </w:tcPr>
          <w:p>
            <w:pPr>
              <w:pStyle w:val="63"/>
              <w:rPr>
                <w:u w:val="single"/>
              </w:rPr>
            </w:pPr>
          </w:p>
        </w:tc>
        <w:tc>
          <w:tcPr>
            <w:tcW w:w="640" w:type="pct"/>
            <w:vMerge w:val="restart"/>
            <w:tcBorders>
              <w:tl2br w:val="nil"/>
              <w:tr2bl w:val="nil"/>
            </w:tcBorders>
            <w:vAlign w:val="center"/>
          </w:tcPr>
          <w:p>
            <w:pPr>
              <w:pStyle w:val="63"/>
              <w:rPr>
                <w:u w:val="single"/>
              </w:rPr>
            </w:pPr>
            <w:r>
              <w:rPr>
                <w:u w:val="single"/>
              </w:rPr>
              <w:t>萃取槽</w:t>
            </w:r>
          </w:p>
        </w:tc>
        <w:tc>
          <w:tcPr>
            <w:tcW w:w="765" w:type="pct"/>
            <w:vMerge w:val="restart"/>
            <w:tcBorders>
              <w:tl2br w:val="nil"/>
              <w:tr2bl w:val="nil"/>
            </w:tcBorders>
            <w:vAlign w:val="center"/>
          </w:tcPr>
          <w:p>
            <w:pPr>
              <w:pStyle w:val="63"/>
              <w:rPr>
                <w:u w:val="single"/>
              </w:rPr>
            </w:pPr>
            <w:r>
              <w:rPr>
                <w:u w:val="single"/>
              </w:rPr>
              <w:t>260#磺化煤油</w:t>
            </w:r>
          </w:p>
        </w:tc>
        <w:tc>
          <w:tcPr>
            <w:tcW w:w="763" w:type="pct"/>
            <w:vMerge w:val="restart"/>
            <w:tcBorders>
              <w:tl2br w:val="nil"/>
              <w:tr2bl w:val="nil"/>
            </w:tcBorders>
            <w:vAlign w:val="center"/>
          </w:tcPr>
          <w:p>
            <w:pPr>
              <w:pStyle w:val="63"/>
              <w:rPr>
                <w:u w:val="single"/>
              </w:rPr>
            </w:pPr>
            <w:r>
              <w:rPr>
                <w:u w:val="single"/>
              </w:rPr>
              <w:t>火灾、爆炸</w:t>
            </w:r>
          </w:p>
        </w:tc>
        <w:tc>
          <w:tcPr>
            <w:tcW w:w="2103" w:type="pct"/>
            <w:tcBorders>
              <w:tl2br w:val="nil"/>
              <w:tr2bl w:val="nil"/>
            </w:tcBorders>
            <w:vAlign w:val="center"/>
          </w:tcPr>
          <w:p>
            <w:pPr>
              <w:pStyle w:val="63"/>
              <w:rPr>
                <w:u w:val="single"/>
              </w:rPr>
            </w:pPr>
            <w:r>
              <w:rPr>
                <w:u w:val="single"/>
              </w:rPr>
              <w:t>火灾、爆炸危险物质未完全燃烧在高温下迅速挥发释放至大气</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59" w:type="pct"/>
            <w:vMerge w:val="continue"/>
            <w:tcBorders>
              <w:tl2br w:val="nil"/>
              <w:tr2bl w:val="nil"/>
            </w:tcBorders>
            <w:vAlign w:val="center"/>
          </w:tcPr>
          <w:p>
            <w:pPr>
              <w:pStyle w:val="63"/>
              <w:rPr>
                <w:u w:val="single"/>
              </w:rPr>
            </w:pPr>
          </w:p>
        </w:tc>
        <w:tc>
          <w:tcPr>
            <w:tcW w:w="470" w:type="pct"/>
            <w:vMerge w:val="continue"/>
            <w:tcBorders>
              <w:tl2br w:val="nil"/>
              <w:tr2bl w:val="nil"/>
            </w:tcBorders>
            <w:vAlign w:val="center"/>
          </w:tcPr>
          <w:p>
            <w:pPr>
              <w:pStyle w:val="63"/>
              <w:rPr>
                <w:u w:val="single"/>
              </w:rPr>
            </w:pPr>
          </w:p>
        </w:tc>
        <w:tc>
          <w:tcPr>
            <w:tcW w:w="640" w:type="pct"/>
            <w:vMerge w:val="continue"/>
            <w:tcBorders>
              <w:tl2br w:val="nil"/>
              <w:tr2bl w:val="nil"/>
            </w:tcBorders>
            <w:vAlign w:val="center"/>
          </w:tcPr>
          <w:p>
            <w:pPr>
              <w:pStyle w:val="63"/>
              <w:rPr>
                <w:u w:val="single"/>
              </w:rPr>
            </w:pPr>
          </w:p>
        </w:tc>
        <w:tc>
          <w:tcPr>
            <w:tcW w:w="765" w:type="pct"/>
            <w:vMerge w:val="continue"/>
            <w:tcBorders>
              <w:tl2br w:val="nil"/>
              <w:tr2bl w:val="nil"/>
            </w:tcBorders>
            <w:vAlign w:val="center"/>
          </w:tcPr>
          <w:p>
            <w:pPr>
              <w:pStyle w:val="63"/>
              <w:rPr>
                <w:u w:val="single"/>
              </w:rPr>
            </w:pPr>
          </w:p>
        </w:tc>
        <w:tc>
          <w:tcPr>
            <w:tcW w:w="763" w:type="pct"/>
            <w:vMerge w:val="continue"/>
            <w:tcBorders>
              <w:tl2br w:val="nil"/>
              <w:tr2bl w:val="nil"/>
            </w:tcBorders>
            <w:vAlign w:val="center"/>
          </w:tcPr>
          <w:p>
            <w:pPr>
              <w:pStyle w:val="63"/>
              <w:rPr>
                <w:u w:val="single"/>
              </w:rPr>
            </w:pPr>
          </w:p>
        </w:tc>
        <w:tc>
          <w:tcPr>
            <w:tcW w:w="2103" w:type="pct"/>
            <w:tcBorders>
              <w:tl2br w:val="nil"/>
              <w:tr2bl w:val="nil"/>
            </w:tcBorders>
            <w:vAlign w:val="center"/>
          </w:tcPr>
          <w:p>
            <w:pPr>
              <w:pStyle w:val="63"/>
              <w:rPr>
                <w:u w:val="single"/>
              </w:rPr>
            </w:pPr>
            <w:r>
              <w:rPr>
                <w:u w:val="single"/>
              </w:rPr>
              <w:t>火灾、爆炸产生的二次污染物对大气环境产生不利影响；火灾、爆炸产生的消防废水进入外环境，对周边水体产生不利影响。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59" w:type="pct"/>
            <w:vMerge w:val="continue"/>
            <w:tcBorders>
              <w:tl2br w:val="nil"/>
              <w:tr2bl w:val="nil"/>
            </w:tcBorders>
            <w:vAlign w:val="center"/>
          </w:tcPr>
          <w:p>
            <w:pPr>
              <w:pStyle w:val="63"/>
              <w:rPr>
                <w:u w:val="single"/>
              </w:rPr>
            </w:pPr>
          </w:p>
        </w:tc>
        <w:tc>
          <w:tcPr>
            <w:tcW w:w="470" w:type="pct"/>
            <w:vMerge w:val="continue"/>
            <w:tcBorders>
              <w:tl2br w:val="nil"/>
              <w:tr2bl w:val="nil"/>
            </w:tcBorders>
            <w:vAlign w:val="center"/>
          </w:tcPr>
          <w:p>
            <w:pPr>
              <w:pStyle w:val="63"/>
              <w:rPr>
                <w:u w:val="single"/>
              </w:rPr>
            </w:pPr>
          </w:p>
        </w:tc>
        <w:tc>
          <w:tcPr>
            <w:tcW w:w="640" w:type="pct"/>
            <w:vMerge w:val="continue"/>
            <w:tcBorders>
              <w:tl2br w:val="nil"/>
              <w:tr2bl w:val="nil"/>
            </w:tcBorders>
            <w:vAlign w:val="center"/>
          </w:tcPr>
          <w:p>
            <w:pPr>
              <w:pStyle w:val="63"/>
              <w:rPr>
                <w:u w:val="single"/>
              </w:rPr>
            </w:pPr>
          </w:p>
        </w:tc>
        <w:tc>
          <w:tcPr>
            <w:tcW w:w="765" w:type="pct"/>
            <w:vMerge w:val="continue"/>
            <w:tcBorders>
              <w:tl2br w:val="nil"/>
              <w:tr2bl w:val="nil"/>
            </w:tcBorders>
            <w:vAlign w:val="center"/>
          </w:tcPr>
          <w:p>
            <w:pPr>
              <w:pStyle w:val="63"/>
              <w:rPr>
                <w:u w:val="single"/>
              </w:rPr>
            </w:pPr>
          </w:p>
        </w:tc>
        <w:tc>
          <w:tcPr>
            <w:tcW w:w="763" w:type="pct"/>
            <w:vMerge w:val="continue"/>
            <w:tcBorders>
              <w:tl2br w:val="nil"/>
              <w:tr2bl w:val="nil"/>
            </w:tcBorders>
            <w:vAlign w:val="center"/>
          </w:tcPr>
          <w:p>
            <w:pPr>
              <w:pStyle w:val="63"/>
              <w:rPr>
                <w:u w:val="single"/>
              </w:rPr>
            </w:pPr>
          </w:p>
        </w:tc>
        <w:tc>
          <w:tcPr>
            <w:tcW w:w="2103" w:type="pct"/>
            <w:tcBorders>
              <w:tl2br w:val="nil"/>
              <w:tr2bl w:val="nil"/>
            </w:tcBorders>
            <w:vAlign w:val="center"/>
          </w:tcPr>
          <w:p>
            <w:pPr>
              <w:pStyle w:val="63"/>
              <w:rPr>
                <w:u w:val="single"/>
              </w:rPr>
            </w:pPr>
            <w:r>
              <w:rPr>
                <w:u w:val="single"/>
              </w:rPr>
              <w:t>火灾、爆炸产生的二次污染物对大气环境产生不利影响；火灾、爆炸产生的消防废水进入外环境，对周边水体产生不利影响。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59" w:type="pct"/>
            <w:tcBorders>
              <w:tl2br w:val="nil"/>
              <w:tr2bl w:val="nil"/>
            </w:tcBorders>
            <w:vAlign w:val="center"/>
          </w:tcPr>
          <w:p>
            <w:pPr>
              <w:pStyle w:val="63"/>
              <w:rPr>
                <w:u w:val="single"/>
              </w:rPr>
            </w:pPr>
            <w:r>
              <w:rPr>
                <w:rFonts w:hint="eastAsia"/>
                <w:u w:val="single"/>
              </w:rPr>
              <w:t>3</w:t>
            </w:r>
          </w:p>
        </w:tc>
        <w:tc>
          <w:tcPr>
            <w:tcW w:w="470" w:type="pct"/>
            <w:tcBorders>
              <w:tl2br w:val="nil"/>
              <w:tr2bl w:val="nil"/>
            </w:tcBorders>
            <w:vAlign w:val="center"/>
          </w:tcPr>
          <w:p>
            <w:pPr>
              <w:pStyle w:val="63"/>
              <w:rPr>
                <w:u w:val="single"/>
              </w:rPr>
            </w:pPr>
            <w:r>
              <w:rPr>
                <w:rFonts w:hint="eastAsia"/>
                <w:u w:val="single"/>
              </w:rPr>
              <w:t>成品仓库</w:t>
            </w:r>
          </w:p>
        </w:tc>
        <w:tc>
          <w:tcPr>
            <w:tcW w:w="640" w:type="pct"/>
            <w:tcBorders>
              <w:tl2br w:val="nil"/>
              <w:tr2bl w:val="nil"/>
            </w:tcBorders>
            <w:vAlign w:val="center"/>
          </w:tcPr>
          <w:p>
            <w:pPr>
              <w:pStyle w:val="63"/>
              <w:rPr>
                <w:u w:val="single"/>
              </w:rPr>
            </w:pPr>
            <w:r>
              <w:rPr>
                <w:rFonts w:hint="eastAsia"/>
                <w:u w:val="single"/>
              </w:rPr>
              <w:t>硫酸镍、硫酸锰存放区</w:t>
            </w:r>
          </w:p>
        </w:tc>
        <w:tc>
          <w:tcPr>
            <w:tcW w:w="765" w:type="pct"/>
            <w:tcBorders>
              <w:tl2br w:val="nil"/>
              <w:tr2bl w:val="nil"/>
            </w:tcBorders>
            <w:vAlign w:val="center"/>
          </w:tcPr>
          <w:p>
            <w:pPr>
              <w:pStyle w:val="63"/>
              <w:rPr>
                <w:u w:val="single"/>
              </w:rPr>
            </w:pPr>
            <w:r>
              <w:rPr>
                <w:rFonts w:hint="eastAsia"/>
                <w:u w:val="single"/>
              </w:rPr>
              <w:t>硫酸镍、硫酸锰</w:t>
            </w:r>
          </w:p>
        </w:tc>
        <w:tc>
          <w:tcPr>
            <w:tcW w:w="763" w:type="pct"/>
            <w:tcBorders>
              <w:tl2br w:val="nil"/>
              <w:tr2bl w:val="nil"/>
            </w:tcBorders>
            <w:vAlign w:val="center"/>
          </w:tcPr>
          <w:p>
            <w:pPr>
              <w:pStyle w:val="63"/>
              <w:rPr>
                <w:u w:val="single"/>
              </w:rPr>
            </w:pPr>
            <w:r>
              <w:rPr>
                <w:u w:val="single"/>
              </w:rPr>
              <w:t>泄漏</w:t>
            </w:r>
          </w:p>
        </w:tc>
        <w:tc>
          <w:tcPr>
            <w:tcW w:w="2103" w:type="pct"/>
            <w:tcBorders>
              <w:tl2br w:val="nil"/>
              <w:tr2bl w:val="nil"/>
            </w:tcBorders>
            <w:vAlign w:val="center"/>
          </w:tcPr>
          <w:p>
            <w:pPr>
              <w:pStyle w:val="63"/>
              <w:rPr>
                <w:u w:val="single"/>
              </w:rPr>
            </w:pPr>
            <w:r>
              <w:rPr>
                <w:u w:val="single"/>
              </w:rPr>
              <w:t>泄漏的有毒物质进入外环境对大气环境、水环境以及土壤产生不利影响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restart"/>
            <w:tcBorders>
              <w:tl2br w:val="nil"/>
              <w:tr2bl w:val="nil"/>
            </w:tcBorders>
            <w:vAlign w:val="center"/>
          </w:tcPr>
          <w:p>
            <w:pPr>
              <w:pStyle w:val="63"/>
              <w:rPr>
                <w:u w:val="single"/>
              </w:rPr>
            </w:pPr>
            <w:r>
              <w:rPr>
                <w:rFonts w:hint="eastAsia"/>
                <w:u w:val="single"/>
              </w:rPr>
              <w:t>4</w:t>
            </w:r>
          </w:p>
        </w:tc>
        <w:tc>
          <w:tcPr>
            <w:tcW w:w="0" w:type="auto"/>
            <w:vMerge w:val="restart"/>
            <w:tcBorders>
              <w:tl2br w:val="nil"/>
              <w:tr2bl w:val="nil"/>
            </w:tcBorders>
            <w:vAlign w:val="center"/>
          </w:tcPr>
          <w:p>
            <w:pPr>
              <w:pStyle w:val="63"/>
              <w:rPr>
                <w:u w:val="single"/>
              </w:rPr>
            </w:pPr>
            <w:r>
              <w:rPr>
                <w:u w:val="single"/>
              </w:rPr>
              <w:t>环保设施区</w:t>
            </w:r>
          </w:p>
        </w:tc>
        <w:tc>
          <w:tcPr>
            <w:tcW w:w="640" w:type="pct"/>
            <w:vMerge w:val="restart"/>
            <w:tcBorders>
              <w:tl2br w:val="nil"/>
              <w:tr2bl w:val="nil"/>
            </w:tcBorders>
            <w:vAlign w:val="center"/>
          </w:tcPr>
          <w:p>
            <w:pPr>
              <w:pStyle w:val="63"/>
              <w:rPr>
                <w:u w:val="single"/>
              </w:rPr>
            </w:pPr>
            <w:r>
              <w:rPr>
                <w:u w:val="single"/>
              </w:rPr>
              <w:t>危废暂存间</w:t>
            </w:r>
          </w:p>
        </w:tc>
        <w:tc>
          <w:tcPr>
            <w:tcW w:w="765" w:type="pct"/>
            <w:vMerge w:val="restart"/>
            <w:tcBorders>
              <w:tl2br w:val="nil"/>
              <w:tr2bl w:val="nil"/>
            </w:tcBorders>
            <w:vAlign w:val="center"/>
          </w:tcPr>
          <w:p>
            <w:pPr>
              <w:pStyle w:val="63"/>
              <w:rPr>
                <w:u w:val="single"/>
              </w:rPr>
            </w:pPr>
            <w:r>
              <w:rPr>
                <w:u w:val="single"/>
              </w:rPr>
              <w:t>废油</w:t>
            </w:r>
          </w:p>
        </w:tc>
        <w:tc>
          <w:tcPr>
            <w:tcW w:w="763" w:type="pct"/>
            <w:tcBorders>
              <w:tl2br w:val="nil"/>
              <w:tr2bl w:val="nil"/>
            </w:tcBorders>
            <w:vAlign w:val="center"/>
          </w:tcPr>
          <w:p>
            <w:pPr>
              <w:pStyle w:val="63"/>
              <w:rPr>
                <w:u w:val="single"/>
              </w:rPr>
            </w:pPr>
            <w:r>
              <w:rPr>
                <w:u w:val="single"/>
              </w:rPr>
              <w:t>防渗措施失效，危险废物泄漏</w:t>
            </w:r>
          </w:p>
        </w:tc>
        <w:tc>
          <w:tcPr>
            <w:tcW w:w="2103" w:type="pct"/>
            <w:tcBorders>
              <w:tl2br w:val="nil"/>
              <w:tr2bl w:val="nil"/>
            </w:tcBorders>
            <w:vAlign w:val="center"/>
          </w:tcPr>
          <w:p>
            <w:pPr>
              <w:pStyle w:val="63"/>
              <w:rPr>
                <w:u w:val="single"/>
              </w:rPr>
            </w:pPr>
            <w:r>
              <w:rPr>
                <w:u w:val="single"/>
              </w:rPr>
              <w:t>防渗措施失效，泄漏的危险废物对地下水、土壤的不利影响；或发生火灾、爆炸时物料泄漏至环境中。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0" w:type="auto"/>
            <w:vMerge w:val="continue"/>
            <w:tcBorders>
              <w:tl2br w:val="nil"/>
              <w:tr2bl w:val="nil"/>
            </w:tcBorders>
            <w:vAlign w:val="center"/>
          </w:tcPr>
          <w:p>
            <w:pPr>
              <w:pStyle w:val="63"/>
              <w:rPr>
                <w:u w:val="single"/>
              </w:rPr>
            </w:pPr>
          </w:p>
        </w:tc>
        <w:tc>
          <w:tcPr>
            <w:tcW w:w="0" w:type="auto"/>
            <w:vMerge w:val="continue"/>
            <w:tcBorders>
              <w:tl2br w:val="nil"/>
              <w:tr2bl w:val="nil"/>
            </w:tcBorders>
            <w:vAlign w:val="center"/>
          </w:tcPr>
          <w:p>
            <w:pPr>
              <w:pStyle w:val="63"/>
              <w:rPr>
                <w:u w:val="single"/>
              </w:rPr>
            </w:pPr>
          </w:p>
        </w:tc>
        <w:tc>
          <w:tcPr>
            <w:tcW w:w="640" w:type="pct"/>
            <w:vMerge w:val="continue"/>
            <w:tcBorders>
              <w:tl2br w:val="nil"/>
              <w:tr2bl w:val="nil"/>
            </w:tcBorders>
            <w:vAlign w:val="center"/>
          </w:tcPr>
          <w:p>
            <w:pPr>
              <w:pStyle w:val="63"/>
              <w:rPr>
                <w:u w:val="single"/>
              </w:rPr>
            </w:pPr>
          </w:p>
        </w:tc>
        <w:tc>
          <w:tcPr>
            <w:tcW w:w="765" w:type="pct"/>
            <w:vMerge w:val="continue"/>
            <w:tcBorders>
              <w:tl2br w:val="nil"/>
              <w:tr2bl w:val="nil"/>
            </w:tcBorders>
            <w:vAlign w:val="center"/>
          </w:tcPr>
          <w:p>
            <w:pPr>
              <w:pStyle w:val="63"/>
              <w:rPr>
                <w:u w:val="single"/>
              </w:rPr>
            </w:pPr>
          </w:p>
        </w:tc>
        <w:tc>
          <w:tcPr>
            <w:tcW w:w="763" w:type="pct"/>
            <w:tcBorders>
              <w:tl2br w:val="nil"/>
              <w:tr2bl w:val="nil"/>
            </w:tcBorders>
            <w:vAlign w:val="center"/>
          </w:tcPr>
          <w:p>
            <w:pPr>
              <w:pStyle w:val="63"/>
              <w:rPr>
                <w:u w:val="single"/>
              </w:rPr>
            </w:pPr>
            <w:r>
              <w:rPr>
                <w:u w:val="single"/>
              </w:rPr>
              <w:t>油泥、废润滑油发生火灾、爆炸</w:t>
            </w:r>
          </w:p>
        </w:tc>
        <w:tc>
          <w:tcPr>
            <w:tcW w:w="2103" w:type="pct"/>
            <w:tcBorders>
              <w:tl2br w:val="nil"/>
              <w:tr2bl w:val="nil"/>
            </w:tcBorders>
            <w:vAlign w:val="center"/>
          </w:tcPr>
          <w:p>
            <w:pPr>
              <w:pStyle w:val="63"/>
              <w:rPr>
                <w:u w:val="single"/>
              </w:rPr>
            </w:pPr>
            <w:r>
              <w:rPr>
                <w:u w:val="single"/>
              </w:rPr>
              <w:t>火灾、爆炸产生的二次污染物对大气环境产生不利影响；火灾、爆炸产生的消防废水进入外环境，对周边水体产生不利影响。</w:t>
            </w:r>
          </w:p>
        </w:tc>
      </w:tr>
    </w:tbl>
    <w:p>
      <w:pPr>
        <w:pStyle w:val="4"/>
        <w:rPr>
          <w:rFonts w:ascii="Times New Roman" w:hAnsi="Times New Roman" w:cs="Times New Roman"/>
        </w:rPr>
      </w:pPr>
      <w:bookmarkStart w:id="454" w:name="_Toc144236842"/>
      <w:bookmarkStart w:id="455" w:name="_Toc144276972"/>
      <w:bookmarkStart w:id="456" w:name="_Toc147848090"/>
      <w:r>
        <w:rPr>
          <w:rFonts w:ascii="Times New Roman" w:hAnsi="Times New Roman" w:cs="Times New Roman"/>
        </w:rPr>
        <w:t>7.5.2 大气环境风险事故情景及源项设置</w:t>
      </w:r>
      <w:bookmarkEnd w:id="454"/>
      <w:bookmarkEnd w:id="455"/>
      <w:bookmarkEnd w:id="456"/>
    </w:p>
    <w:p>
      <w:pPr>
        <w:adjustRightInd/>
        <w:snapToGrid/>
        <w:spacing w:line="360" w:lineRule="auto"/>
        <w:ind w:firstLine="480" w:firstLineChars="200"/>
        <w:rPr>
          <w:rFonts w:ascii="Times New Roman" w:hAnsi="Times New Roman" w:eastAsia="宋体" w:cs="Times New Roman"/>
          <w:kern w:val="0"/>
        </w:rPr>
      </w:pPr>
      <w:r>
        <w:rPr>
          <w:rFonts w:ascii="Times New Roman" w:hAnsi="Times New Roman" w:eastAsia="宋体" w:cs="Times New Roman"/>
        </w:rPr>
        <w:t>本项目主要</w:t>
      </w:r>
      <w:r>
        <w:rPr>
          <w:rFonts w:ascii="Times New Roman" w:hAnsi="Times New Roman" w:cs="Times New Roman"/>
        </w:rPr>
        <w:t>考虑</w:t>
      </w:r>
      <w:r>
        <w:rPr>
          <w:rFonts w:ascii="Times New Roman" w:hAnsi="Times New Roman" w:eastAsia="宋体" w:cs="Times New Roman"/>
          <w:kern w:val="0"/>
        </w:rPr>
        <w:t>火灾事故次生污染，本项目</w:t>
      </w:r>
      <w:r>
        <w:rPr>
          <w:rFonts w:ascii="Times New Roman" w:hAnsi="Times New Roman" w:eastAsia="宋体" w:cs="Times New Roman"/>
        </w:rPr>
        <w:t>物料主要有</w:t>
      </w:r>
      <w:r>
        <w:rPr>
          <w:rFonts w:ascii="Times New Roman" w:hAnsi="Times New Roman" w:cs="Times New Roman"/>
        </w:rPr>
        <w:t>磺化煤油</w:t>
      </w:r>
      <w:r>
        <w:rPr>
          <w:rFonts w:ascii="Times New Roman" w:hAnsi="Times New Roman" w:eastAsia="宋体" w:cs="Times New Roman"/>
        </w:rPr>
        <w:t>。</w:t>
      </w:r>
      <w:r>
        <w:rPr>
          <w:rFonts w:ascii="Times New Roman" w:hAnsi="Times New Roman" w:eastAsia="宋体" w:cs="Times New Roman"/>
          <w:kern w:val="0"/>
        </w:rPr>
        <w:t>火灾产生次生污染物中毒性较大的为物料不完全燃烧产生的CO。</w:t>
      </w:r>
    </w:p>
    <w:p>
      <w:pPr>
        <w:spacing w:line="360" w:lineRule="auto"/>
        <w:ind w:firstLine="480" w:firstLineChars="200"/>
        <w:rPr>
          <w:rFonts w:ascii="Times New Roman" w:hAnsi="Times New Roman" w:cs="Times New Roman"/>
        </w:rPr>
      </w:pPr>
      <w:r>
        <w:rPr>
          <w:rFonts w:ascii="Times New Roman" w:hAnsi="Times New Roman" w:cs="Times New Roman"/>
        </w:rPr>
        <w:t>（1）火灾爆炸事故物质释放量</w:t>
      </w:r>
    </w:p>
    <w:p>
      <w:pPr>
        <w:spacing w:line="360" w:lineRule="auto"/>
        <w:ind w:firstLine="480" w:firstLineChars="200"/>
        <w:rPr>
          <w:rFonts w:ascii="Times New Roman" w:hAnsi="Times New Roman" w:cs="Times New Roman"/>
        </w:rPr>
      </w:pPr>
      <w:r>
        <w:rPr>
          <w:rFonts w:ascii="Times New Roman" w:hAnsi="Times New Roman" w:cs="Times New Roman"/>
        </w:rPr>
        <w:t>本项目磺化煤油最大存在量为20t，LC50为7072mg/m</w:t>
      </w:r>
      <w:r>
        <w:rPr>
          <w:rFonts w:ascii="Times New Roman" w:hAnsi="Times New Roman" w:cs="Times New Roman"/>
          <w:vertAlign w:val="superscript"/>
        </w:rPr>
        <w:t>3</w:t>
      </w:r>
      <w:r>
        <w:rPr>
          <w:rFonts w:ascii="Times New Roman" w:hAnsi="Times New Roman" w:cs="Times New Roman"/>
        </w:rPr>
        <w:t>，根据《建设项目环境风险评价技术导则》（HJ169-2018）附录F，火灾爆炸事故中未参与燃烧有毒有害物质的释放比例按10%计，则火灾爆炸事故中磺化煤油释放量为2t，</w:t>
      </w:r>
      <w:r>
        <w:rPr>
          <w:rFonts w:ascii="Times New Roman" w:hAnsi="Times New Roman" w:eastAsia="宋体" w:cs="Times New Roman"/>
          <w:szCs w:val="24"/>
        </w:rPr>
        <w:t>持续燃烧时间设30min。</w:t>
      </w:r>
    </w:p>
    <w:p>
      <w:pPr>
        <w:spacing w:line="360" w:lineRule="auto"/>
        <w:ind w:firstLine="480" w:firstLineChars="200"/>
        <w:rPr>
          <w:rFonts w:ascii="Times New Roman" w:hAnsi="Times New Roman" w:cs="Times New Roman"/>
        </w:rPr>
      </w:pPr>
      <w:r>
        <w:rPr>
          <w:rFonts w:ascii="Times New Roman" w:hAnsi="Times New Roman" w:cs="Times New Roman"/>
        </w:rPr>
        <w:t>（2）火灾伴生/次生污染物产生量估算</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hint="eastAsia" w:ascii="宋体" w:hAnsi="宋体" w:eastAsia="宋体" w:cs="宋体"/>
        </w:rPr>
        <w:t>①</w:t>
      </w:r>
      <w:r>
        <w:rPr>
          <w:rFonts w:ascii="Times New Roman" w:hAnsi="Times New Roman" w:cs="Times New Roman"/>
        </w:rPr>
        <w:fldChar w:fldCharType="end"/>
      </w:r>
      <w:r>
        <w:rPr>
          <w:rFonts w:ascii="Times New Roman" w:hAnsi="Times New Roman" w:cs="Times New Roman"/>
        </w:rPr>
        <w:t>火灾伴生/次生一氧化碳的产生量</w:t>
      </w:r>
    </w:p>
    <w:p>
      <w:pPr>
        <w:spacing w:line="360" w:lineRule="auto"/>
        <w:ind w:firstLine="480" w:firstLineChars="200"/>
        <w:rPr>
          <w:rFonts w:ascii="Times New Roman" w:hAnsi="Times New Roman" w:cs="Times New Roman"/>
        </w:rPr>
      </w:pPr>
      <w:r>
        <w:rPr>
          <w:rFonts w:ascii="Times New Roman" w:hAnsi="Times New Roman" w:cs="Times New Roman"/>
        </w:rPr>
        <w:t>磺化煤油发生火灾伴生/次生一氧化碳产生量的计算公式：</w:t>
      </w:r>
    </w:p>
    <w:p>
      <w:pPr>
        <w:spacing w:line="360" w:lineRule="auto"/>
        <w:ind w:firstLine="480" w:firstLineChars="200"/>
        <w:rPr>
          <w:rFonts w:ascii="Times New Roman" w:hAnsi="Times New Roman" w:cs="Times New Roman"/>
        </w:rPr>
      </w:pPr>
      <w:r>
        <w:rPr>
          <w:rFonts w:ascii="Times New Roman" w:hAnsi="Times New Roman" w:cs="Times New Roman"/>
        </w:rPr>
        <w:t>G一氧化碳=2330qCQ</w:t>
      </w:r>
    </w:p>
    <w:p>
      <w:pPr>
        <w:spacing w:line="360" w:lineRule="auto"/>
        <w:ind w:firstLine="480" w:firstLineChars="200"/>
        <w:rPr>
          <w:rFonts w:ascii="Times New Roman" w:hAnsi="Times New Roman" w:cs="Times New Roman"/>
        </w:rPr>
      </w:pPr>
      <w:r>
        <w:rPr>
          <w:rFonts w:ascii="Times New Roman" w:hAnsi="Times New Roman" w:cs="Times New Roman"/>
        </w:rPr>
        <w:t>式中：G一氧化碳—一氧化碳的产生量，kg/s；</w:t>
      </w:r>
    </w:p>
    <w:p>
      <w:pPr>
        <w:spacing w:line="360" w:lineRule="auto"/>
        <w:ind w:firstLine="480" w:firstLineChars="200"/>
        <w:rPr>
          <w:rFonts w:ascii="Times New Roman" w:hAnsi="Times New Roman" w:cs="Times New Roman"/>
        </w:rPr>
      </w:pPr>
      <w:r>
        <w:rPr>
          <w:rFonts w:ascii="Times New Roman" w:hAnsi="Times New Roman" w:cs="Times New Roman"/>
        </w:rPr>
        <w:t>C—物质中碳的含量%；取70%；</w:t>
      </w:r>
    </w:p>
    <w:p>
      <w:pPr>
        <w:spacing w:line="360" w:lineRule="auto"/>
        <w:ind w:firstLine="480" w:firstLineChars="200"/>
        <w:rPr>
          <w:rFonts w:ascii="Times New Roman" w:hAnsi="Times New Roman" w:cs="Times New Roman"/>
        </w:rPr>
      </w:pPr>
      <w:r>
        <w:rPr>
          <w:rFonts w:ascii="Times New Roman" w:hAnsi="Times New Roman" w:cs="Times New Roman"/>
        </w:rPr>
        <w:t>q—化学不完全燃烧值，取5%；</w:t>
      </w:r>
    </w:p>
    <w:p>
      <w:pPr>
        <w:spacing w:line="360" w:lineRule="auto"/>
        <w:ind w:firstLine="480" w:firstLineChars="200"/>
        <w:rPr>
          <w:rFonts w:ascii="Times New Roman" w:hAnsi="Times New Roman" w:cs="Times New Roman"/>
        </w:rPr>
      </w:pPr>
      <w:r>
        <w:rPr>
          <w:rFonts w:ascii="Times New Roman" w:hAnsi="Times New Roman" w:cs="Times New Roman"/>
        </w:rPr>
        <w:t>Q—参与燃烧的物质量（t/s），取0.0011。</w:t>
      </w:r>
    </w:p>
    <w:p>
      <w:pPr>
        <w:spacing w:line="360" w:lineRule="auto"/>
        <w:ind w:firstLine="480" w:firstLineChars="200"/>
        <w:rPr>
          <w:rFonts w:ascii="Times New Roman" w:hAnsi="Times New Roman" w:cs="Times New Roman"/>
        </w:rPr>
      </w:pPr>
      <w:r>
        <w:rPr>
          <w:rFonts w:ascii="Times New Roman" w:hAnsi="Times New Roman" w:cs="Times New Roman"/>
        </w:rPr>
        <w:t>计算得磺化煤油火灾次生一氧化碳产生量为0.09kg/s，事故时间取30min。</w:t>
      </w:r>
    </w:p>
    <w:p>
      <w:pPr>
        <w:pStyle w:val="4"/>
        <w:rPr>
          <w:rFonts w:ascii="Times New Roman" w:hAnsi="Times New Roman" w:cs="Times New Roman"/>
        </w:rPr>
      </w:pPr>
      <w:bookmarkStart w:id="457" w:name="_Toc144236843"/>
      <w:bookmarkStart w:id="458" w:name="_Toc144276973"/>
      <w:bookmarkStart w:id="459" w:name="_Toc147848091"/>
      <w:r>
        <w:rPr>
          <w:rFonts w:ascii="Times New Roman" w:hAnsi="Times New Roman" w:cs="Times New Roman"/>
        </w:rPr>
        <w:t>7.5.3 地表水环境风险事故情景及源项设置</w:t>
      </w:r>
      <w:bookmarkEnd w:id="457"/>
      <w:bookmarkEnd w:id="458"/>
      <w:bookmarkEnd w:id="459"/>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根据环境风险识别可知，在火灾事故产生的大量消防废水情况下，造成厂区污水处理站溢流，导致生产废水通过雨水排放口排放至外环境，对周边地表水环境</w:t>
      </w:r>
      <w:r>
        <w:rPr>
          <w:rFonts w:ascii="Times New Roman" w:hAnsi="Times New Roman" w:cs="Times New Roman"/>
        </w:rPr>
        <w:t>造成</w:t>
      </w:r>
      <w:r>
        <w:rPr>
          <w:rFonts w:ascii="Times New Roman" w:hAnsi="Times New Roman" w:eastAsia="宋体" w:cs="Times New Roman"/>
          <w:szCs w:val="24"/>
        </w:rPr>
        <w:t>影响。</w:t>
      </w:r>
    </w:p>
    <w:p>
      <w:pPr>
        <w:pStyle w:val="4"/>
        <w:rPr>
          <w:rFonts w:ascii="Times New Roman" w:hAnsi="Times New Roman" w:cs="Times New Roman"/>
          <w:u w:val="single"/>
        </w:rPr>
      </w:pPr>
      <w:bookmarkStart w:id="460" w:name="_Toc144276974"/>
      <w:bookmarkStart w:id="461" w:name="_Toc144236844"/>
      <w:bookmarkStart w:id="462" w:name="_Toc147848092"/>
      <w:r>
        <w:rPr>
          <w:rFonts w:ascii="Times New Roman" w:hAnsi="Times New Roman" w:cs="Times New Roman"/>
          <w:u w:val="single"/>
        </w:rPr>
        <w:t>7.5.4 地下水环境风险事故情景及源项设置</w:t>
      </w:r>
      <w:bookmarkEnd w:id="460"/>
      <w:bookmarkEnd w:id="461"/>
      <w:bookmarkEnd w:id="462"/>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浸出、萃取车间涉及的风险物质包括硫酸、磺化煤油。其均存在与储槽内，且位于室内。浸出车间和萃取车间地面均进行了重点防渗，储槽为架空储槽，地面设有导流槽，因此，浸出萃取车间各风险物质泄漏进入外环境的几率极小。</w:t>
      </w:r>
    </w:p>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项目产品仓库中风险物质为硫酸镍和硫酸锰，其采用袋装存放于电解净液仓库。由于其属于固体物质，且位于室内，因此硫酸镍和硫酸锰不会流失进入外环境。此外，本项目电解液净化车间进行了重点防渗，也不会流失进入土壤和地下水。</w:t>
      </w:r>
    </w:p>
    <w:p>
      <w:pPr>
        <w:pStyle w:val="3"/>
        <w:rPr>
          <w:rFonts w:ascii="Times New Roman" w:hAnsi="Times New Roman" w:cs="Times New Roman"/>
        </w:rPr>
      </w:pPr>
      <w:bookmarkStart w:id="463" w:name="_Toc102658232"/>
      <w:bookmarkStart w:id="464" w:name="_Toc144276975"/>
      <w:bookmarkStart w:id="465" w:name="_Toc144236845"/>
      <w:bookmarkStart w:id="466" w:name="_Toc147848093"/>
      <w:r>
        <w:rPr>
          <w:rFonts w:ascii="Times New Roman" w:hAnsi="Times New Roman" w:cs="Times New Roman"/>
        </w:rPr>
        <w:t>7.6</w:t>
      </w:r>
      <w:bookmarkEnd w:id="463"/>
      <w:r>
        <w:rPr>
          <w:rFonts w:ascii="Times New Roman" w:hAnsi="Times New Roman" w:cs="Times New Roman"/>
        </w:rPr>
        <w:t xml:space="preserve"> 风险预测与评价</w:t>
      </w:r>
      <w:bookmarkEnd w:id="464"/>
      <w:bookmarkEnd w:id="465"/>
      <w:bookmarkEnd w:id="466"/>
    </w:p>
    <w:p>
      <w:pPr>
        <w:pStyle w:val="4"/>
        <w:rPr>
          <w:rFonts w:ascii="Times New Roman" w:hAnsi="Times New Roman" w:cs="Times New Roman"/>
        </w:rPr>
      </w:pPr>
      <w:bookmarkStart w:id="467" w:name="_Toc144236846"/>
      <w:bookmarkStart w:id="468" w:name="_Toc144276976"/>
      <w:bookmarkStart w:id="469" w:name="_Toc147848094"/>
      <w:r>
        <w:rPr>
          <w:rFonts w:ascii="Times New Roman" w:hAnsi="Times New Roman" w:cs="Times New Roman"/>
        </w:rPr>
        <w:t>7.6.1 大气环境风险预测与评价</w:t>
      </w:r>
      <w:bookmarkEnd w:id="467"/>
      <w:bookmarkEnd w:id="468"/>
      <w:bookmarkEnd w:id="469"/>
    </w:p>
    <w:p>
      <w:pPr>
        <w:pStyle w:val="5"/>
        <w:ind w:firstLine="482"/>
        <w:rPr>
          <w:rFonts w:ascii="Times New Roman" w:hAnsi="Times New Roman" w:cs="Times New Roman"/>
        </w:rPr>
      </w:pPr>
      <w:r>
        <w:rPr>
          <w:rFonts w:ascii="Times New Roman" w:hAnsi="Times New Roman" w:cs="Times New Roman"/>
        </w:rPr>
        <w:t>7.6.1.1 预测评价采用标准</w:t>
      </w:r>
    </w:p>
    <w:p>
      <w:pPr>
        <w:adjustRightInd/>
        <w:snapToGrid/>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根据《建设项目环境风险评价技术导则》（HJ169-2018），大气毒性终点浓度即预测评价标准。</w:t>
      </w:r>
      <w:r>
        <w:rPr>
          <w:rFonts w:ascii="Times New Roman" w:hAnsi="Times New Roman" w:cs="Times New Roman"/>
        </w:rPr>
        <w:t>大气</w:t>
      </w:r>
      <w:r>
        <w:rPr>
          <w:rFonts w:ascii="Times New Roman" w:hAnsi="Times New Roman" w:eastAsia="宋体" w:cs="Times New Roman"/>
          <w:szCs w:val="24"/>
        </w:rPr>
        <w:t>毒性终点浓度值选取参见附录H，分为1、2级。其中1级为当大气中危险物质浓度低于该限值时，绝大多数人员暴露1h不会对生命造成威胁，当超过该限值时，有可能对人群造成生命威胁；2级为当大气中危险物质浓度低于该限值时，暴露1h一般不会对人体造成不可逆的伤害，或出现的症状一般不会损伤该个体采取有效防护措施的能力。</w:t>
      </w:r>
    </w:p>
    <w:p>
      <w:pPr>
        <w:adjustRightInd/>
        <w:snapToGrid/>
        <w:spacing w:line="360" w:lineRule="auto"/>
        <w:ind w:firstLine="464" w:firstLineChars="200"/>
        <w:rPr>
          <w:rFonts w:ascii="Times New Roman" w:hAnsi="Times New Roman" w:eastAsia="宋体" w:cs="Times New Roman"/>
          <w:spacing w:val="-4"/>
          <w:szCs w:val="21"/>
        </w:rPr>
      </w:pPr>
      <w:r>
        <w:rPr>
          <w:rFonts w:ascii="Times New Roman" w:hAnsi="Times New Roman" w:eastAsia="宋体" w:cs="Times New Roman"/>
          <w:spacing w:val="-4"/>
          <w:szCs w:val="24"/>
        </w:rPr>
        <w:t>CO的</w:t>
      </w:r>
      <w:r>
        <w:rPr>
          <w:rFonts w:ascii="Times New Roman" w:hAnsi="Times New Roman" w:eastAsia="宋体" w:cs="Times New Roman"/>
          <w:spacing w:val="-4"/>
          <w:szCs w:val="21"/>
        </w:rPr>
        <w:t>毒性终点浓度-1为380mg/m³，毒性终点浓度-2为95mg/m³。</w:t>
      </w:r>
    </w:p>
    <w:p>
      <w:pPr>
        <w:pStyle w:val="5"/>
        <w:ind w:firstLine="482"/>
      </w:pPr>
      <w:r>
        <w:t>7.6.1.2 预测模型与相关参数</w:t>
      </w:r>
    </w:p>
    <w:p>
      <w:pPr>
        <w:adjustRightInd/>
        <w:snapToGrid/>
        <w:spacing w:line="360" w:lineRule="auto"/>
        <w:ind w:firstLine="480"/>
        <w:rPr>
          <w:rFonts w:ascii="Times New Roman" w:hAnsi="Times New Roman" w:eastAsia="宋体" w:cs="Times New Roman"/>
          <w:szCs w:val="24"/>
        </w:rPr>
      </w:pPr>
      <w:r>
        <w:rPr>
          <w:rFonts w:ascii="Times New Roman" w:hAnsi="Times New Roman" w:eastAsia="宋体" w:cs="Times New Roman"/>
          <w:spacing w:val="-4"/>
          <w:kern w:val="0"/>
          <w:szCs w:val="24"/>
        </w:rPr>
        <w:t>根据《建设项目环境风险评价技术导则》（HJ169-2018）附录G中相关公式计算，在本项目预设的风险情景下，由于CO密度小于空气，得到CO的理查德森数Ri&lt;0&lt;1/6，属于轻质气体。因此，采用</w:t>
      </w:r>
      <w:r>
        <w:rPr>
          <w:rFonts w:ascii="Times New Roman" w:hAnsi="Times New Roman" w:eastAsia="宋体" w:cs="Times New Roman"/>
          <w:spacing w:val="-4"/>
          <w:kern w:val="0"/>
          <w:szCs w:val="21"/>
        </w:rPr>
        <w:t>AFTOX</w:t>
      </w:r>
      <w:r>
        <w:rPr>
          <w:rFonts w:ascii="Times New Roman" w:hAnsi="Times New Roman" w:eastAsia="宋体" w:cs="Times New Roman"/>
          <w:spacing w:val="5"/>
          <w:kern w:val="0"/>
          <w:szCs w:val="21"/>
        </w:rPr>
        <w:t>模型</w:t>
      </w:r>
      <w:r>
        <w:rPr>
          <w:rFonts w:ascii="Times New Roman" w:hAnsi="Times New Roman" w:eastAsia="宋体" w:cs="Times New Roman"/>
          <w:spacing w:val="-4"/>
          <w:kern w:val="0"/>
          <w:szCs w:val="24"/>
        </w:rPr>
        <w:t>模型适进行预测，主要参数详见下表。</w:t>
      </w:r>
    </w:p>
    <w:p>
      <w:pPr>
        <w:pStyle w:val="6"/>
        <w:rPr>
          <w:rFonts w:ascii="Times New Roman" w:hAnsi="Times New Roman" w:cs="Times New Roman"/>
          <w:lang w:val="zh-CN"/>
        </w:rPr>
      </w:pPr>
      <w:r>
        <w:rPr>
          <w:rFonts w:ascii="Times New Roman" w:hAnsi="Times New Roman" w:cs="Times New Roman"/>
          <w:lang w:val="zh-CN"/>
        </w:rPr>
        <w:t>表7.6-1  大气风险预测模型主要参数表</w:t>
      </w:r>
    </w:p>
    <w:tbl>
      <w:tblPr>
        <w:tblStyle w:val="35"/>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65"/>
        <w:gridCol w:w="2475"/>
        <w:gridCol w:w="36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65"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参数类型</w:t>
            </w:r>
          </w:p>
        </w:tc>
        <w:tc>
          <w:tcPr>
            <w:tcW w:w="2475"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选项</w:t>
            </w:r>
          </w:p>
        </w:tc>
        <w:tc>
          <w:tcPr>
            <w:tcW w:w="3682"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参数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65" w:type="dxa"/>
            <w:vMerge w:val="restart"/>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火灾爆炸二次污染物</w:t>
            </w:r>
          </w:p>
        </w:tc>
        <w:tc>
          <w:tcPr>
            <w:tcW w:w="2475"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事故源经纬度</w:t>
            </w:r>
          </w:p>
        </w:tc>
        <w:tc>
          <w:tcPr>
            <w:tcW w:w="3682"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112°48′19.144″，27°0′56.236″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65" w:type="dxa"/>
            <w:vMerge w:val="continue"/>
            <w:tcBorders>
              <w:tl2br w:val="nil"/>
              <w:tr2bl w:val="nil"/>
            </w:tcBorders>
            <w:vAlign w:val="center"/>
          </w:tcPr>
          <w:p>
            <w:pPr>
              <w:jc w:val="center"/>
              <w:rPr>
                <w:rFonts w:ascii="Times New Roman" w:hAnsi="Times New Roman" w:cs="Times New Roman"/>
                <w:sz w:val="21"/>
                <w:szCs w:val="21"/>
              </w:rPr>
            </w:pPr>
          </w:p>
        </w:tc>
        <w:tc>
          <w:tcPr>
            <w:tcW w:w="2475"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事故源类型</w:t>
            </w:r>
          </w:p>
        </w:tc>
        <w:tc>
          <w:tcPr>
            <w:tcW w:w="3682"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火灾爆炸二次污染物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65" w:type="dxa"/>
            <w:vMerge w:val="restart"/>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气象参数</w:t>
            </w:r>
          </w:p>
        </w:tc>
        <w:tc>
          <w:tcPr>
            <w:tcW w:w="2475"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气象条件类型</w:t>
            </w:r>
          </w:p>
        </w:tc>
        <w:tc>
          <w:tcPr>
            <w:tcW w:w="3682"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最不利气象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65" w:type="dxa"/>
            <w:vMerge w:val="continue"/>
            <w:tcBorders>
              <w:tl2br w:val="nil"/>
              <w:tr2bl w:val="nil"/>
            </w:tcBorders>
            <w:vAlign w:val="center"/>
          </w:tcPr>
          <w:p>
            <w:pPr>
              <w:jc w:val="center"/>
              <w:rPr>
                <w:rFonts w:ascii="Times New Roman" w:hAnsi="Times New Roman" w:cs="Times New Roman"/>
                <w:sz w:val="21"/>
                <w:szCs w:val="21"/>
              </w:rPr>
            </w:pPr>
          </w:p>
        </w:tc>
        <w:tc>
          <w:tcPr>
            <w:tcW w:w="2475"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风速（m/s）</w:t>
            </w:r>
          </w:p>
        </w:tc>
        <w:tc>
          <w:tcPr>
            <w:tcW w:w="3682"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65" w:type="dxa"/>
            <w:vMerge w:val="continue"/>
            <w:tcBorders>
              <w:tl2br w:val="nil"/>
              <w:tr2bl w:val="nil"/>
            </w:tcBorders>
            <w:vAlign w:val="center"/>
          </w:tcPr>
          <w:p>
            <w:pPr>
              <w:jc w:val="center"/>
              <w:rPr>
                <w:rFonts w:ascii="Times New Roman" w:hAnsi="Times New Roman" w:cs="Times New Roman"/>
                <w:sz w:val="21"/>
                <w:szCs w:val="21"/>
              </w:rPr>
            </w:pPr>
          </w:p>
        </w:tc>
        <w:tc>
          <w:tcPr>
            <w:tcW w:w="2475"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环境温度（</w:t>
            </w:r>
            <w:r>
              <w:rPr>
                <w:rFonts w:hint="eastAsia" w:ascii="宋体" w:hAnsi="宋体" w:eastAsia="宋体" w:cs="宋体"/>
                <w:sz w:val="21"/>
                <w:szCs w:val="21"/>
              </w:rPr>
              <w:t>℃</w:t>
            </w:r>
            <w:r>
              <w:rPr>
                <w:rFonts w:ascii="Times New Roman" w:hAnsi="Times New Roman" w:cs="Times New Roman"/>
                <w:sz w:val="21"/>
                <w:szCs w:val="21"/>
              </w:rPr>
              <w:t>）</w:t>
            </w:r>
          </w:p>
        </w:tc>
        <w:tc>
          <w:tcPr>
            <w:tcW w:w="3682"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cs="Times New Roman"/>
                <w:sz w:val="21"/>
                <w:szCs w:val="21"/>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65" w:type="dxa"/>
            <w:vMerge w:val="continue"/>
            <w:tcBorders>
              <w:tl2br w:val="nil"/>
              <w:tr2bl w:val="nil"/>
            </w:tcBorders>
            <w:vAlign w:val="center"/>
          </w:tcPr>
          <w:p>
            <w:pPr>
              <w:jc w:val="center"/>
              <w:rPr>
                <w:rFonts w:ascii="Times New Roman" w:hAnsi="Times New Roman" w:cs="Times New Roman"/>
                <w:sz w:val="21"/>
                <w:szCs w:val="21"/>
              </w:rPr>
            </w:pPr>
          </w:p>
        </w:tc>
        <w:tc>
          <w:tcPr>
            <w:tcW w:w="2475"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相对湿度（%）</w:t>
            </w:r>
          </w:p>
        </w:tc>
        <w:tc>
          <w:tcPr>
            <w:tcW w:w="3682"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65" w:type="dxa"/>
            <w:vMerge w:val="continue"/>
            <w:tcBorders>
              <w:tl2br w:val="nil"/>
              <w:tr2bl w:val="nil"/>
            </w:tcBorders>
            <w:vAlign w:val="center"/>
          </w:tcPr>
          <w:p>
            <w:pPr>
              <w:jc w:val="center"/>
              <w:rPr>
                <w:rFonts w:ascii="Times New Roman" w:hAnsi="Times New Roman" w:cs="Times New Roman"/>
                <w:sz w:val="21"/>
                <w:szCs w:val="21"/>
              </w:rPr>
            </w:pPr>
          </w:p>
        </w:tc>
        <w:tc>
          <w:tcPr>
            <w:tcW w:w="2475"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稳定度</w:t>
            </w:r>
          </w:p>
        </w:tc>
        <w:tc>
          <w:tcPr>
            <w:tcW w:w="3682"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F</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65" w:type="dxa"/>
            <w:vMerge w:val="restart"/>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其他参数</w:t>
            </w:r>
          </w:p>
        </w:tc>
        <w:tc>
          <w:tcPr>
            <w:tcW w:w="2475"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泄漏时间</w:t>
            </w:r>
          </w:p>
        </w:tc>
        <w:tc>
          <w:tcPr>
            <w:tcW w:w="3682" w:type="dxa"/>
            <w:tcBorders>
              <w:tl2br w:val="nil"/>
              <w:tr2bl w:val="nil"/>
            </w:tcBorders>
            <w:vAlign w:val="center"/>
          </w:tcPr>
          <w:p>
            <w:pPr>
              <w:jc w:val="center"/>
              <w:rPr>
                <w:rFonts w:ascii="Times New Roman" w:hAnsi="Times New Roman" w:eastAsia="宋体" w:cs="Times New Roman"/>
                <w:sz w:val="21"/>
                <w:szCs w:val="21"/>
              </w:rPr>
            </w:pPr>
            <w:r>
              <w:rPr>
                <w:rFonts w:ascii="Times New Roman" w:hAnsi="Times New Roman" w:cs="Times New Roman"/>
                <w:sz w:val="21"/>
                <w:szCs w:val="21"/>
              </w:rPr>
              <w:t>10min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65" w:type="dxa"/>
            <w:vMerge w:val="continue"/>
            <w:tcBorders>
              <w:tl2br w:val="nil"/>
              <w:tr2bl w:val="nil"/>
            </w:tcBorders>
            <w:vAlign w:val="center"/>
          </w:tcPr>
          <w:p>
            <w:pPr>
              <w:jc w:val="center"/>
              <w:rPr>
                <w:rFonts w:ascii="Times New Roman" w:hAnsi="Times New Roman" w:cs="Times New Roman"/>
                <w:sz w:val="21"/>
                <w:szCs w:val="21"/>
              </w:rPr>
            </w:pPr>
          </w:p>
        </w:tc>
        <w:tc>
          <w:tcPr>
            <w:tcW w:w="2475"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地表粗糙度</w:t>
            </w:r>
          </w:p>
        </w:tc>
        <w:tc>
          <w:tcPr>
            <w:tcW w:w="3682"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3cm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65" w:type="dxa"/>
            <w:vMerge w:val="continue"/>
            <w:tcBorders>
              <w:tl2br w:val="nil"/>
              <w:tr2bl w:val="nil"/>
            </w:tcBorders>
            <w:vAlign w:val="center"/>
          </w:tcPr>
          <w:p>
            <w:pPr>
              <w:jc w:val="center"/>
              <w:rPr>
                <w:rFonts w:ascii="Times New Roman" w:hAnsi="Times New Roman" w:cs="Times New Roman"/>
                <w:sz w:val="21"/>
                <w:szCs w:val="21"/>
              </w:rPr>
            </w:pPr>
          </w:p>
        </w:tc>
        <w:tc>
          <w:tcPr>
            <w:tcW w:w="2475"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是否考虑地形</w:t>
            </w:r>
          </w:p>
        </w:tc>
        <w:tc>
          <w:tcPr>
            <w:tcW w:w="3682"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65" w:type="dxa"/>
            <w:vMerge w:val="continue"/>
            <w:tcBorders>
              <w:tl2br w:val="nil"/>
              <w:tr2bl w:val="nil"/>
            </w:tcBorders>
            <w:vAlign w:val="center"/>
          </w:tcPr>
          <w:p>
            <w:pPr>
              <w:jc w:val="center"/>
              <w:rPr>
                <w:rFonts w:ascii="Times New Roman" w:hAnsi="Times New Roman" w:cs="Times New Roman"/>
                <w:sz w:val="21"/>
                <w:szCs w:val="21"/>
              </w:rPr>
            </w:pPr>
          </w:p>
        </w:tc>
        <w:tc>
          <w:tcPr>
            <w:tcW w:w="2475"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地形数据精度（m）</w:t>
            </w:r>
          </w:p>
        </w:tc>
        <w:tc>
          <w:tcPr>
            <w:tcW w:w="3682" w:type="dxa"/>
            <w:tcBorders>
              <w:tl2br w:val="nil"/>
              <w:tr2bl w:val="nil"/>
            </w:tcBorders>
            <w:vAlign w:val="center"/>
          </w:tcPr>
          <w:p>
            <w:pPr>
              <w:jc w:val="center"/>
              <w:rPr>
                <w:rFonts w:ascii="Times New Roman" w:hAnsi="Times New Roman" w:cs="Times New Roman"/>
                <w:sz w:val="21"/>
                <w:szCs w:val="21"/>
              </w:rPr>
            </w:pPr>
            <w:r>
              <w:rPr>
                <w:rFonts w:ascii="Times New Roman" w:hAnsi="Times New Roman" w:cs="Times New Roman"/>
                <w:sz w:val="21"/>
                <w:szCs w:val="21"/>
              </w:rPr>
              <w:t>90m</w:t>
            </w:r>
          </w:p>
        </w:tc>
      </w:tr>
    </w:tbl>
    <w:p>
      <w:pPr>
        <w:pStyle w:val="5"/>
        <w:ind w:firstLine="482"/>
        <w:rPr>
          <w:rFonts w:ascii="Times New Roman" w:hAnsi="Times New Roman" w:cs="Times New Roman"/>
        </w:rPr>
      </w:pPr>
      <w:r>
        <w:rPr>
          <w:rFonts w:ascii="Times New Roman" w:hAnsi="Times New Roman" w:cs="Times New Roman"/>
        </w:rPr>
        <w:t>7.6.1.3 产生CO次生污染物在大气中扩散预测结果与评价</w:t>
      </w:r>
    </w:p>
    <w:p>
      <w:pPr>
        <w:spacing w:line="360" w:lineRule="auto"/>
        <w:ind w:firstLine="480"/>
        <w:rPr>
          <w:rFonts w:ascii="Times New Roman" w:hAnsi="Times New Roman" w:eastAsia="宋体" w:cs="Times New Roman"/>
          <w:szCs w:val="24"/>
        </w:rPr>
      </w:pPr>
      <w:r>
        <w:rPr>
          <w:rFonts w:ascii="Times New Roman" w:hAnsi="Times New Roman" w:eastAsia="宋体" w:cs="Times New Roman"/>
          <w:szCs w:val="24"/>
        </w:rPr>
        <w:t>产生的CO二次污染物预测结果详见下表所示，主要反映在最不利气象条件下下风向不同距离处</w:t>
      </w:r>
      <w:r>
        <w:rPr>
          <w:rFonts w:ascii="Times New Roman" w:hAnsi="Times New Roman" w:cs="Times New Roman"/>
          <w:kern w:val="0"/>
        </w:rPr>
        <w:t>CO</w:t>
      </w:r>
      <w:r>
        <w:rPr>
          <w:rFonts w:ascii="Times New Roman" w:hAnsi="Times New Roman" w:eastAsia="宋体" w:cs="Times New Roman"/>
          <w:szCs w:val="24"/>
        </w:rPr>
        <w:t>的最大浓度；CO预测浓度分布见下图所示；CO预测浓度达到不同毒性终点浓度的最大影响范围和主要关心点CO浓度随时间变化情况详见</w:t>
      </w:r>
      <w:r>
        <w:rPr>
          <w:rFonts w:hint="eastAsia" w:ascii="Times New Roman" w:hAnsi="Times New Roman" w:eastAsia="宋体" w:cs="Times New Roman"/>
          <w:szCs w:val="24"/>
        </w:rPr>
        <w:t>下图所示</w:t>
      </w:r>
      <w:r>
        <w:rPr>
          <w:rFonts w:ascii="Times New Roman" w:hAnsi="Times New Roman" w:eastAsia="宋体" w:cs="Times New Roman"/>
          <w:szCs w:val="24"/>
        </w:rPr>
        <w:t>，主要敏感点CO预测浓度随时间变化情况详见</w:t>
      </w:r>
      <w:r>
        <w:rPr>
          <w:rFonts w:hint="eastAsia" w:ascii="Times New Roman" w:hAnsi="Times New Roman" w:eastAsia="宋体" w:cs="Times New Roman"/>
          <w:szCs w:val="24"/>
        </w:rPr>
        <w:t>下表</w:t>
      </w:r>
      <w:r>
        <w:rPr>
          <w:rFonts w:ascii="Times New Roman" w:hAnsi="Times New Roman" w:eastAsia="宋体" w:cs="Times New Roman"/>
          <w:szCs w:val="24"/>
        </w:rPr>
        <w:t>。</w:t>
      </w:r>
    </w:p>
    <w:p>
      <w:pPr>
        <w:pStyle w:val="6"/>
        <w:rPr>
          <w:rFonts w:ascii="Times New Roman" w:hAnsi="Times New Roman" w:cs="Times New Roman"/>
          <w:lang w:val="zh-CN"/>
        </w:rPr>
      </w:pPr>
      <w:r>
        <w:rPr>
          <w:rFonts w:ascii="Times New Roman" w:hAnsi="Times New Roman" w:cs="Times New Roman"/>
          <w:lang w:val="zh-CN"/>
        </w:rPr>
        <w:t>表</w:t>
      </w:r>
      <w:r>
        <w:rPr>
          <w:rFonts w:hint="eastAsia" w:ascii="Times New Roman" w:hAnsi="Times New Roman" w:cs="Times New Roman"/>
          <w:lang w:val="zh-CN"/>
        </w:rPr>
        <w:t>7.6</w:t>
      </w:r>
      <w:r>
        <w:rPr>
          <w:rFonts w:ascii="Times New Roman" w:hAnsi="Times New Roman" w:cs="Times New Roman"/>
          <w:lang w:val="zh-CN"/>
        </w:rPr>
        <w:t>-2  最不利气象条件下下风向不同距离处CO的最大浓度</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448"/>
        <w:gridCol w:w="3037"/>
        <w:gridCol w:w="303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36" w:type="pct"/>
            <w:vMerge w:val="restart"/>
            <w:vAlign w:val="center"/>
          </w:tcPr>
          <w:p>
            <w:pPr>
              <w:pStyle w:val="63"/>
            </w:pPr>
            <w:r>
              <w:t>稳定度</w:t>
            </w:r>
          </w:p>
        </w:tc>
        <w:tc>
          <w:tcPr>
            <w:tcW w:w="3564" w:type="pct"/>
            <w:gridSpan w:val="2"/>
            <w:vAlign w:val="center"/>
          </w:tcPr>
          <w:p>
            <w:pPr>
              <w:pStyle w:val="63"/>
            </w:pPr>
            <w:r>
              <w:t>最不利气象条件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36" w:type="pct"/>
            <w:vMerge w:val="continue"/>
            <w:vAlign w:val="center"/>
          </w:tcPr>
          <w:p>
            <w:pPr>
              <w:pStyle w:val="63"/>
            </w:pPr>
          </w:p>
        </w:tc>
        <w:tc>
          <w:tcPr>
            <w:tcW w:w="3564" w:type="pct"/>
            <w:gridSpan w:val="2"/>
            <w:vAlign w:val="center"/>
          </w:tcPr>
          <w:p>
            <w:pPr>
              <w:pStyle w:val="63"/>
            </w:pPr>
            <w:r>
              <w:t>F</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36" w:type="pct"/>
            <w:vAlign w:val="center"/>
          </w:tcPr>
          <w:p>
            <w:pPr>
              <w:pStyle w:val="63"/>
            </w:pPr>
            <w:r>
              <w:t>下风向距离（m）</w:t>
            </w:r>
          </w:p>
        </w:tc>
        <w:tc>
          <w:tcPr>
            <w:tcW w:w="1782" w:type="pct"/>
            <w:vAlign w:val="center"/>
          </w:tcPr>
          <w:p>
            <w:pPr>
              <w:pStyle w:val="63"/>
            </w:pPr>
            <w:r>
              <w:t>浓度出现时间（min）</w:t>
            </w:r>
          </w:p>
        </w:tc>
        <w:tc>
          <w:tcPr>
            <w:tcW w:w="1782" w:type="pct"/>
            <w:vAlign w:val="center"/>
          </w:tcPr>
          <w:p>
            <w:pPr>
              <w:pStyle w:val="63"/>
            </w:pPr>
            <w:r>
              <w:t>高峰浓度（mg/m</w:t>
            </w:r>
            <w:r>
              <w:rPr>
                <w:vertAlign w:val="superscript"/>
              </w:rPr>
              <w:t>3</w:t>
            </w:r>
            <w: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10.00 </w:t>
            </w:r>
          </w:p>
        </w:tc>
        <w:tc>
          <w:tcPr>
            <w:tcW w:w="1782" w:type="pct"/>
            <w:vAlign w:val="center"/>
          </w:tcPr>
          <w:p>
            <w:pPr>
              <w:pStyle w:val="63"/>
              <w:rPr>
                <w:color w:val="000000"/>
                <w:sz w:val="22"/>
              </w:rPr>
            </w:pPr>
            <w:r>
              <w:rPr>
                <w:color w:val="000000"/>
                <w:sz w:val="22"/>
              </w:rPr>
              <w:t xml:space="preserve">0.11 </w:t>
            </w:r>
          </w:p>
        </w:tc>
        <w:tc>
          <w:tcPr>
            <w:tcW w:w="1782" w:type="pct"/>
            <w:vAlign w:val="center"/>
          </w:tcPr>
          <w:p>
            <w:pPr>
              <w:pStyle w:val="63"/>
              <w:rPr>
                <w:color w:val="000000"/>
                <w:sz w:val="22"/>
              </w:rPr>
            </w:pPr>
            <w:r>
              <w:rPr>
                <w:color w:val="000000"/>
                <w:sz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110.00 </w:t>
            </w:r>
          </w:p>
        </w:tc>
        <w:tc>
          <w:tcPr>
            <w:tcW w:w="1782" w:type="pct"/>
            <w:vAlign w:val="center"/>
          </w:tcPr>
          <w:p>
            <w:pPr>
              <w:pStyle w:val="63"/>
              <w:rPr>
                <w:color w:val="000000"/>
                <w:sz w:val="22"/>
              </w:rPr>
            </w:pPr>
            <w:r>
              <w:rPr>
                <w:color w:val="000000"/>
                <w:sz w:val="22"/>
              </w:rPr>
              <w:t xml:space="preserve">1.22 </w:t>
            </w:r>
          </w:p>
        </w:tc>
        <w:tc>
          <w:tcPr>
            <w:tcW w:w="1782" w:type="pct"/>
            <w:vAlign w:val="center"/>
          </w:tcPr>
          <w:p>
            <w:pPr>
              <w:pStyle w:val="63"/>
              <w:rPr>
                <w:color w:val="000000"/>
                <w:sz w:val="22"/>
              </w:rPr>
            </w:pPr>
            <w:r>
              <w:rPr>
                <w:color w:val="000000"/>
                <w:sz w:val="22"/>
              </w:rPr>
              <w:t xml:space="preserve">425.28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210.00 </w:t>
            </w:r>
          </w:p>
        </w:tc>
        <w:tc>
          <w:tcPr>
            <w:tcW w:w="1782" w:type="pct"/>
            <w:vAlign w:val="center"/>
          </w:tcPr>
          <w:p>
            <w:pPr>
              <w:pStyle w:val="63"/>
              <w:rPr>
                <w:color w:val="000000"/>
                <w:sz w:val="22"/>
              </w:rPr>
            </w:pPr>
            <w:r>
              <w:rPr>
                <w:color w:val="000000"/>
                <w:sz w:val="22"/>
              </w:rPr>
              <w:t xml:space="preserve">2.33 </w:t>
            </w:r>
          </w:p>
        </w:tc>
        <w:tc>
          <w:tcPr>
            <w:tcW w:w="1782" w:type="pct"/>
            <w:vAlign w:val="center"/>
          </w:tcPr>
          <w:p>
            <w:pPr>
              <w:pStyle w:val="63"/>
              <w:rPr>
                <w:color w:val="000000"/>
                <w:sz w:val="22"/>
              </w:rPr>
            </w:pPr>
            <w:r>
              <w:rPr>
                <w:color w:val="000000"/>
                <w:sz w:val="22"/>
              </w:rPr>
              <w:t xml:space="preserve">261.95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310.00 </w:t>
            </w:r>
          </w:p>
        </w:tc>
        <w:tc>
          <w:tcPr>
            <w:tcW w:w="1782" w:type="pct"/>
            <w:vAlign w:val="center"/>
          </w:tcPr>
          <w:p>
            <w:pPr>
              <w:pStyle w:val="63"/>
              <w:rPr>
                <w:color w:val="000000"/>
                <w:sz w:val="22"/>
              </w:rPr>
            </w:pPr>
            <w:r>
              <w:rPr>
                <w:color w:val="000000"/>
                <w:sz w:val="22"/>
              </w:rPr>
              <w:t xml:space="preserve">3.44 </w:t>
            </w:r>
          </w:p>
        </w:tc>
        <w:tc>
          <w:tcPr>
            <w:tcW w:w="1782" w:type="pct"/>
            <w:vAlign w:val="center"/>
          </w:tcPr>
          <w:p>
            <w:pPr>
              <w:pStyle w:val="63"/>
              <w:rPr>
                <w:color w:val="000000"/>
                <w:sz w:val="22"/>
              </w:rPr>
            </w:pPr>
            <w:r>
              <w:rPr>
                <w:color w:val="000000"/>
                <w:sz w:val="22"/>
              </w:rPr>
              <w:t xml:space="preserve">169.60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410.00 </w:t>
            </w:r>
          </w:p>
        </w:tc>
        <w:tc>
          <w:tcPr>
            <w:tcW w:w="1782" w:type="pct"/>
            <w:vAlign w:val="center"/>
          </w:tcPr>
          <w:p>
            <w:pPr>
              <w:pStyle w:val="63"/>
              <w:rPr>
                <w:color w:val="000000"/>
                <w:sz w:val="22"/>
              </w:rPr>
            </w:pPr>
            <w:r>
              <w:rPr>
                <w:color w:val="000000"/>
                <w:sz w:val="22"/>
              </w:rPr>
              <w:t xml:space="preserve">4.56 </w:t>
            </w:r>
          </w:p>
        </w:tc>
        <w:tc>
          <w:tcPr>
            <w:tcW w:w="1782" w:type="pct"/>
            <w:vAlign w:val="center"/>
          </w:tcPr>
          <w:p>
            <w:pPr>
              <w:pStyle w:val="63"/>
              <w:rPr>
                <w:color w:val="000000"/>
                <w:sz w:val="22"/>
              </w:rPr>
            </w:pPr>
            <w:r>
              <w:rPr>
                <w:color w:val="000000"/>
                <w:sz w:val="22"/>
              </w:rPr>
              <w:t xml:space="preserve">117.55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510.00 </w:t>
            </w:r>
          </w:p>
        </w:tc>
        <w:tc>
          <w:tcPr>
            <w:tcW w:w="1782" w:type="pct"/>
            <w:vAlign w:val="center"/>
          </w:tcPr>
          <w:p>
            <w:pPr>
              <w:pStyle w:val="63"/>
              <w:rPr>
                <w:color w:val="000000"/>
                <w:sz w:val="22"/>
              </w:rPr>
            </w:pPr>
            <w:r>
              <w:rPr>
                <w:color w:val="000000"/>
                <w:sz w:val="22"/>
              </w:rPr>
              <w:t xml:space="preserve">5.67 </w:t>
            </w:r>
          </w:p>
        </w:tc>
        <w:tc>
          <w:tcPr>
            <w:tcW w:w="1782" w:type="pct"/>
            <w:vAlign w:val="center"/>
          </w:tcPr>
          <w:p>
            <w:pPr>
              <w:pStyle w:val="63"/>
              <w:rPr>
                <w:color w:val="000000"/>
                <w:sz w:val="22"/>
              </w:rPr>
            </w:pPr>
            <w:r>
              <w:rPr>
                <w:color w:val="000000"/>
                <w:sz w:val="22"/>
              </w:rPr>
              <w:t xml:space="preserve">86.26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610.00 </w:t>
            </w:r>
          </w:p>
        </w:tc>
        <w:tc>
          <w:tcPr>
            <w:tcW w:w="1782" w:type="pct"/>
            <w:vAlign w:val="center"/>
          </w:tcPr>
          <w:p>
            <w:pPr>
              <w:pStyle w:val="63"/>
              <w:rPr>
                <w:color w:val="000000"/>
                <w:sz w:val="22"/>
              </w:rPr>
            </w:pPr>
            <w:r>
              <w:rPr>
                <w:color w:val="000000"/>
                <w:sz w:val="22"/>
              </w:rPr>
              <w:t xml:space="preserve">6.78 </w:t>
            </w:r>
          </w:p>
        </w:tc>
        <w:tc>
          <w:tcPr>
            <w:tcW w:w="1782" w:type="pct"/>
            <w:vAlign w:val="center"/>
          </w:tcPr>
          <w:p>
            <w:pPr>
              <w:pStyle w:val="63"/>
              <w:rPr>
                <w:color w:val="000000"/>
                <w:sz w:val="22"/>
              </w:rPr>
            </w:pPr>
            <w:r>
              <w:rPr>
                <w:color w:val="000000"/>
                <w:sz w:val="22"/>
              </w:rPr>
              <w:t xml:space="preserve">66.14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710.00 </w:t>
            </w:r>
          </w:p>
        </w:tc>
        <w:tc>
          <w:tcPr>
            <w:tcW w:w="1782" w:type="pct"/>
            <w:vAlign w:val="center"/>
          </w:tcPr>
          <w:p>
            <w:pPr>
              <w:pStyle w:val="63"/>
              <w:rPr>
                <w:color w:val="000000"/>
                <w:sz w:val="22"/>
              </w:rPr>
            </w:pPr>
            <w:r>
              <w:rPr>
                <w:color w:val="000000"/>
                <w:sz w:val="22"/>
              </w:rPr>
              <w:t xml:space="preserve">7.89 </w:t>
            </w:r>
          </w:p>
        </w:tc>
        <w:tc>
          <w:tcPr>
            <w:tcW w:w="1782" w:type="pct"/>
            <w:vAlign w:val="center"/>
          </w:tcPr>
          <w:p>
            <w:pPr>
              <w:pStyle w:val="63"/>
              <w:rPr>
                <w:color w:val="000000"/>
                <w:sz w:val="22"/>
              </w:rPr>
            </w:pPr>
            <w:r>
              <w:rPr>
                <w:color w:val="000000"/>
                <w:sz w:val="22"/>
              </w:rPr>
              <w:t xml:space="preserve">52.47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810.00 </w:t>
            </w:r>
          </w:p>
        </w:tc>
        <w:tc>
          <w:tcPr>
            <w:tcW w:w="1782" w:type="pct"/>
            <w:vAlign w:val="center"/>
          </w:tcPr>
          <w:p>
            <w:pPr>
              <w:pStyle w:val="63"/>
              <w:rPr>
                <w:color w:val="000000"/>
                <w:sz w:val="22"/>
              </w:rPr>
            </w:pPr>
            <w:r>
              <w:rPr>
                <w:color w:val="000000"/>
                <w:sz w:val="22"/>
              </w:rPr>
              <w:t xml:space="preserve">9.00 </w:t>
            </w:r>
          </w:p>
        </w:tc>
        <w:tc>
          <w:tcPr>
            <w:tcW w:w="1782" w:type="pct"/>
            <w:vAlign w:val="center"/>
          </w:tcPr>
          <w:p>
            <w:pPr>
              <w:pStyle w:val="63"/>
              <w:rPr>
                <w:color w:val="000000"/>
                <w:sz w:val="22"/>
              </w:rPr>
            </w:pPr>
            <w:r>
              <w:rPr>
                <w:color w:val="000000"/>
                <w:sz w:val="22"/>
              </w:rPr>
              <w:t xml:space="preserve">42.75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910.00 </w:t>
            </w:r>
          </w:p>
        </w:tc>
        <w:tc>
          <w:tcPr>
            <w:tcW w:w="1782" w:type="pct"/>
            <w:vAlign w:val="center"/>
          </w:tcPr>
          <w:p>
            <w:pPr>
              <w:pStyle w:val="63"/>
              <w:rPr>
                <w:color w:val="000000"/>
                <w:sz w:val="22"/>
              </w:rPr>
            </w:pPr>
            <w:r>
              <w:rPr>
                <w:color w:val="000000"/>
                <w:sz w:val="22"/>
              </w:rPr>
              <w:t xml:space="preserve">10.11 </w:t>
            </w:r>
          </w:p>
        </w:tc>
        <w:tc>
          <w:tcPr>
            <w:tcW w:w="1782" w:type="pct"/>
            <w:vAlign w:val="center"/>
          </w:tcPr>
          <w:p>
            <w:pPr>
              <w:pStyle w:val="63"/>
              <w:rPr>
                <w:color w:val="000000"/>
                <w:sz w:val="22"/>
              </w:rPr>
            </w:pPr>
            <w:r>
              <w:rPr>
                <w:color w:val="000000"/>
                <w:sz w:val="22"/>
              </w:rPr>
              <w:t xml:space="preserve">35.59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1010.00 </w:t>
            </w:r>
          </w:p>
        </w:tc>
        <w:tc>
          <w:tcPr>
            <w:tcW w:w="1782" w:type="pct"/>
            <w:vAlign w:val="center"/>
          </w:tcPr>
          <w:p>
            <w:pPr>
              <w:pStyle w:val="63"/>
              <w:rPr>
                <w:color w:val="000000"/>
                <w:sz w:val="22"/>
              </w:rPr>
            </w:pPr>
            <w:r>
              <w:rPr>
                <w:color w:val="000000"/>
                <w:sz w:val="22"/>
              </w:rPr>
              <w:t xml:space="preserve">11.22 </w:t>
            </w:r>
          </w:p>
        </w:tc>
        <w:tc>
          <w:tcPr>
            <w:tcW w:w="1782" w:type="pct"/>
            <w:vAlign w:val="center"/>
          </w:tcPr>
          <w:p>
            <w:pPr>
              <w:pStyle w:val="63"/>
              <w:rPr>
                <w:color w:val="000000"/>
                <w:sz w:val="22"/>
              </w:rPr>
            </w:pPr>
            <w:r>
              <w:rPr>
                <w:color w:val="000000"/>
                <w:sz w:val="22"/>
              </w:rPr>
              <w:t xml:space="preserve">30.15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1110.00 </w:t>
            </w:r>
          </w:p>
        </w:tc>
        <w:tc>
          <w:tcPr>
            <w:tcW w:w="1782" w:type="pct"/>
            <w:vAlign w:val="center"/>
          </w:tcPr>
          <w:p>
            <w:pPr>
              <w:pStyle w:val="63"/>
              <w:rPr>
                <w:color w:val="000000"/>
                <w:sz w:val="22"/>
              </w:rPr>
            </w:pPr>
            <w:r>
              <w:rPr>
                <w:color w:val="000000"/>
                <w:sz w:val="22"/>
              </w:rPr>
              <w:t xml:space="preserve">12.33 </w:t>
            </w:r>
          </w:p>
        </w:tc>
        <w:tc>
          <w:tcPr>
            <w:tcW w:w="1782" w:type="pct"/>
            <w:vAlign w:val="center"/>
          </w:tcPr>
          <w:p>
            <w:pPr>
              <w:pStyle w:val="63"/>
              <w:rPr>
                <w:color w:val="000000"/>
                <w:sz w:val="22"/>
              </w:rPr>
            </w:pPr>
            <w:r>
              <w:rPr>
                <w:color w:val="000000"/>
                <w:sz w:val="22"/>
              </w:rPr>
              <w:t xml:space="preserve">25.91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1210.00 </w:t>
            </w:r>
          </w:p>
        </w:tc>
        <w:tc>
          <w:tcPr>
            <w:tcW w:w="1782" w:type="pct"/>
            <w:vAlign w:val="center"/>
          </w:tcPr>
          <w:p>
            <w:pPr>
              <w:pStyle w:val="63"/>
              <w:rPr>
                <w:color w:val="000000"/>
                <w:sz w:val="22"/>
              </w:rPr>
            </w:pPr>
            <w:r>
              <w:rPr>
                <w:color w:val="000000"/>
                <w:sz w:val="22"/>
              </w:rPr>
              <w:t xml:space="preserve">13.44 </w:t>
            </w:r>
          </w:p>
        </w:tc>
        <w:tc>
          <w:tcPr>
            <w:tcW w:w="1782" w:type="pct"/>
            <w:vAlign w:val="center"/>
          </w:tcPr>
          <w:p>
            <w:pPr>
              <w:pStyle w:val="63"/>
              <w:rPr>
                <w:color w:val="000000"/>
                <w:sz w:val="22"/>
              </w:rPr>
            </w:pPr>
            <w:r>
              <w:rPr>
                <w:color w:val="000000"/>
                <w:sz w:val="22"/>
              </w:rPr>
              <w:t xml:space="preserve">22.54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1310.00 </w:t>
            </w:r>
          </w:p>
        </w:tc>
        <w:tc>
          <w:tcPr>
            <w:tcW w:w="1782" w:type="pct"/>
            <w:vAlign w:val="center"/>
          </w:tcPr>
          <w:p>
            <w:pPr>
              <w:pStyle w:val="63"/>
              <w:rPr>
                <w:color w:val="000000"/>
                <w:sz w:val="22"/>
              </w:rPr>
            </w:pPr>
            <w:r>
              <w:rPr>
                <w:color w:val="000000"/>
                <w:sz w:val="22"/>
              </w:rPr>
              <w:t xml:space="preserve">14.56 </w:t>
            </w:r>
          </w:p>
        </w:tc>
        <w:tc>
          <w:tcPr>
            <w:tcW w:w="1782" w:type="pct"/>
            <w:vAlign w:val="center"/>
          </w:tcPr>
          <w:p>
            <w:pPr>
              <w:pStyle w:val="63"/>
              <w:rPr>
                <w:color w:val="000000"/>
                <w:sz w:val="22"/>
              </w:rPr>
            </w:pPr>
            <w:r>
              <w:rPr>
                <w:color w:val="000000"/>
                <w:sz w:val="22"/>
              </w:rPr>
              <w:t xml:space="preserve">19.82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1410.00 </w:t>
            </w:r>
          </w:p>
        </w:tc>
        <w:tc>
          <w:tcPr>
            <w:tcW w:w="1782" w:type="pct"/>
            <w:vAlign w:val="center"/>
          </w:tcPr>
          <w:p>
            <w:pPr>
              <w:pStyle w:val="63"/>
              <w:rPr>
                <w:color w:val="000000"/>
                <w:sz w:val="22"/>
              </w:rPr>
            </w:pPr>
            <w:r>
              <w:rPr>
                <w:color w:val="000000"/>
                <w:sz w:val="22"/>
              </w:rPr>
              <w:t xml:space="preserve">15.67 </w:t>
            </w:r>
          </w:p>
        </w:tc>
        <w:tc>
          <w:tcPr>
            <w:tcW w:w="1782" w:type="pct"/>
            <w:vAlign w:val="center"/>
          </w:tcPr>
          <w:p>
            <w:pPr>
              <w:pStyle w:val="63"/>
              <w:rPr>
                <w:color w:val="000000"/>
                <w:sz w:val="22"/>
              </w:rPr>
            </w:pPr>
            <w:r>
              <w:rPr>
                <w:color w:val="000000"/>
                <w:sz w:val="22"/>
              </w:rPr>
              <w:t xml:space="preserve">17.48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1510.00 </w:t>
            </w:r>
          </w:p>
        </w:tc>
        <w:tc>
          <w:tcPr>
            <w:tcW w:w="1782" w:type="pct"/>
            <w:vAlign w:val="center"/>
          </w:tcPr>
          <w:p>
            <w:pPr>
              <w:pStyle w:val="63"/>
              <w:rPr>
                <w:color w:val="000000"/>
                <w:sz w:val="22"/>
              </w:rPr>
            </w:pPr>
            <w:r>
              <w:rPr>
                <w:color w:val="000000"/>
                <w:sz w:val="22"/>
              </w:rPr>
              <w:t xml:space="preserve">16.78 </w:t>
            </w:r>
          </w:p>
        </w:tc>
        <w:tc>
          <w:tcPr>
            <w:tcW w:w="1782" w:type="pct"/>
            <w:vAlign w:val="center"/>
          </w:tcPr>
          <w:p>
            <w:pPr>
              <w:pStyle w:val="63"/>
              <w:rPr>
                <w:color w:val="000000"/>
                <w:sz w:val="22"/>
              </w:rPr>
            </w:pPr>
            <w:r>
              <w:rPr>
                <w:color w:val="000000"/>
                <w:sz w:val="22"/>
              </w:rPr>
              <w:t xml:space="preserve">15.98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1610.00 </w:t>
            </w:r>
          </w:p>
        </w:tc>
        <w:tc>
          <w:tcPr>
            <w:tcW w:w="1782" w:type="pct"/>
            <w:vAlign w:val="center"/>
          </w:tcPr>
          <w:p>
            <w:pPr>
              <w:pStyle w:val="63"/>
              <w:rPr>
                <w:color w:val="000000"/>
                <w:sz w:val="22"/>
              </w:rPr>
            </w:pPr>
            <w:r>
              <w:rPr>
                <w:color w:val="000000"/>
                <w:sz w:val="22"/>
              </w:rPr>
              <w:t xml:space="preserve">17.89 </w:t>
            </w:r>
          </w:p>
        </w:tc>
        <w:tc>
          <w:tcPr>
            <w:tcW w:w="1782" w:type="pct"/>
            <w:vAlign w:val="center"/>
          </w:tcPr>
          <w:p>
            <w:pPr>
              <w:pStyle w:val="63"/>
              <w:rPr>
                <w:color w:val="000000"/>
                <w:sz w:val="22"/>
              </w:rPr>
            </w:pPr>
            <w:r>
              <w:rPr>
                <w:color w:val="000000"/>
                <w:sz w:val="22"/>
              </w:rPr>
              <w:t xml:space="preserve">14.70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1710.00 </w:t>
            </w:r>
          </w:p>
        </w:tc>
        <w:tc>
          <w:tcPr>
            <w:tcW w:w="1782" w:type="pct"/>
            <w:vAlign w:val="center"/>
          </w:tcPr>
          <w:p>
            <w:pPr>
              <w:pStyle w:val="63"/>
              <w:rPr>
                <w:color w:val="000000"/>
                <w:sz w:val="22"/>
              </w:rPr>
            </w:pPr>
            <w:r>
              <w:rPr>
                <w:color w:val="000000"/>
                <w:sz w:val="22"/>
              </w:rPr>
              <w:t xml:space="preserve">19.00 </w:t>
            </w:r>
          </w:p>
        </w:tc>
        <w:tc>
          <w:tcPr>
            <w:tcW w:w="1782" w:type="pct"/>
            <w:vAlign w:val="center"/>
          </w:tcPr>
          <w:p>
            <w:pPr>
              <w:pStyle w:val="63"/>
              <w:rPr>
                <w:color w:val="000000"/>
                <w:sz w:val="22"/>
              </w:rPr>
            </w:pPr>
            <w:r>
              <w:rPr>
                <w:color w:val="000000"/>
                <w:sz w:val="22"/>
              </w:rPr>
              <w:t xml:space="preserve">13.58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1810.00 </w:t>
            </w:r>
          </w:p>
        </w:tc>
        <w:tc>
          <w:tcPr>
            <w:tcW w:w="1782" w:type="pct"/>
            <w:vAlign w:val="center"/>
          </w:tcPr>
          <w:p>
            <w:pPr>
              <w:pStyle w:val="63"/>
              <w:rPr>
                <w:color w:val="000000"/>
                <w:sz w:val="22"/>
              </w:rPr>
            </w:pPr>
            <w:r>
              <w:rPr>
                <w:color w:val="000000"/>
                <w:sz w:val="22"/>
              </w:rPr>
              <w:t xml:space="preserve">20.11 </w:t>
            </w:r>
          </w:p>
        </w:tc>
        <w:tc>
          <w:tcPr>
            <w:tcW w:w="1782" w:type="pct"/>
            <w:vAlign w:val="center"/>
          </w:tcPr>
          <w:p>
            <w:pPr>
              <w:pStyle w:val="63"/>
              <w:rPr>
                <w:color w:val="000000"/>
                <w:sz w:val="22"/>
              </w:rPr>
            </w:pPr>
            <w:r>
              <w:rPr>
                <w:color w:val="000000"/>
                <w:sz w:val="22"/>
              </w:rPr>
              <w:t xml:space="preserve">12.60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1910.00 </w:t>
            </w:r>
          </w:p>
        </w:tc>
        <w:tc>
          <w:tcPr>
            <w:tcW w:w="1782" w:type="pct"/>
            <w:vAlign w:val="center"/>
          </w:tcPr>
          <w:p>
            <w:pPr>
              <w:pStyle w:val="63"/>
              <w:rPr>
                <w:color w:val="000000"/>
                <w:sz w:val="22"/>
              </w:rPr>
            </w:pPr>
            <w:r>
              <w:rPr>
                <w:color w:val="000000"/>
                <w:sz w:val="22"/>
              </w:rPr>
              <w:t xml:space="preserve">21.22 </w:t>
            </w:r>
          </w:p>
        </w:tc>
        <w:tc>
          <w:tcPr>
            <w:tcW w:w="1782" w:type="pct"/>
            <w:vAlign w:val="center"/>
          </w:tcPr>
          <w:p>
            <w:pPr>
              <w:pStyle w:val="63"/>
              <w:rPr>
                <w:color w:val="000000"/>
                <w:sz w:val="22"/>
              </w:rPr>
            </w:pPr>
            <w:r>
              <w:rPr>
                <w:color w:val="000000"/>
                <w:sz w:val="22"/>
              </w:rPr>
              <w:t xml:space="preserve">11.74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2010.00 </w:t>
            </w:r>
          </w:p>
        </w:tc>
        <w:tc>
          <w:tcPr>
            <w:tcW w:w="1782" w:type="pct"/>
            <w:vAlign w:val="center"/>
          </w:tcPr>
          <w:p>
            <w:pPr>
              <w:pStyle w:val="63"/>
              <w:rPr>
                <w:color w:val="000000"/>
                <w:sz w:val="22"/>
              </w:rPr>
            </w:pPr>
            <w:r>
              <w:rPr>
                <w:color w:val="000000"/>
                <w:sz w:val="22"/>
              </w:rPr>
              <w:t xml:space="preserve">22.33 </w:t>
            </w:r>
          </w:p>
        </w:tc>
        <w:tc>
          <w:tcPr>
            <w:tcW w:w="1782" w:type="pct"/>
            <w:vAlign w:val="center"/>
          </w:tcPr>
          <w:p>
            <w:pPr>
              <w:pStyle w:val="63"/>
              <w:rPr>
                <w:color w:val="000000"/>
                <w:sz w:val="22"/>
              </w:rPr>
            </w:pPr>
            <w:r>
              <w:rPr>
                <w:color w:val="000000"/>
                <w:sz w:val="22"/>
              </w:rPr>
              <w:t xml:space="preserve">10.98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2110.00 </w:t>
            </w:r>
          </w:p>
        </w:tc>
        <w:tc>
          <w:tcPr>
            <w:tcW w:w="1782" w:type="pct"/>
            <w:vAlign w:val="center"/>
          </w:tcPr>
          <w:p>
            <w:pPr>
              <w:pStyle w:val="63"/>
              <w:rPr>
                <w:color w:val="000000"/>
                <w:sz w:val="22"/>
              </w:rPr>
            </w:pPr>
            <w:r>
              <w:rPr>
                <w:color w:val="000000"/>
                <w:sz w:val="22"/>
              </w:rPr>
              <w:t xml:space="preserve">23.44 </w:t>
            </w:r>
          </w:p>
        </w:tc>
        <w:tc>
          <w:tcPr>
            <w:tcW w:w="1782" w:type="pct"/>
            <w:vAlign w:val="center"/>
          </w:tcPr>
          <w:p>
            <w:pPr>
              <w:pStyle w:val="63"/>
              <w:rPr>
                <w:color w:val="000000"/>
                <w:sz w:val="22"/>
              </w:rPr>
            </w:pPr>
            <w:r>
              <w:rPr>
                <w:color w:val="000000"/>
                <w:sz w:val="22"/>
              </w:rPr>
              <w:t xml:space="preserve">10.30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2210.00 </w:t>
            </w:r>
          </w:p>
        </w:tc>
        <w:tc>
          <w:tcPr>
            <w:tcW w:w="1782" w:type="pct"/>
            <w:vAlign w:val="center"/>
          </w:tcPr>
          <w:p>
            <w:pPr>
              <w:pStyle w:val="63"/>
              <w:rPr>
                <w:color w:val="000000"/>
                <w:sz w:val="22"/>
              </w:rPr>
            </w:pPr>
            <w:r>
              <w:rPr>
                <w:color w:val="000000"/>
                <w:sz w:val="22"/>
              </w:rPr>
              <w:t xml:space="preserve">24.56 </w:t>
            </w:r>
          </w:p>
        </w:tc>
        <w:tc>
          <w:tcPr>
            <w:tcW w:w="1782" w:type="pct"/>
            <w:vAlign w:val="center"/>
          </w:tcPr>
          <w:p>
            <w:pPr>
              <w:pStyle w:val="63"/>
              <w:rPr>
                <w:color w:val="000000"/>
                <w:sz w:val="22"/>
              </w:rPr>
            </w:pPr>
            <w:r>
              <w:rPr>
                <w:color w:val="000000"/>
                <w:sz w:val="22"/>
              </w:rPr>
              <w:t xml:space="preserve">9.69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2310.00 </w:t>
            </w:r>
          </w:p>
        </w:tc>
        <w:tc>
          <w:tcPr>
            <w:tcW w:w="1782" w:type="pct"/>
            <w:vAlign w:val="center"/>
          </w:tcPr>
          <w:p>
            <w:pPr>
              <w:pStyle w:val="63"/>
              <w:rPr>
                <w:color w:val="000000"/>
                <w:sz w:val="22"/>
              </w:rPr>
            </w:pPr>
            <w:r>
              <w:rPr>
                <w:color w:val="000000"/>
                <w:sz w:val="22"/>
              </w:rPr>
              <w:t xml:space="preserve">25.67 </w:t>
            </w:r>
          </w:p>
        </w:tc>
        <w:tc>
          <w:tcPr>
            <w:tcW w:w="1782" w:type="pct"/>
            <w:vAlign w:val="center"/>
          </w:tcPr>
          <w:p>
            <w:pPr>
              <w:pStyle w:val="63"/>
              <w:rPr>
                <w:color w:val="000000"/>
                <w:sz w:val="22"/>
              </w:rPr>
            </w:pPr>
            <w:r>
              <w:rPr>
                <w:color w:val="000000"/>
                <w:sz w:val="22"/>
              </w:rPr>
              <w:t xml:space="preserve">9.14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2410.00 </w:t>
            </w:r>
          </w:p>
        </w:tc>
        <w:tc>
          <w:tcPr>
            <w:tcW w:w="1782" w:type="pct"/>
            <w:vAlign w:val="center"/>
          </w:tcPr>
          <w:p>
            <w:pPr>
              <w:pStyle w:val="63"/>
              <w:rPr>
                <w:color w:val="000000"/>
                <w:sz w:val="22"/>
              </w:rPr>
            </w:pPr>
            <w:r>
              <w:rPr>
                <w:color w:val="000000"/>
                <w:sz w:val="22"/>
              </w:rPr>
              <w:t xml:space="preserve">26.78 </w:t>
            </w:r>
          </w:p>
        </w:tc>
        <w:tc>
          <w:tcPr>
            <w:tcW w:w="1782" w:type="pct"/>
            <w:vAlign w:val="center"/>
          </w:tcPr>
          <w:p>
            <w:pPr>
              <w:pStyle w:val="63"/>
              <w:rPr>
                <w:color w:val="000000"/>
                <w:sz w:val="22"/>
              </w:rPr>
            </w:pPr>
            <w:r>
              <w:rPr>
                <w:color w:val="000000"/>
                <w:sz w:val="22"/>
              </w:rPr>
              <w:t xml:space="preserve">8.65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2510.00 </w:t>
            </w:r>
          </w:p>
        </w:tc>
        <w:tc>
          <w:tcPr>
            <w:tcW w:w="1782" w:type="pct"/>
            <w:vAlign w:val="center"/>
          </w:tcPr>
          <w:p>
            <w:pPr>
              <w:pStyle w:val="63"/>
              <w:rPr>
                <w:color w:val="000000"/>
                <w:sz w:val="22"/>
              </w:rPr>
            </w:pPr>
            <w:r>
              <w:rPr>
                <w:color w:val="000000"/>
                <w:sz w:val="22"/>
              </w:rPr>
              <w:t xml:space="preserve">27.89 </w:t>
            </w:r>
          </w:p>
        </w:tc>
        <w:tc>
          <w:tcPr>
            <w:tcW w:w="1782" w:type="pct"/>
            <w:vAlign w:val="center"/>
          </w:tcPr>
          <w:p>
            <w:pPr>
              <w:pStyle w:val="63"/>
              <w:rPr>
                <w:color w:val="000000"/>
                <w:sz w:val="22"/>
              </w:rPr>
            </w:pPr>
            <w:r>
              <w:rPr>
                <w:color w:val="000000"/>
                <w:sz w:val="22"/>
              </w:rPr>
              <w:t xml:space="preserve">8.19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2610.00 </w:t>
            </w:r>
          </w:p>
        </w:tc>
        <w:tc>
          <w:tcPr>
            <w:tcW w:w="1782" w:type="pct"/>
            <w:vAlign w:val="center"/>
          </w:tcPr>
          <w:p>
            <w:pPr>
              <w:pStyle w:val="63"/>
              <w:rPr>
                <w:color w:val="000000"/>
                <w:sz w:val="22"/>
              </w:rPr>
            </w:pPr>
            <w:r>
              <w:rPr>
                <w:color w:val="000000"/>
                <w:sz w:val="22"/>
              </w:rPr>
              <w:t xml:space="preserve">29.00 </w:t>
            </w:r>
          </w:p>
        </w:tc>
        <w:tc>
          <w:tcPr>
            <w:tcW w:w="1782" w:type="pct"/>
            <w:vAlign w:val="center"/>
          </w:tcPr>
          <w:p>
            <w:pPr>
              <w:pStyle w:val="63"/>
              <w:rPr>
                <w:color w:val="000000"/>
                <w:sz w:val="22"/>
              </w:rPr>
            </w:pPr>
            <w:r>
              <w:rPr>
                <w:color w:val="000000"/>
                <w:sz w:val="22"/>
              </w:rPr>
              <w:t xml:space="preserve">7.78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2710.00 </w:t>
            </w:r>
          </w:p>
        </w:tc>
        <w:tc>
          <w:tcPr>
            <w:tcW w:w="1782" w:type="pct"/>
            <w:vAlign w:val="center"/>
          </w:tcPr>
          <w:p>
            <w:pPr>
              <w:pStyle w:val="63"/>
              <w:rPr>
                <w:color w:val="000000"/>
                <w:sz w:val="22"/>
              </w:rPr>
            </w:pPr>
            <w:r>
              <w:rPr>
                <w:color w:val="000000"/>
                <w:sz w:val="22"/>
              </w:rPr>
              <w:t xml:space="preserve">34.11 </w:t>
            </w:r>
          </w:p>
        </w:tc>
        <w:tc>
          <w:tcPr>
            <w:tcW w:w="1782" w:type="pct"/>
            <w:vAlign w:val="center"/>
          </w:tcPr>
          <w:p>
            <w:pPr>
              <w:pStyle w:val="63"/>
              <w:rPr>
                <w:color w:val="000000"/>
                <w:sz w:val="22"/>
              </w:rPr>
            </w:pPr>
            <w:r>
              <w:rPr>
                <w:color w:val="000000"/>
                <w:sz w:val="22"/>
              </w:rPr>
              <w:t xml:space="preserve">7.41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2810.00 </w:t>
            </w:r>
          </w:p>
        </w:tc>
        <w:tc>
          <w:tcPr>
            <w:tcW w:w="1782" w:type="pct"/>
            <w:vAlign w:val="center"/>
          </w:tcPr>
          <w:p>
            <w:pPr>
              <w:pStyle w:val="63"/>
              <w:rPr>
                <w:color w:val="000000"/>
                <w:sz w:val="22"/>
              </w:rPr>
            </w:pPr>
            <w:r>
              <w:rPr>
                <w:color w:val="000000"/>
                <w:sz w:val="22"/>
              </w:rPr>
              <w:t xml:space="preserve">35.22 </w:t>
            </w:r>
          </w:p>
        </w:tc>
        <w:tc>
          <w:tcPr>
            <w:tcW w:w="1782" w:type="pct"/>
            <w:vAlign w:val="center"/>
          </w:tcPr>
          <w:p>
            <w:pPr>
              <w:pStyle w:val="63"/>
              <w:rPr>
                <w:color w:val="000000"/>
                <w:sz w:val="22"/>
              </w:rPr>
            </w:pPr>
            <w:r>
              <w:rPr>
                <w:color w:val="000000"/>
                <w:sz w:val="22"/>
              </w:rPr>
              <w:t xml:space="preserve">7.06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2910.00 </w:t>
            </w:r>
          </w:p>
        </w:tc>
        <w:tc>
          <w:tcPr>
            <w:tcW w:w="1782" w:type="pct"/>
            <w:vAlign w:val="center"/>
          </w:tcPr>
          <w:p>
            <w:pPr>
              <w:pStyle w:val="63"/>
              <w:rPr>
                <w:color w:val="000000"/>
                <w:sz w:val="22"/>
              </w:rPr>
            </w:pPr>
            <w:r>
              <w:rPr>
                <w:color w:val="000000"/>
                <w:sz w:val="22"/>
              </w:rPr>
              <w:t xml:space="preserve">37.33 </w:t>
            </w:r>
          </w:p>
        </w:tc>
        <w:tc>
          <w:tcPr>
            <w:tcW w:w="1782" w:type="pct"/>
            <w:vAlign w:val="center"/>
          </w:tcPr>
          <w:p>
            <w:pPr>
              <w:pStyle w:val="63"/>
              <w:rPr>
                <w:color w:val="000000"/>
                <w:sz w:val="22"/>
              </w:rPr>
            </w:pPr>
            <w:r>
              <w:rPr>
                <w:color w:val="000000"/>
                <w:sz w:val="22"/>
              </w:rPr>
              <w:t xml:space="preserve">6.74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3010.00 </w:t>
            </w:r>
          </w:p>
        </w:tc>
        <w:tc>
          <w:tcPr>
            <w:tcW w:w="1782" w:type="pct"/>
            <w:vAlign w:val="center"/>
          </w:tcPr>
          <w:p>
            <w:pPr>
              <w:pStyle w:val="63"/>
              <w:rPr>
                <w:color w:val="000000"/>
                <w:sz w:val="22"/>
              </w:rPr>
            </w:pPr>
            <w:r>
              <w:rPr>
                <w:color w:val="000000"/>
                <w:sz w:val="22"/>
              </w:rPr>
              <w:t xml:space="preserve">38.44 </w:t>
            </w:r>
          </w:p>
        </w:tc>
        <w:tc>
          <w:tcPr>
            <w:tcW w:w="1782" w:type="pct"/>
            <w:vAlign w:val="center"/>
          </w:tcPr>
          <w:p>
            <w:pPr>
              <w:pStyle w:val="63"/>
              <w:rPr>
                <w:color w:val="000000"/>
                <w:sz w:val="22"/>
              </w:rPr>
            </w:pPr>
            <w:r>
              <w:rPr>
                <w:color w:val="000000"/>
                <w:sz w:val="22"/>
              </w:rPr>
              <w:t xml:space="preserve">6.45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3110.00 </w:t>
            </w:r>
          </w:p>
        </w:tc>
        <w:tc>
          <w:tcPr>
            <w:tcW w:w="1782" w:type="pct"/>
            <w:vAlign w:val="center"/>
          </w:tcPr>
          <w:p>
            <w:pPr>
              <w:pStyle w:val="63"/>
              <w:rPr>
                <w:color w:val="000000"/>
                <w:sz w:val="22"/>
              </w:rPr>
            </w:pPr>
            <w:r>
              <w:rPr>
                <w:color w:val="000000"/>
                <w:sz w:val="22"/>
              </w:rPr>
              <w:t xml:space="preserve">39.56 </w:t>
            </w:r>
          </w:p>
        </w:tc>
        <w:tc>
          <w:tcPr>
            <w:tcW w:w="1782" w:type="pct"/>
            <w:vAlign w:val="center"/>
          </w:tcPr>
          <w:p>
            <w:pPr>
              <w:pStyle w:val="63"/>
              <w:rPr>
                <w:color w:val="000000"/>
                <w:sz w:val="22"/>
              </w:rPr>
            </w:pPr>
            <w:r>
              <w:rPr>
                <w:color w:val="000000"/>
                <w:sz w:val="22"/>
              </w:rPr>
              <w:t xml:space="preserve">6.17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3210.00 </w:t>
            </w:r>
          </w:p>
        </w:tc>
        <w:tc>
          <w:tcPr>
            <w:tcW w:w="1782" w:type="pct"/>
            <w:vAlign w:val="center"/>
          </w:tcPr>
          <w:p>
            <w:pPr>
              <w:pStyle w:val="63"/>
              <w:rPr>
                <w:color w:val="000000"/>
                <w:sz w:val="22"/>
              </w:rPr>
            </w:pPr>
            <w:r>
              <w:rPr>
                <w:color w:val="000000"/>
                <w:sz w:val="22"/>
              </w:rPr>
              <w:t xml:space="preserve">40.67 </w:t>
            </w:r>
          </w:p>
        </w:tc>
        <w:tc>
          <w:tcPr>
            <w:tcW w:w="1782" w:type="pct"/>
            <w:vAlign w:val="center"/>
          </w:tcPr>
          <w:p>
            <w:pPr>
              <w:pStyle w:val="63"/>
              <w:rPr>
                <w:color w:val="000000"/>
                <w:sz w:val="22"/>
              </w:rPr>
            </w:pPr>
            <w:r>
              <w:rPr>
                <w:color w:val="000000"/>
                <w:sz w:val="22"/>
              </w:rPr>
              <w:t xml:space="preserve">5.92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3310.00 </w:t>
            </w:r>
          </w:p>
        </w:tc>
        <w:tc>
          <w:tcPr>
            <w:tcW w:w="1782" w:type="pct"/>
            <w:vAlign w:val="center"/>
          </w:tcPr>
          <w:p>
            <w:pPr>
              <w:pStyle w:val="63"/>
              <w:rPr>
                <w:color w:val="000000"/>
                <w:sz w:val="22"/>
              </w:rPr>
            </w:pPr>
            <w:r>
              <w:rPr>
                <w:color w:val="000000"/>
                <w:sz w:val="22"/>
              </w:rPr>
              <w:t xml:space="preserve">41.78 </w:t>
            </w:r>
          </w:p>
        </w:tc>
        <w:tc>
          <w:tcPr>
            <w:tcW w:w="1782" w:type="pct"/>
            <w:vAlign w:val="center"/>
          </w:tcPr>
          <w:p>
            <w:pPr>
              <w:pStyle w:val="63"/>
              <w:rPr>
                <w:color w:val="000000"/>
                <w:sz w:val="22"/>
              </w:rPr>
            </w:pPr>
            <w:r>
              <w:rPr>
                <w:color w:val="000000"/>
                <w:sz w:val="22"/>
              </w:rPr>
              <w:t xml:space="preserve">5.69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3410.00 </w:t>
            </w:r>
          </w:p>
        </w:tc>
        <w:tc>
          <w:tcPr>
            <w:tcW w:w="1782" w:type="pct"/>
            <w:vAlign w:val="center"/>
          </w:tcPr>
          <w:p>
            <w:pPr>
              <w:pStyle w:val="63"/>
              <w:rPr>
                <w:color w:val="000000"/>
                <w:sz w:val="22"/>
              </w:rPr>
            </w:pPr>
            <w:r>
              <w:rPr>
                <w:color w:val="000000"/>
                <w:sz w:val="22"/>
              </w:rPr>
              <w:t xml:space="preserve">42.89 </w:t>
            </w:r>
          </w:p>
        </w:tc>
        <w:tc>
          <w:tcPr>
            <w:tcW w:w="1782" w:type="pct"/>
            <w:vAlign w:val="center"/>
          </w:tcPr>
          <w:p>
            <w:pPr>
              <w:pStyle w:val="63"/>
              <w:rPr>
                <w:color w:val="000000"/>
                <w:sz w:val="22"/>
              </w:rPr>
            </w:pPr>
            <w:r>
              <w:rPr>
                <w:color w:val="000000"/>
                <w:sz w:val="22"/>
              </w:rPr>
              <w:t xml:space="preserve">5.47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3510.00 </w:t>
            </w:r>
          </w:p>
        </w:tc>
        <w:tc>
          <w:tcPr>
            <w:tcW w:w="1782" w:type="pct"/>
            <w:vAlign w:val="center"/>
          </w:tcPr>
          <w:p>
            <w:pPr>
              <w:pStyle w:val="63"/>
              <w:rPr>
                <w:color w:val="000000"/>
                <w:sz w:val="22"/>
              </w:rPr>
            </w:pPr>
            <w:r>
              <w:rPr>
                <w:color w:val="000000"/>
                <w:sz w:val="22"/>
              </w:rPr>
              <w:t xml:space="preserve">44.00 </w:t>
            </w:r>
          </w:p>
        </w:tc>
        <w:tc>
          <w:tcPr>
            <w:tcW w:w="1782" w:type="pct"/>
            <w:vAlign w:val="center"/>
          </w:tcPr>
          <w:p>
            <w:pPr>
              <w:pStyle w:val="63"/>
              <w:rPr>
                <w:color w:val="000000"/>
                <w:sz w:val="22"/>
              </w:rPr>
            </w:pPr>
            <w:r>
              <w:rPr>
                <w:color w:val="000000"/>
                <w:sz w:val="22"/>
              </w:rPr>
              <w:t xml:space="preserve">5.26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3610.00 </w:t>
            </w:r>
          </w:p>
        </w:tc>
        <w:tc>
          <w:tcPr>
            <w:tcW w:w="1782" w:type="pct"/>
            <w:vAlign w:val="center"/>
          </w:tcPr>
          <w:p>
            <w:pPr>
              <w:pStyle w:val="63"/>
              <w:rPr>
                <w:color w:val="000000"/>
                <w:sz w:val="22"/>
              </w:rPr>
            </w:pPr>
            <w:r>
              <w:rPr>
                <w:color w:val="000000"/>
                <w:sz w:val="22"/>
              </w:rPr>
              <w:t xml:space="preserve">45.11 </w:t>
            </w:r>
          </w:p>
        </w:tc>
        <w:tc>
          <w:tcPr>
            <w:tcW w:w="1782" w:type="pct"/>
            <w:vAlign w:val="center"/>
          </w:tcPr>
          <w:p>
            <w:pPr>
              <w:pStyle w:val="63"/>
              <w:rPr>
                <w:color w:val="000000"/>
                <w:sz w:val="22"/>
              </w:rPr>
            </w:pPr>
            <w:r>
              <w:rPr>
                <w:color w:val="000000"/>
                <w:sz w:val="22"/>
              </w:rPr>
              <w:t xml:space="preserve">5.07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3710.00 </w:t>
            </w:r>
          </w:p>
        </w:tc>
        <w:tc>
          <w:tcPr>
            <w:tcW w:w="1782" w:type="pct"/>
            <w:vAlign w:val="center"/>
          </w:tcPr>
          <w:p>
            <w:pPr>
              <w:pStyle w:val="63"/>
              <w:rPr>
                <w:color w:val="000000"/>
                <w:sz w:val="22"/>
              </w:rPr>
            </w:pPr>
            <w:r>
              <w:rPr>
                <w:color w:val="000000"/>
                <w:sz w:val="22"/>
              </w:rPr>
              <w:t xml:space="preserve">47.22 </w:t>
            </w:r>
          </w:p>
        </w:tc>
        <w:tc>
          <w:tcPr>
            <w:tcW w:w="1782" w:type="pct"/>
            <w:vAlign w:val="center"/>
          </w:tcPr>
          <w:p>
            <w:pPr>
              <w:pStyle w:val="63"/>
              <w:rPr>
                <w:color w:val="000000"/>
                <w:sz w:val="22"/>
              </w:rPr>
            </w:pPr>
            <w:r>
              <w:rPr>
                <w:color w:val="000000"/>
                <w:sz w:val="22"/>
              </w:rPr>
              <w:t xml:space="preserve">4.89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3810.00 </w:t>
            </w:r>
          </w:p>
        </w:tc>
        <w:tc>
          <w:tcPr>
            <w:tcW w:w="1782" w:type="pct"/>
            <w:vAlign w:val="center"/>
          </w:tcPr>
          <w:p>
            <w:pPr>
              <w:pStyle w:val="63"/>
              <w:rPr>
                <w:color w:val="000000"/>
                <w:sz w:val="22"/>
              </w:rPr>
            </w:pPr>
            <w:r>
              <w:rPr>
                <w:color w:val="000000"/>
                <w:sz w:val="22"/>
              </w:rPr>
              <w:t xml:space="preserve">48.33 </w:t>
            </w:r>
          </w:p>
        </w:tc>
        <w:tc>
          <w:tcPr>
            <w:tcW w:w="1782" w:type="pct"/>
            <w:vAlign w:val="center"/>
          </w:tcPr>
          <w:p>
            <w:pPr>
              <w:pStyle w:val="63"/>
              <w:rPr>
                <w:color w:val="000000"/>
                <w:sz w:val="22"/>
              </w:rPr>
            </w:pPr>
            <w:r>
              <w:rPr>
                <w:color w:val="000000"/>
                <w:sz w:val="22"/>
              </w:rPr>
              <w:t xml:space="preserve">4.72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3910.00 </w:t>
            </w:r>
          </w:p>
        </w:tc>
        <w:tc>
          <w:tcPr>
            <w:tcW w:w="1782" w:type="pct"/>
            <w:vAlign w:val="center"/>
          </w:tcPr>
          <w:p>
            <w:pPr>
              <w:pStyle w:val="63"/>
              <w:rPr>
                <w:color w:val="000000"/>
                <w:sz w:val="22"/>
              </w:rPr>
            </w:pPr>
            <w:r>
              <w:rPr>
                <w:color w:val="000000"/>
                <w:sz w:val="22"/>
              </w:rPr>
              <w:t xml:space="preserve">49.44 </w:t>
            </w:r>
          </w:p>
        </w:tc>
        <w:tc>
          <w:tcPr>
            <w:tcW w:w="1782" w:type="pct"/>
            <w:vAlign w:val="center"/>
          </w:tcPr>
          <w:p>
            <w:pPr>
              <w:pStyle w:val="63"/>
              <w:rPr>
                <w:color w:val="000000"/>
                <w:sz w:val="22"/>
              </w:rPr>
            </w:pPr>
            <w:r>
              <w:rPr>
                <w:color w:val="000000"/>
                <w:sz w:val="22"/>
              </w:rPr>
              <w:t xml:space="preserve">4.56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4010.00 </w:t>
            </w:r>
          </w:p>
        </w:tc>
        <w:tc>
          <w:tcPr>
            <w:tcW w:w="1782" w:type="pct"/>
            <w:vAlign w:val="center"/>
          </w:tcPr>
          <w:p>
            <w:pPr>
              <w:pStyle w:val="63"/>
              <w:rPr>
                <w:color w:val="000000"/>
                <w:sz w:val="22"/>
              </w:rPr>
            </w:pPr>
            <w:r>
              <w:rPr>
                <w:color w:val="000000"/>
                <w:sz w:val="22"/>
              </w:rPr>
              <w:t xml:space="preserve">50.56 </w:t>
            </w:r>
          </w:p>
        </w:tc>
        <w:tc>
          <w:tcPr>
            <w:tcW w:w="1782" w:type="pct"/>
            <w:vAlign w:val="center"/>
          </w:tcPr>
          <w:p>
            <w:pPr>
              <w:pStyle w:val="63"/>
              <w:rPr>
                <w:color w:val="000000"/>
                <w:sz w:val="22"/>
              </w:rPr>
            </w:pPr>
            <w:r>
              <w:rPr>
                <w:color w:val="000000"/>
                <w:sz w:val="22"/>
              </w:rPr>
              <w:t xml:space="preserve">4.41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4110.00 </w:t>
            </w:r>
          </w:p>
        </w:tc>
        <w:tc>
          <w:tcPr>
            <w:tcW w:w="1782" w:type="pct"/>
            <w:vAlign w:val="center"/>
          </w:tcPr>
          <w:p>
            <w:pPr>
              <w:pStyle w:val="63"/>
              <w:rPr>
                <w:color w:val="000000"/>
                <w:sz w:val="22"/>
              </w:rPr>
            </w:pPr>
            <w:r>
              <w:rPr>
                <w:color w:val="000000"/>
                <w:sz w:val="22"/>
              </w:rPr>
              <w:t xml:space="preserve">51.67 </w:t>
            </w:r>
          </w:p>
        </w:tc>
        <w:tc>
          <w:tcPr>
            <w:tcW w:w="1782" w:type="pct"/>
            <w:vAlign w:val="center"/>
          </w:tcPr>
          <w:p>
            <w:pPr>
              <w:pStyle w:val="63"/>
              <w:rPr>
                <w:color w:val="000000"/>
                <w:sz w:val="22"/>
              </w:rPr>
            </w:pPr>
            <w:r>
              <w:rPr>
                <w:color w:val="000000"/>
                <w:sz w:val="22"/>
              </w:rPr>
              <w:t xml:space="preserve">4.27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4210.00 </w:t>
            </w:r>
          </w:p>
        </w:tc>
        <w:tc>
          <w:tcPr>
            <w:tcW w:w="1782" w:type="pct"/>
            <w:vAlign w:val="center"/>
          </w:tcPr>
          <w:p>
            <w:pPr>
              <w:pStyle w:val="63"/>
              <w:rPr>
                <w:color w:val="000000"/>
                <w:sz w:val="22"/>
              </w:rPr>
            </w:pPr>
            <w:r>
              <w:rPr>
                <w:color w:val="000000"/>
                <w:sz w:val="22"/>
              </w:rPr>
              <w:t xml:space="preserve">52.78 </w:t>
            </w:r>
          </w:p>
        </w:tc>
        <w:tc>
          <w:tcPr>
            <w:tcW w:w="1782" w:type="pct"/>
            <w:vAlign w:val="center"/>
          </w:tcPr>
          <w:p>
            <w:pPr>
              <w:pStyle w:val="63"/>
              <w:rPr>
                <w:color w:val="000000"/>
                <w:sz w:val="22"/>
              </w:rPr>
            </w:pPr>
            <w:r>
              <w:rPr>
                <w:color w:val="000000"/>
                <w:sz w:val="22"/>
              </w:rPr>
              <w:t xml:space="preserve">4.13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4310.00 </w:t>
            </w:r>
          </w:p>
        </w:tc>
        <w:tc>
          <w:tcPr>
            <w:tcW w:w="1782" w:type="pct"/>
            <w:vAlign w:val="center"/>
          </w:tcPr>
          <w:p>
            <w:pPr>
              <w:pStyle w:val="63"/>
              <w:rPr>
                <w:color w:val="000000"/>
                <w:sz w:val="22"/>
              </w:rPr>
            </w:pPr>
            <w:r>
              <w:rPr>
                <w:color w:val="000000"/>
                <w:sz w:val="22"/>
              </w:rPr>
              <w:t xml:space="preserve">53.89 </w:t>
            </w:r>
          </w:p>
        </w:tc>
        <w:tc>
          <w:tcPr>
            <w:tcW w:w="1782" w:type="pct"/>
            <w:vAlign w:val="center"/>
          </w:tcPr>
          <w:p>
            <w:pPr>
              <w:pStyle w:val="63"/>
              <w:rPr>
                <w:color w:val="000000"/>
                <w:sz w:val="22"/>
              </w:rPr>
            </w:pPr>
            <w:r>
              <w:rPr>
                <w:color w:val="000000"/>
                <w:sz w:val="22"/>
              </w:rPr>
              <w:t xml:space="preserve">4.01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4410.00 </w:t>
            </w:r>
          </w:p>
        </w:tc>
        <w:tc>
          <w:tcPr>
            <w:tcW w:w="1782" w:type="pct"/>
            <w:vAlign w:val="center"/>
          </w:tcPr>
          <w:p>
            <w:pPr>
              <w:pStyle w:val="63"/>
              <w:rPr>
                <w:color w:val="000000"/>
                <w:sz w:val="22"/>
              </w:rPr>
            </w:pPr>
            <w:r>
              <w:rPr>
                <w:color w:val="000000"/>
                <w:sz w:val="22"/>
              </w:rPr>
              <w:t xml:space="preserve">55.00 </w:t>
            </w:r>
          </w:p>
        </w:tc>
        <w:tc>
          <w:tcPr>
            <w:tcW w:w="1782" w:type="pct"/>
            <w:vAlign w:val="center"/>
          </w:tcPr>
          <w:p>
            <w:pPr>
              <w:pStyle w:val="63"/>
              <w:rPr>
                <w:color w:val="000000"/>
                <w:sz w:val="22"/>
              </w:rPr>
            </w:pPr>
            <w:r>
              <w:rPr>
                <w:color w:val="000000"/>
                <w:sz w:val="22"/>
              </w:rPr>
              <w:t xml:space="preserve">3.89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4510.00 </w:t>
            </w:r>
          </w:p>
        </w:tc>
        <w:tc>
          <w:tcPr>
            <w:tcW w:w="1782" w:type="pct"/>
            <w:vAlign w:val="center"/>
          </w:tcPr>
          <w:p>
            <w:pPr>
              <w:pStyle w:val="63"/>
              <w:rPr>
                <w:color w:val="000000"/>
                <w:sz w:val="22"/>
              </w:rPr>
            </w:pPr>
            <w:r>
              <w:rPr>
                <w:color w:val="000000"/>
                <w:sz w:val="22"/>
              </w:rPr>
              <w:t xml:space="preserve">57.11 </w:t>
            </w:r>
          </w:p>
        </w:tc>
        <w:tc>
          <w:tcPr>
            <w:tcW w:w="1782" w:type="pct"/>
            <w:vAlign w:val="center"/>
          </w:tcPr>
          <w:p>
            <w:pPr>
              <w:pStyle w:val="63"/>
              <w:rPr>
                <w:color w:val="000000"/>
                <w:sz w:val="22"/>
              </w:rPr>
            </w:pPr>
            <w:r>
              <w:rPr>
                <w:color w:val="000000"/>
                <w:sz w:val="22"/>
              </w:rPr>
              <w:t xml:space="preserve">3.77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4610.00 </w:t>
            </w:r>
          </w:p>
        </w:tc>
        <w:tc>
          <w:tcPr>
            <w:tcW w:w="1782" w:type="pct"/>
            <w:vAlign w:val="center"/>
          </w:tcPr>
          <w:p>
            <w:pPr>
              <w:pStyle w:val="63"/>
              <w:rPr>
                <w:color w:val="000000"/>
                <w:sz w:val="22"/>
              </w:rPr>
            </w:pPr>
            <w:r>
              <w:rPr>
                <w:color w:val="000000"/>
                <w:sz w:val="22"/>
              </w:rPr>
              <w:t xml:space="preserve">58.22 </w:t>
            </w:r>
          </w:p>
        </w:tc>
        <w:tc>
          <w:tcPr>
            <w:tcW w:w="1782" w:type="pct"/>
            <w:vAlign w:val="center"/>
          </w:tcPr>
          <w:p>
            <w:pPr>
              <w:pStyle w:val="63"/>
              <w:rPr>
                <w:color w:val="000000"/>
                <w:sz w:val="22"/>
              </w:rPr>
            </w:pPr>
            <w:r>
              <w:rPr>
                <w:color w:val="000000"/>
                <w:sz w:val="22"/>
              </w:rPr>
              <w:t xml:space="preserve">3.66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4710.00 </w:t>
            </w:r>
          </w:p>
        </w:tc>
        <w:tc>
          <w:tcPr>
            <w:tcW w:w="1782" w:type="pct"/>
            <w:vAlign w:val="center"/>
          </w:tcPr>
          <w:p>
            <w:pPr>
              <w:pStyle w:val="63"/>
              <w:rPr>
                <w:color w:val="000000"/>
                <w:sz w:val="22"/>
              </w:rPr>
            </w:pPr>
            <w:r>
              <w:rPr>
                <w:color w:val="000000"/>
                <w:sz w:val="22"/>
              </w:rPr>
              <w:t xml:space="preserve">59.33 </w:t>
            </w:r>
          </w:p>
        </w:tc>
        <w:tc>
          <w:tcPr>
            <w:tcW w:w="1782" w:type="pct"/>
            <w:vAlign w:val="center"/>
          </w:tcPr>
          <w:p>
            <w:pPr>
              <w:pStyle w:val="63"/>
              <w:rPr>
                <w:color w:val="000000"/>
                <w:sz w:val="22"/>
              </w:rPr>
            </w:pPr>
            <w:r>
              <w:rPr>
                <w:color w:val="000000"/>
                <w:sz w:val="22"/>
              </w:rPr>
              <w:t xml:space="preserve">3.56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4810.00 </w:t>
            </w:r>
          </w:p>
        </w:tc>
        <w:tc>
          <w:tcPr>
            <w:tcW w:w="1782" w:type="pct"/>
            <w:vAlign w:val="center"/>
          </w:tcPr>
          <w:p>
            <w:pPr>
              <w:pStyle w:val="63"/>
              <w:rPr>
                <w:color w:val="000000"/>
                <w:sz w:val="22"/>
              </w:rPr>
            </w:pPr>
            <w:r>
              <w:rPr>
                <w:color w:val="000000"/>
                <w:sz w:val="22"/>
              </w:rPr>
              <w:t xml:space="preserve">60.44 </w:t>
            </w:r>
          </w:p>
        </w:tc>
        <w:tc>
          <w:tcPr>
            <w:tcW w:w="1782" w:type="pct"/>
            <w:vAlign w:val="center"/>
          </w:tcPr>
          <w:p>
            <w:pPr>
              <w:pStyle w:val="63"/>
              <w:rPr>
                <w:color w:val="000000"/>
                <w:sz w:val="22"/>
              </w:rPr>
            </w:pPr>
            <w:r>
              <w:rPr>
                <w:color w:val="000000"/>
                <w:sz w:val="22"/>
              </w:rPr>
              <w:t xml:space="preserve">3.46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36" w:type="pct"/>
            <w:vAlign w:val="center"/>
          </w:tcPr>
          <w:p>
            <w:pPr>
              <w:pStyle w:val="63"/>
              <w:rPr>
                <w:color w:val="000000"/>
                <w:sz w:val="22"/>
              </w:rPr>
            </w:pPr>
            <w:r>
              <w:rPr>
                <w:color w:val="000000"/>
                <w:sz w:val="22"/>
              </w:rPr>
              <w:t xml:space="preserve">4910.00 </w:t>
            </w:r>
          </w:p>
        </w:tc>
        <w:tc>
          <w:tcPr>
            <w:tcW w:w="1782" w:type="pct"/>
            <w:vAlign w:val="center"/>
          </w:tcPr>
          <w:p>
            <w:pPr>
              <w:pStyle w:val="63"/>
              <w:rPr>
                <w:color w:val="000000"/>
                <w:sz w:val="22"/>
              </w:rPr>
            </w:pPr>
            <w:r>
              <w:rPr>
                <w:color w:val="000000"/>
                <w:sz w:val="22"/>
              </w:rPr>
              <w:t xml:space="preserve">61.56 </w:t>
            </w:r>
          </w:p>
        </w:tc>
        <w:tc>
          <w:tcPr>
            <w:tcW w:w="1782" w:type="pct"/>
            <w:vAlign w:val="center"/>
          </w:tcPr>
          <w:p>
            <w:pPr>
              <w:pStyle w:val="63"/>
              <w:rPr>
                <w:color w:val="000000"/>
                <w:sz w:val="22"/>
              </w:rPr>
            </w:pPr>
            <w:r>
              <w:rPr>
                <w:color w:val="000000"/>
                <w:sz w:val="22"/>
              </w:rPr>
              <w:t xml:space="preserve">3.37 </w:t>
            </w:r>
          </w:p>
        </w:tc>
      </w:tr>
    </w:tbl>
    <w:p>
      <w:pPr>
        <w:widowControl/>
        <w:spacing w:line="360" w:lineRule="auto"/>
        <w:ind w:firstLine="480" w:firstLineChars="200"/>
        <w:jc w:val="left"/>
        <w:rPr>
          <w:rFonts w:ascii="Times New Roman" w:hAnsi="Times New Roman" w:eastAsia="宋体" w:cs="Times New Roman"/>
          <w:spacing w:val="-4"/>
          <w:kern w:val="0"/>
          <w:szCs w:val="24"/>
        </w:rPr>
      </w:pPr>
      <w:r>
        <w:rPr>
          <w:rFonts w:ascii="Times New Roman" w:hAnsi="Times New Roman" w:cs="Times New Roman"/>
        </w:rPr>
        <w:drawing>
          <wp:inline distT="0" distB="0" distL="0" distR="0">
            <wp:extent cx="4572000" cy="2880995"/>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153"/>
                    <a:stretch>
                      <a:fillRect/>
                    </a:stretch>
                  </pic:blipFill>
                  <pic:spPr>
                    <a:xfrm>
                      <a:off x="0" y="0"/>
                      <a:ext cx="4582829" cy="2888138"/>
                    </a:xfrm>
                    <a:prstGeom prst="rect">
                      <a:avLst/>
                    </a:prstGeom>
                  </pic:spPr>
                </pic:pic>
              </a:graphicData>
            </a:graphic>
          </wp:inline>
        </w:drawing>
      </w:r>
    </w:p>
    <w:p>
      <w:pPr>
        <w:pStyle w:val="6"/>
        <w:rPr>
          <w:rFonts w:ascii="Times New Roman" w:hAnsi="Times New Roman" w:cs="Times New Roman"/>
          <w:lang w:val="zh-CN"/>
        </w:rPr>
      </w:pPr>
      <w:r>
        <w:rPr>
          <w:rFonts w:ascii="Times New Roman" w:hAnsi="Times New Roman" w:cs="Times New Roman"/>
          <w:lang w:val="zh-CN"/>
        </w:rPr>
        <w:t>图</w:t>
      </w:r>
      <w:r>
        <w:rPr>
          <w:rFonts w:hint="eastAsia" w:ascii="Times New Roman" w:hAnsi="Times New Roman" w:cs="Times New Roman"/>
          <w:lang w:val="zh-CN"/>
        </w:rPr>
        <w:t>7.6</w:t>
      </w:r>
      <w:r>
        <w:rPr>
          <w:rFonts w:ascii="Times New Roman" w:hAnsi="Times New Roman" w:cs="Times New Roman"/>
          <w:lang w:val="zh-CN"/>
        </w:rPr>
        <w:t>-1  CO预测浓度影响浓度分布图（最不利气象条件）（单位：mg/m</w:t>
      </w:r>
      <w:r>
        <w:rPr>
          <w:rFonts w:ascii="Times New Roman" w:hAnsi="Times New Roman" w:cs="Times New Roman"/>
          <w:vertAlign w:val="superscript"/>
          <w:lang w:val="zh-CN"/>
        </w:rPr>
        <w:t>3</w:t>
      </w:r>
      <w:r>
        <w:rPr>
          <w:rFonts w:ascii="Times New Roman" w:hAnsi="Times New Roman" w:cs="Times New Roman"/>
          <w:lang w:val="zh-CN"/>
        </w:rPr>
        <w:t>）</w:t>
      </w:r>
    </w:p>
    <w:p>
      <w:pPr>
        <w:widowControl/>
        <w:spacing w:line="360" w:lineRule="auto"/>
        <w:ind w:firstLine="480" w:firstLineChars="200"/>
        <w:jc w:val="left"/>
        <w:rPr>
          <w:rFonts w:ascii="Times New Roman" w:hAnsi="Times New Roman" w:eastAsia="宋体" w:cs="Times New Roman"/>
          <w:spacing w:val="-4"/>
          <w:kern w:val="0"/>
          <w:szCs w:val="24"/>
        </w:rPr>
      </w:pPr>
      <w:r>
        <w:rPr>
          <w:rFonts w:ascii="Times New Roman" w:hAnsi="Times New Roman" w:cs="Times New Roman"/>
        </w:rPr>
        <w:drawing>
          <wp:inline distT="0" distB="0" distL="0" distR="0">
            <wp:extent cx="4708525" cy="28765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54"/>
                    <a:stretch>
                      <a:fillRect/>
                    </a:stretch>
                  </pic:blipFill>
                  <pic:spPr>
                    <a:xfrm>
                      <a:off x="0" y="0"/>
                      <a:ext cx="4712548" cy="2878801"/>
                    </a:xfrm>
                    <a:prstGeom prst="rect">
                      <a:avLst/>
                    </a:prstGeom>
                  </pic:spPr>
                </pic:pic>
              </a:graphicData>
            </a:graphic>
          </wp:inline>
        </w:drawing>
      </w:r>
    </w:p>
    <w:p>
      <w:pPr>
        <w:pStyle w:val="6"/>
        <w:rPr>
          <w:rFonts w:ascii="Times New Roman" w:hAnsi="Times New Roman" w:cs="Times New Roman"/>
        </w:rPr>
      </w:pPr>
      <w:r>
        <w:rPr>
          <w:rFonts w:ascii="Times New Roman" w:hAnsi="Times New Roman" w:cs="Times New Roman"/>
        </w:rPr>
        <w:t>图</w:t>
      </w:r>
      <w:r>
        <w:rPr>
          <w:rFonts w:hint="eastAsia" w:ascii="Times New Roman" w:hAnsi="Times New Roman" w:cs="Times New Roman"/>
        </w:rPr>
        <w:t>7.6</w:t>
      </w:r>
      <w:r>
        <w:rPr>
          <w:rFonts w:ascii="Times New Roman" w:hAnsi="Times New Roman" w:cs="Times New Roman"/>
        </w:rPr>
        <w:t>-2  CO预测浓度达到不同毒性终点浓度的最大影响范围示意图（最不利气象条件）</w:t>
      </w:r>
    </w:p>
    <w:p>
      <w:pPr>
        <w:pStyle w:val="6"/>
        <w:rPr>
          <w:rFonts w:ascii="Times New Roman" w:hAnsi="Times New Roman" w:cs="Times New Roman"/>
          <w:szCs w:val="24"/>
          <w:lang w:val="zh-CN"/>
        </w:rPr>
      </w:pPr>
      <w:r>
        <w:rPr>
          <w:rFonts w:ascii="Times New Roman" w:hAnsi="Times New Roman" w:cs="Times New Roman"/>
          <w:lang w:val="zh-CN"/>
        </w:rPr>
        <w:t>表</w:t>
      </w:r>
      <w:r>
        <w:rPr>
          <w:rFonts w:hint="eastAsia" w:ascii="Times New Roman" w:hAnsi="Times New Roman" w:cs="Times New Roman"/>
          <w:lang w:val="zh-CN"/>
        </w:rPr>
        <w:t>7.6</w:t>
      </w:r>
      <w:r>
        <w:rPr>
          <w:rFonts w:ascii="Times New Roman" w:hAnsi="Times New Roman" w:cs="Times New Roman"/>
          <w:lang w:val="zh-CN"/>
        </w:rPr>
        <w:t>-3  主要敏感点CO预测浓度随时间变化情况（最不利气象条件）单位：mg/m</w:t>
      </w:r>
      <w:r>
        <w:rPr>
          <w:rFonts w:ascii="Times New Roman" w:hAnsi="Times New Roman" w:cs="Times New Roman"/>
          <w:szCs w:val="24"/>
          <w:lang w:val="zh-CN"/>
        </w:rPr>
        <w:t>³</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76"/>
        <w:gridCol w:w="1162"/>
        <w:gridCol w:w="951"/>
        <w:gridCol w:w="1101"/>
        <w:gridCol w:w="1101"/>
        <w:gridCol w:w="1214"/>
        <w:gridCol w:w="1219"/>
        <w:gridCol w:w="10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97" w:type="pct"/>
            <w:noWrap/>
            <w:vAlign w:val="center"/>
          </w:tcPr>
          <w:p>
            <w:pPr>
              <w:pStyle w:val="63"/>
            </w:pPr>
            <w:r>
              <w:t>序号</w:t>
            </w:r>
          </w:p>
        </w:tc>
        <w:tc>
          <w:tcPr>
            <w:tcW w:w="682" w:type="pct"/>
            <w:vAlign w:val="center"/>
          </w:tcPr>
          <w:p>
            <w:pPr>
              <w:pStyle w:val="63"/>
            </w:pPr>
            <w:r>
              <w:t>敏感点名称</w:t>
            </w:r>
          </w:p>
        </w:tc>
        <w:tc>
          <w:tcPr>
            <w:tcW w:w="558" w:type="pct"/>
            <w:noWrap/>
            <w:vAlign w:val="center"/>
          </w:tcPr>
          <w:p>
            <w:pPr>
              <w:pStyle w:val="63"/>
            </w:pPr>
            <w:r>
              <w:t>5min</w:t>
            </w:r>
          </w:p>
        </w:tc>
        <w:tc>
          <w:tcPr>
            <w:tcW w:w="646" w:type="pct"/>
            <w:noWrap/>
            <w:vAlign w:val="center"/>
          </w:tcPr>
          <w:p>
            <w:pPr>
              <w:pStyle w:val="63"/>
            </w:pPr>
            <w:r>
              <w:t>10min</w:t>
            </w:r>
          </w:p>
        </w:tc>
        <w:tc>
          <w:tcPr>
            <w:tcW w:w="646" w:type="pct"/>
            <w:noWrap/>
            <w:vAlign w:val="center"/>
          </w:tcPr>
          <w:p>
            <w:pPr>
              <w:pStyle w:val="63"/>
            </w:pPr>
            <w:r>
              <w:t>15min</w:t>
            </w:r>
          </w:p>
        </w:tc>
        <w:tc>
          <w:tcPr>
            <w:tcW w:w="712" w:type="pct"/>
            <w:vAlign w:val="center"/>
          </w:tcPr>
          <w:p>
            <w:pPr>
              <w:pStyle w:val="63"/>
            </w:pPr>
            <w:r>
              <w:t>20min</w:t>
            </w:r>
          </w:p>
        </w:tc>
        <w:tc>
          <w:tcPr>
            <w:tcW w:w="715" w:type="pct"/>
            <w:noWrap/>
            <w:vAlign w:val="center"/>
          </w:tcPr>
          <w:p>
            <w:pPr>
              <w:pStyle w:val="63"/>
            </w:pPr>
            <w:r>
              <w:t>25min</w:t>
            </w:r>
          </w:p>
        </w:tc>
        <w:tc>
          <w:tcPr>
            <w:tcW w:w="644" w:type="pct"/>
            <w:vAlign w:val="center"/>
          </w:tcPr>
          <w:p>
            <w:pPr>
              <w:pStyle w:val="63"/>
            </w:pPr>
            <w:r>
              <w:t>30min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7" w:type="pct"/>
            <w:vAlign w:val="center"/>
          </w:tcPr>
          <w:p>
            <w:pPr>
              <w:pStyle w:val="63"/>
            </w:pPr>
            <w:r>
              <w:t>1</w:t>
            </w:r>
          </w:p>
        </w:tc>
        <w:tc>
          <w:tcPr>
            <w:tcW w:w="682" w:type="pct"/>
            <w:vAlign w:val="center"/>
          </w:tcPr>
          <w:p>
            <w:pPr>
              <w:pStyle w:val="63"/>
              <w:rPr>
                <w:sz w:val="22"/>
              </w:rPr>
            </w:pPr>
            <w:r>
              <w:rPr>
                <w:sz w:val="22"/>
              </w:rPr>
              <w:t>新石桥村</w:t>
            </w:r>
          </w:p>
        </w:tc>
        <w:tc>
          <w:tcPr>
            <w:tcW w:w="558"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712" w:type="pct"/>
            <w:vAlign w:val="bottom"/>
          </w:tcPr>
          <w:p>
            <w:pPr>
              <w:pStyle w:val="63"/>
              <w:rPr>
                <w:color w:val="000000"/>
                <w:sz w:val="22"/>
              </w:rPr>
            </w:pPr>
            <w:r>
              <w:rPr>
                <w:color w:val="000000"/>
                <w:sz w:val="22"/>
              </w:rPr>
              <w:t xml:space="preserve">0.00 </w:t>
            </w:r>
          </w:p>
        </w:tc>
        <w:tc>
          <w:tcPr>
            <w:tcW w:w="715" w:type="pct"/>
            <w:vAlign w:val="bottom"/>
          </w:tcPr>
          <w:p>
            <w:pPr>
              <w:pStyle w:val="63"/>
              <w:rPr>
                <w:color w:val="000000"/>
                <w:sz w:val="22"/>
              </w:rPr>
            </w:pPr>
            <w:r>
              <w:rPr>
                <w:color w:val="000000"/>
                <w:sz w:val="22"/>
              </w:rPr>
              <w:t xml:space="preserve">0.00 </w:t>
            </w:r>
          </w:p>
        </w:tc>
        <w:tc>
          <w:tcPr>
            <w:tcW w:w="644" w:type="pct"/>
            <w:vAlign w:val="bottom"/>
          </w:tcPr>
          <w:p>
            <w:pPr>
              <w:pStyle w:val="63"/>
              <w:rPr>
                <w:color w:val="000000"/>
                <w:sz w:val="22"/>
              </w:rPr>
            </w:pPr>
            <w:r>
              <w:rPr>
                <w:color w:val="000000"/>
                <w:sz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7" w:type="pct"/>
            <w:vAlign w:val="center"/>
          </w:tcPr>
          <w:p>
            <w:pPr>
              <w:pStyle w:val="63"/>
            </w:pPr>
            <w:r>
              <w:t>2</w:t>
            </w:r>
          </w:p>
        </w:tc>
        <w:tc>
          <w:tcPr>
            <w:tcW w:w="682" w:type="pct"/>
            <w:vAlign w:val="center"/>
          </w:tcPr>
          <w:p>
            <w:pPr>
              <w:pStyle w:val="63"/>
              <w:rPr>
                <w:sz w:val="22"/>
              </w:rPr>
            </w:pPr>
            <w:r>
              <w:rPr>
                <w:sz w:val="22"/>
              </w:rPr>
              <w:t>大浦镇</w:t>
            </w:r>
          </w:p>
        </w:tc>
        <w:tc>
          <w:tcPr>
            <w:tcW w:w="558"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712" w:type="pct"/>
            <w:vAlign w:val="bottom"/>
          </w:tcPr>
          <w:p>
            <w:pPr>
              <w:pStyle w:val="63"/>
              <w:rPr>
                <w:color w:val="000000"/>
                <w:sz w:val="22"/>
              </w:rPr>
            </w:pPr>
            <w:r>
              <w:rPr>
                <w:color w:val="000000"/>
                <w:sz w:val="22"/>
              </w:rPr>
              <w:t xml:space="preserve">0.00 </w:t>
            </w:r>
          </w:p>
        </w:tc>
        <w:tc>
          <w:tcPr>
            <w:tcW w:w="715" w:type="pct"/>
            <w:vAlign w:val="bottom"/>
          </w:tcPr>
          <w:p>
            <w:pPr>
              <w:pStyle w:val="63"/>
              <w:rPr>
                <w:color w:val="000000"/>
                <w:sz w:val="22"/>
              </w:rPr>
            </w:pPr>
            <w:r>
              <w:rPr>
                <w:color w:val="000000"/>
                <w:sz w:val="22"/>
              </w:rPr>
              <w:t xml:space="preserve">0.00 </w:t>
            </w:r>
          </w:p>
        </w:tc>
        <w:tc>
          <w:tcPr>
            <w:tcW w:w="644" w:type="pct"/>
            <w:vAlign w:val="bottom"/>
          </w:tcPr>
          <w:p>
            <w:pPr>
              <w:pStyle w:val="63"/>
              <w:rPr>
                <w:color w:val="000000"/>
                <w:sz w:val="22"/>
              </w:rPr>
            </w:pPr>
            <w:r>
              <w:rPr>
                <w:color w:val="000000"/>
                <w:sz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7" w:type="pct"/>
            <w:vAlign w:val="center"/>
          </w:tcPr>
          <w:p>
            <w:pPr>
              <w:pStyle w:val="63"/>
            </w:pPr>
            <w:r>
              <w:t>3</w:t>
            </w:r>
          </w:p>
        </w:tc>
        <w:tc>
          <w:tcPr>
            <w:tcW w:w="682" w:type="pct"/>
            <w:vAlign w:val="center"/>
          </w:tcPr>
          <w:p>
            <w:pPr>
              <w:pStyle w:val="63"/>
              <w:rPr>
                <w:sz w:val="22"/>
              </w:rPr>
            </w:pPr>
            <w:r>
              <w:rPr>
                <w:sz w:val="22"/>
              </w:rPr>
              <w:t>浦泉村</w:t>
            </w:r>
          </w:p>
        </w:tc>
        <w:tc>
          <w:tcPr>
            <w:tcW w:w="558"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712" w:type="pct"/>
            <w:vAlign w:val="bottom"/>
          </w:tcPr>
          <w:p>
            <w:pPr>
              <w:pStyle w:val="63"/>
              <w:rPr>
                <w:color w:val="000000"/>
                <w:sz w:val="22"/>
              </w:rPr>
            </w:pPr>
            <w:r>
              <w:rPr>
                <w:color w:val="000000"/>
                <w:sz w:val="22"/>
              </w:rPr>
              <w:t xml:space="preserve">0.00 </w:t>
            </w:r>
          </w:p>
        </w:tc>
        <w:tc>
          <w:tcPr>
            <w:tcW w:w="715" w:type="pct"/>
            <w:vAlign w:val="bottom"/>
          </w:tcPr>
          <w:p>
            <w:pPr>
              <w:pStyle w:val="63"/>
              <w:rPr>
                <w:color w:val="000000"/>
                <w:sz w:val="22"/>
              </w:rPr>
            </w:pPr>
            <w:r>
              <w:rPr>
                <w:color w:val="000000"/>
                <w:sz w:val="22"/>
              </w:rPr>
              <w:t xml:space="preserve">0.00 </w:t>
            </w:r>
          </w:p>
        </w:tc>
        <w:tc>
          <w:tcPr>
            <w:tcW w:w="644" w:type="pct"/>
            <w:vAlign w:val="bottom"/>
          </w:tcPr>
          <w:p>
            <w:pPr>
              <w:pStyle w:val="63"/>
              <w:rPr>
                <w:color w:val="000000"/>
                <w:sz w:val="22"/>
              </w:rPr>
            </w:pPr>
            <w:r>
              <w:rPr>
                <w:color w:val="000000"/>
                <w:sz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7" w:type="pct"/>
            <w:vAlign w:val="center"/>
          </w:tcPr>
          <w:p>
            <w:pPr>
              <w:pStyle w:val="63"/>
            </w:pPr>
            <w:r>
              <w:t>4</w:t>
            </w:r>
          </w:p>
        </w:tc>
        <w:tc>
          <w:tcPr>
            <w:tcW w:w="682" w:type="pct"/>
            <w:vAlign w:val="center"/>
          </w:tcPr>
          <w:p>
            <w:pPr>
              <w:pStyle w:val="63"/>
              <w:rPr>
                <w:sz w:val="22"/>
              </w:rPr>
            </w:pPr>
            <w:r>
              <w:rPr>
                <w:sz w:val="22"/>
              </w:rPr>
              <w:t>炉铺村</w:t>
            </w:r>
          </w:p>
        </w:tc>
        <w:tc>
          <w:tcPr>
            <w:tcW w:w="558"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712" w:type="pct"/>
            <w:vAlign w:val="bottom"/>
          </w:tcPr>
          <w:p>
            <w:pPr>
              <w:pStyle w:val="63"/>
              <w:rPr>
                <w:color w:val="000000"/>
                <w:sz w:val="22"/>
              </w:rPr>
            </w:pPr>
            <w:r>
              <w:rPr>
                <w:color w:val="000000"/>
                <w:sz w:val="22"/>
              </w:rPr>
              <w:t xml:space="preserve">0.00 </w:t>
            </w:r>
          </w:p>
        </w:tc>
        <w:tc>
          <w:tcPr>
            <w:tcW w:w="715" w:type="pct"/>
            <w:vAlign w:val="bottom"/>
          </w:tcPr>
          <w:p>
            <w:pPr>
              <w:pStyle w:val="63"/>
              <w:rPr>
                <w:color w:val="000000"/>
                <w:sz w:val="22"/>
              </w:rPr>
            </w:pPr>
            <w:r>
              <w:rPr>
                <w:color w:val="000000"/>
                <w:sz w:val="22"/>
              </w:rPr>
              <w:t xml:space="preserve">1.92 </w:t>
            </w:r>
          </w:p>
        </w:tc>
        <w:tc>
          <w:tcPr>
            <w:tcW w:w="644" w:type="pct"/>
            <w:vAlign w:val="bottom"/>
          </w:tcPr>
          <w:p>
            <w:pPr>
              <w:pStyle w:val="63"/>
              <w:rPr>
                <w:color w:val="000000"/>
                <w:sz w:val="22"/>
              </w:rPr>
            </w:pPr>
            <w:r>
              <w:rPr>
                <w:color w:val="000000"/>
                <w:sz w:val="22"/>
              </w:rPr>
              <w:t xml:space="preserve">1.92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7" w:type="pct"/>
            <w:vAlign w:val="center"/>
          </w:tcPr>
          <w:p>
            <w:pPr>
              <w:pStyle w:val="63"/>
            </w:pPr>
            <w:r>
              <w:t>5</w:t>
            </w:r>
          </w:p>
        </w:tc>
        <w:tc>
          <w:tcPr>
            <w:tcW w:w="682" w:type="pct"/>
            <w:vAlign w:val="center"/>
          </w:tcPr>
          <w:p>
            <w:pPr>
              <w:pStyle w:val="63"/>
              <w:rPr>
                <w:sz w:val="22"/>
              </w:rPr>
            </w:pPr>
            <w:r>
              <w:rPr>
                <w:sz w:val="22"/>
              </w:rPr>
              <w:t>安置区</w:t>
            </w:r>
          </w:p>
        </w:tc>
        <w:tc>
          <w:tcPr>
            <w:tcW w:w="558"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712" w:type="pct"/>
            <w:vAlign w:val="bottom"/>
          </w:tcPr>
          <w:p>
            <w:pPr>
              <w:pStyle w:val="63"/>
              <w:rPr>
                <w:color w:val="000000"/>
                <w:sz w:val="22"/>
              </w:rPr>
            </w:pPr>
            <w:r>
              <w:rPr>
                <w:color w:val="000000"/>
                <w:sz w:val="22"/>
              </w:rPr>
              <w:t xml:space="preserve">0.00 </w:t>
            </w:r>
          </w:p>
        </w:tc>
        <w:tc>
          <w:tcPr>
            <w:tcW w:w="715" w:type="pct"/>
            <w:vAlign w:val="bottom"/>
          </w:tcPr>
          <w:p>
            <w:pPr>
              <w:pStyle w:val="63"/>
              <w:rPr>
                <w:color w:val="000000"/>
                <w:sz w:val="22"/>
              </w:rPr>
            </w:pPr>
            <w:r>
              <w:rPr>
                <w:color w:val="000000"/>
                <w:sz w:val="22"/>
              </w:rPr>
              <w:t xml:space="preserve">0.00 </w:t>
            </w:r>
          </w:p>
        </w:tc>
        <w:tc>
          <w:tcPr>
            <w:tcW w:w="644" w:type="pct"/>
            <w:vAlign w:val="bottom"/>
          </w:tcPr>
          <w:p>
            <w:pPr>
              <w:pStyle w:val="63"/>
              <w:rPr>
                <w:color w:val="000000"/>
                <w:sz w:val="22"/>
              </w:rPr>
            </w:pPr>
            <w:r>
              <w:rPr>
                <w:color w:val="000000"/>
                <w:sz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7" w:type="pct"/>
            <w:vAlign w:val="center"/>
          </w:tcPr>
          <w:p>
            <w:pPr>
              <w:pStyle w:val="63"/>
            </w:pPr>
            <w:r>
              <w:t>6</w:t>
            </w:r>
          </w:p>
        </w:tc>
        <w:tc>
          <w:tcPr>
            <w:tcW w:w="682" w:type="pct"/>
            <w:vAlign w:val="center"/>
          </w:tcPr>
          <w:p>
            <w:pPr>
              <w:pStyle w:val="63"/>
              <w:rPr>
                <w:sz w:val="22"/>
              </w:rPr>
            </w:pPr>
            <w:r>
              <w:rPr>
                <w:sz w:val="22"/>
              </w:rPr>
              <w:t>爱国医院</w:t>
            </w:r>
          </w:p>
        </w:tc>
        <w:tc>
          <w:tcPr>
            <w:tcW w:w="558"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712" w:type="pct"/>
            <w:vAlign w:val="bottom"/>
          </w:tcPr>
          <w:p>
            <w:pPr>
              <w:pStyle w:val="63"/>
              <w:rPr>
                <w:color w:val="000000"/>
                <w:sz w:val="22"/>
              </w:rPr>
            </w:pPr>
            <w:r>
              <w:rPr>
                <w:color w:val="000000"/>
                <w:sz w:val="22"/>
              </w:rPr>
              <w:t xml:space="preserve">0.00 </w:t>
            </w:r>
          </w:p>
        </w:tc>
        <w:tc>
          <w:tcPr>
            <w:tcW w:w="715" w:type="pct"/>
            <w:vAlign w:val="bottom"/>
          </w:tcPr>
          <w:p>
            <w:pPr>
              <w:pStyle w:val="63"/>
              <w:rPr>
                <w:color w:val="000000"/>
                <w:sz w:val="22"/>
              </w:rPr>
            </w:pPr>
            <w:r>
              <w:rPr>
                <w:color w:val="000000"/>
                <w:sz w:val="22"/>
              </w:rPr>
              <w:t xml:space="preserve">0.00 </w:t>
            </w:r>
          </w:p>
        </w:tc>
        <w:tc>
          <w:tcPr>
            <w:tcW w:w="644" w:type="pct"/>
            <w:vAlign w:val="bottom"/>
          </w:tcPr>
          <w:p>
            <w:pPr>
              <w:pStyle w:val="63"/>
              <w:rPr>
                <w:color w:val="000000"/>
                <w:sz w:val="22"/>
              </w:rPr>
            </w:pPr>
            <w:r>
              <w:rPr>
                <w:color w:val="000000"/>
                <w:sz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7" w:type="pct"/>
            <w:vAlign w:val="center"/>
          </w:tcPr>
          <w:p>
            <w:pPr>
              <w:pStyle w:val="63"/>
            </w:pPr>
            <w:r>
              <w:t>7</w:t>
            </w:r>
          </w:p>
        </w:tc>
        <w:tc>
          <w:tcPr>
            <w:tcW w:w="682" w:type="pct"/>
            <w:vAlign w:val="center"/>
          </w:tcPr>
          <w:p>
            <w:pPr>
              <w:pStyle w:val="63"/>
              <w:rPr>
                <w:sz w:val="22"/>
              </w:rPr>
            </w:pPr>
            <w:r>
              <w:rPr>
                <w:sz w:val="22"/>
              </w:rPr>
              <w:t>堰桥村</w:t>
            </w:r>
          </w:p>
        </w:tc>
        <w:tc>
          <w:tcPr>
            <w:tcW w:w="558"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712" w:type="pct"/>
            <w:vAlign w:val="bottom"/>
          </w:tcPr>
          <w:p>
            <w:pPr>
              <w:pStyle w:val="63"/>
              <w:rPr>
                <w:color w:val="000000"/>
                <w:sz w:val="22"/>
              </w:rPr>
            </w:pPr>
            <w:r>
              <w:rPr>
                <w:color w:val="000000"/>
                <w:sz w:val="22"/>
              </w:rPr>
              <w:t xml:space="preserve">0.00 </w:t>
            </w:r>
          </w:p>
        </w:tc>
        <w:tc>
          <w:tcPr>
            <w:tcW w:w="715" w:type="pct"/>
            <w:vAlign w:val="bottom"/>
          </w:tcPr>
          <w:p>
            <w:pPr>
              <w:pStyle w:val="63"/>
              <w:rPr>
                <w:color w:val="000000"/>
                <w:sz w:val="22"/>
              </w:rPr>
            </w:pPr>
            <w:r>
              <w:rPr>
                <w:color w:val="000000"/>
                <w:sz w:val="22"/>
              </w:rPr>
              <w:t xml:space="preserve">0.00 </w:t>
            </w:r>
          </w:p>
        </w:tc>
        <w:tc>
          <w:tcPr>
            <w:tcW w:w="644" w:type="pct"/>
            <w:vAlign w:val="bottom"/>
          </w:tcPr>
          <w:p>
            <w:pPr>
              <w:pStyle w:val="63"/>
              <w:rPr>
                <w:color w:val="000000"/>
                <w:sz w:val="22"/>
              </w:rPr>
            </w:pPr>
            <w:r>
              <w:rPr>
                <w:color w:val="000000"/>
                <w:sz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7" w:type="pct"/>
            <w:vAlign w:val="center"/>
          </w:tcPr>
          <w:p>
            <w:pPr>
              <w:pStyle w:val="63"/>
            </w:pPr>
            <w:r>
              <w:t>8</w:t>
            </w:r>
          </w:p>
        </w:tc>
        <w:tc>
          <w:tcPr>
            <w:tcW w:w="682" w:type="pct"/>
            <w:vAlign w:val="center"/>
          </w:tcPr>
          <w:p>
            <w:pPr>
              <w:pStyle w:val="63"/>
              <w:rPr>
                <w:sz w:val="22"/>
              </w:rPr>
            </w:pPr>
            <w:r>
              <w:rPr>
                <w:sz w:val="22"/>
              </w:rPr>
              <w:t>三才村</w:t>
            </w:r>
          </w:p>
        </w:tc>
        <w:tc>
          <w:tcPr>
            <w:tcW w:w="558"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712" w:type="pct"/>
            <w:vAlign w:val="bottom"/>
          </w:tcPr>
          <w:p>
            <w:pPr>
              <w:pStyle w:val="63"/>
              <w:rPr>
                <w:color w:val="000000"/>
                <w:sz w:val="22"/>
              </w:rPr>
            </w:pPr>
            <w:r>
              <w:rPr>
                <w:color w:val="000000"/>
                <w:sz w:val="22"/>
              </w:rPr>
              <w:t xml:space="preserve">0.00 </w:t>
            </w:r>
          </w:p>
        </w:tc>
        <w:tc>
          <w:tcPr>
            <w:tcW w:w="715" w:type="pct"/>
            <w:vAlign w:val="bottom"/>
          </w:tcPr>
          <w:p>
            <w:pPr>
              <w:pStyle w:val="63"/>
              <w:rPr>
                <w:color w:val="000000"/>
                <w:sz w:val="22"/>
              </w:rPr>
            </w:pPr>
            <w:r>
              <w:rPr>
                <w:color w:val="000000"/>
                <w:sz w:val="22"/>
              </w:rPr>
              <w:t xml:space="preserve">0.00 </w:t>
            </w:r>
          </w:p>
        </w:tc>
        <w:tc>
          <w:tcPr>
            <w:tcW w:w="644" w:type="pct"/>
            <w:vAlign w:val="bottom"/>
          </w:tcPr>
          <w:p>
            <w:pPr>
              <w:pStyle w:val="63"/>
              <w:rPr>
                <w:color w:val="000000"/>
                <w:sz w:val="22"/>
              </w:rPr>
            </w:pPr>
            <w:r>
              <w:rPr>
                <w:color w:val="000000"/>
                <w:sz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7" w:type="pct"/>
            <w:vAlign w:val="center"/>
          </w:tcPr>
          <w:p>
            <w:pPr>
              <w:pStyle w:val="63"/>
            </w:pPr>
            <w:r>
              <w:t>9</w:t>
            </w:r>
          </w:p>
        </w:tc>
        <w:tc>
          <w:tcPr>
            <w:tcW w:w="682" w:type="pct"/>
            <w:vAlign w:val="center"/>
          </w:tcPr>
          <w:p>
            <w:pPr>
              <w:pStyle w:val="63"/>
              <w:rPr>
                <w:sz w:val="22"/>
              </w:rPr>
            </w:pPr>
            <w:r>
              <w:rPr>
                <w:sz w:val="22"/>
              </w:rPr>
              <w:t>彭家屋场</w:t>
            </w:r>
          </w:p>
        </w:tc>
        <w:tc>
          <w:tcPr>
            <w:tcW w:w="558"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712" w:type="pct"/>
            <w:vAlign w:val="bottom"/>
          </w:tcPr>
          <w:p>
            <w:pPr>
              <w:pStyle w:val="63"/>
              <w:rPr>
                <w:color w:val="000000"/>
                <w:sz w:val="22"/>
              </w:rPr>
            </w:pPr>
            <w:r>
              <w:rPr>
                <w:color w:val="000000"/>
                <w:sz w:val="22"/>
              </w:rPr>
              <w:t xml:space="preserve">0.00 </w:t>
            </w:r>
          </w:p>
        </w:tc>
        <w:tc>
          <w:tcPr>
            <w:tcW w:w="715" w:type="pct"/>
            <w:vAlign w:val="bottom"/>
          </w:tcPr>
          <w:p>
            <w:pPr>
              <w:pStyle w:val="63"/>
              <w:rPr>
                <w:color w:val="000000"/>
                <w:sz w:val="22"/>
              </w:rPr>
            </w:pPr>
            <w:r>
              <w:rPr>
                <w:color w:val="000000"/>
                <w:sz w:val="22"/>
              </w:rPr>
              <w:t xml:space="preserve">0.00 </w:t>
            </w:r>
          </w:p>
        </w:tc>
        <w:tc>
          <w:tcPr>
            <w:tcW w:w="644" w:type="pct"/>
            <w:vAlign w:val="bottom"/>
          </w:tcPr>
          <w:p>
            <w:pPr>
              <w:pStyle w:val="63"/>
              <w:rPr>
                <w:color w:val="000000"/>
                <w:sz w:val="22"/>
              </w:rPr>
            </w:pPr>
            <w:r>
              <w:rPr>
                <w:color w:val="000000"/>
                <w:sz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7" w:type="pct"/>
            <w:vAlign w:val="center"/>
          </w:tcPr>
          <w:p>
            <w:pPr>
              <w:pStyle w:val="63"/>
            </w:pPr>
            <w:r>
              <w:t>10</w:t>
            </w:r>
          </w:p>
        </w:tc>
        <w:tc>
          <w:tcPr>
            <w:tcW w:w="682" w:type="pct"/>
            <w:vAlign w:val="center"/>
          </w:tcPr>
          <w:p>
            <w:pPr>
              <w:pStyle w:val="63"/>
              <w:rPr>
                <w:sz w:val="22"/>
              </w:rPr>
            </w:pPr>
            <w:r>
              <w:rPr>
                <w:sz w:val="22"/>
              </w:rPr>
              <w:t>北头村</w:t>
            </w:r>
          </w:p>
        </w:tc>
        <w:tc>
          <w:tcPr>
            <w:tcW w:w="558"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712" w:type="pct"/>
            <w:vAlign w:val="bottom"/>
          </w:tcPr>
          <w:p>
            <w:pPr>
              <w:pStyle w:val="63"/>
              <w:rPr>
                <w:color w:val="000000"/>
                <w:sz w:val="22"/>
              </w:rPr>
            </w:pPr>
            <w:r>
              <w:rPr>
                <w:color w:val="000000"/>
                <w:sz w:val="22"/>
              </w:rPr>
              <w:t xml:space="preserve">0.00 </w:t>
            </w:r>
          </w:p>
        </w:tc>
        <w:tc>
          <w:tcPr>
            <w:tcW w:w="715" w:type="pct"/>
            <w:vAlign w:val="bottom"/>
          </w:tcPr>
          <w:p>
            <w:pPr>
              <w:pStyle w:val="63"/>
              <w:rPr>
                <w:color w:val="000000"/>
                <w:sz w:val="22"/>
              </w:rPr>
            </w:pPr>
            <w:r>
              <w:rPr>
                <w:color w:val="000000"/>
                <w:sz w:val="22"/>
              </w:rPr>
              <w:t xml:space="preserve">0.00 </w:t>
            </w:r>
          </w:p>
        </w:tc>
        <w:tc>
          <w:tcPr>
            <w:tcW w:w="644" w:type="pct"/>
            <w:vAlign w:val="bottom"/>
          </w:tcPr>
          <w:p>
            <w:pPr>
              <w:pStyle w:val="63"/>
              <w:rPr>
                <w:color w:val="000000"/>
                <w:sz w:val="22"/>
              </w:rPr>
            </w:pPr>
            <w:r>
              <w:rPr>
                <w:color w:val="000000"/>
                <w:sz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7" w:type="pct"/>
            <w:vAlign w:val="center"/>
          </w:tcPr>
          <w:p>
            <w:pPr>
              <w:pStyle w:val="63"/>
            </w:pPr>
            <w:r>
              <w:t>11</w:t>
            </w:r>
          </w:p>
        </w:tc>
        <w:tc>
          <w:tcPr>
            <w:tcW w:w="682" w:type="pct"/>
            <w:vAlign w:val="center"/>
          </w:tcPr>
          <w:p>
            <w:pPr>
              <w:pStyle w:val="63"/>
              <w:rPr>
                <w:sz w:val="22"/>
              </w:rPr>
            </w:pPr>
            <w:r>
              <w:rPr>
                <w:sz w:val="22"/>
              </w:rPr>
              <w:t>龙家冲</w:t>
            </w:r>
          </w:p>
        </w:tc>
        <w:tc>
          <w:tcPr>
            <w:tcW w:w="558"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712" w:type="pct"/>
            <w:vAlign w:val="bottom"/>
          </w:tcPr>
          <w:p>
            <w:pPr>
              <w:pStyle w:val="63"/>
              <w:rPr>
                <w:color w:val="000000"/>
                <w:sz w:val="22"/>
              </w:rPr>
            </w:pPr>
            <w:r>
              <w:rPr>
                <w:color w:val="000000"/>
                <w:sz w:val="22"/>
              </w:rPr>
              <w:t xml:space="preserve">0.00 </w:t>
            </w:r>
          </w:p>
        </w:tc>
        <w:tc>
          <w:tcPr>
            <w:tcW w:w="715" w:type="pct"/>
            <w:vAlign w:val="bottom"/>
          </w:tcPr>
          <w:p>
            <w:pPr>
              <w:pStyle w:val="63"/>
              <w:rPr>
                <w:color w:val="000000"/>
                <w:sz w:val="22"/>
              </w:rPr>
            </w:pPr>
            <w:r>
              <w:rPr>
                <w:color w:val="000000"/>
                <w:sz w:val="22"/>
              </w:rPr>
              <w:t xml:space="preserve">0.00 </w:t>
            </w:r>
          </w:p>
        </w:tc>
        <w:tc>
          <w:tcPr>
            <w:tcW w:w="644" w:type="pct"/>
            <w:vAlign w:val="bottom"/>
          </w:tcPr>
          <w:p>
            <w:pPr>
              <w:pStyle w:val="63"/>
              <w:rPr>
                <w:color w:val="000000"/>
                <w:sz w:val="22"/>
              </w:rPr>
            </w:pPr>
            <w:r>
              <w:rPr>
                <w:color w:val="000000"/>
                <w:sz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7" w:type="pct"/>
            <w:vAlign w:val="center"/>
          </w:tcPr>
          <w:p>
            <w:pPr>
              <w:pStyle w:val="63"/>
            </w:pPr>
            <w:r>
              <w:t>12</w:t>
            </w:r>
          </w:p>
        </w:tc>
        <w:tc>
          <w:tcPr>
            <w:tcW w:w="682" w:type="pct"/>
            <w:vAlign w:val="center"/>
          </w:tcPr>
          <w:p>
            <w:pPr>
              <w:pStyle w:val="63"/>
              <w:rPr>
                <w:sz w:val="22"/>
              </w:rPr>
            </w:pPr>
            <w:r>
              <w:rPr>
                <w:sz w:val="22"/>
              </w:rPr>
              <w:t>罗家老屋</w:t>
            </w:r>
          </w:p>
        </w:tc>
        <w:tc>
          <w:tcPr>
            <w:tcW w:w="558"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712" w:type="pct"/>
            <w:vAlign w:val="bottom"/>
          </w:tcPr>
          <w:p>
            <w:pPr>
              <w:pStyle w:val="63"/>
              <w:rPr>
                <w:color w:val="000000"/>
                <w:sz w:val="22"/>
              </w:rPr>
            </w:pPr>
            <w:r>
              <w:rPr>
                <w:color w:val="000000"/>
                <w:sz w:val="22"/>
              </w:rPr>
              <w:t xml:space="preserve">0.00 </w:t>
            </w:r>
          </w:p>
        </w:tc>
        <w:tc>
          <w:tcPr>
            <w:tcW w:w="715" w:type="pct"/>
            <w:vAlign w:val="bottom"/>
          </w:tcPr>
          <w:p>
            <w:pPr>
              <w:pStyle w:val="63"/>
              <w:rPr>
                <w:color w:val="000000"/>
                <w:sz w:val="22"/>
              </w:rPr>
            </w:pPr>
            <w:r>
              <w:rPr>
                <w:color w:val="000000"/>
                <w:sz w:val="22"/>
              </w:rPr>
              <w:t xml:space="preserve">0.00 </w:t>
            </w:r>
          </w:p>
        </w:tc>
        <w:tc>
          <w:tcPr>
            <w:tcW w:w="644" w:type="pct"/>
            <w:vAlign w:val="bottom"/>
          </w:tcPr>
          <w:p>
            <w:pPr>
              <w:pStyle w:val="63"/>
              <w:rPr>
                <w:color w:val="000000"/>
                <w:sz w:val="22"/>
              </w:rPr>
            </w:pPr>
            <w:r>
              <w:rPr>
                <w:color w:val="000000"/>
                <w:sz w:val="22"/>
              </w:rPr>
              <w:t xml:space="preserve">0.00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7" w:type="pct"/>
            <w:vAlign w:val="center"/>
          </w:tcPr>
          <w:p>
            <w:pPr>
              <w:pStyle w:val="63"/>
            </w:pPr>
            <w:r>
              <w:t>13</w:t>
            </w:r>
          </w:p>
        </w:tc>
        <w:tc>
          <w:tcPr>
            <w:tcW w:w="682" w:type="pct"/>
            <w:vAlign w:val="center"/>
          </w:tcPr>
          <w:p>
            <w:pPr>
              <w:pStyle w:val="63"/>
              <w:rPr>
                <w:sz w:val="22"/>
              </w:rPr>
            </w:pPr>
            <w:r>
              <w:rPr>
                <w:sz w:val="22"/>
              </w:rPr>
              <w:t>平田村</w:t>
            </w:r>
          </w:p>
        </w:tc>
        <w:tc>
          <w:tcPr>
            <w:tcW w:w="558"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646" w:type="pct"/>
            <w:vAlign w:val="bottom"/>
          </w:tcPr>
          <w:p>
            <w:pPr>
              <w:pStyle w:val="63"/>
              <w:rPr>
                <w:color w:val="000000"/>
                <w:sz w:val="22"/>
              </w:rPr>
            </w:pPr>
            <w:r>
              <w:rPr>
                <w:color w:val="000000"/>
                <w:sz w:val="22"/>
              </w:rPr>
              <w:t xml:space="preserve">0.00 </w:t>
            </w:r>
          </w:p>
        </w:tc>
        <w:tc>
          <w:tcPr>
            <w:tcW w:w="712" w:type="pct"/>
            <w:vAlign w:val="bottom"/>
          </w:tcPr>
          <w:p>
            <w:pPr>
              <w:pStyle w:val="63"/>
              <w:rPr>
                <w:color w:val="000000"/>
                <w:sz w:val="22"/>
              </w:rPr>
            </w:pPr>
            <w:r>
              <w:rPr>
                <w:color w:val="000000"/>
                <w:sz w:val="22"/>
              </w:rPr>
              <w:t xml:space="preserve">0.00 </w:t>
            </w:r>
          </w:p>
        </w:tc>
        <w:tc>
          <w:tcPr>
            <w:tcW w:w="715" w:type="pct"/>
            <w:vAlign w:val="bottom"/>
          </w:tcPr>
          <w:p>
            <w:pPr>
              <w:pStyle w:val="63"/>
              <w:rPr>
                <w:color w:val="000000"/>
                <w:sz w:val="22"/>
              </w:rPr>
            </w:pPr>
            <w:r>
              <w:rPr>
                <w:color w:val="000000"/>
                <w:sz w:val="22"/>
              </w:rPr>
              <w:t xml:space="preserve">0.00 </w:t>
            </w:r>
          </w:p>
        </w:tc>
        <w:tc>
          <w:tcPr>
            <w:tcW w:w="644" w:type="pct"/>
            <w:vAlign w:val="bottom"/>
          </w:tcPr>
          <w:p>
            <w:pPr>
              <w:pStyle w:val="63"/>
              <w:rPr>
                <w:color w:val="000000"/>
                <w:sz w:val="22"/>
              </w:rPr>
            </w:pPr>
            <w:r>
              <w:rPr>
                <w:color w:val="000000"/>
                <w:sz w:val="22"/>
              </w:rPr>
              <w:t xml:space="preserve">0.00 </w:t>
            </w:r>
          </w:p>
        </w:tc>
      </w:tr>
    </w:tbl>
    <w:p>
      <w:pPr>
        <w:widowControl/>
        <w:spacing w:line="360" w:lineRule="auto"/>
        <w:jc w:val="left"/>
        <w:rPr>
          <w:rFonts w:ascii="Times New Roman" w:hAnsi="Times New Roman" w:eastAsia="宋体" w:cs="Times New Roman"/>
          <w:spacing w:val="-4"/>
          <w:kern w:val="0"/>
          <w:szCs w:val="24"/>
        </w:rPr>
      </w:pPr>
      <w:r>
        <w:rPr>
          <w:rFonts w:ascii="Times New Roman" w:hAnsi="Times New Roman" w:cs="Times New Roman"/>
        </w:rPr>
        <w:drawing>
          <wp:inline distT="0" distB="0" distL="0" distR="0">
            <wp:extent cx="5274310" cy="2657475"/>
            <wp:effectExtent l="0" t="0" r="2540" b="952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155"/>
                    <a:stretch>
                      <a:fillRect/>
                    </a:stretch>
                  </pic:blipFill>
                  <pic:spPr>
                    <a:xfrm>
                      <a:off x="0" y="0"/>
                      <a:ext cx="5274310" cy="2657910"/>
                    </a:xfrm>
                    <a:prstGeom prst="rect">
                      <a:avLst/>
                    </a:prstGeom>
                  </pic:spPr>
                </pic:pic>
              </a:graphicData>
            </a:graphic>
          </wp:inline>
        </w:drawing>
      </w:r>
    </w:p>
    <w:p>
      <w:pPr>
        <w:pStyle w:val="6"/>
        <w:rPr>
          <w:rFonts w:ascii="Times New Roman" w:hAnsi="Times New Roman" w:cs="Times New Roman"/>
          <w:lang w:val="zh-CN"/>
        </w:rPr>
      </w:pPr>
      <w:r>
        <w:rPr>
          <w:rFonts w:ascii="Times New Roman" w:hAnsi="Times New Roman" w:cs="Times New Roman"/>
          <w:lang w:val="zh-CN"/>
        </w:rPr>
        <w:t>图</w:t>
      </w:r>
      <w:r>
        <w:rPr>
          <w:rFonts w:hint="eastAsia" w:ascii="Times New Roman" w:hAnsi="Times New Roman" w:cs="Times New Roman"/>
          <w:lang w:val="zh-CN"/>
        </w:rPr>
        <w:t>7.6</w:t>
      </w:r>
      <w:r>
        <w:rPr>
          <w:rFonts w:ascii="Times New Roman" w:hAnsi="Times New Roman" w:cs="Times New Roman"/>
          <w:lang w:val="zh-CN"/>
        </w:rPr>
        <w:t>-3  主要关心点CO浓度随时间变化情况图（最不利气象条件）</w:t>
      </w:r>
    </w:p>
    <w:p>
      <w:pPr>
        <w:widowControl/>
        <w:spacing w:line="360" w:lineRule="auto"/>
        <w:ind w:firstLine="464" w:firstLineChars="200"/>
        <w:jc w:val="left"/>
        <w:rPr>
          <w:rFonts w:ascii="Times New Roman" w:hAnsi="Times New Roman" w:eastAsia="宋体" w:cs="Times New Roman"/>
          <w:spacing w:val="-4"/>
          <w:kern w:val="0"/>
          <w:szCs w:val="24"/>
        </w:rPr>
      </w:pPr>
      <w:r>
        <w:rPr>
          <w:rFonts w:ascii="Times New Roman" w:hAnsi="Times New Roman" w:eastAsia="宋体" w:cs="Times New Roman"/>
          <w:spacing w:val="-4"/>
          <w:kern w:val="0"/>
          <w:szCs w:val="24"/>
        </w:rPr>
        <w:t>由上述图表内容分析可知，项目</w:t>
      </w:r>
      <w:r>
        <w:rPr>
          <w:rFonts w:ascii="Times New Roman" w:hAnsi="Times New Roman" w:eastAsia="宋体" w:cs="Times New Roman"/>
          <w:szCs w:val="24"/>
        </w:rPr>
        <w:t>火灾产生CO</w:t>
      </w:r>
      <w:r>
        <w:rPr>
          <w:rFonts w:ascii="Times New Roman" w:hAnsi="Times New Roman" w:eastAsia="宋体" w:cs="Times New Roman"/>
          <w:spacing w:val="-4"/>
          <w:kern w:val="0"/>
          <w:szCs w:val="24"/>
        </w:rPr>
        <w:t>二次污染物，最不利气象条件下，下风向最大浓度为425.28 mg/m³，毒性终点浓度-1（380mg/m³）的影响范围为距风险源半径为130m的圆形区域，最大半宽4m，最大半宽对应距离70m；毒性终点浓度-2（95mg/m³）的影响范围为距风险源半径为470m的圆形区域，最大半宽24m，最大半宽对应距离190m。毒性终点浓度-1、毒性终点浓度-2影响区域主要为厂内员工；当发生事故时，应及时通知影响区域内的人员疏散撤离，应朝当时风向的垂直方向迅速撤离。对于关心点炉铺村的浓度呈现先增加后减少的趋势，在20min达到最大值，未超出毒性终点浓度-1值和毒性终点浓度-2的浓度值。</w:t>
      </w:r>
    </w:p>
    <w:p>
      <w:pPr>
        <w:pStyle w:val="4"/>
        <w:rPr>
          <w:rFonts w:ascii="Times New Roman" w:hAnsi="Times New Roman" w:cs="Times New Roman"/>
          <w:u w:val="single"/>
        </w:rPr>
      </w:pPr>
      <w:bookmarkStart w:id="470" w:name="_Toc144236847"/>
      <w:bookmarkStart w:id="471" w:name="_Toc144276977"/>
      <w:bookmarkStart w:id="472" w:name="_Toc147848095"/>
      <w:r>
        <w:rPr>
          <w:rFonts w:ascii="Times New Roman" w:hAnsi="Times New Roman" w:cs="Times New Roman"/>
          <w:u w:val="single"/>
        </w:rPr>
        <w:t>7.6.2 地表水环境风险预测与评价</w:t>
      </w:r>
      <w:bookmarkEnd w:id="470"/>
      <w:bookmarkEnd w:id="471"/>
      <w:bookmarkEnd w:id="472"/>
    </w:p>
    <w:p>
      <w:pPr>
        <w:spacing w:line="360" w:lineRule="auto"/>
        <w:ind w:firstLine="480" w:firstLineChars="200"/>
        <w:rPr>
          <w:rFonts w:ascii="Times New Roman" w:hAnsi="Times New Roman" w:eastAsia="宋体" w:cs="Times New Roman"/>
          <w:szCs w:val="24"/>
          <w:u w:val="single"/>
        </w:rPr>
      </w:pPr>
      <w:r>
        <w:rPr>
          <w:rFonts w:ascii="Times New Roman" w:hAnsi="Times New Roman" w:eastAsia="宋体" w:cs="Times New Roman"/>
          <w:szCs w:val="24"/>
          <w:u w:val="single"/>
        </w:rPr>
        <w:t>在正常工况下，本项目产生的生产废水可经厂内自建的废水处理系统处理后全不回用，不外排，切断了水力联系的途径，即使出现事故也不会污染地表水，可有效防止废液进入周围水环境。</w:t>
      </w:r>
    </w:p>
    <w:p>
      <w:pPr>
        <w:spacing w:line="360" w:lineRule="auto"/>
        <w:ind w:firstLine="480" w:firstLineChars="200"/>
        <w:rPr>
          <w:rFonts w:ascii="Times New Roman" w:hAnsi="Times New Roman" w:eastAsia="宋体" w:cs="Times New Roman"/>
          <w:szCs w:val="24"/>
          <w:u w:val="single"/>
        </w:rPr>
      </w:pPr>
      <w:r>
        <w:rPr>
          <w:rFonts w:ascii="Times New Roman" w:hAnsi="Times New Roman" w:eastAsia="宋体" w:cs="Times New Roman"/>
          <w:szCs w:val="24"/>
          <w:u w:val="single"/>
        </w:rPr>
        <w:t>在罐区突发环境事故，硫酸泄露的情况下，硫酸储罐中的硫酸泄漏进入储罐外侧的围堰，其不会泄泄漏进入外环境，对周围地表水环境影响很小。</w:t>
      </w:r>
    </w:p>
    <w:p>
      <w:pPr>
        <w:spacing w:line="360" w:lineRule="auto"/>
        <w:ind w:firstLine="480" w:firstLineChars="200"/>
        <w:rPr>
          <w:rFonts w:ascii="Times New Roman" w:hAnsi="Times New Roman" w:eastAsia="宋体" w:cs="Times New Roman"/>
          <w:szCs w:val="24"/>
          <w:u w:val="single"/>
        </w:rPr>
      </w:pPr>
      <w:r>
        <w:rPr>
          <w:rFonts w:ascii="Times New Roman" w:hAnsi="Times New Roman" w:eastAsia="宋体" w:cs="Times New Roman"/>
          <w:szCs w:val="24"/>
          <w:u w:val="single"/>
        </w:rPr>
        <w:t>发生火灾情况下，本项目设置1300m</w:t>
      </w:r>
      <w:r>
        <w:rPr>
          <w:rFonts w:ascii="Times New Roman" w:hAnsi="Times New Roman" w:eastAsia="宋体" w:cs="Times New Roman"/>
          <w:szCs w:val="24"/>
          <w:u w:val="single"/>
          <w:vertAlign w:val="superscript"/>
        </w:rPr>
        <w:t>3</w:t>
      </w:r>
      <w:r>
        <w:rPr>
          <w:rFonts w:ascii="Times New Roman" w:hAnsi="Times New Roman" w:eastAsia="宋体" w:cs="Times New Roman"/>
          <w:szCs w:val="24"/>
          <w:u w:val="single"/>
        </w:rPr>
        <w:t>的应急事故池。在事故情况下，及时封闭雨水管道排口并采取封堵措施，防止消防废水沿雨水系统外流，消防废水通过厂内初期雨水管网系统，排至应急事故池再经泵提升至厂内综合废水处理站进行处理，可有效防止消防废水进入周围水环境。</w:t>
      </w:r>
    </w:p>
    <w:p>
      <w:pPr>
        <w:pStyle w:val="4"/>
        <w:rPr>
          <w:rFonts w:ascii="Times New Roman" w:hAnsi="Times New Roman" w:cs="Times New Roman"/>
          <w:u w:val="single"/>
        </w:rPr>
      </w:pPr>
      <w:bookmarkStart w:id="473" w:name="_Toc144276978"/>
      <w:bookmarkStart w:id="474" w:name="_Toc147848096"/>
      <w:bookmarkStart w:id="475" w:name="_Toc144236848"/>
      <w:r>
        <w:rPr>
          <w:rFonts w:ascii="Times New Roman" w:hAnsi="Times New Roman" w:cs="Times New Roman"/>
          <w:u w:val="single"/>
        </w:rPr>
        <w:t>7.6.3 地下水环境风险预测与评价</w:t>
      </w:r>
      <w:bookmarkEnd w:id="473"/>
      <w:bookmarkEnd w:id="474"/>
      <w:bookmarkEnd w:id="475"/>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浸出、萃取车间涉及的风险物质包括硫酸、磺化煤油。其均存在与储槽内，且位于室内。浸出车间和萃取车间地面均进行了重点防渗，储槽为架空储槽，地面设有导流槽，因此，浸出萃取车间各风险物质泄漏进入外环境的几率极小。对周围的环境影响较小。</w:t>
      </w:r>
    </w:p>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成品车间的硫酸镍、硫酸锰属于固体物质，且位于室内，同时本项目成品车间进行了重点防渗，硫酸镍、硫酸锰也不会流失进入外环境。</w:t>
      </w:r>
    </w:p>
    <w:p>
      <w:pPr>
        <w:pStyle w:val="3"/>
        <w:rPr>
          <w:rFonts w:ascii="Times New Roman" w:hAnsi="Times New Roman" w:cs="Times New Roman" w:eastAsiaTheme="minorEastAsia"/>
        </w:rPr>
      </w:pPr>
      <w:bookmarkStart w:id="476" w:name="_Toc147848097"/>
      <w:bookmarkStart w:id="477" w:name="_Toc102658233"/>
      <w:bookmarkStart w:id="478" w:name="_Toc144236849"/>
      <w:bookmarkStart w:id="479" w:name="_Toc144276979"/>
      <w:r>
        <w:rPr>
          <w:rFonts w:ascii="Times New Roman" w:hAnsi="Times New Roman" w:cs="Times New Roman" w:eastAsiaTheme="minorEastAsia"/>
        </w:rPr>
        <w:t>7.7 风险防范</w:t>
      </w:r>
      <w:bookmarkEnd w:id="476"/>
      <w:bookmarkEnd w:id="477"/>
      <w:bookmarkEnd w:id="478"/>
      <w:bookmarkEnd w:id="479"/>
    </w:p>
    <w:p>
      <w:pPr>
        <w:pStyle w:val="4"/>
        <w:rPr>
          <w:rFonts w:ascii="Times New Roman" w:hAnsi="Times New Roman" w:cs="Times New Roman"/>
        </w:rPr>
      </w:pPr>
      <w:bookmarkStart w:id="480" w:name="_Toc144236850"/>
      <w:bookmarkStart w:id="481" w:name="_Toc147848098"/>
      <w:bookmarkStart w:id="482" w:name="_Toc144276980"/>
      <w:r>
        <w:rPr>
          <w:rFonts w:ascii="Times New Roman" w:hAnsi="Times New Roman" w:cs="Times New Roman"/>
        </w:rPr>
        <w:t>7.7.1 风险防范与管理</w:t>
      </w:r>
      <w:bookmarkEnd w:id="480"/>
      <w:bookmarkEnd w:id="481"/>
      <w:bookmarkEnd w:id="482"/>
    </w:p>
    <w:p>
      <w:pPr>
        <w:spacing w:line="360" w:lineRule="auto"/>
        <w:ind w:firstLine="480" w:firstLineChars="200"/>
        <w:rPr>
          <w:rFonts w:ascii="Times New Roman" w:hAnsi="Times New Roman" w:cs="Times New Roman"/>
        </w:rPr>
      </w:pPr>
      <w:r>
        <w:rPr>
          <w:rFonts w:ascii="Times New Roman" w:hAnsi="Times New Roman" w:cs="Times New Roman"/>
        </w:rPr>
        <w:t>项目一旦出现环境风险事故，将会对一定范围内的人员和环境产生较为严重的影响。在生产中安全管理问题是十分重要的。</w:t>
      </w:r>
    </w:p>
    <w:p>
      <w:pPr>
        <w:spacing w:line="360" w:lineRule="auto"/>
        <w:ind w:firstLine="480" w:firstLineChars="200"/>
        <w:rPr>
          <w:rFonts w:ascii="Times New Roman" w:hAnsi="Times New Roman" w:cs="Times New Roman"/>
        </w:rPr>
      </w:pPr>
      <w:r>
        <w:rPr>
          <w:rFonts w:ascii="Times New Roman" w:hAnsi="Times New Roman" w:cs="Times New Roman"/>
        </w:rPr>
        <w:t>（1）强化管理是防范风险事故最有效途径。从发生事故原因来看，事故的发生多为违反操作规程，疏于管理所致。因此本项目建设及生产运行过程中，必须加强对全体职工的安全和技术的定期培训，在项目进行的各个环节均采取有效的安全监控措施，使出现事故的概率降至最低。</w:t>
      </w:r>
    </w:p>
    <w:p>
      <w:pPr>
        <w:spacing w:line="360" w:lineRule="auto"/>
        <w:ind w:firstLine="480" w:firstLineChars="200"/>
        <w:rPr>
          <w:rFonts w:ascii="Times New Roman" w:hAnsi="Times New Roman" w:cs="Times New Roman"/>
        </w:rPr>
      </w:pPr>
      <w:r>
        <w:rPr>
          <w:rFonts w:ascii="Times New Roman" w:hAnsi="Times New Roman" w:cs="Times New Roman"/>
        </w:rPr>
        <w:t>（2）本项目应建全一套事故风险应急管理体系，制定安全规程、事故防范措施及应急预案。管理人员应职责、权限分明，清楚生产工艺技术和事故风险发生后果，具备解除事故和减缓事故的能力。</w:t>
      </w:r>
    </w:p>
    <w:p>
      <w:pPr>
        <w:spacing w:line="360" w:lineRule="auto"/>
        <w:ind w:firstLine="480" w:firstLineChars="200"/>
        <w:rPr>
          <w:rFonts w:ascii="Times New Roman" w:hAnsi="Times New Roman" w:cs="Times New Roman"/>
        </w:rPr>
      </w:pPr>
      <w:r>
        <w:rPr>
          <w:rFonts w:ascii="Times New Roman" w:hAnsi="Times New Roman" w:cs="Times New Roman"/>
        </w:rPr>
        <w:t>（3）严格执行设备的维护保养制度，定期对设备装置进行检查，及时处理不安全因素，将其消灭在萌芽状态。各项应急处理器材与设施（如提升泵、灭火器，防毒面具、呼吸器等）也必须经常保持处于完好状态。</w:t>
      </w:r>
    </w:p>
    <w:p>
      <w:pPr>
        <w:spacing w:line="360" w:lineRule="auto"/>
        <w:ind w:firstLine="480" w:firstLineChars="200"/>
        <w:rPr>
          <w:rFonts w:ascii="Times New Roman" w:hAnsi="Times New Roman" w:cs="Times New Roman"/>
        </w:rPr>
      </w:pPr>
      <w:r>
        <w:rPr>
          <w:rFonts w:ascii="Times New Roman" w:hAnsi="Times New Roman" w:cs="Times New Roman"/>
        </w:rPr>
        <w:t>（4）万一发生突发事故，应及时发生报警信号，请有关部门（消防队，急救中心，环保监测站等）前来救援、救护和监测。事故如可能波及周围环境时，应及时通知影响区域的群众撤离到安全地带或采取有效的保护措施，使事故的危害和影响降到最低限度。</w:t>
      </w:r>
    </w:p>
    <w:p>
      <w:pPr>
        <w:spacing w:line="360" w:lineRule="auto"/>
        <w:ind w:firstLine="480" w:firstLineChars="200"/>
        <w:rPr>
          <w:rFonts w:ascii="Times New Roman" w:hAnsi="Times New Roman" w:cs="Times New Roman"/>
        </w:rPr>
      </w:pPr>
      <w:r>
        <w:rPr>
          <w:rFonts w:ascii="Times New Roman" w:hAnsi="Times New Roman" w:cs="Times New Roman"/>
        </w:rPr>
        <w:t>（5）事故一旦得到控制，要对事故的原因进行详细分析，对涉及的各种因素的影响进行评价，并对今后消除和最大限度地减少这些因素提出建议。</w:t>
      </w:r>
    </w:p>
    <w:p>
      <w:pPr>
        <w:pStyle w:val="4"/>
        <w:rPr>
          <w:rFonts w:ascii="Times New Roman" w:hAnsi="Times New Roman" w:cs="Times New Roman"/>
        </w:rPr>
      </w:pPr>
      <w:bookmarkStart w:id="483" w:name="_Toc144236851"/>
      <w:bookmarkStart w:id="484" w:name="_Toc147848099"/>
      <w:bookmarkStart w:id="485" w:name="_Toc144276981"/>
      <w:r>
        <w:rPr>
          <w:rFonts w:ascii="Times New Roman" w:hAnsi="Times New Roman" w:cs="Times New Roman"/>
        </w:rPr>
        <w:t>7.7.2 风险防范措施</w:t>
      </w:r>
      <w:bookmarkEnd w:id="483"/>
      <w:bookmarkEnd w:id="484"/>
      <w:bookmarkEnd w:id="485"/>
    </w:p>
    <w:p>
      <w:pPr>
        <w:pStyle w:val="5"/>
        <w:ind w:firstLine="482"/>
        <w:rPr>
          <w:rFonts w:ascii="Times New Roman" w:hAnsi="Times New Roman" w:cs="Times New Roman" w:eastAsiaTheme="minorEastAsia"/>
        </w:rPr>
      </w:pPr>
      <w:r>
        <w:rPr>
          <w:rFonts w:ascii="Times New Roman" w:hAnsi="Times New Roman" w:cs="Times New Roman" w:eastAsiaTheme="minorEastAsia"/>
        </w:rPr>
        <w:t>7.7.2.1 设计中的安全防范措</w:t>
      </w:r>
    </w:p>
    <w:p>
      <w:pPr>
        <w:spacing w:line="360" w:lineRule="auto"/>
        <w:ind w:firstLine="480"/>
        <w:rPr>
          <w:rFonts w:ascii="Times New Roman" w:hAnsi="Times New Roman" w:cs="Times New Roman"/>
        </w:rPr>
      </w:pPr>
      <w:r>
        <w:rPr>
          <w:rFonts w:ascii="Times New Roman" w:hAnsi="Times New Roman" w:cs="Times New Roman"/>
        </w:rPr>
        <w:t>工艺装置的防爆区域，设计中严格按规范要求选用防爆电气设备及仪表。装置内消防照明采用带蓄电池的应急照明灯具。所有工艺生产装置的设备、塔、罐及其管线，按工艺要求作防静电接地。装置区内通风管道采用阻燃型材料，通风管道穿越防火分区处装设防火阀。在生产装置的工艺设计中，对主要物料、装置内反应器等重要设备的温度、压力、流量等参数进行遥控或监测，使工艺生产在最佳状况下安全运行，一旦发生异常，立即自动报警，以便及时调整。酸碱贮存和操作控制系统具备超限保护报警、紧急制动和防止误操作的功能。对易流失的危险品设置事故围堰，废水事故时设置事故池，要求可储存两天的废水。</w:t>
      </w:r>
    </w:p>
    <w:p>
      <w:pPr>
        <w:pStyle w:val="5"/>
        <w:ind w:firstLine="482"/>
        <w:rPr>
          <w:rFonts w:ascii="Times New Roman" w:hAnsi="Times New Roman" w:cs="Times New Roman" w:eastAsiaTheme="minorEastAsia"/>
        </w:rPr>
      </w:pPr>
      <w:r>
        <w:rPr>
          <w:rFonts w:ascii="Times New Roman" w:hAnsi="Times New Roman" w:cs="Times New Roman" w:eastAsiaTheme="minorEastAsia"/>
        </w:rPr>
        <w:t>7.7.2.2 储罐区风险防范措施</w:t>
      </w:r>
    </w:p>
    <w:p>
      <w:pPr>
        <w:spacing w:line="360" w:lineRule="auto"/>
        <w:ind w:firstLine="48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hint="eastAsia" w:ascii="宋体" w:hAnsi="宋体" w:eastAsia="宋体" w:cs="宋体"/>
        </w:rPr>
        <w:t>①</w:t>
      </w:r>
      <w:r>
        <w:rPr>
          <w:rFonts w:ascii="Times New Roman" w:hAnsi="Times New Roman" w:cs="Times New Roman"/>
        </w:rPr>
        <w:fldChar w:fldCharType="end"/>
      </w:r>
      <w:r>
        <w:rPr>
          <w:rFonts w:ascii="Times New Roman" w:hAnsi="Times New Roman" w:cs="Times New Roman"/>
        </w:rPr>
        <w:t>储罐设置在通风处，对储罐的呼吸阀定期检查，以防损坏；对储罐进行定期泄漏探测，以防以外泄漏事故的发生；储罐的进、出料阀应设二台一组，对阀门进行定期检查和维修，以保证其严密性和灵活性，当一台损坏时，应及时检修，并开启加一台工作，以防原料泄漏；原料输入储罐前，应仔细检查接口是否牢固，以防松动出现泄漏；在检查损坏的呼吸阀时，应杜绝明火。</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hint="eastAsia" w:ascii="宋体" w:hAnsi="宋体" w:eastAsia="宋体" w:cs="宋体"/>
        </w:rPr>
        <w:t>②</w:t>
      </w:r>
      <w:r>
        <w:rPr>
          <w:rFonts w:ascii="Times New Roman" w:hAnsi="Times New Roman" w:cs="Times New Roman"/>
        </w:rPr>
        <w:fldChar w:fldCharType="end"/>
      </w:r>
      <w:r>
        <w:rPr>
          <w:rFonts w:ascii="Times New Roman" w:hAnsi="Times New Roman" w:cs="Times New Roman"/>
        </w:rPr>
        <w:t>出现泄漏时的防护措施：为防止罐区原料泄漏对环境造成严重后果，在罐区设置围堰。当原料发生泄漏时，一般人员应迅速撤离泄漏污染区至安全区，并进行隔离，严格限制出入，应急人员戴自给正压式呼吸器，不直接接触泄漏物，尽可能切断泄漏源。少量泄漏用砂土、干燥石灰或苏打混合，也可以用大量水冲洗，洗水稀释至废水站处理。大量泄漏，构筑围堤或挖坑收容，用泵转移至专用收集槽内，回收或运至废水处理站进行处理。</w:t>
      </w:r>
    </w:p>
    <w:p>
      <w:pPr>
        <w:spacing w:line="360" w:lineRule="auto"/>
        <w:ind w:firstLine="480" w:firstLineChars="200"/>
        <w:rPr>
          <w:rFonts w:ascii="Times New Roman" w:hAnsi="Times New Roman" w:cs="Times New Roman"/>
        </w:rPr>
      </w:pPr>
      <w:r>
        <w:rPr>
          <w:rFonts w:ascii="Times New Roman" w:hAnsi="Times New Roman" w:cs="Times New Roman"/>
        </w:rPr>
        <w:t>罐区泄漏事故的预防是生产和储运过程中最重要的环节，厂区发生泄漏事故可能引起大范围的一系列污染事故。经验表明：化工厂设备失灵和人为操作失误是引发泄漏的主要原因。因此选用较好的设备、精心设计、认真管理和操作人员的责任心是减少泄漏事故的关键所在。经常对各类生产阀门进行检查和维修，以保证其严密性和灵活性。采取必要的防泄漏措施，建立严格的安全生产制度，大力提高操作人员的素质和水平。</w:t>
      </w:r>
    </w:p>
    <w:p>
      <w:pPr>
        <w:pStyle w:val="5"/>
        <w:ind w:firstLine="482"/>
        <w:rPr>
          <w:rFonts w:ascii="Times New Roman" w:hAnsi="Times New Roman" w:cs="Times New Roman" w:eastAsiaTheme="minorEastAsia"/>
        </w:rPr>
      </w:pPr>
      <w:r>
        <w:rPr>
          <w:rFonts w:ascii="Times New Roman" w:hAnsi="Times New Roman" w:cs="Times New Roman" w:eastAsiaTheme="minorEastAsia"/>
        </w:rPr>
        <w:t>7.7.2.3 废水事故排放风险防范措施</w:t>
      </w:r>
    </w:p>
    <w:p>
      <w:pPr>
        <w:spacing w:line="360" w:lineRule="auto"/>
        <w:ind w:firstLine="480"/>
        <w:rPr>
          <w:rFonts w:ascii="Times New Roman" w:hAnsi="Times New Roman" w:cs="Times New Roman"/>
        </w:rPr>
      </w:pPr>
      <w:bookmarkStart w:id="486" w:name="_Hlk96544209"/>
      <w:r>
        <w:rPr>
          <w:rFonts w:hint="eastAsia" w:ascii="宋体" w:hAnsi="宋体" w:eastAsia="宋体" w:cs="宋体"/>
        </w:rPr>
        <w:t>①</w:t>
      </w:r>
      <w:r>
        <w:rPr>
          <w:rFonts w:ascii="Times New Roman" w:hAnsi="Times New Roman" w:cs="Times New Roman"/>
        </w:rPr>
        <w:t>废水处理设施水泵需配置备用装置，一旦设备出现故障或出水水质不稳定立即更换处理设施，电源接入应急发电机，应急发电机能在断电后 20 秒内启动，确保设备不断电。</w:t>
      </w:r>
    </w:p>
    <w:p>
      <w:pPr>
        <w:spacing w:line="360" w:lineRule="auto"/>
        <w:ind w:firstLine="480" w:firstLineChars="200"/>
        <w:rPr>
          <w:rFonts w:ascii="Times New Roman" w:hAnsi="Times New Roman" w:cs="Times New Roman"/>
        </w:rPr>
      </w:pPr>
      <w:r>
        <w:rPr>
          <w:rFonts w:hint="eastAsia" w:ascii="宋体" w:hAnsi="宋体" w:eastAsia="宋体" w:cs="宋体"/>
        </w:rPr>
        <w:t>②</w:t>
      </w:r>
      <w:r>
        <w:rPr>
          <w:rFonts w:ascii="Times New Roman" w:hAnsi="Times New Roman" w:cs="Times New Roman"/>
        </w:rPr>
        <w:t>厂区内雨水管网总排放口设置闸门等切断措施，当发生泄漏或火灾事故池，关闭雨水管网排放口，让处理事故产生的污水收集进入事故池内，经处理后排放。</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3 \* GB3 </w:instrText>
      </w:r>
      <w:r>
        <w:rPr>
          <w:rFonts w:ascii="Times New Roman" w:hAnsi="Times New Roman" w:cs="Times New Roman"/>
        </w:rPr>
        <w:fldChar w:fldCharType="separate"/>
      </w:r>
      <w:r>
        <w:rPr>
          <w:rFonts w:hint="eastAsia" w:ascii="宋体" w:hAnsi="宋体" w:eastAsia="宋体" w:cs="宋体"/>
        </w:rPr>
        <w:t>③</w:t>
      </w:r>
      <w:r>
        <w:rPr>
          <w:rFonts w:ascii="Times New Roman" w:hAnsi="Times New Roman" w:cs="Times New Roman"/>
        </w:rPr>
        <w:fldChar w:fldCharType="end"/>
      </w:r>
      <w:r>
        <w:rPr>
          <w:rFonts w:ascii="Times New Roman" w:hAnsi="Times New Roman" w:cs="Times New Roman"/>
        </w:rPr>
        <w:t>规划建设事故池</w:t>
      </w:r>
    </w:p>
    <w:p>
      <w:pPr>
        <w:spacing w:line="360" w:lineRule="auto"/>
        <w:ind w:firstLine="480"/>
        <w:rPr>
          <w:rFonts w:ascii="Times New Roman" w:hAnsi="Times New Roman" w:cs="Times New Roman"/>
        </w:rPr>
      </w:pPr>
      <w:r>
        <w:rPr>
          <w:rFonts w:ascii="Times New Roman" w:hAnsi="Times New Roman" w:cs="Times New Roman"/>
        </w:rPr>
        <w:t>厂区污水处理站发生的事故多为操作运行不当，或污染物浓度突然变化，致使污水处理效果下降。此外，在发生重大泄漏或火灾事故时的消防废水等可能在事故状态下通过净下水（雨水）系统从雨水排口进入水体，可能成为主要的事故水环境污染隐患。应将事故废水截留在事故池内，以切断事故情况下雨水系统排入外环境的途径。当企业火灾事故时，应关闭雨水管网排放口的阀门并打开事故池的阀门，使厂区事故时的雨污水流入事故池，保证事故时的雨污水不外流。</w:t>
      </w:r>
    </w:p>
    <w:p>
      <w:pPr>
        <w:spacing w:line="360" w:lineRule="auto"/>
        <w:ind w:firstLine="480" w:firstLineChars="200"/>
        <w:rPr>
          <w:rFonts w:ascii="Times New Roman" w:hAnsi="Times New Roman" w:cs="Times New Roman"/>
        </w:rPr>
      </w:pPr>
      <w:r>
        <w:rPr>
          <w:rFonts w:ascii="Times New Roman" w:hAnsi="Times New Roman" w:cs="Times New Roman"/>
        </w:rPr>
        <w:t>本项目罐区围堰有效容积约为200m</w:t>
      </w:r>
      <w:r>
        <w:rPr>
          <w:rFonts w:ascii="Times New Roman" w:hAnsi="Times New Roman" w:cs="Times New Roman"/>
          <w:vertAlign w:val="superscript"/>
        </w:rPr>
        <w:t>3</w:t>
      </w:r>
      <w:r>
        <w:rPr>
          <w:rFonts w:ascii="Times New Roman" w:hAnsi="Times New Roman" w:cs="Times New Roman"/>
        </w:rPr>
        <w:t>，硫酸罐区有效容积约为200m</w:t>
      </w:r>
      <w:r>
        <w:rPr>
          <w:rFonts w:ascii="Times New Roman" w:hAnsi="Times New Roman" w:cs="Times New Roman"/>
          <w:vertAlign w:val="superscript"/>
        </w:rPr>
        <w:t>3</w:t>
      </w:r>
      <w:r>
        <w:rPr>
          <w:rFonts w:ascii="Times New Roman" w:hAnsi="Times New Roman" w:cs="Times New Roman"/>
        </w:rPr>
        <w:t>。本项目设有一座1300m</w:t>
      </w:r>
      <w:r>
        <w:rPr>
          <w:rFonts w:ascii="Times New Roman" w:hAnsi="Times New Roman" w:cs="Times New Roman"/>
          <w:vertAlign w:val="superscript"/>
        </w:rPr>
        <w:t>3</w:t>
      </w:r>
      <w:r>
        <w:rPr>
          <w:rFonts w:ascii="Times New Roman" w:hAnsi="Times New Roman" w:cs="Times New Roman"/>
        </w:rPr>
        <w:t>的事故池。</w:t>
      </w:r>
    </w:p>
    <w:p>
      <w:pPr>
        <w:spacing w:line="360" w:lineRule="auto"/>
        <w:ind w:firstLine="480"/>
        <w:rPr>
          <w:rFonts w:ascii="Times New Roman" w:hAnsi="Times New Roman" w:cs="Times New Roman"/>
        </w:rPr>
      </w:pPr>
      <w:r>
        <w:rPr>
          <w:rFonts w:ascii="Times New Roman" w:hAnsi="Times New Roman" w:cs="Times New Roman"/>
        </w:rPr>
        <w:t>事故池参考</w:t>
      </w:r>
      <w:r>
        <w:rPr>
          <w:rFonts w:ascii="Times New Roman" w:hAnsi="Times New Roman" w:cs="Times New Roman"/>
          <w:kern w:val="0"/>
        </w:rPr>
        <w:t>《化工建设项目环境保护设计规范》</w:t>
      </w:r>
      <w:r>
        <w:rPr>
          <w:rFonts w:ascii="Times New Roman" w:hAnsi="Times New Roman" w:cs="Times New Roman"/>
        </w:rPr>
        <w:t>（GB50483-2009）中的相关规定设置。事故池主要用于区内发生事故或火灾时，控制、收集和存放污染事故水（包括污染雨水）及污染消防水。污染事故水及污染消防水通过雨水的管道收集。事故应急</w:t>
      </w:r>
      <w:r>
        <w:rPr>
          <w:rFonts w:ascii="Times New Roman" w:hAnsi="Times New Roman" w:cs="Times New Roman"/>
          <w:kern w:val="0"/>
        </w:rPr>
        <w:t>水池</w:t>
      </w:r>
      <w:r>
        <w:rPr>
          <w:rFonts w:ascii="Times New Roman" w:hAnsi="Times New Roman" w:cs="Times New Roman"/>
        </w:rPr>
        <w:t>容量按下式计算：</w:t>
      </w:r>
    </w:p>
    <w:p>
      <w:pPr>
        <w:spacing w:line="360" w:lineRule="auto"/>
        <w:ind w:firstLine="480" w:firstLineChars="200"/>
        <w:rPr>
          <w:rFonts w:ascii="Times New Roman" w:hAnsi="Times New Roman" w:cs="Times New Roman"/>
        </w:rPr>
      </w:pPr>
      <w:r>
        <w:rPr>
          <w:rFonts w:ascii="Times New Roman" w:hAnsi="Times New Roman" w:cs="Times New Roman"/>
        </w:rPr>
        <w:t>V总=（V1+V2-V3）max+V4+V5</w:t>
      </w:r>
    </w:p>
    <w:p>
      <w:pPr>
        <w:spacing w:line="360" w:lineRule="auto"/>
        <w:ind w:firstLine="480" w:firstLineChars="200"/>
        <w:rPr>
          <w:rFonts w:ascii="Times New Roman" w:hAnsi="Times New Roman" w:cs="Times New Roman"/>
        </w:rPr>
      </w:pPr>
      <w:r>
        <w:rPr>
          <w:rFonts w:ascii="Times New Roman" w:hAnsi="Times New Roman" w:cs="Times New Roman"/>
        </w:rPr>
        <w:t>式中：（V1+V2-V3）max——为应急事故废水最大计算量，m</w:t>
      </w:r>
      <w:r>
        <w:rPr>
          <w:rFonts w:ascii="Times New Roman" w:hAnsi="Times New Roman" w:cs="Times New Roman"/>
          <w:vertAlign w:val="superscript"/>
        </w:rPr>
        <w:t>3</w:t>
      </w:r>
      <w:r>
        <w:rPr>
          <w:rFonts w:ascii="Times New Roman" w:hAnsi="Times New Roman" w:cs="Times New Roman"/>
        </w:rPr>
        <w:t>；</w:t>
      </w:r>
    </w:p>
    <w:p>
      <w:pPr>
        <w:spacing w:line="360" w:lineRule="auto"/>
        <w:ind w:firstLine="480" w:firstLineChars="200"/>
        <w:rPr>
          <w:rFonts w:ascii="Times New Roman" w:hAnsi="Times New Roman" w:cs="Times New Roman"/>
        </w:rPr>
      </w:pPr>
      <w:r>
        <w:rPr>
          <w:rFonts w:ascii="Times New Roman" w:hAnsi="Times New Roman" w:cs="Times New Roman"/>
        </w:rPr>
        <w:t>V1——为最大一个容器的设备（装置）或贮罐的物料贮存量，m</w:t>
      </w:r>
      <w:r>
        <w:rPr>
          <w:rFonts w:ascii="Times New Roman" w:hAnsi="Times New Roman" w:cs="Times New Roman"/>
          <w:vertAlign w:val="superscript"/>
        </w:rPr>
        <w:t>3</w:t>
      </w:r>
      <w:r>
        <w:rPr>
          <w:rFonts w:ascii="Times New Roman" w:hAnsi="Times New Roman" w:cs="Times New Roman"/>
        </w:rPr>
        <w:t>；</w:t>
      </w:r>
    </w:p>
    <w:p>
      <w:pPr>
        <w:spacing w:line="360" w:lineRule="auto"/>
        <w:ind w:firstLine="480"/>
        <w:rPr>
          <w:rFonts w:ascii="Times New Roman" w:hAnsi="Times New Roman" w:cs="Times New Roman"/>
        </w:rPr>
      </w:pPr>
      <w:r>
        <w:rPr>
          <w:rFonts w:ascii="Times New Roman" w:hAnsi="Times New Roman" w:cs="Times New Roman"/>
        </w:rPr>
        <w:t>V2——为在装置区或贮罐区一旦发生火灾爆炸及泄漏时的最大消防水量，包括扑灭火灾所需用水量和保护邻近设备或贮罐（最少3个）的喷淋水量，m</w:t>
      </w:r>
      <w:r>
        <w:rPr>
          <w:rFonts w:ascii="Times New Roman" w:hAnsi="Times New Roman" w:cs="Times New Roman"/>
          <w:vertAlign w:val="superscript"/>
        </w:rPr>
        <w:t>3</w:t>
      </w:r>
      <w:r>
        <w:rPr>
          <w:rFonts w:ascii="Times New Roman" w:hAnsi="Times New Roman" w:cs="Times New Roman"/>
        </w:rPr>
        <w:t>；</w:t>
      </w:r>
    </w:p>
    <w:p>
      <w:pPr>
        <w:spacing w:line="360" w:lineRule="auto"/>
        <w:ind w:firstLine="480" w:firstLineChars="200"/>
        <w:rPr>
          <w:rFonts w:ascii="Times New Roman" w:hAnsi="Times New Roman" w:cs="Times New Roman"/>
        </w:rPr>
      </w:pPr>
      <w:r>
        <w:rPr>
          <w:rFonts w:ascii="Times New Roman" w:hAnsi="Times New Roman" w:cs="Times New Roman"/>
        </w:rPr>
        <w:t>V3——为事故废水收集系统的装置或罐区围堰、防火堤内净空容量（m</w:t>
      </w:r>
      <w:r>
        <w:rPr>
          <w:rFonts w:ascii="Times New Roman" w:hAnsi="Times New Roman" w:cs="Times New Roman"/>
          <w:vertAlign w:val="superscript"/>
        </w:rPr>
        <w:t>3</w:t>
      </w:r>
      <w:r>
        <w:rPr>
          <w:rFonts w:ascii="Times New Roman" w:hAnsi="Times New Roman" w:cs="Times New Roman"/>
        </w:rPr>
        <w:t>）与事故废水导排管道容量（m</w:t>
      </w:r>
      <w:r>
        <w:rPr>
          <w:rFonts w:ascii="Times New Roman" w:hAnsi="Times New Roman" w:cs="Times New Roman"/>
          <w:vertAlign w:val="superscript"/>
        </w:rPr>
        <w:t>3</w:t>
      </w:r>
      <w:r>
        <w:rPr>
          <w:rFonts w:ascii="Times New Roman" w:hAnsi="Times New Roman" w:cs="Times New Roman"/>
        </w:rPr>
        <w:t>）之和。</w:t>
      </w:r>
    </w:p>
    <w:p>
      <w:pPr>
        <w:spacing w:line="360" w:lineRule="auto"/>
        <w:ind w:firstLine="480" w:firstLineChars="200"/>
        <w:rPr>
          <w:rFonts w:ascii="Times New Roman" w:hAnsi="Times New Roman" w:cs="Times New Roman"/>
        </w:rPr>
      </w:pPr>
      <w:r>
        <w:rPr>
          <w:rFonts w:ascii="Times New Roman" w:hAnsi="Times New Roman" w:cs="Times New Roman"/>
        </w:rPr>
        <w:t>V4——为发生事故时仍必须进入该收集系统的生产废水量，m</w:t>
      </w:r>
      <w:r>
        <w:rPr>
          <w:rFonts w:ascii="Times New Roman" w:hAnsi="Times New Roman" w:cs="Times New Roman"/>
          <w:vertAlign w:val="superscript"/>
        </w:rPr>
        <w:t>3</w:t>
      </w:r>
      <w:r>
        <w:rPr>
          <w:rFonts w:ascii="Times New Roman" w:hAnsi="Times New Roman" w:cs="Times New Roman"/>
        </w:rPr>
        <w:t>；</w:t>
      </w:r>
    </w:p>
    <w:p>
      <w:pPr>
        <w:spacing w:line="360" w:lineRule="auto"/>
        <w:ind w:firstLine="480" w:firstLineChars="200"/>
        <w:rPr>
          <w:rFonts w:ascii="Times New Roman" w:hAnsi="Times New Roman" w:cs="Times New Roman"/>
        </w:rPr>
      </w:pPr>
      <w:r>
        <w:rPr>
          <w:rFonts w:ascii="Times New Roman" w:hAnsi="Times New Roman" w:cs="Times New Roman"/>
        </w:rPr>
        <w:t>V5——为发生事故时可能进入该收集系统的降雨量，m</w:t>
      </w:r>
      <w:r>
        <w:rPr>
          <w:rFonts w:ascii="Times New Roman" w:hAnsi="Times New Roman" w:cs="Times New Roman"/>
          <w:vertAlign w:val="superscript"/>
        </w:rPr>
        <w:t>3</w:t>
      </w:r>
      <w:r>
        <w:rPr>
          <w:rFonts w:ascii="Times New Roman" w:hAnsi="Times New Roman" w:cs="Times New Roman"/>
        </w:rPr>
        <w:t>；V5=10qF</w:t>
      </w:r>
    </w:p>
    <w:p>
      <w:pPr>
        <w:spacing w:line="360" w:lineRule="auto"/>
        <w:ind w:firstLine="480" w:firstLineChars="200"/>
        <w:rPr>
          <w:rFonts w:ascii="Times New Roman" w:hAnsi="Times New Roman" w:cs="Times New Roman"/>
        </w:rPr>
      </w:pPr>
      <w:r>
        <w:rPr>
          <w:rFonts w:ascii="Times New Roman" w:hAnsi="Times New Roman" w:cs="Times New Roman"/>
        </w:rPr>
        <w:t>q——降雨强度，mm；按平均日降雨量；</w:t>
      </w:r>
    </w:p>
    <w:p>
      <w:pPr>
        <w:spacing w:line="360" w:lineRule="auto"/>
        <w:ind w:firstLine="480" w:firstLineChars="200"/>
        <w:rPr>
          <w:rFonts w:ascii="Times New Roman" w:hAnsi="Times New Roman" w:cs="Times New Roman"/>
        </w:rPr>
      </w:pPr>
      <w:r>
        <w:rPr>
          <w:rFonts w:ascii="Times New Roman" w:hAnsi="Times New Roman" w:cs="Times New Roman"/>
        </w:rPr>
        <w:t>F——必须进入事故废水收集系统的雨水汇水面积，ha。</w:t>
      </w:r>
    </w:p>
    <w:p>
      <w:pPr>
        <w:spacing w:line="360" w:lineRule="auto"/>
        <w:ind w:firstLine="48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hint="eastAsia" w:ascii="宋体" w:hAnsi="宋体" w:eastAsia="宋体" w:cs="宋体"/>
        </w:rPr>
        <w:t>①</w:t>
      </w:r>
      <w:r>
        <w:rPr>
          <w:rFonts w:ascii="Times New Roman" w:hAnsi="Times New Roman" w:cs="Times New Roman"/>
        </w:rPr>
        <w:fldChar w:fldCharType="end"/>
      </w:r>
      <w:r>
        <w:rPr>
          <w:rFonts w:ascii="Times New Roman" w:hAnsi="Times New Roman" w:cs="Times New Roman"/>
        </w:rPr>
        <w:t>事故状态下物料量（V1）：根据表2.4-6，本项目单个最大储罐物料贮存量为200m</w:t>
      </w:r>
      <w:r>
        <w:rPr>
          <w:rFonts w:ascii="Times New Roman" w:hAnsi="Times New Roman" w:cs="Times New Roman"/>
          <w:vertAlign w:val="superscript"/>
        </w:rPr>
        <w:t>3</w:t>
      </w:r>
      <w:r>
        <w:rPr>
          <w:rFonts w:ascii="Times New Roman" w:hAnsi="Times New Roman" w:cs="Times New Roman"/>
        </w:rPr>
        <w:t>，充满度按80%考虑，泄漏物料量为160 m</w:t>
      </w:r>
      <w:r>
        <w:rPr>
          <w:rFonts w:ascii="Times New Roman" w:hAnsi="Times New Roman" w:cs="Times New Roman"/>
          <w:vertAlign w:val="superscript"/>
        </w:rPr>
        <w:t>3</w:t>
      </w:r>
      <w:r>
        <w:rPr>
          <w:rFonts w:ascii="Times New Roman" w:hAnsi="Times New Roman" w:cs="Times New Roman"/>
        </w:rPr>
        <w:t>。</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hint="eastAsia" w:ascii="宋体" w:hAnsi="宋体" w:eastAsia="宋体" w:cs="宋体"/>
        </w:rPr>
        <w:t>②</w:t>
      </w:r>
      <w:r>
        <w:rPr>
          <w:rFonts w:ascii="Times New Roman" w:hAnsi="Times New Roman" w:cs="Times New Roman"/>
        </w:rPr>
        <w:fldChar w:fldCharType="end"/>
      </w:r>
      <w:r>
        <w:rPr>
          <w:rFonts w:ascii="Times New Roman" w:hAnsi="Times New Roman" w:cs="Times New Roman"/>
        </w:rPr>
        <w:t>消防用水量（V2）：本项目室内外消防水量为60 L/s，火灾延续时间为0.5h，自动喷淋消防用水量22 L/s，火灾延续时间为0.5h，一次灭火消防用水量147.6 m</w:t>
      </w:r>
      <w:r>
        <w:rPr>
          <w:rFonts w:ascii="Times New Roman" w:hAnsi="Times New Roman" w:cs="Times New Roman"/>
          <w:vertAlign w:val="superscript"/>
        </w:rPr>
        <w:t>3</w:t>
      </w:r>
      <w:r>
        <w:rPr>
          <w:rFonts w:ascii="Times New Roman" w:hAnsi="Times New Roman" w:cs="Times New Roman"/>
        </w:rPr>
        <w:t>。</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3 \* GB3 </w:instrText>
      </w:r>
      <w:r>
        <w:rPr>
          <w:rFonts w:ascii="Times New Roman" w:hAnsi="Times New Roman" w:cs="Times New Roman"/>
        </w:rPr>
        <w:fldChar w:fldCharType="separate"/>
      </w:r>
      <w:r>
        <w:rPr>
          <w:rFonts w:hint="eastAsia" w:ascii="宋体" w:hAnsi="宋体" w:eastAsia="宋体" w:cs="宋体"/>
        </w:rPr>
        <w:t>③</w:t>
      </w:r>
      <w:r>
        <w:rPr>
          <w:rFonts w:ascii="Times New Roman" w:hAnsi="Times New Roman" w:cs="Times New Roman"/>
        </w:rPr>
        <w:fldChar w:fldCharType="end"/>
      </w:r>
      <w:r>
        <w:rPr>
          <w:rFonts w:ascii="Times New Roman" w:hAnsi="Times New Roman" w:cs="Times New Roman"/>
        </w:rPr>
        <w:t>V3=0m</w:t>
      </w:r>
      <w:r>
        <w:rPr>
          <w:rFonts w:ascii="Times New Roman" w:hAnsi="Times New Roman" w:cs="Times New Roman"/>
          <w:vertAlign w:val="superscript"/>
        </w:rPr>
        <w:t>3</w:t>
      </w:r>
      <w:r>
        <w:rPr>
          <w:rFonts w:ascii="Times New Roman" w:hAnsi="Times New Roman" w:cs="Times New Roman"/>
        </w:rPr>
        <w:t>。发生泄露事故时，本项目没有物料可转输至其他设施内。</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4 \* GB3 </w:instrText>
      </w:r>
      <w:r>
        <w:rPr>
          <w:rFonts w:ascii="Times New Roman" w:hAnsi="Times New Roman" w:cs="Times New Roman"/>
        </w:rPr>
        <w:fldChar w:fldCharType="separate"/>
      </w:r>
      <w:r>
        <w:rPr>
          <w:rFonts w:hint="eastAsia" w:ascii="宋体" w:hAnsi="宋体" w:eastAsia="宋体" w:cs="宋体"/>
        </w:rPr>
        <w:t>④</w:t>
      </w:r>
      <w:r>
        <w:rPr>
          <w:rFonts w:ascii="Times New Roman" w:hAnsi="Times New Roman" w:cs="Times New Roman"/>
        </w:rPr>
        <w:fldChar w:fldCharType="end"/>
      </w:r>
      <w:r>
        <w:rPr>
          <w:rFonts w:ascii="Times New Roman" w:hAnsi="Times New Roman" w:cs="Times New Roman"/>
        </w:rPr>
        <w:t>V4=100m</w:t>
      </w:r>
      <w:r>
        <w:rPr>
          <w:rFonts w:ascii="Times New Roman" w:hAnsi="Times New Roman" w:cs="Times New Roman"/>
          <w:vertAlign w:val="superscript"/>
        </w:rPr>
        <w:t>3</w:t>
      </w:r>
      <w:r>
        <w:rPr>
          <w:rFonts w:ascii="Times New Roman" w:hAnsi="Times New Roman" w:cs="Times New Roman"/>
        </w:rPr>
        <w:t>，若项目自建的污水处理措施发生事故时，生产废水量需排放至事故池内暂存，以全厂1天生产废水量计。本项目污水处理厂规模为100m</w:t>
      </w:r>
      <w:r>
        <w:rPr>
          <w:rFonts w:ascii="Times New Roman" w:hAnsi="Times New Roman" w:cs="Times New Roman"/>
          <w:vertAlign w:val="superscript"/>
        </w:rPr>
        <w:t>3</w:t>
      </w:r>
      <w:r>
        <w:rPr>
          <w:rFonts w:ascii="Times New Roman" w:hAnsi="Times New Roman" w:cs="Times New Roman"/>
        </w:rPr>
        <w:t>/d，则取值100 m</w:t>
      </w:r>
      <w:r>
        <w:rPr>
          <w:rFonts w:ascii="Times New Roman" w:hAnsi="Times New Roman" w:cs="Times New Roman"/>
          <w:vertAlign w:val="superscript"/>
        </w:rPr>
        <w:t>3</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5 \* GB3 </w:instrText>
      </w:r>
      <w:r>
        <w:rPr>
          <w:rFonts w:ascii="Times New Roman" w:hAnsi="Times New Roman" w:cs="Times New Roman"/>
        </w:rPr>
        <w:fldChar w:fldCharType="separate"/>
      </w:r>
      <w:r>
        <w:rPr>
          <w:rFonts w:hint="eastAsia" w:ascii="宋体" w:hAnsi="宋体" w:eastAsia="宋体" w:cs="宋体"/>
        </w:rPr>
        <w:t>⑤</w:t>
      </w:r>
      <w:r>
        <w:rPr>
          <w:rFonts w:ascii="Times New Roman" w:hAnsi="Times New Roman" w:cs="Times New Roman"/>
        </w:rPr>
        <w:fldChar w:fldCharType="end"/>
      </w:r>
      <w:r>
        <w:rPr>
          <w:rFonts w:ascii="Times New Roman" w:hAnsi="Times New Roman" w:cs="Times New Roman"/>
        </w:rPr>
        <w:t>雨水量（V5）：根据前述分析计算可知，厂区初期雨水量约</w:t>
      </w:r>
      <w:r>
        <w:rPr>
          <w:rFonts w:hint="eastAsia" w:ascii="Times New Roman" w:hAnsi="Times New Roman" w:cs="Times New Roman"/>
        </w:rPr>
        <w:t>774</w:t>
      </w:r>
      <w:r>
        <w:rPr>
          <w:rFonts w:ascii="Times New Roman" w:hAnsi="Times New Roman" w:cs="Times New Roman"/>
        </w:rPr>
        <w:t>m³/次。</w:t>
      </w:r>
    </w:p>
    <w:p>
      <w:pPr>
        <w:spacing w:line="360" w:lineRule="auto"/>
        <w:ind w:firstLine="480" w:firstLineChars="200"/>
        <w:rPr>
          <w:rFonts w:ascii="Times New Roman" w:hAnsi="Times New Roman" w:cs="Times New Roman"/>
        </w:rPr>
      </w:pPr>
      <w:r>
        <w:rPr>
          <w:rFonts w:ascii="Times New Roman" w:hAnsi="Times New Roman" w:cs="Times New Roman"/>
        </w:rPr>
        <w:t>根据本项目发生事故后泄漏物料、消防污水、生产污水及雨水流量进行事故水池容积核算，核算结果见下表。经核算，本项目应急体系可以满足本项目厂区应急储存要求。</w:t>
      </w:r>
    </w:p>
    <w:p>
      <w:pPr>
        <w:pStyle w:val="6"/>
        <w:rPr>
          <w:rFonts w:ascii="Times New Roman" w:hAnsi="Times New Roman" w:cs="Times New Roman"/>
        </w:rPr>
      </w:pPr>
      <w:r>
        <w:rPr>
          <w:rFonts w:ascii="Times New Roman" w:hAnsi="Times New Roman" w:cs="Times New Roman"/>
        </w:rPr>
        <w:t>表7.</w:t>
      </w:r>
      <w:r>
        <w:rPr>
          <w:rFonts w:hint="eastAsia" w:ascii="Times New Roman" w:hAnsi="Times New Roman" w:cs="Times New Roman"/>
        </w:rPr>
        <w:t>7-1</w:t>
      </w:r>
      <w:r>
        <w:rPr>
          <w:rFonts w:ascii="Times New Roman" w:hAnsi="Times New Roman" w:cs="Times New Roman"/>
        </w:rPr>
        <w:t xml:space="preserve">  项目事故水池容积核算表</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904"/>
        <w:gridCol w:w="4928"/>
        <w:gridCol w:w="2504"/>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42" w:type="pct"/>
            <w:shd w:val="clear" w:color="auto" w:fill="FFFFFF"/>
            <w:vAlign w:val="center"/>
          </w:tcPr>
          <w:p>
            <w:pPr>
              <w:pStyle w:val="63"/>
            </w:pPr>
            <w:r>
              <w:t>符号</w:t>
            </w:r>
          </w:p>
        </w:tc>
        <w:tc>
          <w:tcPr>
            <w:tcW w:w="2956" w:type="pct"/>
            <w:shd w:val="clear" w:color="auto" w:fill="FFFFFF"/>
            <w:vAlign w:val="center"/>
          </w:tcPr>
          <w:p>
            <w:pPr>
              <w:pStyle w:val="63"/>
            </w:pPr>
            <w:r>
              <w:t>意义及取值依据</w:t>
            </w:r>
          </w:p>
        </w:tc>
        <w:tc>
          <w:tcPr>
            <w:tcW w:w="1502" w:type="pct"/>
            <w:shd w:val="clear" w:color="auto" w:fill="FFFFFF"/>
            <w:vAlign w:val="center"/>
          </w:tcPr>
          <w:p>
            <w:pPr>
              <w:pStyle w:val="63"/>
            </w:pPr>
            <w:r>
              <w:t>事故水量（m</w:t>
            </w:r>
            <w:r>
              <w:rPr>
                <w:vertAlign w:val="superscript"/>
              </w:rPr>
              <w:t>3</w:t>
            </w:r>
            <w: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42" w:type="pct"/>
            <w:shd w:val="clear" w:color="auto" w:fill="FFFFFF"/>
            <w:vAlign w:val="center"/>
          </w:tcPr>
          <w:p>
            <w:pPr>
              <w:pStyle w:val="63"/>
            </w:pPr>
            <w:r>
              <w:t>V1</w:t>
            </w:r>
          </w:p>
        </w:tc>
        <w:tc>
          <w:tcPr>
            <w:tcW w:w="2956" w:type="pct"/>
            <w:shd w:val="clear" w:color="auto" w:fill="FFFFFF"/>
            <w:vAlign w:val="center"/>
          </w:tcPr>
          <w:p>
            <w:pPr>
              <w:pStyle w:val="63"/>
            </w:pPr>
            <w:r>
              <w:t>事故时一个罐组或一套装置的物料量</w:t>
            </w:r>
          </w:p>
        </w:tc>
        <w:tc>
          <w:tcPr>
            <w:tcW w:w="1502" w:type="pct"/>
            <w:shd w:val="clear" w:color="auto" w:fill="FFFFFF"/>
            <w:vAlign w:val="center"/>
          </w:tcPr>
          <w:p>
            <w:pPr>
              <w:pStyle w:val="63"/>
            </w:pPr>
            <w:r>
              <w:t>160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42" w:type="pct"/>
            <w:shd w:val="clear" w:color="auto" w:fill="FFFFFF"/>
            <w:vAlign w:val="center"/>
          </w:tcPr>
          <w:p>
            <w:pPr>
              <w:pStyle w:val="63"/>
            </w:pPr>
            <w:r>
              <w:t>V2</w:t>
            </w:r>
          </w:p>
        </w:tc>
        <w:tc>
          <w:tcPr>
            <w:tcW w:w="2956" w:type="pct"/>
            <w:shd w:val="clear" w:color="auto" w:fill="FFFFFF"/>
            <w:vAlign w:val="center"/>
          </w:tcPr>
          <w:p>
            <w:pPr>
              <w:pStyle w:val="63"/>
            </w:pPr>
            <w:r>
              <w:t>发生事故的储罐或装置的消防水量</w:t>
            </w:r>
          </w:p>
        </w:tc>
        <w:tc>
          <w:tcPr>
            <w:tcW w:w="1502" w:type="pct"/>
            <w:shd w:val="clear" w:color="auto" w:fill="FFFFFF"/>
            <w:vAlign w:val="center"/>
          </w:tcPr>
          <w:p>
            <w:pPr>
              <w:pStyle w:val="63"/>
            </w:pPr>
            <w:r>
              <w:t>147.6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42" w:type="pct"/>
            <w:shd w:val="clear" w:color="auto" w:fill="FFFFFF"/>
            <w:vAlign w:val="center"/>
          </w:tcPr>
          <w:p>
            <w:pPr>
              <w:pStyle w:val="63"/>
            </w:pPr>
            <w:r>
              <w:t>V3</w:t>
            </w:r>
          </w:p>
        </w:tc>
        <w:tc>
          <w:tcPr>
            <w:tcW w:w="2956" w:type="pct"/>
            <w:shd w:val="clear" w:color="auto" w:fill="FFFFFF"/>
            <w:vAlign w:val="center"/>
          </w:tcPr>
          <w:p>
            <w:pPr>
              <w:pStyle w:val="63"/>
            </w:pPr>
            <w:r>
              <w:t>发生事故时可以转输到其他储存或处理设施的物料量</w:t>
            </w:r>
          </w:p>
        </w:tc>
        <w:tc>
          <w:tcPr>
            <w:tcW w:w="1502" w:type="pct"/>
            <w:shd w:val="clear" w:color="auto" w:fill="FFFFFF"/>
            <w:vAlign w:val="center"/>
          </w:tcPr>
          <w:p>
            <w:pPr>
              <w:pStyle w:val="63"/>
            </w:pPr>
            <w:r>
              <w:t>0（保守考虑，不计）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42" w:type="pct"/>
            <w:shd w:val="clear" w:color="auto" w:fill="FFFFFF"/>
            <w:vAlign w:val="center"/>
          </w:tcPr>
          <w:p>
            <w:pPr>
              <w:pStyle w:val="63"/>
            </w:pPr>
            <w:r>
              <w:t>V4</w:t>
            </w:r>
          </w:p>
        </w:tc>
        <w:tc>
          <w:tcPr>
            <w:tcW w:w="2956" w:type="pct"/>
            <w:shd w:val="clear" w:color="auto" w:fill="FFFFFF"/>
            <w:vAlign w:val="center"/>
          </w:tcPr>
          <w:p>
            <w:pPr>
              <w:pStyle w:val="63"/>
            </w:pPr>
            <w:r>
              <w:t>发生事故时仍必须进入该收集系统的生产废水量</w:t>
            </w:r>
          </w:p>
        </w:tc>
        <w:tc>
          <w:tcPr>
            <w:tcW w:w="1502" w:type="pct"/>
            <w:shd w:val="clear" w:color="auto" w:fill="FFFFFF"/>
            <w:vAlign w:val="center"/>
          </w:tcPr>
          <w:p>
            <w:pPr>
              <w:pStyle w:val="63"/>
            </w:pPr>
            <w:r>
              <w:t>100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42" w:type="pct"/>
            <w:shd w:val="clear" w:color="auto" w:fill="FFFFFF"/>
            <w:vAlign w:val="center"/>
          </w:tcPr>
          <w:p>
            <w:pPr>
              <w:pStyle w:val="63"/>
            </w:pPr>
            <w:r>
              <w:t>V5</w:t>
            </w:r>
          </w:p>
        </w:tc>
        <w:tc>
          <w:tcPr>
            <w:tcW w:w="2956" w:type="pct"/>
            <w:shd w:val="clear" w:color="auto" w:fill="FFFFFF"/>
            <w:vAlign w:val="center"/>
          </w:tcPr>
          <w:p>
            <w:pPr>
              <w:pStyle w:val="63"/>
            </w:pPr>
            <w:r>
              <w:t>发生事故时可能进入该收集系统的降雨量</w:t>
            </w:r>
          </w:p>
        </w:tc>
        <w:tc>
          <w:tcPr>
            <w:tcW w:w="1502" w:type="pct"/>
            <w:shd w:val="clear" w:color="auto" w:fill="FFFFFF"/>
            <w:vAlign w:val="center"/>
          </w:tcPr>
          <w:p>
            <w:pPr>
              <w:pStyle w:val="63"/>
            </w:pPr>
            <w:r>
              <w:rPr>
                <w:rFonts w:hint="eastAsia"/>
              </w:rPr>
              <w:t>774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42" w:type="pct"/>
            <w:shd w:val="clear" w:color="auto" w:fill="FFFFFF"/>
            <w:vAlign w:val="center"/>
          </w:tcPr>
          <w:p>
            <w:pPr>
              <w:pStyle w:val="63"/>
            </w:pPr>
            <w:r>
              <w:t>V总</w:t>
            </w:r>
          </w:p>
        </w:tc>
        <w:tc>
          <w:tcPr>
            <w:tcW w:w="2956" w:type="pct"/>
            <w:shd w:val="clear" w:color="auto" w:fill="FFFFFF"/>
            <w:vAlign w:val="center"/>
          </w:tcPr>
          <w:p>
            <w:pPr>
              <w:pStyle w:val="63"/>
            </w:pPr>
            <w:r>
              <w:t>V总＝（V1+V2－V3）max＋V4+V5</w:t>
            </w:r>
          </w:p>
        </w:tc>
        <w:tc>
          <w:tcPr>
            <w:tcW w:w="1502" w:type="pct"/>
            <w:shd w:val="clear" w:color="auto" w:fill="FFFFFF"/>
            <w:vAlign w:val="center"/>
          </w:tcPr>
          <w:p>
            <w:pPr>
              <w:pStyle w:val="63"/>
            </w:pPr>
            <w:r>
              <w:t>1181.6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42" w:type="pct"/>
            <w:shd w:val="clear" w:color="auto" w:fill="FFFFFF"/>
            <w:vAlign w:val="center"/>
          </w:tcPr>
          <w:p>
            <w:pPr>
              <w:pStyle w:val="63"/>
            </w:pPr>
            <w:r>
              <w:t>V储存能力</w:t>
            </w:r>
          </w:p>
        </w:tc>
        <w:tc>
          <w:tcPr>
            <w:tcW w:w="2956" w:type="pct"/>
            <w:shd w:val="clear" w:color="auto" w:fill="FFFFFF"/>
            <w:vAlign w:val="center"/>
          </w:tcPr>
          <w:p>
            <w:pPr>
              <w:pStyle w:val="63"/>
            </w:pPr>
            <w:r>
              <w:t>V储存能力</w:t>
            </w:r>
          </w:p>
        </w:tc>
        <w:tc>
          <w:tcPr>
            <w:tcW w:w="1502" w:type="pct"/>
            <w:shd w:val="clear" w:color="auto" w:fill="FFFFFF"/>
            <w:vAlign w:val="center"/>
          </w:tcPr>
          <w:p>
            <w:pPr>
              <w:pStyle w:val="63"/>
            </w:pPr>
            <w:r>
              <w:t>1300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498" w:type="pct"/>
            <w:gridSpan w:val="2"/>
            <w:shd w:val="clear" w:color="auto" w:fill="FFFFFF"/>
            <w:vAlign w:val="center"/>
          </w:tcPr>
          <w:p>
            <w:pPr>
              <w:pStyle w:val="63"/>
            </w:pPr>
            <w:r>
              <w:t>事故时暂存设施是否满足要求</w:t>
            </w:r>
          </w:p>
        </w:tc>
        <w:tc>
          <w:tcPr>
            <w:tcW w:w="1502" w:type="pct"/>
            <w:shd w:val="clear" w:color="auto" w:fill="FFFFFF"/>
            <w:vAlign w:val="center"/>
          </w:tcPr>
          <w:p>
            <w:pPr>
              <w:pStyle w:val="63"/>
            </w:pPr>
            <w:r>
              <w:t>满足</w:t>
            </w:r>
          </w:p>
        </w:tc>
      </w:tr>
      <w:bookmarkEnd w:id="486"/>
    </w:tbl>
    <w:p>
      <w:pPr>
        <w:pStyle w:val="5"/>
        <w:ind w:firstLine="482"/>
        <w:rPr>
          <w:rFonts w:ascii="Times New Roman" w:hAnsi="Times New Roman" w:cs="Times New Roman" w:eastAsiaTheme="minorEastAsia"/>
        </w:rPr>
      </w:pPr>
      <w:r>
        <w:rPr>
          <w:rFonts w:ascii="Times New Roman" w:hAnsi="Times New Roman" w:cs="Times New Roman" w:eastAsiaTheme="minorEastAsia"/>
        </w:rPr>
        <w:t>7.7.2.4 生产车间风险防范措施</w:t>
      </w:r>
    </w:p>
    <w:p>
      <w:pPr>
        <w:spacing w:line="360" w:lineRule="auto"/>
        <w:ind w:firstLine="48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hint="eastAsia" w:ascii="宋体" w:hAnsi="宋体" w:eastAsia="宋体" w:cs="宋体"/>
        </w:rPr>
        <w:t>①</w:t>
      </w:r>
      <w:r>
        <w:rPr>
          <w:rFonts w:ascii="Times New Roman" w:hAnsi="Times New Roman" w:cs="Times New Roman"/>
        </w:rPr>
        <w:fldChar w:fldCharType="end"/>
      </w:r>
      <w:r>
        <w:rPr>
          <w:rFonts w:ascii="Times New Roman" w:hAnsi="Times New Roman" w:cs="Times New Roman"/>
        </w:rPr>
        <w:t>生产车间选用安全可靠的工艺技术、设备、设备材质、选型应与物料特点、工艺参数相匹配，选取定点生产厂家的优质产品，保证装置长期安全稳定运行。</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hint="eastAsia" w:ascii="宋体" w:hAnsi="宋体" w:eastAsia="宋体" w:cs="宋体"/>
        </w:rPr>
        <w:t>②</w:t>
      </w:r>
      <w:r>
        <w:rPr>
          <w:rFonts w:ascii="Times New Roman" w:hAnsi="Times New Roman" w:cs="Times New Roman"/>
        </w:rPr>
        <w:fldChar w:fldCharType="end"/>
      </w:r>
      <w:r>
        <w:rPr>
          <w:rFonts w:ascii="Times New Roman" w:hAnsi="Times New Roman" w:cs="Times New Roman"/>
        </w:rPr>
        <w:t>工艺生产中采取密闭化、管道化、机械化，减少物质挥发，减少事故的发生和对环境的污染。</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3 \* GB3 </w:instrText>
      </w:r>
      <w:r>
        <w:rPr>
          <w:rFonts w:ascii="Times New Roman" w:hAnsi="Times New Roman" w:cs="Times New Roman"/>
        </w:rPr>
        <w:fldChar w:fldCharType="separate"/>
      </w:r>
      <w:r>
        <w:rPr>
          <w:rFonts w:hint="eastAsia" w:ascii="宋体" w:hAnsi="宋体" w:eastAsia="宋体" w:cs="宋体"/>
        </w:rPr>
        <w:t>③</w:t>
      </w:r>
      <w:r>
        <w:rPr>
          <w:rFonts w:ascii="Times New Roman" w:hAnsi="Times New Roman" w:cs="Times New Roman"/>
        </w:rPr>
        <w:fldChar w:fldCharType="end"/>
      </w:r>
      <w:r>
        <w:rPr>
          <w:rFonts w:ascii="Times New Roman" w:hAnsi="Times New Roman" w:cs="Times New Roman"/>
        </w:rPr>
        <w:t>在生产过程中采用自动化操作，并设计可靠的排风和净化装置，保证作业环境和排放浓度符合国家标准和相关规定，设计可靠的事故处理装置及应急防护措施。</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4 \* GB3 </w:instrText>
      </w:r>
      <w:r>
        <w:rPr>
          <w:rFonts w:ascii="Times New Roman" w:hAnsi="Times New Roman" w:cs="Times New Roman"/>
        </w:rPr>
        <w:fldChar w:fldCharType="separate"/>
      </w:r>
      <w:r>
        <w:rPr>
          <w:rFonts w:hint="eastAsia" w:ascii="宋体" w:hAnsi="宋体" w:eastAsia="宋体" w:cs="宋体"/>
        </w:rPr>
        <w:t>④</w:t>
      </w:r>
      <w:r>
        <w:rPr>
          <w:rFonts w:ascii="Times New Roman" w:hAnsi="Times New Roman" w:cs="Times New Roman"/>
        </w:rPr>
        <w:fldChar w:fldCharType="end"/>
      </w:r>
      <w:r>
        <w:rPr>
          <w:rFonts w:ascii="Times New Roman" w:hAnsi="Times New Roman" w:cs="Times New Roman"/>
        </w:rPr>
        <w:t>严格执行开车安全操作及管理。</w:t>
      </w:r>
    </w:p>
    <w:p>
      <w:pPr>
        <w:pStyle w:val="88"/>
        <w:numPr>
          <w:ilvl w:val="1"/>
          <w:numId w:val="1"/>
        </w:numPr>
        <w:spacing w:line="360" w:lineRule="auto"/>
        <w:ind w:left="0" w:firstLine="357" w:firstLineChars="0"/>
        <w:rPr>
          <w:rFonts w:ascii="Times New Roman" w:hAnsi="Times New Roman" w:cs="Times New Roman"/>
        </w:rPr>
      </w:pPr>
      <w:r>
        <w:rPr>
          <w:rFonts w:ascii="Times New Roman" w:hAnsi="Times New Roman" w:cs="Times New Roman"/>
        </w:rPr>
        <w:t>正常开车执行岗位操作方法；</w:t>
      </w:r>
    </w:p>
    <w:p>
      <w:pPr>
        <w:pStyle w:val="88"/>
        <w:numPr>
          <w:ilvl w:val="1"/>
          <w:numId w:val="1"/>
        </w:numPr>
        <w:spacing w:line="360" w:lineRule="auto"/>
        <w:ind w:left="0" w:firstLine="357" w:firstLineChars="0"/>
        <w:rPr>
          <w:rFonts w:ascii="Times New Roman" w:hAnsi="Times New Roman" w:cs="Times New Roman"/>
        </w:rPr>
      </w:pPr>
      <w:r>
        <w:rPr>
          <w:rFonts w:ascii="Times New Roman" w:hAnsi="Times New Roman" w:cs="Times New Roman"/>
        </w:rPr>
        <w:t>较大系统开车必须编制开车方案，并严格执行；</w:t>
      </w:r>
    </w:p>
    <w:p>
      <w:pPr>
        <w:pStyle w:val="88"/>
        <w:numPr>
          <w:ilvl w:val="1"/>
          <w:numId w:val="1"/>
        </w:numPr>
        <w:spacing w:line="360" w:lineRule="auto"/>
        <w:ind w:left="0" w:firstLine="357" w:firstLineChars="0"/>
        <w:rPr>
          <w:rFonts w:ascii="Times New Roman" w:hAnsi="Times New Roman" w:cs="Times New Roman"/>
        </w:rPr>
      </w:pPr>
      <w:r>
        <w:rPr>
          <w:rFonts w:ascii="Times New Roman" w:hAnsi="Times New Roman" w:cs="Times New Roman"/>
        </w:rPr>
        <w:t>危险性较大的生产装置开车，相关部门人员应到现场，消防车、救护车处于备防状态；</w:t>
      </w:r>
    </w:p>
    <w:p>
      <w:pPr>
        <w:pStyle w:val="88"/>
        <w:numPr>
          <w:ilvl w:val="1"/>
          <w:numId w:val="1"/>
        </w:numPr>
        <w:spacing w:line="360" w:lineRule="auto"/>
        <w:ind w:left="0" w:firstLine="357" w:firstLineChars="0"/>
        <w:rPr>
          <w:rFonts w:ascii="Times New Roman" w:hAnsi="Times New Roman" w:cs="Times New Roman"/>
        </w:rPr>
      </w:pPr>
      <w:r>
        <w:rPr>
          <w:rFonts w:ascii="Times New Roman" w:hAnsi="Times New Roman" w:cs="Times New Roman"/>
        </w:rPr>
        <w:t>开车过程中应严格按开车方案中的步骤进行，严格遵守升降温、升降压和加减负荷的幅度（速率）要求；</w:t>
      </w:r>
    </w:p>
    <w:p>
      <w:pPr>
        <w:pStyle w:val="88"/>
        <w:numPr>
          <w:ilvl w:val="1"/>
          <w:numId w:val="1"/>
        </w:numPr>
        <w:spacing w:line="360" w:lineRule="auto"/>
        <w:ind w:left="0" w:firstLine="357" w:firstLineChars="0"/>
        <w:rPr>
          <w:rFonts w:ascii="Times New Roman" w:hAnsi="Times New Roman" w:cs="Times New Roman"/>
        </w:rPr>
      </w:pPr>
      <w:r>
        <w:rPr>
          <w:rFonts w:ascii="Times New Roman" w:hAnsi="Times New Roman" w:cs="Times New Roman"/>
        </w:rPr>
        <w:t>开车过程中要严密注意工艺的变化和设备的运行情况，发现异常现象应及时处理，情况紧急时应终止开车，严禁强行开车；</w:t>
      </w:r>
    </w:p>
    <w:p>
      <w:pPr>
        <w:pStyle w:val="88"/>
        <w:numPr>
          <w:ilvl w:val="1"/>
          <w:numId w:val="1"/>
        </w:numPr>
        <w:spacing w:line="360" w:lineRule="auto"/>
        <w:ind w:left="0" w:firstLine="357" w:firstLineChars="0"/>
        <w:rPr>
          <w:rFonts w:ascii="Times New Roman" w:hAnsi="Times New Roman" w:cs="Times New Roman"/>
        </w:rPr>
      </w:pPr>
      <w:r>
        <w:rPr>
          <w:rFonts w:ascii="Times New Roman" w:hAnsi="Times New Roman" w:cs="Times New Roman"/>
        </w:rPr>
        <w:t>开车过程中应保持与有关岗位和部门之间的联络；</w:t>
      </w:r>
    </w:p>
    <w:p>
      <w:pPr>
        <w:pStyle w:val="88"/>
        <w:numPr>
          <w:ilvl w:val="1"/>
          <w:numId w:val="1"/>
        </w:numPr>
        <w:spacing w:line="360" w:lineRule="auto"/>
        <w:ind w:left="0" w:firstLine="357" w:firstLineChars="0"/>
        <w:rPr>
          <w:rFonts w:ascii="Times New Roman" w:hAnsi="Times New Roman" w:cs="Times New Roman"/>
        </w:rPr>
      </w:pPr>
      <w:r>
        <w:rPr>
          <w:rFonts w:ascii="Times New Roman" w:hAnsi="Times New Roman" w:cs="Times New Roman"/>
        </w:rPr>
        <w:t>必要时停止一切检修作业，无关人员不准进入开车现场。</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5 \* GB3 </w:instrText>
      </w:r>
      <w:r>
        <w:rPr>
          <w:rFonts w:ascii="Times New Roman" w:hAnsi="Times New Roman" w:cs="Times New Roman"/>
        </w:rPr>
        <w:fldChar w:fldCharType="separate"/>
      </w:r>
      <w:r>
        <w:rPr>
          <w:rFonts w:hint="eastAsia" w:ascii="宋体" w:hAnsi="宋体" w:eastAsia="宋体" w:cs="宋体"/>
        </w:rPr>
        <w:t>⑤</w:t>
      </w:r>
      <w:r>
        <w:rPr>
          <w:rFonts w:ascii="Times New Roman" w:hAnsi="Times New Roman" w:cs="Times New Roman"/>
        </w:rPr>
        <w:fldChar w:fldCharType="end"/>
      </w:r>
      <w:r>
        <w:rPr>
          <w:rFonts w:ascii="Times New Roman" w:hAnsi="Times New Roman" w:cs="Times New Roman"/>
        </w:rPr>
        <w:t>针对仓储点安装气体、视频监控系统，以第一时间发现泄漏并启动应急处置。气体报警仪和电视监控装置信号连通公司 DCS 控制系统，当监控仪器报警时，控制中心的监控系统也同时报警；硫酸输送管道沿线严格控制人员活动，依据监控装置实现沿线的全过程监控。</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6 \* GB3 </w:instrText>
      </w:r>
      <w:r>
        <w:rPr>
          <w:rFonts w:ascii="Times New Roman" w:hAnsi="Times New Roman" w:cs="Times New Roman"/>
        </w:rPr>
        <w:fldChar w:fldCharType="separate"/>
      </w:r>
      <w:r>
        <w:rPr>
          <w:rFonts w:hint="eastAsia" w:ascii="宋体" w:hAnsi="宋体" w:eastAsia="宋体" w:cs="宋体"/>
        </w:rPr>
        <w:t>⑥</w:t>
      </w:r>
      <w:r>
        <w:rPr>
          <w:rFonts w:ascii="Times New Roman" w:hAnsi="Times New Roman" w:cs="Times New Roman"/>
        </w:rPr>
        <w:fldChar w:fldCharType="end"/>
      </w:r>
      <w:r>
        <w:rPr>
          <w:rFonts w:ascii="Times New Roman" w:hAnsi="Times New Roman" w:cs="Times New Roman"/>
        </w:rPr>
        <w:t>对于具有火灾、泄露、爆炸等危险的设备装置，应设置抑爆、惰化系统和检测设施，备有一组氮气钢瓶等惰性介质置换和保护。</w:t>
      </w:r>
    </w:p>
    <w:p>
      <w:pPr>
        <w:pStyle w:val="5"/>
        <w:ind w:firstLine="482"/>
        <w:rPr>
          <w:rFonts w:ascii="Times New Roman" w:hAnsi="Times New Roman" w:cs="Times New Roman" w:eastAsiaTheme="minorEastAsia"/>
        </w:rPr>
      </w:pPr>
      <w:r>
        <w:rPr>
          <w:rFonts w:ascii="Times New Roman" w:hAnsi="Times New Roman" w:cs="Times New Roman" w:eastAsiaTheme="minorEastAsia"/>
        </w:rPr>
        <w:t>7.7.2.5 危险品运输过程中风险防范措施</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（1）危险废物运输过程中要严格执行危险废物货物运输管理的规定，应定期对输送车辆进行安全检查，随时注意运输过程的安全防范。</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（2）对废物的运输路线必须经过仔细规划，采用距离较近的路线，尽量避免过桥过隧道段路线；并确定统一合理的运输时间，尽量避开人口密集区域和交通拥堵道路及时间段。</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3）采用密闭型运输车辆，定期检修车辆，特别是装载部分，发现容器破损要及时修理或更换；在物料装卸过程中，必须严格执行操作规程，严防物料泄漏；在运输途中应谨慎驾驶，中速行驶，严防车辆相撞和翻车事故的发生。</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4）负责收集运输危险废物的资质单位，必须在贮存地点进行检查，特别是对未包装或包装有破损的危险废物，进行重新再包装，液态物质分类后使用IBC桶装、固态物质分类后分别使用塑料袋包装后方可装入运输车辆，以确保在运输过程中的安全。</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5）对危险废物应根据《危险化学品安全管理条例》的规定，在运输过程中用符合国家标准的专门容器；转运危险废物的容器必须相应贴有有毒或易燃易爆物品的标签、标识；危险化学品单位从事生产、经营、储存、运输、使用危险化学品或者处置废弃危险化学品活动的人员，必须接受有关法律、法规、规章和安全知识、专业技术、职业卫生防护和应急救援知识的培训，并经考核合格，方可上岗作业。</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6）运输中使用专用车辆，对危险废物的运输要求安全可靠，严格执行危险废物货物运输管理规定进行危险废物的运输，防止装卸和运输过程中的滴漏现象，减少运输过程中的二次污染和可能造成的环境风险。同时，负责运输的单位应制定相应的车辆管理条例，对车辆装卸、运输过程制定安全管理规定和操作规程，以保证车辆的正常安全运输。</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（7）运送危险废物必须向公路管理站和当地公安部门申报，按照规定路线进行运输，并由公安部门负责对危险废物收集运输过程的监管，防止危险废物的流散。发生事故情况下，及时向消防部门联系救援。</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（8）运输过程中当发生翻车、撞车导致固体废物大量溢出、散落时，运送人员应立即向本单位应急事故小组取得联系，请求当地公安交警、环境保护或城市应急联动中心的支持。</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（9）危废运输管理要求如下：</w:t>
      </w:r>
    </w:p>
    <w:p>
      <w:pPr>
        <w:spacing w:line="360" w:lineRule="auto"/>
        <w:ind w:firstLine="480" w:firstLineChars="200"/>
        <w:rPr>
          <w:rFonts w:ascii="Times New Roman" w:hAnsi="Times New Roman" w:eastAsia="宋体" w:cs="Times New Roman"/>
          <w:szCs w:val="24"/>
        </w:rPr>
      </w:pPr>
      <w:r>
        <w:rPr>
          <w:rFonts w:hint="eastAsia" w:ascii="宋体" w:hAnsi="宋体" w:eastAsia="宋体" w:cs="宋体"/>
          <w:szCs w:val="24"/>
        </w:rPr>
        <w:t>①</w:t>
      </w:r>
      <w:r>
        <w:rPr>
          <w:rFonts w:ascii="Times New Roman" w:hAnsi="Times New Roman" w:eastAsia="宋体" w:cs="Times New Roman"/>
          <w:szCs w:val="24"/>
        </w:rPr>
        <w:t>车辆调度和监控</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危险废物必须按照国家和地方制定的危险废物转移管理办法对其流向进行有效的控制。为了对危险废物运输进行监控，每辆转运车的驾驶室内均安装有卫星定位（GPS）接收机，其能实时定位转运车的空间三维坐标、运动方向和速度等；以便于合理调配车辆的行驶路线。对人工读取的周转箱条码信息及GPS等信息进行整合，并通过GPRS网络以无线方式将这些信息发送到厂区控制室，在控制系统的监控终端上算出转运车目标的位置，实现地理位置匹配，实施监控转运车行驶位置、分析最佳路径以及对突发事件做出预警和重新优化方案。</w:t>
      </w:r>
    </w:p>
    <w:p>
      <w:pPr>
        <w:spacing w:line="360" w:lineRule="auto"/>
        <w:ind w:firstLine="480" w:firstLineChars="200"/>
        <w:rPr>
          <w:rFonts w:ascii="Times New Roman" w:hAnsi="Times New Roman" w:eastAsia="宋体" w:cs="Times New Roman"/>
          <w:szCs w:val="24"/>
        </w:rPr>
      </w:pPr>
      <w:r>
        <w:rPr>
          <w:rFonts w:hint="eastAsia" w:ascii="宋体" w:hAnsi="宋体" w:eastAsia="宋体" w:cs="宋体"/>
          <w:szCs w:val="24"/>
        </w:rPr>
        <w:t>②</w:t>
      </w:r>
      <w:r>
        <w:rPr>
          <w:rFonts w:ascii="Times New Roman" w:hAnsi="Times New Roman" w:eastAsia="宋体" w:cs="Times New Roman"/>
          <w:szCs w:val="24"/>
        </w:rPr>
        <w:t>汽车行驶记录仪</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汽车行驶记录仪是减少交通事故隐患、降低事故发生率、安全行车的要求，运用现代微电子控制技术、计算机软件技术和无线数据通讯技术研制开发的一种新型安全监控综合管理系统。它能够客观记录车辆运行数据，提醒驾驶员按照规章制度行车，保障行车安全，严格控制违规操作和不良驾驶习惯和对疲劳驾驶的控制，为交通事故的分析处理提供真实资料，维护企业及驾驶员的正当权益，便于安排运营计划，动态调度、应急处理。具体如下：</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记录数据包括：发车时间、到站时间、实际里程数详尽的行驶速度曲线及行驶距离，详尽的操作记录：刹车、开门、雨刮、转弯等，中途停车时间及次数，开门时间、次数、超速时的速度及位置（GPS或固定线路）。监测车速范围为 0~100km/h，数据保存时间超过10a。</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汽车行驶记录仪应防潮、防水、防腐和耐高温。可以记录车辆每天的各种状态数据，还可以反复使用，随时读出数据，驾驶员超速行驶时发出超速报警声。使用前可以预设数个速度值，在行驶过程中只要驾驶员超过1个数值，该记录仪就会发出报警，如果再超越第二个数值报警声就会加强，提醒驾驶员注意行车安全。</w:t>
      </w:r>
    </w:p>
    <w:p>
      <w:pPr>
        <w:spacing w:line="360" w:lineRule="auto"/>
        <w:ind w:firstLine="480" w:firstLineChars="200"/>
        <w:rPr>
          <w:rFonts w:ascii="Times New Roman" w:hAnsi="Times New Roman" w:eastAsia="宋体" w:cs="Times New Roman"/>
          <w:szCs w:val="24"/>
        </w:rPr>
      </w:pPr>
      <w:r>
        <w:rPr>
          <w:rFonts w:hint="eastAsia" w:ascii="宋体" w:hAnsi="宋体" w:eastAsia="宋体" w:cs="宋体"/>
          <w:szCs w:val="24"/>
        </w:rPr>
        <w:t>③</w:t>
      </w:r>
      <w:r>
        <w:rPr>
          <w:rFonts w:ascii="Times New Roman" w:hAnsi="Times New Roman" w:eastAsia="宋体" w:cs="Times New Roman"/>
          <w:szCs w:val="24"/>
        </w:rPr>
        <w:t>应急事故处理</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每台废物运输车都会配备GPS定位系统与无线通讯装置，一旦运输过程中发现泄漏或出现车辆抛锚等紧急情况时，处置中心就会收到预警报告，并可受理车载终端的各种报警（如：非法移动、非法开关车门、超界、超速、紧急求助等）信号，锁定该报警目标，然后即可根据情况做必要处理（如监视、跟踪、提醒司机、遥控断油熄火等），防止车载废物污染环境，并及时派出救援车辆和技术人员赶往现场处理。</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在危险废物的收集运输过程中必须做好废物的密封包装，严禁将具有反应性的不相容的废物、或者性质不明的废物进行混合，防止在运输过程中的反应、渗漏、溢出或挥发等情况。</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在危险废物的包装容器或储罐上清楚地标明内盛物的类别与危害说明，以及数量和包装日期。</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承载危险废物的车辆必须有明显的标志或适当的危险符号，以引起关注。在运输过程中需持有运输许可证，其上注明废物来源、性质和运往地点。在驾驶室两侧喷涂处置中心的名称和运送车辆的编号。</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对运输危险废物的车辆必须定期进行检查，及时发现安全隐患，确保运输的安全。负责运输的司机必须通过培训，了解相关的安全知识。事先需做出周密的运输计划和行使路线，其中应包括废物泄漏情况下的有效应急措施。</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运输过程中的风险应急措施如下：</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（1）运输过程中若发生意外或突发状况，应立即通知管理部门请求救援，协助救灾疏散；</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（2）通知公安部门及相关单位，在受污染地区设立隔离区，禁止其他车辆和行人穿过，避免污染物扩散对行人造成伤害；并报告事件情况及涉及物质、种类和数量以及人员受伤情况；</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（3）立即采取行动，对散落的危险废物迅速进行收集、清理和消毒处理，移开或隔离容器；对于液体溢出物采用吸附材料吸收处理；</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（4）尽快将事故详细情况以书面报告形式上报主管部门，包括相关机构基本情况、事件发生原因、涉及的物质种类与数量、损害程度、人员健康与环境风险、解救对策和方法；</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（5）如发生交通事故后致使危险废物落入河流时，立即上报环保主管部门，并通报海事、航运等部门，积极配合废物的打捞等工作；</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（6）运输车辆应配备以下紧急应急设备：</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A、消防设施：灭火器，放置于车辆明显位置并定期维护；</w:t>
      </w:r>
    </w:p>
    <w:p>
      <w:pPr>
        <w:adjustRightInd/>
        <w:snapToGrid/>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B、急救</w:t>
      </w:r>
      <w:r>
        <w:rPr>
          <w:rFonts w:ascii="Times New Roman" w:hAnsi="Times New Roman" w:cs="Times New Roman"/>
        </w:rPr>
        <w:t>设备</w:t>
      </w:r>
      <w:r>
        <w:rPr>
          <w:rFonts w:ascii="Times New Roman" w:hAnsi="Times New Roman" w:eastAsia="宋体" w:cs="Times New Roman"/>
          <w:szCs w:val="24"/>
        </w:rPr>
        <w:t>：包括绷带、纱布、胶布、消炎软膏、阿司匹林及催吐剂；</w:t>
      </w:r>
    </w:p>
    <w:p>
      <w:pPr>
        <w:adjustRightInd/>
        <w:snapToGrid/>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C、人员防</w:t>
      </w:r>
      <w:r>
        <w:rPr>
          <w:rFonts w:ascii="Times New Roman" w:hAnsi="Times New Roman" w:cs="Times New Roman"/>
        </w:rPr>
        <w:t>护装备：除应有的工作服及保护皮靴外，还备有保护衣物、安全帽等；</w:t>
      </w:r>
    </w:p>
    <w:p>
      <w:pPr>
        <w:adjustRightInd/>
        <w:snapToGrid/>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D、通讯系统：备有移动电话或对讲机。</w:t>
      </w:r>
    </w:p>
    <w:p>
      <w:pPr>
        <w:pStyle w:val="5"/>
        <w:ind w:firstLine="482"/>
        <w:rPr>
          <w:rFonts w:ascii="Times New Roman" w:hAnsi="Times New Roman" w:cs="Times New Roman"/>
        </w:rPr>
      </w:pPr>
      <w:r>
        <w:rPr>
          <w:rFonts w:ascii="Times New Roman" w:hAnsi="Times New Roman" w:cs="Times New Roman"/>
        </w:rPr>
        <w:t>7.7.2.6 危废贮存系统防范措施</w:t>
      </w:r>
    </w:p>
    <w:p>
      <w:pPr>
        <w:adjustRightInd/>
        <w:snapToGrid/>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（1）装卸车和运输工具应仔细检查监督，防止废物泼洒、渗漏；</w:t>
      </w:r>
    </w:p>
    <w:p>
      <w:pPr>
        <w:adjustRightInd/>
        <w:snapToGrid/>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（2）装卸</w:t>
      </w:r>
      <w:r>
        <w:rPr>
          <w:rFonts w:ascii="Times New Roman" w:hAnsi="Times New Roman" w:cs="Times New Roman"/>
        </w:rPr>
        <w:t>危险</w:t>
      </w:r>
      <w:r>
        <w:rPr>
          <w:rFonts w:ascii="Times New Roman" w:hAnsi="Times New Roman" w:eastAsia="宋体" w:cs="Times New Roman"/>
          <w:szCs w:val="24"/>
        </w:rPr>
        <w:t>废物前，车辆必须熄火，静电接地，方可卸危险废物；</w:t>
      </w:r>
    </w:p>
    <w:p>
      <w:pPr>
        <w:adjustRightInd/>
        <w:snapToGrid/>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（3）暂存库地面防渗按《危险废物贮存污染控制标准》GB 18597-2023要求执行，地面与裙脚要用坚固、防渗、耐腐蚀的材料建造，建筑材料必须与危险废物相容。</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（4）各暂存库均设置导流沟及容积为10m³的集液池，连接厂区事故池，以收集出现事故后泄露的危险废物。</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（5）各暂存库要有安全照明设施和观察窗口。</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（6）不相容的危险废物必须分开存放，并设有隔离间隔断。</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（7）合理安排运输和生产，科学调度，尽量缩短物料在厂内的贮存时间。</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（8）作业人员应穿工作服，戴手套、口罩等必要的防护用具，操作中轻搬轻放，防止摩擦和撞击。</w:t>
      </w:r>
    </w:p>
    <w:p>
      <w:pPr>
        <w:adjustRightInd/>
        <w:snapToGrid/>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（9）在处理过程中发生风险事故，使用灭火器灭火，灭火后的消防水应收集后进入厂区污水处理站进行处理。</w:t>
      </w:r>
    </w:p>
    <w:p>
      <w:pPr>
        <w:pStyle w:val="5"/>
        <w:ind w:firstLine="482"/>
        <w:rPr>
          <w:rFonts w:ascii="Times New Roman" w:hAnsi="Times New Roman" w:cs="Times New Roman"/>
        </w:rPr>
      </w:pPr>
      <w:r>
        <w:rPr>
          <w:rFonts w:ascii="Times New Roman" w:hAnsi="Times New Roman" w:cs="Times New Roman"/>
        </w:rPr>
        <w:t>7.7.2.7 火灾事故风险防范措施</w:t>
      </w:r>
    </w:p>
    <w:p>
      <w:pPr>
        <w:adjustRightInd/>
        <w:snapToGrid/>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1、处置</w:t>
      </w:r>
      <w:r>
        <w:rPr>
          <w:rFonts w:ascii="Times New Roman" w:hAnsi="Times New Roman" w:cs="Times New Roman"/>
        </w:rPr>
        <w:t>措施</w:t>
      </w:r>
    </w:p>
    <w:p>
      <w:pPr>
        <w:adjustRightInd/>
        <w:snapToGrid/>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一旦发生火灾爆炸事故，有关部门应立即开启报警系统，并报119火警。由当时现场最高领导人（负责人）负责现场应急指挥，组织指挥采取各项应急措施、救火救灾，包括重大设备设施的紧急关闭。</w:t>
      </w:r>
    </w:p>
    <w:p>
      <w:pPr>
        <w:adjustRightInd/>
        <w:snapToGrid/>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（1）接到报警后，调度</w:t>
      </w:r>
      <w:r>
        <w:rPr>
          <w:rFonts w:ascii="Times New Roman" w:hAnsi="Times New Roman" w:cs="Times New Roman"/>
        </w:rPr>
        <w:t>值班室</w:t>
      </w:r>
      <w:r>
        <w:rPr>
          <w:rFonts w:ascii="Times New Roman" w:hAnsi="Times New Roman" w:eastAsia="宋体" w:cs="Times New Roman"/>
          <w:szCs w:val="24"/>
        </w:rPr>
        <w:t>应及时通知有关人员，及时组成公司应急指挥部直接组织指挥应急行动。</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（2）立即实施现场灭火应急行动</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公司义务消防队立即到达火灾现场，隔离或清除火灾现场附近的设备、杂物，疏散现场人员，为灭火救援工作创造必要的条件。利用消防水进行灭火，用无火花盛器或防爆型吸泵等收集事故废水。当公司力量达不到扑灭全部火灾时，要做到冷却设备，扑灭流散火灾，控制火灾蔓延扩大，坚持待援。</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对火灾相邻管线采取降温冷却等措施，停输原料，并进行放散，防止发生二次火灾、爆炸事故。</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2、注意事项</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（1）使用抢险救援器材方面的注意事项</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使用的堵漏器材不得产生静电、火花，以免发生新的危险。</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（2）采取救援对策或措施方面的注意事项</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处理易燃物料泄漏事故时应谨慎小心，不得盲目采取措施，防止大面积泄漏。</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泄漏救援时一定要注意空中物料浓度，以免中毒。</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（3）现场应急处置能力确认和人员安全防护等事项</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根据事态的发展，如易燃物料泄漏在段时间内得不到控制，应立即扩大应急范围，向社会请求增援。</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有发生火灾爆炸危险的事态下，应将无关人员撤离到安全地点，并向周边单位发出撤离疏散信息。</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（4）应急救援结束后的注意事项</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清点救灾人员；</w:t>
      </w:r>
    </w:p>
    <w:p>
      <w:pPr>
        <w:spacing w:line="360" w:lineRule="auto"/>
        <w:ind w:firstLine="480" w:firstLineChars="200"/>
        <w:rPr>
          <w:rFonts w:ascii="Times New Roman" w:hAnsi="Times New Roman" w:eastAsia="宋体" w:cs="Times New Roman"/>
          <w:szCs w:val="24"/>
        </w:rPr>
      </w:pPr>
      <w:r>
        <w:rPr>
          <w:rFonts w:ascii="Times New Roman" w:hAnsi="Times New Roman" w:eastAsia="宋体" w:cs="Times New Roman"/>
          <w:szCs w:val="24"/>
        </w:rPr>
        <w:t>清点应急物资的使用情况，并及时更新和维护。</w:t>
      </w:r>
    </w:p>
    <w:p>
      <w:pPr>
        <w:spacing w:line="360" w:lineRule="auto"/>
        <w:ind w:firstLine="480" w:firstLineChars="200"/>
        <w:jc w:val="center"/>
        <w:rPr>
          <w:rFonts w:ascii="Times New Roman" w:hAnsi="Times New Roman" w:eastAsia="宋体" w:cs="Times New Roman"/>
          <w:szCs w:val="24"/>
        </w:rPr>
      </w:pPr>
      <w:r>
        <w:rPr>
          <w:rFonts w:ascii="Times New Roman" w:hAnsi="Times New Roman" w:eastAsia="宋体" w:cs="Times New Roman"/>
          <w:szCs w:val="24"/>
        </w:rPr>
        <mc:AlternateContent>
          <mc:Choice Requires="wps">
            <w:drawing>
              <wp:anchor distT="0" distB="0" distL="114300" distR="114300" simplePos="0" relativeHeight="251666432" behindDoc="0" locked="0" layoutInCell="1" allowOverlap="1">
                <wp:simplePos x="0" y="0"/>
                <wp:positionH relativeFrom="column">
                  <wp:posOffset>4045585</wp:posOffset>
                </wp:positionH>
                <wp:positionV relativeFrom="paragraph">
                  <wp:posOffset>3442335</wp:posOffset>
                </wp:positionV>
                <wp:extent cx="1046480" cy="297180"/>
                <wp:effectExtent l="476250" t="0" r="20320" b="26670"/>
                <wp:wrapNone/>
                <wp:docPr id="112" name="矩形标注 91"/>
                <wp:cNvGraphicFramePr/>
                <a:graphic xmlns:a="http://schemas.openxmlformats.org/drawingml/2006/main">
                  <a:graphicData uri="http://schemas.microsoft.com/office/word/2010/wordprocessingShape">
                    <wps:wsp>
                      <wps:cNvSpPr>
                        <a:spLocks noChangeArrowheads="1"/>
                      </wps:cNvSpPr>
                      <wps:spPr bwMode="auto">
                        <a:xfrm>
                          <a:off x="0" y="0"/>
                          <a:ext cx="1046602" cy="297180"/>
                        </a:xfrm>
                        <a:prstGeom prst="wedgeRectCallout">
                          <a:avLst>
                            <a:gd name="adj1" fmla="val -91570"/>
                            <a:gd name="adj2" fmla="val -16315"/>
                          </a:avLst>
                        </a:prstGeom>
                        <a:noFill/>
                        <a:ln w="12700">
                          <a:solidFill>
                            <a:srgbClr val="000000"/>
                          </a:solidFill>
                          <a:miter lim="800000"/>
                        </a:ln>
                      </wps:spPr>
                      <wps:txbx>
                        <w:txbxContent>
                          <w:p>
                            <w:pPr>
                              <w:jc w:val="center"/>
                            </w:pPr>
                            <w:r>
                              <w:rPr>
                                <w:rFonts w:hint="eastAsia"/>
                              </w:rPr>
                              <w:t>厂区出入口</w:t>
                            </w:r>
                          </w:p>
                        </w:txbxContent>
                      </wps:txbx>
                      <wps:bodyPr rot="0" vert="horz" wrap="square" lIns="91440" tIns="45720" rIns="91440" bIns="45720" anchor="ctr" anchorCtr="0" upright="1">
                        <a:noAutofit/>
                      </wps:bodyPr>
                    </wps:wsp>
                  </a:graphicData>
                </a:graphic>
              </wp:anchor>
            </w:drawing>
          </mc:Choice>
          <mc:Fallback>
            <w:pict>
              <v:shape id="矩形标注 91" o:spid="_x0000_s1026" o:spt="61" type="#_x0000_t61" style="position:absolute;left:0pt;margin-left:318.55pt;margin-top:271.05pt;height:23.4pt;width:82.4pt;z-index:251666432;v-text-anchor:middle;mso-width-relative:page;mso-height-relative:page;" filled="f" stroked="t" coordsize="21600,21600" o:gfxdata="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KiJljvbAAAACwEAAA8AAAAAAAAAAQAgAAAAIgAAAGRycy9kb3du&#10;cmV2LnhtbFBLAQIUABQAAAAIAIdO4kD6YahMbgIAALwEAAAOAAAAAAAAAAEAIAAAACoBAABkcnMv&#10;ZTJvRG9jLnhtbFBLBQYAAAAABgAGAFkBAAAKBgAAAAA=&#10;" adj="-8979,7276">
                <v:fill on="f" focussize="0,0"/>
                <v:stroke weight="1pt" color="#000000" miterlimit="8" joinstyle="miter"/>
                <v:imagedata o:title=""/>
                <o:lock v:ext="edit" aspectratio="f"/>
                <v:textbox>
                  <w:txbxContent>
                    <w:p>
                      <w:pPr>
                        <w:jc w:val="center"/>
                      </w:pPr>
                      <w:r>
                        <w:rPr>
                          <w:rFonts w:hint="eastAsia"/>
                        </w:rPr>
                        <w:t>厂区出入口</w:t>
                      </w:r>
                    </w:p>
                  </w:txbxContent>
                </v:textbox>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659264" behindDoc="0" locked="0" layoutInCell="1" allowOverlap="1">
                <wp:simplePos x="0" y="0"/>
                <wp:positionH relativeFrom="column">
                  <wp:posOffset>3376930</wp:posOffset>
                </wp:positionH>
                <wp:positionV relativeFrom="paragraph">
                  <wp:posOffset>3415665</wp:posOffset>
                </wp:positionV>
                <wp:extent cx="319405" cy="233045"/>
                <wp:effectExtent l="19050" t="19050" r="43180" b="15240"/>
                <wp:wrapNone/>
                <wp:docPr id="111" name="等腰三角形 90"/>
                <wp:cNvGraphicFramePr/>
                <a:graphic xmlns:a="http://schemas.openxmlformats.org/drawingml/2006/main">
                  <a:graphicData uri="http://schemas.microsoft.com/office/word/2010/wordprocessingShape">
                    <wps:wsp>
                      <wps:cNvSpPr>
                        <a:spLocks noChangeArrowheads="1"/>
                      </wps:cNvSpPr>
                      <wps:spPr bwMode="auto">
                        <a:xfrm>
                          <a:off x="0" y="0"/>
                          <a:ext cx="319177" cy="232914"/>
                        </a:xfrm>
                        <a:prstGeom prst="triangle">
                          <a:avLst>
                            <a:gd name="adj" fmla="val 50000"/>
                          </a:avLst>
                        </a:prstGeom>
                        <a:solidFill>
                          <a:srgbClr val="FF0000"/>
                        </a:solidFill>
                        <a:ln w="12700">
                          <a:solidFill>
                            <a:srgbClr val="1F3763"/>
                          </a:solidFill>
                          <a:miter lim="800000"/>
                        </a:ln>
                      </wps:spPr>
                      <wps:bodyPr rot="0" vert="horz" wrap="square" lIns="91440" tIns="45720" rIns="91440" bIns="45720" anchor="ctr" anchorCtr="0" upright="1">
                        <a:noAutofit/>
                      </wps:bodyPr>
                    </wps:wsp>
                  </a:graphicData>
                </a:graphic>
              </wp:anchor>
            </w:drawing>
          </mc:Choice>
          <mc:Fallback>
            <w:pict>
              <v:shape id="等腰三角形 90" o:spid="_x0000_s1026" o:spt="5" type="#_x0000_t5" style="position:absolute;left:0pt;margin-left:265.9pt;margin-top:268.95pt;height:18.35pt;width:25.15pt;z-index:251659264;v-text-anchor:middle;mso-width-relative:page;mso-height-relative:page;" fillcolor="#FF0000" filled="t" stroked="t" coordsize="21600,21600" o:gfxdata="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FsLM19gAAAALAQAADwAAAAAAAAABACAAAAAiAAAAZHJzL2Rvd25yZXYueG1sUEsBAhQAFAAAAAgA&#10;h07iQO6OKnheAgAArQQAAA4AAAAAAAAAAQAgAAAAJwEAAGRycy9lMm9Eb2MueG1sUEsFBgAAAAAG&#10;AAYAWQEAAPcFAAAAAA==&#10;" adj="10800">
                <v:fill on="t" focussize="0,0"/>
                <v:stroke weight="1pt" color="#1F3763" miterlimit="8" joinstyle="miter"/>
                <v:imagedata o:title=""/>
                <o:lock v:ext="edit" aspectratio="f"/>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664384" behindDoc="0" locked="0" layoutInCell="1" allowOverlap="1">
                <wp:simplePos x="0" y="0"/>
                <wp:positionH relativeFrom="column">
                  <wp:posOffset>2560320</wp:posOffset>
                </wp:positionH>
                <wp:positionV relativeFrom="paragraph">
                  <wp:posOffset>3392170</wp:posOffset>
                </wp:positionV>
                <wp:extent cx="171450" cy="323850"/>
                <wp:effectExtent l="19050" t="38100" r="0" b="19050"/>
                <wp:wrapNone/>
                <wp:docPr id="58" name="下箭头 88"/>
                <wp:cNvGraphicFramePr/>
                <a:graphic xmlns:a="http://schemas.openxmlformats.org/drawingml/2006/main">
                  <a:graphicData uri="http://schemas.microsoft.com/office/word/2010/wordprocessingShape">
                    <wps:wsp>
                      <wps:cNvSpPr>
                        <a:spLocks noChangeArrowheads="1"/>
                      </wps:cNvSpPr>
                      <wps:spPr bwMode="auto">
                        <a:xfrm rot="15646415">
                          <a:off x="0" y="0"/>
                          <a:ext cx="171450" cy="323850"/>
                        </a:xfrm>
                        <a:prstGeom prst="downArrow">
                          <a:avLst>
                            <a:gd name="adj1" fmla="val 50000"/>
                            <a:gd name="adj2" fmla="val 50003"/>
                          </a:avLst>
                        </a:prstGeom>
                        <a:solidFill>
                          <a:srgbClr val="FFFF00"/>
                        </a:solidFill>
                        <a:ln w="12700">
                          <a:solidFill>
                            <a:srgbClr val="000000"/>
                          </a:solidFill>
                          <a:miter lim="800000"/>
                        </a:ln>
                      </wps:spPr>
                      <wps:bodyPr rot="0" vert="horz" wrap="square" lIns="91440" tIns="45720" rIns="91440" bIns="45720" anchor="ctr" anchorCtr="0" upright="1">
                        <a:noAutofit/>
                      </wps:bodyPr>
                    </wps:wsp>
                  </a:graphicData>
                </a:graphic>
              </wp:anchor>
            </w:drawing>
          </mc:Choice>
          <mc:Fallback>
            <w:pict>
              <v:shape id="下箭头 88" o:spid="_x0000_s1026" o:spt="67" type="#_x0000_t67" style="position:absolute;left:0pt;margin-left:201.6pt;margin-top:267.1pt;height:25.5pt;width:13.5pt;rotation:-6502902f;z-index:251664384;v-text-anchor:middle;mso-width-relative:page;mso-height-relative:page;" fillcolor="#FFFF00" filled="t" stroked="t" coordsize="21600,21600" o:gfxdata="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gK+uNNwAAAALAQAADwAAAAAAAAABACAAAAAiAAAAZHJzL2Rvd25yZXYueG1sUEsB&#10;AhQAFAAAAAgAh07iQNj+xs9jAgAA2wQAAA4AAAAAAAAAAQAgAAAAKwEAAGRycy9lMm9Eb2MueG1s&#10;UEsFBgAAAAAGAAYAWQEAAAAGAAAAAA==&#10;" adj="15883,5400">
                <v:fill on="t" focussize="0,0"/>
                <v:stroke weight="1pt" color="#000000" miterlimit="8" joinstyle="miter"/>
                <v:imagedata o:title=""/>
                <o:lock v:ext="edit" aspectratio="f"/>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663360" behindDoc="0" locked="0" layoutInCell="1" allowOverlap="1">
                <wp:simplePos x="0" y="0"/>
                <wp:positionH relativeFrom="column">
                  <wp:posOffset>3535680</wp:posOffset>
                </wp:positionH>
                <wp:positionV relativeFrom="paragraph">
                  <wp:posOffset>2819400</wp:posOffset>
                </wp:positionV>
                <wp:extent cx="171450" cy="323850"/>
                <wp:effectExtent l="19050" t="19050" r="38100" b="19050"/>
                <wp:wrapNone/>
                <wp:docPr id="57" name="下箭头 88"/>
                <wp:cNvGraphicFramePr/>
                <a:graphic xmlns:a="http://schemas.openxmlformats.org/drawingml/2006/main">
                  <a:graphicData uri="http://schemas.microsoft.com/office/word/2010/wordprocessingShape">
                    <wps:wsp>
                      <wps:cNvSpPr>
                        <a:spLocks noChangeArrowheads="1"/>
                      </wps:cNvSpPr>
                      <wps:spPr bwMode="auto">
                        <a:xfrm rot="20932180">
                          <a:off x="0" y="0"/>
                          <a:ext cx="171450" cy="323850"/>
                        </a:xfrm>
                        <a:prstGeom prst="downArrow">
                          <a:avLst>
                            <a:gd name="adj1" fmla="val 50000"/>
                            <a:gd name="adj2" fmla="val 50003"/>
                          </a:avLst>
                        </a:prstGeom>
                        <a:solidFill>
                          <a:srgbClr val="FFFF00"/>
                        </a:solidFill>
                        <a:ln w="12700">
                          <a:solidFill>
                            <a:srgbClr val="000000"/>
                          </a:solidFill>
                          <a:miter lim="800000"/>
                        </a:ln>
                      </wps:spPr>
                      <wps:bodyPr rot="0" vert="horz" wrap="square" lIns="91440" tIns="45720" rIns="91440" bIns="45720" anchor="ctr" anchorCtr="0" upright="1">
                        <a:noAutofit/>
                      </wps:bodyPr>
                    </wps:wsp>
                  </a:graphicData>
                </a:graphic>
              </wp:anchor>
            </w:drawing>
          </mc:Choice>
          <mc:Fallback>
            <w:pict>
              <v:shape id="下箭头 88" o:spid="_x0000_s1026" o:spt="67" type="#_x0000_t67" style="position:absolute;left:0pt;margin-left:278.4pt;margin-top:222pt;height:25.5pt;width:13.5pt;rotation:-729438f;z-index:251663360;v-text-anchor:middle;mso-width-relative:page;mso-height-relative:page;" fillcolor="#FFFF00" filled="t" stroked="t" coordsize="21600,21600" o:gfxdata="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MBNrT2AAAAAsBAAAPAAAAAAAAAAEAIAAAACIAAABkcnMvZG93bnJldi54bWxQSwECFAAU&#10;AAAACACHTuJAQjpMdWMCAADbBAAADgAAAAAAAAABACAAAAAnAQAAZHJzL2Uyb0RvYy54bWxQSwUG&#10;AAAAAAYABgBZAQAA/AUAAAAA&#10;" adj="15883,5400">
                <v:fill on="t" focussize="0,0"/>
                <v:stroke weight="1pt" color="#000000" miterlimit="8" joinstyle="miter"/>
                <v:imagedata o:title=""/>
                <o:lock v:ext="edit" aspectratio="f"/>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662336" behindDoc="0" locked="0" layoutInCell="1" allowOverlap="1">
                <wp:simplePos x="0" y="0"/>
                <wp:positionH relativeFrom="column">
                  <wp:posOffset>1734185</wp:posOffset>
                </wp:positionH>
                <wp:positionV relativeFrom="paragraph">
                  <wp:posOffset>2367915</wp:posOffset>
                </wp:positionV>
                <wp:extent cx="171450" cy="323850"/>
                <wp:effectExtent l="19050" t="19050" r="38100" b="19050"/>
                <wp:wrapNone/>
                <wp:docPr id="56" name="下箭头 88"/>
                <wp:cNvGraphicFramePr/>
                <a:graphic xmlns:a="http://schemas.openxmlformats.org/drawingml/2006/main">
                  <a:graphicData uri="http://schemas.microsoft.com/office/word/2010/wordprocessingShape">
                    <wps:wsp>
                      <wps:cNvSpPr>
                        <a:spLocks noChangeArrowheads="1"/>
                      </wps:cNvSpPr>
                      <wps:spPr bwMode="auto">
                        <a:xfrm rot="20932180">
                          <a:off x="0" y="0"/>
                          <a:ext cx="171450" cy="323850"/>
                        </a:xfrm>
                        <a:prstGeom prst="downArrow">
                          <a:avLst>
                            <a:gd name="adj1" fmla="val 50000"/>
                            <a:gd name="adj2" fmla="val 50003"/>
                          </a:avLst>
                        </a:prstGeom>
                        <a:solidFill>
                          <a:srgbClr val="FFFF00"/>
                        </a:solidFill>
                        <a:ln w="12700">
                          <a:solidFill>
                            <a:srgbClr val="000000"/>
                          </a:solidFill>
                          <a:miter lim="800000"/>
                        </a:ln>
                      </wps:spPr>
                      <wps:bodyPr rot="0" vert="horz" wrap="square" lIns="91440" tIns="45720" rIns="91440" bIns="45720" anchor="ctr" anchorCtr="0" upright="1">
                        <a:noAutofit/>
                      </wps:bodyPr>
                    </wps:wsp>
                  </a:graphicData>
                </a:graphic>
              </wp:anchor>
            </w:drawing>
          </mc:Choice>
          <mc:Fallback>
            <w:pict>
              <v:shape id="下箭头 88" o:spid="_x0000_s1026" o:spt="67" type="#_x0000_t67" style="position:absolute;left:0pt;margin-left:136.55pt;margin-top:186.45pt;height:25.5pt;width:13.5pt;rotation:-729438f;z-index:251662336;v-text-anchor:middle;mso-width-relative:page;mso-height-relative:page;" fillcolor="#FFFF00" filled="t" stroked="t" coordsize="21600,21600" o:gfxdata="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1rvAz9kAAAALAQAADwAAAAAAAAABACAAAAAiAAAAZHJzL2Rvd25yZXYueG1sUEsBAhQA&#10;FAAAAAgAh07iQN1e3ZFjAgAA2wQAAA4AAAAAAAAAAQAgAAAAKAEAAGRycy9lMm9Eb2MueG1sUEsF&#10;BgAAAAAGAAYAWQEAAP0FAAAAAA==&#10;" adj="15883,5400">
                <v:fill on="t" focussize="0,0"/>
                <v:stroke weight="1pt" color="#000000" miterlimit="8" joinstyle="miter"/>
                <v:imagedata o:title=""/>
                <o:lock v:ext="edit" aspectratio="f"/>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660288" behindDoc="0" locked="0" layoutInCell="1" allowOverlap="1">
                <wp:simplePos x="0" y="0"/>
                <wp:positionH relativeFrom="column">
                  <wp:posOffset>3265170</wp:posOffset>
                </wp:positionH>
                <wp:positionV relativeFrom="paragraph">
                  <wp:posOffset>756920</wp:posOffset>
                </wp:positionV>
                <wp:extent cx="171450" cy="323850"/>
                <wp:effectExtent l="19050" t="19050" r="38100" b="19050"/>
                <wp:wrapNone/>
                <wp:docPr id="109" name="下箭头 88"/>
                <wp:cNvGraphicFramePr/>
                <a:graphic xmlns:a="http://schemas.openxmlformats.org/drawingml/2006/main">
                  <a:graphicData uri="http://schemas.microsoft.com/office/word/2010/wordprocessingShape">
                    <wps:wsp>
                      <wps:cNvSpPr>
                        <a:spLocks noChangeArrowheads="1"/>
                      </wps:cNvSpPr>
                      <wps:spPr bwMode="auto">
                        <a:xfrm rot="20932180">
                          <a:off x="0" y="0"/>
                          <a:ext cx="171450" cy="323850"/>
                        </a:xfrm>
                        <a:prstGeom prst="downArrow">
                          <a:avLst>
                            <a:gd name="adj1" fmla="val 50000"/>
                            <a:gd name="adj2" fmla="val 50003"/>
                          </a:avLst>
                        </a:prstGeom>
                        <a:solidFill>
                          <a:srgbClr val="FFFF00"/>
                        </a:solidFill>
                        <a:ln w="12700">
                          <a:solidFill>
                            <a:srgbClr val="000000"/>
                          </a:solidFill>
                          <a:miter lim="800000"/>
                        </a:ln>
                      </wps:spPr>
                      <wps:bodyPr rot="0" vert="horz" wrap="square" lIns="91440" tIns="45720" rIns="91440" bIns="45720" anchor="ctr" anchorCtr="0" upright="1">
                        <a:noAutofit/>
                      </wps:bodyPr>
                    </wps:wsp>
                  </a:graphicData>
                </a:graphic>
              </wp:anchor>
            </w:drawing>
          </mc:Choice>
          <mc:Fallback>
            <w:pict>
              <v:shape id="下箭头 88" o:spid="_x0000_s1026" o:spt="67" type="#_x0000_t67" style="position:absolute;left:0pt;margin-left:257.1pt;margin-top:59.6pt;height:25.5pt;width:13.5pt;rotation:-729438f;z-index:251660288;v-text-anchor:middle;mso-width-relative:page;mso-height-relative:page;" fillcolor="#FFFF00" filled="t" stroked="t" coordsize="21600,21600" o:gfxdata="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e3lF7dgAAAALAQAADwAAAAAAAAABACAAAAAiAAAAZHJzL2Rvd25yZXYueG1sUEsBAhQA&#10;FAAAAAgAh07iQOYX1yNkAgAA3AQAAA4AAAAAAAAAAQAgAAAAJwEAAGRycy9lMm9Eb2MueG1sUEsF&#10;BgAAAAAGAAYAWQEAAP0FAAAAAA==&#10;" adj="15883,5400">
                <v:fill on="t" focussize="0,0"/>
                <v:stroke weight="1pt" color="#000000" miterlimit="8" joinstyle="miter"/>
                <v:imagedata o:title=""/>
                <o:lock v:ext="edit" aspectratio="f"/>
              </v:shape>
            </w:pict>
          </mc:Fallback>
        </mc:AlternateContent>
      </w:r>
      <w:r>
        <w:drawing>
          <wp:inline distT="0" distB="0" distL="0" distR="0">
            <wp:extent cx="2920365" cy="4128770"/>
            <wp:effectExtent l="0" t="0" r="0" b="508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56"/>
                    <a:stretch>
                      <a:fillRect/>
                    </a:stretch>
                  </pic:blipFill>
                  <pic:spPr>
                    <a:xfrm>
                      <a:off x="0" y="0"/>
                      <a:ext cx="2920621" cy="4128815"/>
                    </a:xfrm>
                    <a:prstGeom prst="rect">
                      <a:avLst/>
                    </a:prstGeom>
                  </pic:spPr>
                </pic:pic>
              </a:graphicData>
            </a:graphic>
          </wp:inline>
        </w:drawing>
      </w:r>
    </w:p>
    <w:p>
      <w:pPr>
        <w:pStyle w:val="6"/>
        <w:rPr>
          <w:rFonts w:ascii="Times New Roman" w:hAnsi="Times New Roman" w:cs="Times New Roman"/>
          <w:lang w:val="zh-CN"/>
        </w:rPr>
      </w:pPr>
      <w:r>
        <w:rPr>
          <w:rFonts w:ascii="Times New Roman" w:hAnsi="Times New Roman" w:cs="Times New Roman"/>
          <w:lang w:val="zh-CN"/>
        </w:rPr>
        <w:t>图7.7-1</w:t>
      </w:r>
      <w:r>
        <w:rPr>
          <w:rFonts w:hint="eastAsia" w:ascii="Times New Roman" w:hAnsi="Times New Roman" w:cs="Times New Roman"/>
          <w:lang w:val="zh-CN"/>
        </w:rPr>
        <w:t>（1）</w:t>
      </w:r>
      <w:r>
        <w:rPr>
          <w:rFonts w:ascii="Times New Roman" w:hAnsi="Times New Roman" w:cs="Times New Roman"/>
          <w:lang w:val="zh-CN"/>
        </w:rPr>
        <w:t xml:space="preserve">  厂区应急疏散指示图</w:t>
      </w:r>
    </w:p>
    <w:p>
      <w:pPr>
        <w:jc w:val="center"/>
        <w:rPr>
          <w:lang w:val="zh-CN"/>
        </w:rPr>
      </w:pPr>
      <w:r>
        <w:rPr>
          <w:rFonts w:ascii="Times New Roman" w:hAnsi="Times New Roman" w:eastAsia="宋体" w:cs="Times New Roman"/>
          <w:szCs w:val="24"/>
        </w:rPr>
        <mc:AlternateContent>
          <mc:Choice Requires="wps">
            <w:drawing>
              <wp:anchor distT="0" distB="0" distL="114300" distR="114300" simplePos="0" relativeHeight="251667456" behindDoc="0" locked="0" layoutInCell="1" allowOverlap="1">
                <wp:simplePos x="0" y="0"/>
                <wp:positionH relativeFrom="column">
                  <wp:posOffset>1418590</wp:posOffset>
                </wp:positionH>
                <wp:positionV relativeFrom="paragraph">
                  <wp:posOffset>-15240</wp:posOffset>
                </wp:positionV>
                <wp:extent cx="920750" cy="297180"/>
                <wp:effectExtent l="0" t="0" r="317500" b="45720"/>
                <wp:wrapNone/>
                <wp:docPr id="63" name="矩形标注 91"/>
                <wp:cNvGraphicFramePr/>
                <a:graphic xmlns:a="http://schemas.openxmlformats.org/drawingml/2006/main">
                  <a:graphicData uri="http://schemas.microsoft.com/office/word/2010/wordprocessingShape">
                    <wps:wsp>
                      <wps:cNvSpPr>
                        <a:spLocks noChangeArrowheads="1"/>
                      </wps:cNvSpPr>
                      <wps:spPr bwMode="auto">
                        <a:xfrm>
                          <a:off x="0" y="0"/>
                          <a:ext cx="920750" cy="297180"/>
                        </a:xfrm>
                        <a:prstGeom prst="wedgeRectCallout">
                          <a:avLst>
                            <a:gd name="adj1" fmla="val 78944"/>
                            <a:gd name="adj2" fmla="val 47546"/>
                          </a:avLst>
                        </a:prstGeom>
                        <a:solidFill>
                          <a:schemeClr val="bg1"/>
                        </a:solidFill>
                        <a:ln w="12700">
                          <a:solidFill>
                            <a:srgbClr val="000000"/>
                          </a:solidFill>
                          <a:miter lim="800000"/>
                        </a:ln>
                      </wps:spPr>
                      <wps:txbx>
                        <w:txbxContent>
                          <w:p>
                            <w:pPr>
                              <w:jc w:val="center"/>
                            </w:pPr>
                            <w:r>
                              <w:rPr>
                                <w:rFonts w:hint="eastAsia"/>
                              </w:rPr>
                              <w:t>厂区出入口</w:t>
                            </w:r>
                          </w:p>
                        </w:txbxContent>
                      </wps:txbx>
                      <wps:bodyPr rot="0" vert="horz" wrap="square" lIns="91440" tIns="45720" rIns="91440" bIns="45720" anchor="ctr" anchorCtr="0" upright="1">
                        <a:noAutofit/>
                      </wps:bodyPr>
                    </wps:wsp>
                  </a:graphicData>
                </a:graphic>
              </wp:anchor>
            </w:drawing>
          </mc:Choice>
          <mc:Fallback>
            <w:pict>
              <v:shape id="矩形标注 91" o:spid="_x0000_s1026" o:spt="61" type="#_x0000_t61" style="position:absolute;left:0pt;margin-left:111.7pt;margin-top:-1.2pt;height:23.4pt;width:72.5pt;z-index:251667456;v-text-anchor:middle;mso-width-relative:page;mso-height-relative:page;" fillcolor="#FFFFFF [3212]" filled="t" stroked="t" coordsize="21600,21600" o:gfxdata="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zWafF9gAAAAJAQAADwAAAAAAAAABACAAAAAiAAAAZHJzL2Rvd25y&#10;ZXYueG1sUEsBAhQAFAAAAAgAh07iQIygx6VwAgAA4QQAAA4AAAAAAAAAAQAgAAAAJwEAAGRycy9l&#10;Mm9Eb2MueG1sUEsFBgAAAAAGAAYAWQEAAAkGAAAAAA==&#10;" adj="27852,21070">
                <v:fill on="t" focussize="0,0"/>
                <v:stroke weight="1pt" color="#000000" miterlimit="8" joinstyle="miter"/>
                <v:imagedata o:title=""/>
                <o:lock v:ext="edit" aspectratio="f"/>
                <v:textbox>
                  <w:txbxContent>
                    <w:p>
                      <w:pPr>
                        <w:jc w:val="center"/>
                      </w:pPr>
                      <w:r>
                        <w:rPr>
                          <w:rFonts w:hint="eastAsia"/>
                        </w:rPr>
                        <w:t>厂区出入口</w:t>
                      </w:r>
                    </w:p>
                  </w:txbxContent>
                </v:textbox>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670528" behindDoc="0" locked="0" layoutInCell="1" allowOverlap="1">
                <wp:simplePos x="0" y="0"/>
                <wp:positionH relativeFrom="column">
                  <wp:posOffset>2393315</wp:posOffset>
                </wp:positionH>
                <wp:positionV relativeFrom="paragraph">
                  <wp:posOffset>2835275</wp:posOffset>
                </wp:positionV>
                <wp:extent cx="171450" cy="323850"/>
                <wp:effectExtent l="38100" t="19050" r="19050" b="19050"/>
                <wp:wrapNone/>
                <wp:docPr id="66" name="下箭头 88"/>
                <wp:cNvGraphicFramePr/>
                <a:graphic xmlns:a="http://schemas.openxmlformats.org/drawingml/2006/main">
                  <a:graphicData uri="http://schemas.microsoft.com/office/word/2010/wordprocessingShape">
                    <wps:wsp>
                      <wps:cNvSpPr>
                        <a:spLocks noChangeArrowheads="1"/>
                      </wps:cNvSpPr>
                      <wps:spPr bwMode="auto">
                        <a:xfrm rot="10479910">
                          <a:off x="0" y="0"/>
                          <a:ext cx="171450" cy="323850"/>
                        </a:xfrm>
                        <a:prstGeom prst="downArrow">
                          <a:avLst>
                            <a:gd name="adj1" fmla="val 50000"/>
                            <a:gd name="adj2" fmla="val 50003"/>
                          </a:avLst>
                        </a:prstGeom>
                        <a:solidFill>
                          <a:srgbClr val="FFFF00"/>
                        </a:solidFill>
                        <a:ln w="12700">
                          <a:solidFill>
                            <a:srgbClr val="000000"/>
                          </a:solidFill>
                          <a:miter lim="800000"/>
                        </a:ln>
                      </wps:spPr>
                      <wps:bodyPr rot="0" vert="horz" wrap="square" lIns="91440" tIns="45720" rIns="91440" bIns="45720" anchor="ctr" anchorCtr="0" upright="1">
                        <a:noAutofit/>
                      </wps:bodyPr>
                    </wps:wsp>
                  </a:graphicData>
                </a:graphic>
              </wp:anchor>
            </w:drawing>
          </mc:Choice>
          <mc:Fallback>
            <w:pict>
              <v:shape id="下箭头 88" o:spid="_x0000_s1026" o:spt="67" type="#_x0000_t67" style="position:absolute;left:0pt;margin-left:188.45pt;margin-top:223.25pt;height:25.5pt;width:13.5pt;rotation:11446856f;z-index:251670528;v-text-anchor:middle;mso-width-relative:page;mso-height-relative:page;" fillcolor="#FFFF00" filled="t" stroked="t" coordsize="21600,21600" o:gfxdata="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61aMLXAAAACwEAAA8AAAAAAAAAAQAgAAAAIgAAAGRycy9kb3ducmV2LnhtbFBLAQIUABQA&#10;AAAIAIdO4kBXo0jAYwIAANsEAAAOAAAAAAAAAAEAIAAAACYBAABkcnMvZTJvRG9jLnhtbFBLBQYA&#10;AAAABgAGAFkBAAD7BQAAAAA=&#10;" adj="15883,5400">
                <v:fill on="t" focussize="0,0"/>
                <v:stroke weight="1pt" color="#000000" miterlimit="8" joinstyle="miter"/>
                <v:imagedata o:title=""/>
                <o:lock v:ext="edit" aspectratio="f"/>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669504" behindDoc="0" locked="0" layoutInCell="1" allowOverlap="1">
                <wp:simplePos x="0" y="0"/>
                <wp:positionH relativeFrom="column">
                  <wp:posOffset>1562100</wp:posOffset>
                </wp:positionH>
                <wp:positionV relativeFrom="paragraph">
                  <wp:posOffset>1114425</wp:posOffset>
                </wp:positionV>
                <wp:extent cx="171450" cy="323850"/>
                <wp:effectExtent l="38100" t="19050" r="19050" b="19050"/>
                <wp:wrapNone/>
                <wp:docPr id="65" name="下箭头 88"/>
                <wp:cNvGraphicFramePr/>
                <a:graphic xmlns:a="http://schemas.openxmlformats.org/drawingml/2006/main">
                  <a:graphicData uri="http://schemas.microsoft.com/office/word/2010/wordprocessingShape">
                    <wps:wsp>
                      <wps:cNvSpPr>
                        <a:spLocks noChangeArrowheads="1"/>
                      </wps:cNvSpPr>
                      <wps:spPr bwMode="auto">
                        <a:xfrm rot="10479910">
                          <a:off x="0" y="0"/>
                          <a:ext cx="171450" cy="323850"/>
                        </a:xfrm>
                        <a:prstGeom prst="downArrow">
                          <a:avLst>
                            <a:gd name="adj1" fmla="val 50000"/>
                            <a:gd name="adj2" fmla="val 50003"/>
                          </a:avLst>
                        </a:prstGeom>
                        <a:solidFill>
                          <a:srgbClr val="FFFF00"/>
                        </a:solidFill>
                        <a:ln w="12700">
                          <a:solidFill>
                            <a:srgbClr val="000000"/>
                          </a:solidFill>
                          <a:miter lim="800000"/>
                        </a:ln>
                      </wps:spPr>
                      <wps:bodyPr rot="0" vert="horz" wrap="square" lIns="91440" tIns="45720" rIns="91440" bIns="45720" anchor="ctr" anchorCtr="0" upright="1">
                        <a:noAutofit/>
                      </wps:bodyPr>
                    </wps:wsp>
                  </a:graphicData>
                </a:graphic>
              </wp:anchor>
            </w:drawing>
          </mc:Choice>
          <mc:Fallback>
            <w:pict>
              <v:shape id="下箭头 88" o:spid="_x0000_s1026" o:spt="67" type="#_x0000_t67" style="position:absolute;left:0pt;margin-left:123pt;margin-top:87.75pt;height:25.5pt;width:13.5pt;rotation:11446856f;z-index:251669504;v-text-anchor:middle;mso-width-relative:page;mso-height-relative:page;" fillcolor="#FFFF00" filled="t" stroked="t" coordsize="21600,21600" o:gfxdata="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KwNIQvXAAAACwEAAA8AAAAAAAAAAQAgAAAAIgAAAGRycy9kb3ducmV2LnhtbFBLAQIUABQA&#10;AAAIAIdO4kC3CIo2YwIAANsEAAAOAAAAAAAAAAEAIAAAACYBAABkcnMvZTJvRG9jLnhtbFBLBQYA&#10;AAAABgAGAFkBAAD7BQAAAAA=&#10;" adj="15883,5400">
                <v:fill on="t" focussize="0,0"/>
                <v:stroke weight="1pt" color="#000000" miterlimit="8" joinstyle="miter"/>
                <v:imagedata o:title=""/>
                <o:lock v:ext="edit" aspectratio="f"/>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668480" behindDoc="0" locked="0" layoutInCell="1" allowOverlap="1">
                <wp:simplePos x="0" y="0"/>
                <wp:positionH relativeFrom="column">
                  <wp:posOffset>3333115</wp:posOffset>
                </wp:positionH>
                <wp:positionV relativeFrom="paragraph">
                  <wp:posOffset>1595120</wp:posOffset>
                </wp:positionV>
                <wp:extent cx="171450" cy="323850"/>
                <wp:effectExtent l="38100" t="19050" r="19050" b="19050"/>
                <wp:wrapNone/>
                <wp:docPr id="64" name="下箭头 88"/>
                <wp:cNvGraphicFramePr/>
                <a:graphic xmlns:a="http://schemas.openxmlformats.org/drawingml/2006/main">
                  <a:graphicData uri="http://schemas.microsoft.com/office/word/2010/wordprocessingShape">
                    <wps:wsp>
                      <wps:cNvSpPr>
                        <a:spLocks noChangeArrowheads="1"/>
                      </wps:cNvSpPr>
                      <wps:spPr bwMode="auto">
                        <a:xfrm rot="10479910">
                          <a:off x="0" y="0"/>
                          <a:ext cx="171450" cy="323850"/>
                        </a:xfrm>
                        <a:prstGeom prst="downArrow">
                          <a:avLst>
                            <a:gd name="adj1" fmla="val 50000"/>
                            <a:gd name="adj2" fmla="val 50003"/>
                          </a:avLst>
                        </a:prstGeom>
                        <a:solidFill>
                          <a:srgbClr val="FFFF00"/>
                        </a:solidFill>
                        <a:ln w="12700">
                          <a:solidFill>
                            <a:srgbClr val="000000"/>
                          </a:solidFill>
                          <a:miter lim="800000"/>
                        </a:ln>
                      </wps:spPr>
                      <wps:bodyPr rot="0" vert="horz" wrap="square" lIns="91440" tIns="45720" rIns="91440" bIns="45720" anchor="ctr" anchorCtr="0" upright="1">
                        <a:noAutofit/>
                      </wps:bodyPr>
                    </wps:wsp>
                  </a:graphicData>
                </a:graphic>
              </wp:anchor>
            </w:drawing>
          </mc:Choice>
          <mc:Fallback>
            <w:pict>
              <v:shape id="下箭头 88" o:spid="_x0000_s1026" o:spt="67" type="#_x0000_t67" style="position:absolute;left:0pt;margin-left:262.45pt;margin-top:125.6pt;height:25.5pt;width:13.5pt;rotation:11446856f;z-index:251668480;v-text-anchor:middle;mso-width-relative:page;mso-height-relative:page;" fillcolor="#FFFF00" filled="t" stroked="t" coordsize="21600,21600" o:gfxdata="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nNgrM2AAAAAsBAAAPAAAAAAAAAAEAIAAAACIAAABkcnMvZG93bnJldi54bWxQSwECFAAU&#10;AAAACACHTuJAKGwb0mMCAADbBAAADgAAAAAAAAABACAAAAAnAQAAZHJzL2Uyb0RvYy54bWxQSwUG&#10;AAAAAAYABgBZAQAA/AUAAAAA&#10;" adj="15883,5400">
                <v:fill on="t" focussize="0,0"/>
                <v:stroke weight="1pt" color="#000000" miterlimit="8" joinstyle="miter"/>
                <v:imagedata o:title=""/>
                <o:lock v:ext="edit" aspectratio="f"/>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665408" behindDoc="0" locked="0" layoutInCell="1" allowOverlap="1">
                <wp:simplePos x="0" y="0"/>
                <wp:positionH relativeFrom="column">
                  <wp:posOffset>2469515</wp:posOffset>
                </wp:positionH>
                <wp:positionV relativeFrom="paragraph">
                  <wp:posOffset>133350</wp:posOffset>
                </wp:positionV>
                <wp:extent cx="319405" cy="233045"/>
                <wp:effectExtent l="19050" t="19050" r="43180" b="15240"/>
                <wp:wrapNone/>
                <wp:docPr id="61" name="等腰三角形 90"/>
                <wp:cNvGraphicFramePr/>
                <a:graphic xmlns:a="http://schemas.openxmlformats.org/drawingml/2006/main">
                  <a:graphicData uri="http://schemas.microsoft.com/office/word/2010/wordprocessingShape">
                    <wps:wsp>
                      <wps:cNvSpPr>
                        <a:spLocks noChangeArrowheads="1"/>
                      </wps:cNvSpPr>
                      <wps:spPr bwMode="auto">
                        <a:xfrm>
                          <a:off x="0" y="0"/>
                          <a:ext cx="319177" cy="232914"/>
                        </a:xfrm>
                        <a:prstGeom prst="triangle">
                          <a:avLst>
                            <a:gd name="adj" fmla="val 50000"/>
                          </a:avLst>
                        </a:prstGeom>
                        <a:solidFill>
                          <a:srgbClr val="FF0000"/>
                        </a:solidFill>
                        <a:ln w="12700">
                          <a:solidFill>
                            <a:srgbClr val="1F3763"/>
                          </a:solidFill>
                          <a:miter lim="800000"/>
                        </a:ln>
                      </wps:spPr>
                      <wps:bodyPr rot="0" vert="horz" wrap="square" lIns="91440" tIns="45720" rIns="91440" bIns="45720" anchor="ctr" anchorCtr="0" upright="1">
                        <a:noAutofit/>
                      </wps:bodyPr>
                    </wps:wsp>
                  </a:graphicData>
                </a:graphic>
              </wp:anchor>
            </w:drawing>
          </mc:Choice>
          <mc:Fallback>
            <w:pict>
              <v:shape id="等腰三角形 90" o:spid="_x0000_s1026" o:spt="5" type="#_x0000_t5" style="position:absolute;left:0pt;margin-left:194.45pt;margin-top:10.5pt;height:18.35pt;width:25.15pt;z-index:251665408;v-text-anchor:middle;mso-width-relative:page;mso-height-relative:page;" fillcolor="#FF0000" filled="t" stroked="t" coordsize="21600,21600" o:gfxdata="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Q&#10;USNV1wAAAAkBAAAPAAAAAAAAAAEAIAAAACIAAABkcnMvZG93bnJldi54bWxQSwECFAAUAAAACACH&#10;TuJAuoTPyF4CAACsBAAADgAAAAAAAAABACAAAAAmAQAAZHJzL2Uyb0RvYy54bWxQSwUGAAAAAAYA&#10;BgBZAQAA9gUAAAAA&#10;" adj="10800">
                <v:fill on="t" focussize="0,0"/>
                <v:stroke weight="1pt" color="#1F3763" miterlimit="8" joinstyle="miter"/>
                <v:imagedata o:title=""/>
                <o:lock v:ext="edit" aspectratio="f"/>
              </v:shape>
            </w:pict>
          </mc:Fallback>
        </mc:AlternateContent>
      </w:r>
      <w:r>
        <w:drawing>
          <wp:inline distT="0" distB="0" distL="0" distR="0">
            <wp:extent cx="3008630" cy="3902710"/>
            <wp:effectExtent l="0" t="0" r="1270" b="254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57"/>
                    <a:stretch>
                      <a:fillRect/>
                    </a:stretch>
                  </pic:blipFill>
                  <pic:spPr>
                    <a:xfrm>
                      <a:off x="0" y="0"/>
                      <a:ext cx="3026282" cy="3925859"/>
                    </a:xfrm>
                    <a:prstGeom prst="rect">
                      <a:avLst/>
                    </a:prstGeom>
                  </pic:spPr>
                </pic:pic>
              </a:graphicData>
            </a:graphic>
          </wp:inline>
        </w:drawing>
      </w:r>
    </w:p>
    <w:p>
      <w:pPr>
        <w:pStyle w:val="6"/>
        <w:rPr>
          <w:rFonts w:ascii="Times New Roman" w:hAnsi="Times New Roman" w:cs="Times New Roman"/>
          <w:lang w:val="zh-CN"/>
        </w:rPr>
      </w:pPr>
      <w:r>
        <w:rPr>
          <w:rFonts w:ascii="Times New Roman" w:hAnsi="Times New Roman" w:cs="Times New Roman"/>
          <w:lang w:val="zh-CN"/>
        </w:rPr>
        <w:t>图7.7-1</w:t>
      </w:r>
      <w:r>
        <w:rPr>
          <w:rFonts w:hint="eastAsia" w:ascii="Times New Roman" w:hAnsi="Times New Roman" w:cs="Times New Roman"/>
          <w:lang w:val="zh-CN"/>
        </w:rPr>
        <w:t>（</w:t>
      </w:r>
      <w:r>
        <w:rPr>
          <w:rFonts w:ascii="Times New Roman" w:hAnsi="Times New Roman" w:cs="Times New Roman"/>
          <w:lang w:val="zh-CN"/>
        </w:rPr>
        <w:t>2</w:t>
      </w:r>
      <w:r>
        <w:rPr>
          <w:rFonts w:hint="eastAsia" w:ascii="Times New Roman" w:hAnsi="Times New Roman" w:cs="Times New Roman"/>
          <w:lang w:val="zh-CN"/>
        </w:rPr>
        <w:t>）</w:t>
      </w:r>
      <w:r>
        <w:rPr>
          <w:rFonts w:ascii="Times New Roman" w:hAnsi="Times New Roman" w:cs="Times New Roman"/>
          <w:lang w:val="zh-CN"/>
        </w:rPr>
        <w:t xml:space="preserve">  厂区应急疏散指示图</w:t>
      </w:r>
    </w:p>
    <w:p>
      <w:pPr>
        <w:pStyle w:val="5"/>
        <w:ind w:firstLine="482"/>
        <w:rPr>
          <w:rFonts w:ascii="Times New Roman" w:hAnsi="Times New Roman" w:cs="Times New Roman" w:eastAsiaTheme="minorEastAsia"/>
        </w:rPr>
      </w:pPr>
      <w:r>
        <w:rPr>
          <w:rFonts w:ascii="Times New Roman" w:hAnsi="Times New Roman" w:cs="Times New Roman" w:eastAsiaTheme="minorEastAsia"/>
        </w:rPr>
        <w:t>7.7.2.8 生产过程风险防范措施</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hint="eastAsia" w:ascii="宋体" w:hAnsi="宋体" w:eastAsia="宋体" w:cs="宋体"/>
        </w:rPr>
        <w:t>①</w:t>
      </w:r>
      <w:r>
        <w:rPr>
          <w:rFonts w:ascii="Times New Roman" w:hAnsi="Times New Roman" w:cs="Times New Roman"/>
        </w:rPr>
        <w:fldChar w:fldCharType="end"/>
      </w:r>
      <w:r>
        <w:rPr>
          <w:rFonts w:ascii="Times New Roman" w:hAnsi="Times New Roman" w:cs="Times New Roman"/>
        </w:rPr>
        <w:t>本项目企业应建立员工生产操作手册，加强员工教育和操作技能培训，防止误操作造成电池包破损、电解液泄漏、甚至引发火灾爆炸事故。</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hint="eastAsia" w:ascii="宋体" w:hAnsi="宋体" w:eastAsia="宋体" w:cs="宋体"/>
        </w:rPr>
        <w:t>②</w:t>
      </w:r>
      <w:r>
        <w:rPr>
          <w:rFonts w:ascii="Times New Roman" w:hAnsi="Times New Roman" w:cs="Times New Roman"/>
        </w:rPr>
        <w:fldChar w:fldCharType="end"/>
      </w:r>
      <w:r>
        <w:rPr>
          <w:rFonts w:ascii="Times New Roman" w:hAnsi="Times New Roman" w:cs="Times New Roman"/>
        </w:rPr>
        <w:t>生产过程中若发生电解液泄漏应及时处置和报告，对泄漏电池进行单独存放，对少量泄漏的电解液可用吸附材料进行吸附，大量泄漏应用耐酸碱PE 桶等类容器收集，密闭存放，对车间地面应采取干抹布进行清理。废吸附材料、收集的破损电池和泄漏电解液及清理产生的废抹布应作为危废及时委托有资质单位进行处置。</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3 \* GB3 </w:instrText>
      </w:r>
      <w:r>
        <w:rPr>
          <w:rFonts w:ascii="Times New Roman" w:hAnsi="Times New Roman" w:cs="Times New Roman"/>
        </w:rPr>
        <w:fldChar w:fldCharType="separate"/>
      </w:r>
      <w:r>
        <w:rPr>
          <w:rFonts w:hint="eastAsia" w:ascii="宋体" w:hAnsi="宋体" w:eastAsia="宋体" w:cs="宋体"/>
        </w:rPr>
        <w:t>③</w:t>
      </w:r>
      <w:r>
        <w:rPr>
          <w:rFonts w:ascii="Times New Roman" w:hAnsi="Times New Roman" w:cs="Times New Roman"/>
        </w:rPr>
        <w:fldChar w:fldCharType="end"/>
      </w:r>
      <w:r>
        <w:rPr>
          <w:rFonts w:ascii="Times New Roman" w:hAnsi="Times New Roman" w:cs="Times New Roman"/>
        </w:rPr>
        <w:t>定期对电池检测设备进行检修维护，防止设备故障造成电池过冲现象。</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4 \* GB3 </w:instrText>
      </w:r>
      <w:r>
        <w:rPr>
          <w:rFonts w:ascii="Times New Roman" w:hAnsi="Times New Roman" w:cs="Times New Roman"/>
        </w:rPr>
        <w:fldChar w:fldCharType="separate"/>
      </w:r>
      <w:r>
        <w:rPr>
          <w:rFonts w:hint="eastAsia" w:ascii="宋体" w:hAnsi="宋体" w:eastAsia="宋体" w:cs="宋体"/>
        </w:rPr>
        <w:t>④</w:t>
      </w:r>
      <w:r>
        <w:rPr>
          <w:rFonts w:ascii="Times New Roman" w:hAnsi="Times New Roman" w:cs="Times New Roman"/>
        </w:rPr>
        <w:fldChar w:fldCharType="end"/>
      </w:r>
      <w:r>
        <w:rPr>
          <w:rFonts w:ascii="Times New Roman" w:hAnsi="Times New Roman" w:cs="Times New Roman"/>
        </w:rPr>
        <w:t>本项目企业应加强生产设备和环保设备管理，定期对生产和环保设备进行检修维护，确保生产和环保设施正常有效运行。</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5 \* GB3 </w:instrText>
      </w:r>
      <w:r>
        <w:rPr>
          <w:rFonts w:ascii="Times New Roman" w:hAnsi="Times New Roman" w:cs="Times New Roman"/>
        </w:rPr>
        <w:fldChar w:fldCharType="separate"/>
      </w:r>
      <w:r>
        <w:rPr>
          <w:rFonts w:hint="eastAsia" w:ascii="宋体" w:hAnsi="宋体" w:eastAsia="宋体" w:cs="宋体"/>
        </w:rPr>
        <w:t>⑤</w:t>
      </w:r>
      <w:r>
        <w:rPr>
          <w:rFonts w:ascii="Times New Roman" w:hAnsi="Times New Roman" w:cs="Times New Roman"/>
        </w:rPr>
        <w:fldChar w:fldCharType="end"/>
      </w:r>
      <w:r>
        <w:rPr>
          <w:rFonts w:ascii="Times New Roman" w:hAnsi="Times New Roman" w:cs="Times New Roman"/>
        </w:rPr>
        <w:t>废气治理设施、固废储存区等环保设施应有相应的标识，并注明注意事项，以防止误操作造成事故排放。</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6 \* GB3 </w:instrText>
      </w:r>
      <w:r>
        <w:rPr>
          <w:rFonts w:ascii="Times New Roman" w:hAnsi="Times New Roman" w:cs="Times New Roman"/>
        </w:rPr>
        <w:fldChar w:fldCharType="separate"/>
      </w:r>
      <w:r>
        <w:rPr>
          <w:rFonts w:hint="eastAsia" w:ascii="宋体" w:hAnsi="宋体" w:eastAsia="宋体" w:cs="宋体"/>
        </w:rPr>
        <w:t>⑥</w:t>
      </w:r>
      <w:r>
        <w:rPr>
          <w:rFonts w:ascii="Times New Roman" w:hAnsi="Times New Roman" w:cs="Times New Roman"/>
        </w:rPr>
        <w:fldChar w:fldCharType="end"/>
      </w:r>
      <w:r>
        <w:rPr>
          <w:rFonts w:ascii="Times New Roman" w:hAnsi="Times New Roman" w:cs="Times New Roman"/>
        </w:rPr>
        <w:t>本项目企业应加强职工的工作责任性教育，一旦发生物料散落事故应及时清理，防止散落物料给外环境造成污染。</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7 \* GB3 </w:instrText>
      </w:r>
      <w:r>
        <w:rPr>
          <w:rFonts w:ascii="Times New Roman" w:hAnsi="Times New Roman" w:cs="Times New Roman"/>
        </w:rPr>
        <w:fldChar w:fldCharType="separate"/>
      </w:r>
      <w:r>
        <w:rPr>
          <w:rFonts w:hint="eastAsia" w:ascii="宋体" w:hAnsi="宋体" w:eastAsia="宋体" w:cs="宋体"/>
        </w:rPr>
        <w:t>⑦</w:t>
      </w:r>
      <w:r>
        <w:rPr>
          <w:rFonts w:ascii="Times New Roman" w:hAnsi="Times New Roman" w:cs="Times New Roman"/>
        </w:rPr>
        <w:fldChar w:fldCharType="end"/>
      </w:r>
      <w:r>
        <w:rPr>
          <w:rFonts w:ascii="Times New Roman" w:hAnsi="Times New Roman" w:cs="Times New Roman"/>
        </w:rPr>
        <w:t>本项目企业应及时清运拆解产生的各类固废，尽可能减少各类锂电池包在车间的储存量。</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8 \* GB3 </w:instrText>
      </w:r>
      <w:r>
        <w:rPr>
          <w:rFonts w:ascii="Times New Roman" w:hAnsi="Times New Roman" w:cs="Times New Roman"/>
        </w:rPr>
        <w:fldChar w:fldCharType="separate"/>
      </w:r>
      <w:r>
        <w:rPr>
          <w:rFonts w:hint="eastAsia" w:ascii="宋体" w:hAnsi="宋体" w:eastAsia="宋体" w:cs="宋体"/>
        </w:rPr>
        <w:t>⑧</w:t>
      </w:r>
      <w:r>
        <w:rPr>
          <w:rFonts w:ascii="Times New Roman" w:hAnsi="Times New Roman" w:cs="Times New Roman"/>
        </w:rPr>
        <w:fldChar w:fldCharType="end"/>
      </w:r>
      <w:r>
        <w:rPr>
          <w:rFonts w:ascii="Times New Roman" w:hAnsi="Times New Roman" w:cs="Times New Roman"/>
        </w:rPr>
        <w:t>车间地面应进行防腐、防渗措施。</w:t>
      </w:r>
    </w:p>
    <w:p>
      <w:pPr>
        <w:pStyle w:val="5"/>
        <w:ind w:firstLine="482"/>
        <w:rPr>
          <w:rFonts w:ascii="Times New Roman" w:hAnsi="Times New Roman" w:cs="Times New Roman" w:eastAsiaTheme="minorEastAsia"/>
          <w:u w:val="single"/>
        </w:rPr>
      </w:pPr>
      <w:r>
        <w:rPr>
          <w:rFonts w:ascii="Times New Roman" w:hAnsi="Times New Roman" w:cs="Times New Roman" w:eastAsiaTheme="minorEastAsia"/>
          <w:u w:val="single"/>
        </w:rPr>
        <w:t>7.7.2.9 锂电池贮存过程风险防范措施</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fldChar w:fldCharType="begin"/>
      </w:r>
      <w:r>
        <w:rPr>
          <w:rFonts w:ascii="Times New Roman" w:hAnsi="Times New Roman" w:cs="Times New Roman"/>
          <w:u w:val="single"/>
        </w:rPr>
        <w:instrText xml:space="preserve"> = 1 \* GB3 </w:instrText>
      </w:r>
      <w:r>
        <w:rPr>
          <w:rFonts w:ascii="Times New Roman" w:hAnsi="Times New Roman" w:cs="Times New Roman"/>
          <w:u w:val="single"/>
        </w:rPr>
        <w:fldChar w:fldCharType="separate"/>
      </w:r>
      <w:r>
        <w:rPr>
          <w:rFonts w:hint="eastAsia" w:ascii="宋体" w:hAnsi="宋体" w:eastAsia="宋体" w:cs="宋体"/>
          <w:u w:val="single"/>
        </w:rPr>
        <w:t>①</w:t>
      </w:r>
      <w:r>
        <w:rPr>
          <w:rFonts w:ascii="Times New Roman" w:hAnsi="Times New Roman" w:cs="Times New Roman"/>
          <w:u w:val="single"/>
        </w:rPr>
        <w:fldChar w:fldCharType="end"/>
      </w:r>
      <w:r>
        <w:rPr>
          <w:rFonts w:ascii="Times New Roman" w:hAnsi="Times New Roman" w:cs="Times New Roman"/>
          <w:u w:val="single"/>
        </w:rPr>
        <w:t>退役动力锂电池进厂储存前应进行检查，确保同本项目所处理的锂电池一致，防止不符合要求的锂电池混进车间。</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fldChar w:fldCharType="begin"/>
      </w:r>
      <w:r>
        <w:rPr>
          <w:rFonts w:ascii="Times New Roman" w:hAnsi="Times New Roman" w:cs="Times New Roman"/>
          <w:u w:val="single"/>
        </w:rPr>
        <w:instrText xml:space="preserve"> = 2 \* GB3 </w:instrText>
      </w:r>
      <w:r>
        <w:rPr>
          <w:rFonts w:ascii="Times New Roman" w:hAnsi="Times New Roman" w:cs="Times New Roman"/>
          <w:u w:val="single"/>
        </w:rPr>
        <w:fldChar w:fldCharType="separate"/>
      </w:r>
      <w:r>
        <w:rPr>
          <w:rFonts w:hint="eastAsia" w:ascii="宋体" w:hAnsi="宋体" w:eastAsia="宋体" w:cs="宋体"/>
          <w:u w:val="single"/>
        </w:rPr>
        <w:t>②</w:t>
      </w:r>
      <w:r>
        <w:rPr>
          <w:rFonts w:ascii="Times New Roman" w:hAnsi="Times New Roman" w:cs="Times New Roman"/>
          <w:u w:val="single"/>
        </w:rPr>
        <w:fldChar w:fldCharType="end"/>
      </w:r>
      <w:r>
        <w:rPr>
          <w:rFonts w:ascii="Times New Roman" w:hAnsi="Times New Roman" w:cs="Times New Roman"/>
          <w:u w:val="single"/>
        </w:rPr>
        <w:t>贮存过程中产生风险的原因主要是由于管理不善，造成贮存环境不能满足废旧动力锂电池的储存要求，从而造成电池发生潮解、短路，进而引发电池电解液泄漏、火灾爆炸等事故。因此本项目企业应加强管理，提高贮存管理人员的环境保护意识及安全意识，保证车间内通风良好，贮存的电池正负极触头应采取绝缘防护措施，以防止发生电池潮解、短路、电解液泄漏、火灾和爆炸事故。</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fldChar w:fldCharType="begin"/>
      </w:r>
      <w:r>
        <w:rPr>
          <w:rFonts w:ascii="Times New Roman" w:hAnsi="Times New Roman" w:cs="Times New Roman"/>
          <w:u w:val="single"/>
        </w:rPr>
        <w:instrText xml:space="preserve"> = 3 \* GB3 </w:instrText>
      </w:r>
      <w:r>
        <w:rPr>
          <w:rFonts w:ascii="Times New Roman" w:hAnsi="Times New Roman" w:cs="Times New Roman"/>
          <w:u w:val="single"/>
        </w:rPr>
        <w:fldChar w:fldCharType="separate"/>
      </w:r>
      <w:r>
        <w:rPr>
          <w:rFonts w:hint="eastAsia" w:ascii="宋体" w:hAnsi="宋体" w:eastAsia="宋体" w:cs="宋体"/>
          <w:u w:val="single"/>
        </w:rPr>
        <w:t>③</w:t>
      </w:r>
      <w:r>
        <w:rPr>
          <w:rFonts w:ascii="Times New Roman" w:hAnsi="Times New Roman" w:cs="Times New Roman"/>
          <w:u w:val="single"/>
        </w:rPr>
        <w:fldChar w:fldCharType="end"/>
      </w:r>
      <w:r>
        <w:rPr>
          <w:rFonts w:ascii="Times New Roman" w:hAnsi="Times New Roman" w:cs="Times New Roman"/>
          <w:u w:val="single"/>
        </w:rPr>
        <w:t>车间电池储存区等重要位置应设置视频监控系统，24 小时不间断监控，一旦发生事故，能在第一时间发现并得到处置。</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fldChar w:fldCharType="begin"/>
      </w:r>
      <w:r>
        <w:rPr>
          <w:rFonts w:ascii="Times New Roman" w:hAnsi="Times New Roman" w:cs="Times New Roman"/>
          <w:u w:val="single"/>
        </w:rPr>
        <w:instrText xml:space="preserve"> = 4 \* GB3 </w:instrText>
      </w:r>
      <w:r>
        <w:rPr>
          <w:rFonts w:ascii="Times New Roman" w:hAnsi="Times New Roman" w:cs="Times New Roman"/>
          <w:u w:val="single"/>
        </w:rPr>
        <w:fldChar w:fldCharType="separate"/>
      </w:r>
      <w:r>
        <w:rPr>
          <w:rFonts w:hint="eastAsia" w:ascii="宋体" w:hAnsi="宋体" w:eastAsia="宋体" w:cs="宋体"/>
          <w:u w:val="single"/>
        </w:rPr>
        <w:t>④</w:t>
      </w:r>
      <w:r>
        <w:rPr>
          <w:rFonts w:ascii="Times New Roman" w:hAnsi="Times New Roman" w:cs="Times New Roman"/>
          <w:u w:val="single"/>
        </w:rPr>
        <w:fldChar w:fldCharType="end"/>
      </w:r>
      <w:r>
        <w:rPr>
          <w:rFonts w:ascii="Times New Roman" w:hAnsi="Times New Roman" w:cs="Times New Roman"/>
          <w:u w:val="single"/>
        </w:rPr>
        <w:t>制定完善的管理制度，对各类原料、产品和固废实行严格分类管理和进出库台账管理。</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fldChar w:fldCharType="begin"/>
      </w:r>
      <w:r>
        <w:rPr>
          <w:rFonts w:ascii="Times New Roman" w:hAnsi="Times New Roman" w:cs="Times New Roman"/>
          <w:u w:val="single"/>
        </w:rPr>
        <w:instrText xml:space="preserve"> = 5 \* GB3 </w:instrText>
      </w:r>
      <w:r>
        <w:rPr>
          <w:rFonts w:ascii="Times New Roman" w:hAnsi="Times New Roman" w:cs="Times New Roman"/>
          <w:u w:val="single"/>
        </w:rPr>
        <w:fldChar w:fldCharType="separate"/>
      </w:r>
      <w:r>
        <w:rPr>
          <w:rFonts w:hint="eastAsia" w:ascii="宋体" w:hAnsi="宋体" w:eastAsia="宋体" w:cs="宋体"/>
          <w:u w:val="single"/>
        </w:rPr>
        <w:t>⑤</w:t>
      </w:r>
      <w:r>
        <w:rPr>
          <w:rFonts w:ascii="Times New Roman" w:hAnsi="Times New Roman" w:cs="Times New Roman"/>
          <w:u w:val="single"/>
        </w:rPr>
        <w:fldChar w:fldCharType="end"/>
      </w:r>
      <w:r>
        <w:rPr>
          <w:rFonts w:ascii="Times New Roman" w:hAnsi="Times New Roman" w:cs="Times New Roman"/>
          <w:u w:val="single"/>
        </w:rPr>
        <w:t>储存过程中若发生电池包电解液泄漏，应及时采用吸附材料吸附或耐酸碱PE桶等类容器收集，收集的破损电池和泄漏电解液及收集过程产生的废吸附材料应作为危废委托有资质单位进行处置。</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fldChar w:fldCharType="begin"/>
      </w:r>
      <w:r>
        <w:rPr>
          <w:rFonts w:ascii="Times New Roman" w:hAnsi="Times New Roman" w:cs="Times New Roman"/>
          <w:u w:val="single"/>
        </w:rPr>
        <w:instrText xml:space="preserve"> = 6 \* GB3 </w:instrText>
      </w:r>
      <w:r>
        <w:rPr>
          <w:rFonts w:ascii="Times New Roman" w:hAnsi="Times New Roman" w:cs="Times New Roman"/>
          <w:u w:val="single"/>
        </w:rPr>
        <w:fldChar w:fldCharType="separate"/>
      </w:r>
      <w:r>
        <w:rPr>
          <w:rFonts w:hint="eastAsia" w:ascii="宋体" w:hAnsi="宋体" w:eastAsia="宋体" w:cs="宋体"/>
          <w:u w:val="single"/>
        </w:rPr>
        <w:t>⑥</w:t>
      </w:r>
      <w:r>
        <w:rPr>
          <w:rFonts w:ascii="Times New Roman" w:hAnsi="Times New Roman" w:cs="Times New Roman"/>
          <w:u w:val="single"/>
        </w:rPr>
        <w:fldChar w:fldCharType="end"/>
      </w:r>
      <w:r>
        <w:rPr>
          <w:rFonts w:ascii="Times New Roman" w:hAnsi="Times New Roman" w:cs="Times New Roman"/>
          <w:u w:val="single"/>
        </w:rPr>
        <w:t>本项目应设置值班人员，对车间重点危险区域实行24 小时巡回检查。</w:t>
      </w:r>
    </w:p>
    <w:p>
      <w:pPr>
        <w:pStyle w:val="3"/>
        <w:rPr>
          <w:rFonts w:ascii="Times New Roman" w:hAnsi="Times New Roman" w:cs="Times New Roman" w:eastAsiaTheme="minorEastAsia"/>
        </w:rPr>
      </w:pPr>
      <w:bookmarkStart w:id="487" w:name="_Toc102658234"/>
      <w:bookmarkStart w:id="488" w:name="_Toc144236852"/>
      <w:bookmarkStart w:id="489" w:name="_Toc144276982"/>
      <w:bookmarkStart w:id="490" w:name="_Toc147848100"/>
      <w:r>
        <w:rPr>
          <w:rFonts w:ascii="Times New Roman" w:hAnsi="Times New Roman" w:cs="Times New Roman" w:eastAsiaTheme="minorEastAsia"/>
        </w:rPr>
        <w:t>7.8 应急预案</w:t>
      </w:r>
      <w:bookmarkEnd w:id="487"/>
      <w:bookmarkEnd w:id="488"/>
      <w:bookmarkEnd w:id="489"/>
      <w:bookmarkEnd w:id="490"/>
    </w:p>
    <w:p>
      <w:pPr>
        <w:spacing w:line="360" w:lineRule="auto"/>
        <w:ind w:firstLine="480" w:firstLineChars="200"/>
        <w:rPr>
          <w:rFonts w:ascii="Times New Roman" w:hAnsi="Times New Roman" w:cs="Times New Roman"/>
        </w:rPr>
      </w:pPr>
      <w:r>
        <w:rPr>
          <w:rFonts w:ascii="Times New Roman" w:hAnsi="Times New Roman" w:cs="Times New Roman"/>
        </w:rPr>
        <w:t>由于自然灾害或人为原因，当事故灾害不可避免的时候，有效的应急行动是可以抵御事故灾害蔓延和减缓灾害后果的有力措施。所以，如果在事故灾害发生前建立完善的应急系统，制定周密的救援计划，而在灾害发生的时候采取及时有效的应急救援行动，以及系统的恢复和善后处理，可以拯救生命、保护财产、保护环境。项目突发事故应急预案见下表。</w:t>
      </w:r>
    </w:p>
    <w:p>
      <w:pPr>
        <w:pStyle w:val="6"/>
        <w:rPr>
          <w:rFonts w:ascii="Times New Roman" w:hAnsi="Times New Roman" w:cs="Times New Roman"/>
        </w:rPr>
      </w:pPr>
      <w:r>
        <w:rPr>
          <w:rFonts w:ascii="Times New Roman" w:hAnsi="Times New Roman" w:cs="Times New Roman"/>
        </w:rPr>
        <w:t>表7.8-1  环境风险突发事故应急预案</w:t>
      </w:r>
    </w:p>
    <w:tbl>
      <w:tblPr>
        <w:tblStyle w:val="35"/>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68"/>
        <w:gridCol w:w="1560"/>
        <w:gridCol w:w="637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568" w:type="dxa"/>
            <w:vAlign w:val="center"/>
          </w:tcPr>
          <w:p>
            <w:pPr>
              <w:pStyle w:val="63"/>
            </w:pPr>
            <w:r>
              <w:t>序号</w:t>
            </w:r>
          </w:p>
        </w:tc>
        <w:tc>
          <w:tcPr>
            <w:tcW w:w="1560" w:type="dxa"/>
            <w:vAlign w:val="center"/>
          </w:tcPr>
          <w:p>
            <w:pPr>
              <w:pStyle w:val="63"/>
            </w:pPr>
            <w:r>
              <w:t>项目</w:t>
            </w:r>
          </w:p>
        </w:tc>
        <w:tc>
          <w:tcPr>
            <w:tcW w:w="6377" w:type="dxa"/>
            <w:vAlign w:val="center"/>
          </w:tcPr>
          <w:p>
            <w:pPr>
              <w:pStyle w:val="63"/>
            </w:pPr>
            <w:r>
              <w:t>内容及要求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568" w:type="dxa"/>
            <w:vAlign w:val="center"/>
          </w:tcPr>
          <w:p>
            <w:pPr>
              <w:pStyle w:val="63"/>
            </w:pPr>
            <w:r>
              <w:t>1</w:t>
            </w:r>
          </w:p>
        </w:tc>
        <w:tc>
          <w:tcPr>
            <w:tcW w:w="1560" w:type="dxa"/>
            <w:vAlign w:val="center"/>
          </w:tcPr>
          <w:p>
            <w:pPr>
              <w:pStyle w:val="63"/>
            </w:pPr>
            <w:r>
              <w:t>危险源情况</w:t>
            </w:r>
          </w:p>
        </w:tc>
        <w:tc>
          <w:tcPr>
            <w:tcW w:w="6377" w:type="dxa"/>
            <w:vAlign w:val="center"/>
          </w:tcPr>
          <w:p>
            <w:pPr>
              <w:pStyle w:val="63"/>
            </w:pPr>
            <w:r>
              <w:t>详细说明危险源类型、数量、分布及其对环境的风险。</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8" w:type="dxa"/>
            <w:vAlign w:val="center"/>
          </w:tcPr>
          <w:p>
            <w:pPr>
              <w:pStyle w:val="63"/>
            </w:pPr>
            <w:r>
              <w:t>2</w:t>
            </w:r>
          </w:p>
        </w:tc>
        <w:tc>
          <w:tcPr>
            <w:tcW w:w="1560" w:type="dxa"/>
            <w:vAlign w:val="center"/>
          </w:tcPr>
          <w:p>
            <w:pPr>
              <w:pStyle w:val="63"/>
            </w:pPr>
            <w:r>
              <w:t>应急计划区</w:t>
            </w:r>
          </w:p>
        </w:tc>
        <w:tc>
          <w:tcPr>
            <w:tcW w:w="6377" w:type="dxa"/>
            <w:vAlign w:val="center"/>
          </w:tcPr>
          <w:p>
            <w:pPr>
              <w:pStyle w:val="63"/>
            </w:pPr>
            <w:r>
              <w:t>装置区、罐区、危废暂存间等。</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568" w:type="dxa"/>
            <w:vAlign w:val="center"/>
          </w:tcPr>
          <w:p>
            <w:pPr>
              <w:pStyle w:val="63"/>
            </w:pPr>
            <w:r>
              <w:t>3</w:t>
            </w:r>
          </w:p>
        </w:tc>
        <w:tc>
          <w:tcPr>
            <w:tcW w:w="1560" w:type="dxa"/>
            <w:vAlign w:val="center"/>
          </w:tcPr>
          <w:p>
            <w:pPr>
              <w:pStyle w:val="63"/>
            </w:pPr>
            <w:r>
              <w:t>应急组织</w:t>
            </w:r>
          </w:p>
        </w:tc>
        <w:tc>
          <w:tcPr>
            <w:tcW w:w="6377" w:type="dxa"/>
            <w:vAlign w:val="center"/>
          </w:tcPr>
          <w:p>
            <w:pPr>
              <w:pStyle w:val="63"/>
            </w:pPr>
            <w:r>
              <w:t>成立公司应急指挥小组，由公司最高领导层担任小组长，负责现场 全面指挥，专业救援队伍负责事故控制、救援和善后处理。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568" w:type="dxa"/>
            <w:vAlign w:val="center"/>
          </w:tcPr>
          <w:p>
            <w:pPr>
              <w:pStyle w:val="63"/>
            </w:pPr>
            <w:r>
              <w:t>4</w:t>
            </w:r>
          </w:p>
        </w:tc>
        <w:tc>
          <w:tcPr>
            <w:tcW w:w="1560" w:type="dxa"/>
            <w:vAlign w:val="center"/>
          </w:tcPr>
          <w:p>
            <w:pPr>
              <w:pStyle w:val="63"/>
            </w:pPr>
            <w:r>
              <w:t>应急状态分类 应急响应程序</w:t>
            </w:r>
          </w:p>
        </w:tc>
        <w:tc>
          <w:tcPr>
            <w:tcW w:w="6377" w:type="dxa"/>
            <w:vAlign w:val="center"/>
          </w:tcPr>
          <w:p>
            <w:pPr>
              <w:pStyle w:val="63"/>
            </w:pPr>
            <w:r>
              <w:t>规定环境风险事故的级别及相应的应急状态分类，以此制定相应的 应急响应程序。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8" w:type="dxa"/>
            <w:vAlign w:val="center"/>
          </w:tcPr>
          <w:p>
            <w:pPr>
              <w:pStyle w:val="63"/>
            </w:pPr>
            <w:r>
              <w:t>5</w:t>
            </w:r>
          </w:p>
        </w:tc>
        <w:tc>
          <w:tcPr>
            <w:tcW w:w="1560" w:type="dxa"/>
            <w:vAlign w:val="center"/>
          </w:tcPr>
          <w:p>
            <w:pPr>
              <w:pStyle w:val="63"/>
            </w:pPr>
            <w:r>
              <w:t>应急设施设备与材料</w:t>
            </w:r>
          </w:p>
        </w:tc>
        <w:tc>
          <w:tcPr>
            <w:tcW w:w="6377" w:type="dxa"/>
            <w:vAlign w:val="center"/>
          </w:tcPr>
          <w:p>
            <w:pPr>
              <w:pStyle w:val="63"/>
            </w:pPr>
            <w:r>
              <w:t>站区设置应急柴油发电机，生产装置和罐区应设置防火灾、爆炸事 故的应急设施、设备与材料，主要为消防器材、消防服等，并要防 油品外溢、扩散。</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568" w:type="dxa"/>
            <w:vAlign w:val="center"/>
          </w:tcPr>
          <w:p>
            <w:pPr>
              <w:pStyle w:val="63"/>
            </w:pPr>
            <w:r>
              <w:t>6</w:t>
            </w:r>
          </w:p>
        </w:tc>
        <w:tc>
          <w:tcPr>
            <w:tcW w:w="1560" w:type="dxa"/>
            <w:vAlign w:val="center"/>
          </w:tcPr>
          <w:p>
            <w:pPr>
              <w:pStyle w:val="63"/>
            </w:pPr>
            <w:r>
              <w:t>应急通讯通告与交通</w:t>
            </w:r>
          </w:p>
        </w:tc>
        <w:tc>
          <w:tcPr>
            <w:tcW w:w="6377" w:type="dxa"/>
            <w:vAlign w:val="center"/>
          </w:tcPr>
          <w:p>
            <w:pPr>
              <w:pStyle w:val="63"/>
            </w:pPr>
            <w:r>
              <w:t>规定应急状态下的通讯、通告方式和交通保障、管理等事项。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8" w:type="dxa"/>
            <w:vAlign w:val="center"/>
          </w:tcPr>
          <w:p>
            <w:pPr>
              <w:pStyle w:val="63"/>
            </w:pPr>
            <w:r>
              <w:t>7</w:t>
            </w:r>
          </w:p>
        </w:tc>
        <w:tc>
          <w:tcPr>
            <w:tcW w:w="1560" w:type="dxa"/>
            <w:vAlign w:val="center"/>
          </w:tcPr>
          <w:p>
            <w:pPr>
              <w:pStyle w:val="63"/>
            </w:pPr>
            <w:r>
              <w:t>应急环境监测及事故后评价</w:t>
            </w:r>
          </w:p>
        </w:tc>
        <w:tc>
          <w:tcPr>
            <w:tcW w:w="6377" w:type="dxa"/>
            <w:vAlign w:val="center"/>
          </w:tcPr>
          <w:p>
            <w:pPr>
              <w:pStyle w:val="63"/>
            </w:pPr>
            <w:r>
              <w:t>由专业人员对事故现场进行应急监测分析，对事故性质、严重程度 等所造成的环境危害后果进行评估，吸取经验教训避免再次发生事 故，为指挥部门提供决策依据。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8" w:type="dxa"/>
            <w:vAlign w:val="center"/>
          </w:tcPr>
          <w:p>
            <w:pPr>
              <w:pStyle w:val="63"/>
            </w:pPr>
            <w:r>
              <w:t>8</w:t>
            </w:r>
          </w:p>
        </w:tc>
        <w:tc>
          <w:tcPr>
            <w:tcW w:w="1560" w:type="dxa"/>
            <w:vAlign w:val="center"/>
          </w:tcPr>
          <w:p>
            <w:pPr>
              <w:pStyle w:val="63"/>
            </w:pPr>
            <w:r>
              <w:t>应急防护措施及需使用器材</w:t>
            </w:r>
          </w:p>
        </w:tc>
        <w:tc>
          <w:tcPr>
            <w:tcW w:w="6377" w:type="dxa"/>
            <w:vAlign w:val="center"/>
          </w:tcPr>
          <w:p>
            <w:pPr>
              <w:pStyle w:val="63"/>
            </w:pPr>
            <w:r>
              <w:t>事故现场：控制事故发展，防止扩大、蔓延及连锁反应，清除现场 泄露物，降低危害等相应的设施器材配备。 临近地区：控制防火区域，控制和消除环境污染的措施及相应的设 备配备。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8" w:type="dxa"/>
            <w:vAlign w:val="center"/>
          </w:tcPr>
          <w:p>
            <w:pPr>
              <w:pStyle w:val="63"/>
            </w:pPr>
            <w:r>
              <w:t>9</w:t>
            </w:r>
          </w:p>
        </w:tc>
        <w:tc>
          <w:tcPr>
            <w:tcW w:w="1560" w:type="dxa"/>
            <w:vAlign w:val="center"/>
          </w:tcPr>
          <w:p>
            <w:pPr>
              <w:pStyle w:val="63"/>
            </w:pPr>
            <w:r>
              <w:t>应急剂量控制撤离组织计划医疗救护与保护公众健康</w:t>
            </w:r>
          </w:p>
        </w:tc>
        <w:tc>
          <w:tcPr>
            <w:tcW w:w="6377" w:type="dxa"/>
            <w:vAlign w:val="center"/>
          </w:tcPr>
          <w:p>
            <w:pPr>
              <w:pStyle w:val="63"/>
            </w:pPr>
            <w:r>
              <w:t>事故现场：事故处理人员制定毒物的应急剂量，现场及临近装置人 员的撤离组织计划和紧急救护方案。 临近地区：制定受事故影响的临近地区内人员对毒物的应急剂量， 公众的疏散组织计划和紧急救护方案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8" w:type="dxa"/>
            <w:vAlign w:val="center"/>
          </w:tcPr>
          <w:p>
            <w:pPr>
              <w:pStyle w:val="63"/>
            </w:pPr>
            <w:r>
              <w:t>10</w:t>
            </w:r>
          </w:p>
        </w:tc>
        <w:tc>
          <w:tcPr>
            <w:tcW w:w="1560" w:type="dxa"/>
            <w:vAlign w:val="center"/>
          </w:tcPr>
          <w:p>
            <w:pPr>
              <w:pStyle w:val="63"/>
            </w:pPr>
            <w:r>
              <w:t>应急状态中止恢复措施</w:t>
            </w:r>
          </w:p>
        </w:tc>
        <w:tc>
          <w:tcPr>
            <w:tcW w:w="6377" w:type="dxa"/>
            <w:vAlign w:val="center"/>
          </w:tcPr>
          <w:p>
            <w:pPr>
              <w:pStyle w:val="63"/>
            </w:pPr>
            <w:r>
              <w:t>事故现场：规定应急状态终止秩序；事故现场善后处理，回复生产 措施。临近地区：解除事故警戒，公众返回和善后恢复措施。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8" w:type="dxa"/>
            <w:vAlign w:val="center"/>
          </w:tcPr>
          <w:p>
            <w:pPr>
              <w:pStyle w:val="63"/>
            </w:pPr>
            <w:r>
              <w:t>11</w:t>
            </w:r>
          </w:p>
        </w:tc>
        <w:tc>
          <w:tcPr>
            <w:tcW w:w="1560" w:type="dxa"/>
            <w:vAlign w:val="center"/>
          </w:tcPr>
          <w:p>
            <w:pPr>
              <w:pStyle w:val="63"/>
            </w:pPr>
            <w:r>
              <w:t>人员培训 与演习</w:t>
            </w:r>
          </w:p>
        </w:tc>
        <w:tc>
          <w:tcPr>
            <w:tcW w:w="6377" w:type="dxa"/>
            <w:vAlign w:val="center"/>
          </w:tcPr>
          <w:p>
            <w:pPr>
              <w:pStyle w:val="63"/>
            </w:pPr>
            <w:r>
              <w:t>应急计划制定后，平时安排事故处理人员进行相关知识培训并进行 事故应急处理演习；对工厂工人进行安全卫生教育。</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8" w:type="dxa"/>
            <w:vAlign w:val="center"/>
          </w:tcPr>
          <w:p>
            <w:pPr>
              <w:pStyle w:val="63"/>
            </w:pPr>
            <w:r>
              <w:t>12</w:t>
            </w:r>
          </w:p>
        </w:tc>
        <w:tc>
          <w:tcPr>
            <w:tcW w:w="1560" w:type="dxa"/>
            <w:vAlign w:val="center"/>
          </w:tcPr>
          <w:p>
            <w:pPr>
              <w:pStyle w:val="63"/>
            </w:pPr>
            <w:r>
              <w:t>公众教育 信息发布</w:t>
            </w:r>
          </w:p>
        </w:tc>
        <w:tc>
          <w:tcPr>
            <w:tcW w:w="6377" w:type="dxa"/>
            <w:vAlign w:val="center"/>
          </w:tcPr>
          <w:p>
            <w:pPr>
              <w:pStyle w:val="63"/>
            </w:pPr>
            <w:r>
              <w:t>对项目临近地区公众开展环境风险事故预防教育，应急知识培训并 定期发布相关信息。</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568" w:type="dxa"/>
            <w:vAlign w:val="center"/>
          </w:tcPr>
          <w:p>
            <w:pPr>
              <w:pStyle w:val="63"/>
            </w:pPr>
            <w:r>
              <w:t>13</w:t>
            </w:r>
          </w:p>
        </w:tc>
        <w:tc>
          <w:tcPr>
            <w:tcW w:w="1560" w:type="dxa"/>
            <w:vAlign w:val="center"/>
          </w:tcPr>
          <w:p>
            <w:pPr>
              <w:pStyle w:val="63"/>
            </w:pPr>
            <w:r>
              <w:t>记录和报告</w:t>
            </w:r>
          </w:p>
        </w:tc>
        <w:tc>
          <w:tcPr>
            <w:tcW w:w="6377" w:type="dxa"/>
            <w:vAlign w:val="center"/>
          </w:tcPr>
          <w:p>
            <w:pPr>
              <w:pStyle w:val="63"/>
            </w:pPr>
            <w:r>
              <w:t>设应急事故专门记录，建立档案和报告制度，设专门部门负责管理。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68" w:type="dxa"/>
            <w:vAlign w:val="center"/>
          </w:tcPr>
          <w:p>
            <w:pPr>
              <w:pStyle w:val="63"/>
            </w:pPr>
            <w:r>
              <w:t>14</w:t>
            </w:r>
          </w:p>
        </w:tc>
        <w:tc>
          <w:tcPr>
            <w:tcW w:w="1560" w:type="dxa"/>
            <w:vAlign w:val="center"/>
          </w:tcPr>
          <w:p>
            <w:pPr>
              <w:pStyle w:val="63"/>
            </w:pPr>
            <w:r>
              <w:t>附件</w:t>
            </w:r>
          </w:p>
        </w:tc>
        <w:tc>
          <w:tcPr>
            <w:tcW w:w="6377" w:type="dxa"/>
            <w:vAlign w:val="center"/>
          </w:tcPr>
          <w:p>
            <w:pPr>
              <w:pStyle w:val="63"/>
            </w:pPr>
            <w:r>
              <w:t>准备并形成环境风险事故应急处理有关的附件材料。</w:t>
            </w:r>
          </w:p>
        </w:tc>
      </w:tr>
    </w:tbl>
    <w:p>
      <w:pPr>
        <w:pStyle w:val="3"/>
        <w:rPr>
          <w:rFonts w:ascii="Times New Roman" w:hAnsi="Times New Roman" w:cs="Times New Roman" w:eastAsiaTheme="minorEastAsia"/>
        </w:rPr>
      </w:pPr>
      <w:bookmarkStart w:id="491" w:name="_Toc102658235"/>
      <w:bookmarkStart w:id="492" w:name="_Toc147848101"/>
      <w:bookmarkStart w:id="493" w:name="_Toc144276983"/>
      <w:bookmarkStart w:id="494" w:name="_Toc144236853"/>
      <w:r>
        <w:rPr>
          <w:rFonts w:ascii="Times New Roman" w:hAnsi="Times New Roman" w:cs="Times New Roman" w:eastAsiaTheme="minorEastAsia"/>
        </w:rPr>
        <w:t>7.9 梯次利用车间的风险分析</w:t>
      </w:r>
      <w:bookmarkEnd w:id="491"/>
      <w:bookmarkEnd w:id="492"/>
      <w:bookmarkEnd w:id="493"/>
      <w:bookmarkEnd w:id="494"/>
    </w:p>
    <w:p>
      <w:pPr>
        <w:pStyle w:val="4"/>
        <w:rPr>
          <w:rFonts w:ascii="Times New Roman" w:hAnsi="Times New Roman" w:cs="Times New Roman"/>
        </w:rPr>
      </w:pPr>
      <w:bookmarkStart w:id="495" w:name="_Toc144276984"/>
      <w:bookmarkStart w:id="496" w:name="_Toc144236854"/>
      <w:bookmarkStart w:id="497" w:name="_Toc147848102"/>
      <w:r>
        <w:rPr>
          <w:rFonts w:ascii="Times New Roman" w:hAnsi="Times New Roman" w:cs="Times New Roman"/>
        </w:rPr>
        <w:t>7.9.1 环境风险分析</w:t>
      </w:r>
      <w:bookmarkEnd w:id="495"/>
      <w:bookmarkEnd w:id="496"/>
      <w:bookmarkEnd w:id="497"/>
    </w:p>
    <w:p>
      <w:pPr>
        <w:pStyle w:val="5"/>
        <w:ind w:firstLine="482"/>
        <w:rPr>
          <w:rFonts w:ascii="Times New Roman" w:hAnsi="Times New Roman" w:cs="Times New Roman" w:eastAsiaTheme="minorEastAsia"/>
        </w:rPr>
      </w:pPr>
      <w:r>
        <w:rPr>
          <w:rFonts w:ascii="Times New Roman" w:hAnsi="Times New Roman" w:cs="Times New Roman" w:eastAsiaTheme="minorEastAsia"/>
        </w:rPr>
        <w:t>7.9.1.1 生产过程环境影响分析</w:t>
      </w:r>
    </w:p>
    <w:p>
      <w:pPr>
        <w:spacing w:line="360" w:lineRule="auto"/>
        <w:ind w:firstLine="480" w:firstLineChars="200"/>
        <w:rPr>
          <w:rFonts w:ascii="Times New Roman" w:hAnsi="Times New Roman" w:cs="Times New Roman"/>
        </w:rPr>
      </w:pPr>
      <w:r>
        <w:rPr>
          <w:rFonts w:ascii="Times New Roman" w:hAnsi="Times New Roman" w:cs="Times New Roman"/>
        </w:rPr>
        <w:t>本项目进行25000t/a梯次利用生产过程的环境风险主要有以下两个方面：</w:t>
      </w:r>
    </w:p>
    <w:p>
      <w:pPr>
        <w:spacing w:line="360" w:lineRule="auto"/>
        <w:ind w:firstLine="480" w:firstLineChars="200"/>
        <w:rPr>
          <w:rFonts w:ascii="Times New Roman" w:hAnsi="Times New Roman" w:cs="Times New Roman"/>
        </w:rPr>
      </w:pPr>
      <w:r>
        <w:rPr>
          <w:rFonts w:ascii="Times New Roman" w:hAnsi="Times New Roman" w:cs="Times New Roman"/>
        </w:rPr>
        <w:t>（1）生产时因操作不当、电池包跌落和机械碰撞等原因造成电池包受损，引起电池内部电芯中的电解液泄漏，进而引发整个车间楼发生火灾和爆炸等事故，造成环境空气污染事故。危险物质可能会直接泄漏至外环境或者随着消防废水泄漏至外环境进而</w:t>
      </w:r>
      <w:r>
        <w:rPr>
          <w:rFonts w:hint="eastAsia" w:ascii="Times New Roman" w:hAnsi="Times New Roman" w:cs="Times New Roman"/>
          <w:lang w:eastAsia="zh-CN"/>
        </w:rPr>
        <w:t>造成</w:t>
      </w:r>
      <w:r>
        <w:rPr>
          <w:rFonts w:ascii="Times New Roman" w:hAnsi="Times New Roman" w:cs="Times New Roman"/>
        </w:rPr>
        <w:t>大气、地表水、地下水和土壤污染事故。</w:t>
      </w:r>
    </w:p>
    <w:p>
      <w:pPr>
        <w:spacing w:line="360" w:lineRule="auto"/>
        <w:ind w:firstLine="480" w:firstLineChars="200"/>
        <w:rPr>
          <w:rFonts w:ascii="Times New Roman" w:hAnsi="Times New Roman" w:cs="Times New Roman"/>
        </w:rPr>
      </w:pPr>
      <w:r>
        <w:rPr>
          <w:rFonts w:ascii="Times New Roman" w:hAnsi="Times New Roman" w:cs="Times New Roman"/>
        </w:rPr>
        <w:t>（2）充放电检测时因过度充电引起电池包内部气体膨胀等原因进而引起电池电解液泄漏和电池爆炸，进而引发整个车间楼发生火灾和爆炸等事故，造成环境空气污染事故。危险物质可能会直接泄漏至外环境或者随着消防废水泄漏至外环境进而</w:t>
      </w:r>
      <w:r>
        <w:rPr>
          <w:rFonts w:hint="eastAsia" w:ascii="Times New Roman" w:hAnsi="Times New Roman" w:cs="Times New Roman"/>
          <w:lang w:eastAsia="zh-CN"/>
        </w:rPr>
        <w:t>造成</w:t>
      </w:r>
      <w:r>
        <w:rPr>
          <w:rFonts w:ascii="Times New Roman" w:hAnsi="Times New Roman" w:cs="Times New Roman"/>
        </w:rPr>
        <w:t>大气、地表水、地下水和土壤污染事故。</w:t>
      </w:r>
    </w:p>
    <w:p>
      <w:pPr>
        <w:pStyle w:val="5"/>
        <w:ind w:firstLine="482"/>
        <w:rPr>
          <w:rFonts w:ascii="Times New Roman" w:hAnsi="Times New Roman" w:cs="Times New Roman" w:eastAsiaTheme="minorEastAsia"/>
        </w:rPr>
      </w:pPr>
      <w:r>
        <w:rPr>
          <w:rFonts w:ascii="Times New Roman" w:hAnsi="Times New Roman" w:cs="Times New Roman" w:eastAsiaTheme="minorEastAsia"/>
        </w:rPr>
        <w:t>7.9.1.2 贮存过程环境风险分析</w:t>
      </w:r>
    </w:p>
    <w:p>
      <w:pPr>
        <w:spacing w:line="360" w:lineRule="auto"/>
        <w:ind w:firstLine="480" w:firstLineChars="200"/>
        <w:rPr>
          <w:rFonts w:ascii="Times New Roman" w:hAnsi="Times New Roman" w:cs="Times New Roman"/>
        </w:rPr>
      </w:pPr>
      <w:r>
        <w:rPr>
          <w:rFonts w:ascii="Times New Roman" w:hAnsi="Times New Roman" w:cs="Times New Roman"/>
        </w:rPr>
        <w:t>本项目退役动力锂电池运入厂区后主要集中贮存在电池仓库内。储存过程中可能会因为高温、潮湿，车间通风条件不好、电池正负极触头未采取绝缘防护等原因造成电池潮解、破裂甚至爆炸，进而造成环境污染事故。</w:t>
      </w:r>
    </w:p>
    <w:p>
      <w:pPr>
        <w:pStyle w:val="4"/>
        <w:rPr>
          <w:rFonts w:ascii="Times New Roman" w:hAnsi="Times New Roman" w:cs="Times New Roman"/>
        </w:rPr>
      </w:pPr>
      <w:bookmarkStart w:id="498" w:name="_Toc144236855"/>
      <w:bookmarkStart w:id="499" w:name="_Toc144276985"/>
      <w:bookmarkStart w:id="500" w:name="_Toc147848103"/>
      <w:r>
        <w:rPr>
          <w:rFonts w:ascii="Times New Roman" w:hAnsi="Times New Roman" w:cs="Times New Roman"/>
        </w:rPr>
        <w:t>7.9.2 风险防范措施</w:t>
      </w:r>
      <w:bookmarkEnd w:id="498"/>
      <w:bookmarkEnd w:id="499"/>
      <w:bookmarkEnd w:id="500"/>
    </w:p>
    <w:p>
      <w:pPr>
        <w:pStyle w:val="5"/>
        <w:ind w:firstLine="482"/>
        <w:rPr>
          <w:rFonts w:ascii="Times New Roman" w:hAnsi="Times New Roman" w:cs="Times New Roman"/>
        </w:rPr>
      </w:pPr>
      <w:r>
        <w:rPr>
          <w:rFonts w:ascii="Times New Roman" w:hAnsi="Times New Roman" w:cs="Times New Roman"/>
        </w:rPr>
        <w:t>7.9.2.1 生产过程环境风险防范措施</w:t>
      </w:r>
    </w:p>
    <w:p>
      <w:pPr>
        <w:spacing w:line="360" w:lineRule="auto"/>
        <w:ind w:firstLine="480" w:firstLineChars="200"/>
        <w:rPr>
          <w:rFonts w:ascii="Times New Roman" w:hAnsi="Times New Roman" w:cs="Times New Roman"/>
        </w:rPr>
      </w:pPr>
      <w:r>
        <w:rPr>
          <w:rFonts w:ascii="Times New Roman" w:hAnsi="Times New Roman" w:cs="Times New Roman"/>
        </w:rPr>
        <w:t>（1）本项目企业应建立员工生产操作手册，加强员工教育和操作技能培训，防止误操作造成电池包破损、电解液泄漏、甚至引发火灾爆炸事故。</w:t>
      </w:r>
    </w:p>
    <w:p>
      <w:pPr>
        <w:spacing w:line="360" w:lineRule="auto"/>
        <w:ind w:firstLine="480" w:firstLineChars="200"/>
        <w:rPr>
          <w:rFonts w:ascii="Times New Roman" w:hAnsi="Times New Roman" w:cs="Times New Roman"/>
        </w:rPr>
      </w:pPr>
      <w:r>
        <w:rPr>
          <w:rFonts w:ascii="Times New Roman" w:hAnsi="Times New Roman" w:cs="Times New Roman"/>
        </w:rPr>
        <w:t>（2）生产过程中若发生电解液泄漏应及时处置和报告，对泄漏电池进行单独存放，对少量泄漏的电解液可用吸附材料进行吸附，大量泄漏应用耐酸碱PE 桶等类容器收集，密闭存放，对车间地面应采取干抹布进行清理。废吸附材料、收集的破损电池和泄漏电解液及清理产生的废抹布应作为危废及时委托有资质单位进行处置。</w:t>
      </w:r>
    </w:p>
    <w:p>
      <w:pPr>
        <w:spacing w:line="360" w:lineRule="auto"/>
        <w:ind w:firstLine="480" w:firstLineChars="200"/>
        <w:rPr>
          <w:rFonts w:ascii="Times New Roman" w:hAnsi="Times New Roman" w:cs="Times New Roman"/>
        </w:rPr>
      </w:pPr>
      <w:r>
        <w:rPr>
          <w:rFonts w:ascii="Times New Roman" w:hAnsi="Times New Roman" w:cs="Times New Roman"/>
        </w:rPr>
        <w:t>（3）定期对电池检测设备进行检修维护，防止设备故障造成电池过冲现象。</w:t>
      </w:r>
    </w:p>
    <w:p>
      <w:pPr>
        <w:spacing w:line="360" w:lineRule="auto"/>
        <w:ind w:firstLine="480" w:firstLineChars="200"/>
        <w:rPr>
          <w:rFonts w:ascii="Times New Roman" w:hAnsi="Times New Roman" w:cs="Times New Roman"/>
        </w:rPr>
      </w:pPr>
      <w:r>
        <w:rPr>
          <w:rFonts w:ascii="Times New Roman" w:hAnsi="Times New Roman" w:cs="Times New Roman"/>
        </w:rPr>
        <w:t>（4）本项目企业应加强生产设备和环保设备管理，定期对生产和环保设备进行检修维护，确保生产和环保设施正常有效运行。</w:t>
      </w:r>
    </w:p>
    <w:p>
      <w:pPr>
        <w:spacing w:line="360" w:lineRule="auto"/>
        <w:ind w:firstLine="480" w:firstLineChars="200"/>
        <w:rPr>
          <w:rFonts w:ascii="Times New Roman" w:hAnsi="Times New Roman" w:cs="Times New Roman"/>
        </w:rPr>
      </w:pPr>
      <w:r>
        <w:rPr>
          <w:rFonts w:ascii="Times New Roman" w:hAnsi="Times New Roman" w:cs="Times New Roman"/>
        </w:rPr>
        <w:t>（5）废气治理设施、固废储存区等环保设施应有相应的标识，并注明注意事项，以防止误操作造成事故排放。</w:t>
      </w:r>
    </w:p>
    <w:p>
      <w:pPr>
        <w:spacing w:line="360" w:lineRule="auto"/>
        <w:ind w:firstLine="480" w:firstLineChars="200"/>
        <w:rPr>
          <w:rFonts w:ascii="Times New Roman" w:hAnsi="Times New Roman" w:cs="Times New Roman"/>
        </w:rPr>
      </w:pPr>
      <w:r>
        <w:rPr>
          <w:rFonts w:ascii="Times New Roman" w:hAnsi="Times New Roman" w:cs="Times New Roman"/>
        </w:rPr>
        <w:t>（6）本项目企业应加强职工的工作责任性教育，一旦发生物料散落事故应及时清理，防止散落物料给外环境造成污染。</w:t>
      </w:r>
    </w:p>
    <w:p>
      <w:pPr>
        <w:spacing w:line="360" w:lineRule="auto"/>
        <w:ind w:firstLine="480" w:firstLineChars="200"/>
        <w:rPr>
          <w:rFonts w:ascii="Times New Roman" w:hAnsi="Times New Roman" w:cs="Times New Roman"/>
        </w:rPr>
      </w:pPr>
      <w:r>
        <w:rPr>
          <w:rFonts w:ascii="Times New Roman" w:hAnsi="Times New Roman" w:cs="Times New Roman"/>
        </w:rPr>
        <w:t>（7）本项目企业应及时清运拆解产生的各类固废，尽可能减少各类锂电池包在车间的储存量。</w:t>
      </w:r>
    </w:p>
    <w:p>
      <w:pPr>
        <w:spacing w:line="360" w:lineRule="auto"/>
        <w:ind w:firstLine="480" w:firstLineChars="200"/>
        <w:rPr>
          <w:rFonts w:ascii="Times New Roman" w:hAnsi="Times New Roman" w:cs="Times New Roman"/>
        </w:rPr>
      </w:pPr>
      <w:r>
        <w:rPr>
          <w:rFonts w:ascii="Times New Roman" w:hAnsi="Times New Roman" w:cs="Times New Roman"/>
        </w:rPr>
        <w:t>（8）车间地面应进行防腐、防渗措施。</w:t>
      </w:r>
    </w:p>
    <w:p>
      <w:pPr>
        <w:pStyle w:val="5"/>
        <w:ind w:firstLine="482"/>
        <w:rPr>
          <w:rFonts w:ascii="Times New Roman" w:hAnsi="Times New Roman" w:cs="Times New Roman"/>
        </w:rPr>
      </w:pPr>
      <w:r>
        <w:rPr>
          <w:rFonts w:ascii="Times New Roman" w:hAnsi="Times New Roman" w:cs="Times New Roman"/>
        </w:rPr>
        <w:t>7.9.2.2 贮存过程的风险防范措施</w:t>
      </w:r>
    </w:p>
    <w:p>
      <w:pPr>
        <w:spacing w:line="360" w:lineRule="auto"/>
        <w:ind w:firstLine="480" w:firstLineChars="200"/>
        <w:rPr>
          <w:rFonts w:ascii="Times New Roman" w:hAnsi="Times New Roman" w:cs="Times New Roman"/>
        </w:rPr>
      </w:pPr>
      <w:r>
        <w:rPr>
          <w:rFonts w:ascii="Times New Roman" w:hAnsi="Times New Roman" w:cs="Times New Roman"/>
        </w:rPr>
        <w:t>（1）退役动力锂电池进厂储存前应进行检查，确保同本项目所处理的锂电池一致，防止不符合要求的锂电池混进车间。</w:t>
      </w:r>
    </w:p>
    <w:p>
      <w:pPr>
        <w:spacing w:line="360" w:lineRule="auto"/>
        <w:ind w:firstLine="480" w:firstLineChars="200"/>
        <w:rPr>
          <w:rFonts w:ascii="Times New Roman" w:hAnsi="Times New Roman" w:cs="Times New Roman"/>
        </w:rPr>
      </w:pPr>
      <w:r>
        <w:rPr>
          <w:rFonts w:ascii="Times New Roman" w:hAnsi="Times New Roman" w:cs="Times New Roman"/>
        </w:rPr>
        <w:t>（2）贮存过程中产生风险的原因主要是由于管理不善，造成贮存环境不能满足废旧动力锂电池的储存要求，从而造成电池发生潮解、短路，进而引发电池电解液泄漏、火灾爆炸等事故。因此本项目企业应加强管理，提高贮存管理人员的环境保护意识及安全意识，保证车间内通风良好，贮存的电池正负极触头应采取绝缘防护措施，以防止发生电池潮解、短路、电解液泄漏、火灾和爆炸事故。</w:t>
      </w:r>
    </w:p>
    <w:p>
      <w:pPr>
        <w:spacing w:line="360" w:lineRule="auto"/>
        <w:ind w:firstLine="480" w:firstLineChars="200"/>
        <w:rPr>
          <w:rFonts w:ascii="Times New Roman" w:hAnsi="Times New Roman" w:cs="Times New Roman"/>
        </w:rPr>
      </w:pPr>
      <w:r>
        <w:rPr>
          <w:rFonts w:ascii="Times New Roman" w:hAnsi="Times New Roman" w:cs="Times New Roman"/>
        </w:rPr>
        <w:t>（3）车间电池储存区等重要位置应设置视频监控系统，24 小时不间断监控，一旦发生事故，能在第一时间发现并得到处置。</w:t>
      </w:r>
    </w:p>
    <w:p>
      <w:pPr>
        <w:spacing w:line="360" w:lineRule="auto"/>
        <w:ind w:firstLine="480" w:firstLineChars="200"/>
        <w:rPr>
          <w:rFonts w:ascii="Times New Roman" w:hAnsi="Times New Roman" w:cs="Times New Roman"/>
        </w:rPr>
      </w:pPr>
      <w:r>
        <w:rPr>
          <w:rFonts w:ascii="Times New Roman" w:hAnsi="Times New Roman" w:cs="Times New Roman"/>
        </w:rPr>
        <w:t>（4）制定完善的管理制度，对各类原料、产品和固废实行严格分类管理和进出库台账管理。</w:t>
      </w:r>
    </w:p>
    <w:p>
      <w:pPr>
        <w:spacing w:line="360" w:lineRule="auto"/>
        <w:ind w:firstLine="480" w:firstLineChars="200"/>
        <w:rPr>
          <w:rFonts w:ascii="Times New Roman" w:hAnsi="Times New Roman" w:cs="Times New Roman"/>
        </w:rPr>
      </w:pPr>
      <w:r>
        <w:rPr>
          <w:rFonts w:ascii="Times New Roman" w:hAnsi="Times New Roman" w:cs="Times New Roman"/>
        </w:rPr>
        <w:t>（5）储存过程中若发生电池包电解液泄漏，应及时采用吸附材料吸附或耐酸碱PE桶等类容器收集，收集的破损电池和泄漏电解液及收集过程产生的废吸附材料应作为危废委托有资质单位进行处置。</w:t>
      </w:r>
    </w:p>
    <w:p>
      <w:pPr>
        <w:spacing w:line="360" w:lineRule="auto"/>
        <w:ind w:firstLine="480" w:firstLineChars="200"/>
        <w:rPr>
          <w:rFonts w:ascii="Times New Roman" w:hAnsi="Times New Roman" w:cs="Times New Roman"/>
        </w:rPr>
        <w:sectPr>
          <w:headerReference r:id="rId12" w:type="default"/>
          <w:footerReference r:id="rId13" w:type="default"/>
          <w:pgSz w:w="11906" w:h="16838"/>
          <w:pgMar w:top="1440" w:right="1800" w:bottom="1440" w:left="1800" w:header="851" w:footer="992" w:gutter="0"/>
          <w:cols w:space="425" w:num="1"/>
          <w:docGrid w:type="lines" w:linePitch="312" w:charSpace="0"/>
        </w:sectPr>
      </w:pPr>
      <w:r>
        <w:rPr>
          <w:rFonts w:ascii="Times New Roman" w:hAnsi="Times New Roman" w:cs="Times New Roman"/>
        </w:rPr>
        <w:t>（6）本项目应设置值班人员，对车间重点危险区域实行24小时巡回检查。</w:t>
      </w:r>
    </w:p>
    <w:p>
      <w:pPr>
        <w:pStyle w:val="2"/>
        <w:spacing w:before="120" w:after="120"/>
        <w:rPr>
          <w:rFonts w:ascii="Times New Roman" w:hAnsi="Times New Roman" w:cs="Times New Roman"/>
        </w:rPr>
      </w:pPr>
      <w:bookmarkStart w:id="501" w:name="_Toc144236856"/>
      <w:bookmarkStart w:id="502" w:name="_Toc144276986"/>
      <w:bookmarkStart w:id="503" w:name="_Toc102658236"/>
      <w:bookmarkStart w:id="504" w:name="_Toc147848104"/>
      <w:bookmarkStart w:id="505" w:name="_Toc102658242"/>
      <w:bookmarkStart w:id="506" w:name="_Toc102658248"/>
      <w:r>
        <w:rPr>
          <w:rFonts w:ascii="Times New Roman" w:hAnsi="Times New Roman" w:cs="Times New Roman"/>
        </w:rPr>
        <w:t>第8章 污染防治措施可行性分析</w:t>
      </w:r>
      <w:bookmarkEnd w:id="501"/>
      <w:bookmarkEnd w:id="502"/>
      <w:bookmarkEnd w:id="503"/>
      <w:bookmarkEnd w:id="504"/>
    </w:p>
    <w:p>
      <w:pPr>
        <w:pStyle w:val="3"/>
        <w:rPr>
          <w:rFonts w:ascii="Times New Roman" w:hAnsi="Times New Roman" w:cs="Times New Roman" w:eastAsiaTheme="minorEastAsia"/>
          <w:szCs w:val="30"/>
        </w:rPr>
      </w:pPr>
      <w:bookmarkStart w:id="507" w:name="_Toc147848105"/>
      <w:bookmarkStart w:id="508" w:name="_Toc144276987"/>
      <w:bookmarkStart w:id="509" w:name="_Toc144236857"/>
      <w:bookmarkStart w:id="510" w:name="_Toc102658237"/>
      <w:r>
        <w:rPr>
          <w:rFonts w:ascii="Times New Roman" w:hAnsi="Times New Roman" w:cs="Times New Roman" w:eastAsiaTheme="minorEastAsia"/>
          <w:szCs w:val="30"/>
        </w:rPr>
        <w:t>8.1 施工期污染防治措施分析</w:t>
      </w:r>
      <w:bookmarkEnd w:id="507"/>
      <w:bookmarkEnd w:id="508"/>
      <w:bookmarkEnd w:id="509"/>
    </w:p>
    <w:p>
      <w:pPr>
        <w:pStyle w:val="4"/>
        <w:rPr>
          <w:rFonts w:ascii="Times New Roman" w:hAnsi="Times New Roman" w:cs="Times New Roman"/>
          <w:szCs w:val="28"/>
        </w:rPr>
      </w:pPr>
      <w:bookmarkStart w:id="511" w:name="_Toc144236858"/>
      <w:bookmarkStart w:id="512" w:name="_Toc144276988"/>
      <w:bookmarkStart w:id="513" w:name="_Toc147848106"/>
      <w:r>
        <w:rPr>
          <w:rFonts w:ascii="Times New Roman" w:hAnsi="Times New Roman" w:cs="Times New Roman"/>
          <w:szCs w:val="28"/>
        </w:rPr>
        <w:t>8.1.1 施工期大气污染防治措施分析</w:t>
      </w:r>
      <w:bookmarkEnd w:id="511"/>
      <w:bookmarkEnd w:id="512"/>
      <w:bookmarkEnd w:id="513"/>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（1）建设单位应设置专门的环保机构和管理人员，增加施工场地环境保护及扬尘控制管理人员，制定环境保护管理制度，加强环境监测工作，控制和降低污染物的产生与排放，及时发现问题并予以处理解决。</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（2）施工场地防尘</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在施工期间，应根据不同空气污染指数范围和大风、高温、干燥、晴天、雨天等各种不同气象条件要求，明确施工场地保洁制度。</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场地内施工区采用人力洒水车或水枪洒水、场地外出口处及出口外100米道路采用洒水车洒水，并进行人工清扫。当空气污染指数大于100或四级以上大风干燥天气不许土方作业和人工干扫。在空气污染指数80-100时应每隔4个小时保洁一次，洒水与清扫交替使用。当空气污染指数大于100时，应加密保洁。当空气污染指数低于50时，可以在保持清洁的前提下适度降低保洁强度。</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（3）设置洗车点</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渣土运输车辆和其他运输车辆应当装载适度，在洗车点除泥、冲洗干净后，方可驶出施工工地，配置专人对工地出入口及其道路进行清扫、冲洗，以避免基建扬尘由点源变成沿运输线路的线源污染。</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冲洗点必须配置清洗机和清洗员，此车作业地面和连接进出口的道路必须硬化，道路硬化宽度应大于5m，连接进出口的道路必须保洁，保洁长度不少于50m，地面硬化方式采用混凝土硬化。</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4）粉状筑路材料若遮盖不严在运输过程中也会随风起尘，对运输道路两侧的居民产生影响，特别是大风天气，影响将更为严重。因此要加强对粉状施工材料的运输管理，使用帆布密封或采用罐体车运输，以最大限度的减少原材料运输过程中产生的扬尘。本项目施工场地必须采用商品混凝土，场地内不得设置现场搅拌设施。</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5）堆场物料的种类、性质及风速与起尘量有很大关系，比重小的物料容易受扰动而起尘，物料中小颗粒比例大时起尘量相应也大。堆场的扬尘包括料堆的风吹扬尘、装卸扬尘和过往车辆引起路面积尘二次扬尘等，这将产生较大的尘污染，会对周围环境带来一定的影响，但通过洒水可有效地抑制扬尘量，可使扬尘量减少70％。此外，对一些粉状材料必须采取对应防风（如加盖防尘网）的措施也将有效减少扬尘污染。</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6）施工工地内堆放水泥、灰土、砂石等易产生扬尘污染物料的，应当在其周围设置不低于堆放物高度的封闭性硬质围挡；工程脚手架外侧必须使用密闭安全网进行封闭；施工工地周围按要求设置硬质密闭围挡。</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（7）合理安排施工时间，风力达到5级（含5级）以上时，禁止施工。</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（8）施工期间，工地中具有粉尘逸散性的物料、渣土或废物输送时应从建筑内部管道或密闭输送管道输送，或者打包装筐搬运，严禁凌空抛撒。</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（9）建筑物在装修过程中油漆产生的少量苯系物对环境会存在一定的影响，本环评建议采用环保型油漆和装修材料，选用环保型瓷砖、木材等。</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采取上述措施后，本项目施工期对环境空气影响较小，其措施可行。</w:t>
      </w:r>
    </w:p>
    <w:p>
      <w:pPr>
        <w:pStyle w:val="4"/>
        <w:rPr>
          <w:rFonts w:ascii="Times New Roman" w:hAnsi="Times New Roman" w:cs="Times New Roman"/>
          <w:szCs w:val="28"/>
        </w:rPr>
      </w:pPr>
      <w:bookmarkStart w:id="514" w:name="_Toc144276989"/>
      <w:bookmarkStart w:id="515" w:name="_Toc147848107"/>
      <w:bookmarkStart w:id="516" w:name="_Toc144236859"/>
      <w:r>
        <w:rPr>
          <w:rFonts w:ascii="Times New Roman" w:hAnsi="Times New Roman" w:cs="Times New Roman"/>
          <w:szCs w:val="28"/>
        </w:rPr>
        <w:t>8.1.2 施工期水污染防治措施分析</w:t>
      </w:r>
      <w:bookmarkEnd w:id="514"/>
      <w:bookmarkEnd w:id="515"/>
      <w:bookmarkEnd w:id="516"/>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施工期废水主要包括主要为混凝土养护废水、建筑材料运输车辆进出工地洗车废水、降雨时产生的被污染地表径流以及施工人员生活类污水。</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为减少施工期废水污染的影响，本环评建议：</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1）冲洗车辆废水、设备清洁废水、泥浆水被污染地表径流等所有施工废水须收集到沉淀池沉淀处理，含油废水必须进行隔油处理后回用于施工期道路浇洒、车辆清洗、抑尘以及绿化灌溉。施工废水经回用后，对周边环境的影响较小。沉淀池内淤泥必须定期清理，定期与建筑垃圾一起清运至有关部门指定的建筑垃圾堆填地点处置。</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（2）在工地四周加建围墙和截水沟，防止下雨时裸露的泥土随雨水流进入城市下水道，造成水体SS增加，泥沙淤积；</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（3）水泥、黄沙、石灰类的建筑材料需要集中堆放，并采取一定的防雨措施，及时清扫施工运输过程中抛洒的粉状建筑材料，以免雨水冲刷；</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（4）施工期污水依托现有办公楼的化粪池处理后排入市政污水管网。</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（5）合理选择施工工期，尽量避免在雨季。科学规划、合理安排施工程序，在施工完成后，应尽快对建设区进行水土保持设施和环境绿化工程等建设，使场地土面及时得到绿化覆盖，避免水土流失，美化环境。</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（6）施工中采取临时防护措施，如在场地设置临时排水沟、泥浆沉淀设施，用草席、砂袋、挡土墙等对开挖坡面进行护坡，以稳定边坡，减少水土流失，控制施工期间污泥水悬浮物的浓度。</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采取以上措施后，本项目所有废水均得到合理处置，不外排，对环境影响较小。因此，其措施可行。</w:t>
      </w:r>
    </w:p>
    <w:p>
      <w:pPr>
        <w:pStyle w:val="4"/>
        <w:rPr>
          <w:rFonts w:ascii="Times New Roman" w:hAnsi="Times New Roman" w:cs="Times New Roman"/>
          <w:szCs w:val="28"/>
        </w:rPr>
      </w:pPr>
      <w:bookmarkStart w:id="517" w:name="_Toc147848108"/>
      <w:bookmarkStart w:id="518" w:name="_Toc144236860"/>
      <w:bookmarkStart w:id="519" w:name="_Toc144276990"/>
      <w:r>
        <w:rPr>
          <w:rFonts w:ascii="Times New Roman" w:hAnsi="Times New Roman" w:cs="Times New Roman"/>
          <w:szCs w:val="28"/>
        </w:rPr>
        <w:t>8.1.3 施工期噪声污染防治措施分析</w:t>
      </w:r>
      <w:bookmarkEnd w:id="517"/>
      <w:bookmarkEnd w:id="518"/>
      <w:bookmarkEnd w:id="519"/>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为确保区域声环境质量，本环评提出以下施工期噪声污染防治措施：</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1）为减少项目在施工期间所使用的施工机械、运输车辆产生的噪声对周边居民区生活环境的影响，施工单位应采用先进的低噪声施工机械，并加强施工机械的维护保养，使机械处于最佳工作状况，对一些固定的、噪声强度较大的施工设备，如卷扬机、电锯、切割机等单独搭建隔音棚来隔声降噪。对移动噪声源，如推土机、挖掘机等应采取安装高效消声器的措施来实现降噪的目的。</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2）统筹安排好施工时间，对产生较大噪声和振动的施工作业，如切割，破碎等，应尽量安排在白天进行，应减少和杜绝在夜间施工。同时根据施工作业各阶段的具体情况，尽量避免高噪声机械设备集中使用或几台声功率相同的设备同时作业，以减少作业时的噪声声级。施工抢修、抢险作业和施工因生产工艺上要求或者其他特殊需要必须连续作业的，必须提前向行政主管部门办理相关手续，并需提前向周围民众进行公告后才可进行施工。同时，要求施工单位严格执行《建筑施工场界环境噪声排放标准》（GB12523-2011）中的规定。</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（3）建设施工单位若需要在夜间进行施工，必须到环境主管部门申报，办理夜间施工许可证，同时张贴告示，通知周围居民和公众。</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（4）施工中应使用商品预拌混凝土，避免在场地内设置混凝土搅拌机，较少噪声对项目周边附近环境噪声的贡献影响。</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（5）一切动力机械设备都应适时维修，特别对因松动部件的震动或降低噪声部件的损坏而产生很强的噪声的设备，更应经常检查维护。</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（6）进出施工场界的物料运输车辆需限制行驶速度，并禁鸣喇叭，以最大程度减小运输车辆噪声对周边敏感目标的影响。</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（7）在施工期间，加强施工管理，落实各项减震降噪措施。</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施工单位按照本环评提出的施工噪声控制措施进行施工后，不会对厂界周边的声环境敏感目标造成明显的噪声污染影响。其措施可行。</w:t>
      </w:r>
    </w:p>
    <w:p>
      <w:pPr>
        <w:pStyle w:val="4"/>
        <w:rPr>
          <w:rFonts w:ascii="Times New Roman" w:hAnsi="Times New Roman" w:cs="Times New Roman"/>
          <w:szCs w:val="28"/>
        </w:rPr>
      </w:pPr>
      <w:bookmarkStart w:id="520" w:name="_Toc144276991"/>
      <w:bookmarkStart w:id="521" w:name="_Toc144236861"/>
      <w:bookmarkStart w:id="522" w:name="_Toc147848109"/>
      <w:r>
        <w:rPr>
          <w:rFonts w:ascii="Times New Roman" w:hAnsi="Times New Roman" w:cs="Times New Roman"/>
          <w:szCs w:val="28"/>
        </w:rPr>
        <w:t>8.1.4 施工期固体废物污染防治措施分析</w:t>
      </w:r>
      <w:bookmarkEnd w:id="520"/>
      <w:bookmarkEnd w:id="521"/>
      <w:bookmarkEnd w:id="522"/>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本项目固体废物主要为基础、开挖土方、废弃包装袋、施工渣土、损坏或废弃的各种建筑装饰材料及施工人员生活垃圾等。本次环评建议固废处置方法如下：</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（1）项目场地内土石方、建筑垃圾应用于建设项目低洼地的回填，不外排；</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（2）临时工棚设置垃圾收集筒，施工人员生活垃圾交集中收集后统一处理。</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此外，本环评建议建设单位应从源头上控制建筑垃圾产生，在方案和设计阶段，必须全面对比，选择合理的方案和进行合理的设计，尽量减少工程变更，以减少建筑垃圾。主要措施如下：</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hint="eastAsia" w:ascii="宋体" w:hAnsi="宋体" w:eastAsia="宋体" w:cs="宋体"/>
        </w:rPr>
        <w:t>①</w:t>
      </w:r>
      <w:r>
        <w:rPr>
          <w:rFonts w:ascii="Times New Roman" w:hAnsi="Times New Roman" w:cs="Times New Roman"/>
        </w:rPr>
        <w:fldChar w:fldCharType="end"/>
      </w:r>
      <w:r>
        <w:rPr>
          <w:rFonts w:ascii="Times New Roman" w:hAnsi="Times New Roman" w:cs="Times New Roman"/>
        </w:rPr>
        <w:t xml:space="preserve">提高耐久性设计 </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尽可能延长结构的使用年限，提高结构的耐久性。与此同时，也应相应提高各种装饰材料、填充材料等的耐久性。从而不仅可以提高资源的利用率，还可以减少建筑垃圾的产生率。</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hint="eastAsia" w:ascii="宋体" w:hAnsi="宋体" w:eastAsia="宋体" w:cs="宋体"/>
        </w:rPr>
        <w:t>②</w:t>
      </w:r>
      <w:r>
        <w:rPr>
          <w:rFonts w:ascii="Times New Roman" w:hAnsi="Times New Roman" w:cs="Times New Roman"/>
        </w:rPr>
        <w:fldChar w:fldCharType="end"/>
      </w:r>
      <w:r>
        <w:rPr>
          <w:rFonts w:ascii="Times New Roman" w:hAnsi="Times New Roman" w:cs="Times New Roman"/>
        </w:rPr>
        <w:t>合理选购材料和构件</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在设计时应尽量运用标准设计，采用标准模数和预制构件，以减少建筑垃圾的产生。在选择建筑材料时，应优先选择建造时产生建筑垃圾少的再生建材，还应考虑选择维修、改造和拆除时少垃圾、能再生的建材。并且应尽量采用无包装材料和购买前应先计算好材料用量以免超量。</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3 \* GB3 </w:instrText>
      </w:r>
      <w:r>
        <w:rPr>
          <w:rFonts w:ascii="Times New Roman" w:hAnsi="Times New Roman" w:cs="Times New Roman"/>
        </w:rPr>
        <w:fldChar w:fldCharType="separate"/>
      </w:r>
      <w:r>
        <w:rPr>
          <w:rFonts w:hint="eastAsia" w:ascii="宋体" w:hAnsi="宋体" w:eastAsia="宋体" w:cs="宋体"/>
        </w:rPr>
        <w:t>③</w:t>
      </w:r>
      <w:r>
        <w:rPr>
          <w:rFonts w:ascii="Times New Roman" w:hAnsi="Times New Roman" w:cs="Times New Roman"/>
        </w:rPr>
        <w:fldChar w:fldCharType="end"/>
      </w:r>
      <w:r>
        <w:rPr>
          <w:rFonts w:ascii="Times New Roman" w:hAnsi="Times New Roman" w:cs="Times New Roman"/>
        </w:rPr>
        <w:t>加强施工管理</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施工招投标阶段，在招标文件中写明投标方案中应包含对建筑垃圾的处理措施，从而迫使施工单位在施工时采取相应措施以减少建筑垃圾，所需费用最好也能纳入概算中。在施工阶段，采用机械化施工、提高施工技术和施工工艺、加强施工组织管理工作，以避免建筑材料在运输、储存、安装时的损伤和破坏，提高结构的施工精度，避免局部凿除或修补，从而减少建筑垃圾的产生。在施工现场还应对建筑垃圾分类存放，以利处理。更应严格控制工程变更，尤其是那些已经建好的工程，如果不是万不得已，最好不要再进行变更，以免增加造价和建筑垃圾。</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项目建设单位应严格遵守《中华人民共和国固体废物污染环境防治法》第十六条产生固体废物的单位和个人，应当采取措施，防止或者减少固体废物对环境的污染；第十七条收集、贮存、运输、利用、处置固体废物的单位和个人，必须采取防扬散、防流失、防渗漏或者其他防止污染环境的措施；不得擅自倾倒、堆放、丢弃、遗撒固体废物；第四十六条工程施工单位应当及时清运工程施工过程中产生的固体废物，并按照环境卫生行政主管部门的规定进行利用或者处置的规定。</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建设单位应严格按照相关要求，做好文明施工工作。主要要求为：</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hint="eastAsia" w:ascii="宋体" w:hAnsi="宋体" w:eastAsia="宋体" w:cs="宋体"/>
        </w:rPr>
        <w:t>①</w:t>
      </w:r>
      <w:r>
        <w:rPr>
          <w:rFonts w:ascii="Times New Roman" w:hAnsi="Times New Roman" w:cs="Times New Roman"/>
        </w:rPr>
        <w:fldChar w:fldCharType="end"/>
      </w:r>
      <w:r>
        <w:rPr>
          <w:rFonts w:ascii="Times New Roman" w:hAnsi="Times New Roman" w:cs="Times New Roman"/>
        </w:rPr>
        <w:t>建筑工程施工现场必须设置围栏，围档高度应不低于2.5米；围档应当牢固、整治、美观。临街立面应当用硬质材料封闭，并与作业面同步。封闭面应保持整齐、牢固、无破损。</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hint="eastAsia" w:ascii="宋体" w:hAnsi="宋体" w:eastAsia="宋体" w:cs="宋体"/>
        </w:rPr>
        <w:t>②</w:t>
      </w:r>
      <w:r>
        <w:rPr>
          <w:rFonts w:ascii="Times New Roman" w:hAnsi="Times New Roman" w:cs="Times New Roman"/>
        </w:rPr>
        <w:fldChar w:fldCharType="end"/>
      </w:r>
      <w:r>
        <w:rPr>
          <w:rFonts w:ascii="Times New Roman" w:hAnsi="Times New Roman" w:cs="Times New Roman"/>
        </w:rPr>
        <w:t>实行钻孔灌注桩工艺施工的桩基工程，应当采取降土或者硬地坪覆盖等防止泥浆漫溢的有效措施。施工中冲洗的泥浆，未经处理，不得直接排入城市排水系统。严禁将有害废弃物作土方回填。</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3 \* GB3 </w:instrText>
      </w:r>
      <w:r>
        <w:rPr>
          <w:rFonts w:ascii="Times New Roman" w:hAnsi="Times New Roman" w:cs="Times New Roman"/>
        </w:rPr>
        <w:fldChar w:fldCharType="separate"/>
      </w:r>
      <w:r>
        <w:rPr>
          <w:rFonts w:hint="eastAsia" w:ascii="宋体" w:hAnsi="宋体" w:eastAsia="宋体" w:cs="宋体"/>
        </w:rPr>
        <w:t>③</w:t>
      </w:r>
      <w:r>
        <w:rPr>
          <w:rFonts w:ascii="Times New Roman" w:hAnsi="Times New Roman" w:cs="Times New Roman"/>
        </w:rPr>
        <w:fldChar w:fldCharType="end"/>
      </w:r>
      <w:r>
        <w:rPr>
          <w:rFonts w:ascii="Times New Roman" w:hAnsi="Times New Roman" w:cs="Times New Roman"/>
        </w:rPr>
        <w:t>施工生产的建筑垃圾、生活垃圾，应当及时清运。运输流体、沙石等容易飞扬的建筑材料和建筑垃圾，应当密封、遮盖，不得沿涂抛撤、遗漏。运输车辆驶出施工现场前，应当冲洗干净，不得带泥出场，污染路面。</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4 \* GB3 </w:instrText>
      </w:r>
      <w:r>
        <w:rPr>
          <w:rFonts w:ascii="Times New Roman" w:hAnsi="Times New Roman" w:cs="Times New Roman"/>
        </w:rPr>
        <w:fldChar w:fldCharType="separate"/>
      </w:r>
      <w:r>
        <w:rPr>
          <w:rFonts w:hint="eastAsia" w:ascii="宋体" w:hAnsi="宋体" w:eastAsia="宋体" w:cs="宋体"/>
        </w:rPr>
        <w:t>④</w:t>
      </w:r>
      <w:r>
        <w:rPr>
          <w:rFonts w:ascii="Times New Roman" w:hAnsi="Times New Roman" w:cs="Times New Roman"/>
        </w:rPr>
        <w:fldChar w:fldCharType="end"/>
      </w:r>
      <w:r>
        <w:rPr>
          <w:rFonts w:ascii="Times New Roman" w:hAnsi="Times New Roman" w:cs="Times New Roman"/>
        </w:rPr>
        <w:t>处理施工渣土，施工单位应当事先按照有关规定到市容环境卫生管理部门办理有关审批手续，并按照规定的数量、运输线路、时间、倾倒地点进行处置。渣土和建筑垃圾的运输应避开居民区较多的路线，选择敏感点少的路线。</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5 \* GB3 </w:instrText>
      </w:r>
      <w:r>
        <w:rPr>
          <w:rFonts w:ascii="Times New Roman" w:hAnsi="Times New Roman" w:cs="Times New Roman"/>
        </w:rPr>
        <w:fldChar w:fldCharType="separate"/>
      </w:r>
      <w:r>
        <w:rPr>
          <w:rFonts w:hint="eastAsia" w:ascii="宋体" w:hAnsi="宋体" w:eastAsia="宋体" w:cs="宋体"/>
        </w:rPr>
        <w:t>⑤</w:t>
      </w:r>
      <w:r>
        <w:rPr>
          <w:rFonts w:ascii="Times New Roman" w:hAnsi="Times New Roman" w:cs="Times New Roman"/>
        </w:rPr>
        <w:fldChar w:fldCharType="end"/>
      </w:r>
      <w:r>
        <w:rPr>
          <w:rFonts w:ascii="Times New Roman" w:hAnsi="Times New Roman" w:cs="Times New Roman"/>
        </w:rPr>
        <w:t>在基础开挖的过程中，应注意市政基础设置</w:t>
      </w:r>
      <w:r>
        <w:rPr>
          <w:rFonts w:hint="eastAsia" w:ascii="Times New Roman" w:hAnsi="Times New Roman" w:cs="Times New Roman"/>
          <w:lang w:eastAsia="zh-CN"/>
        </w:rPr>
        <w:t>的</w:t>
      </w:r>
      <w:r>
        <w:rPr>
          <w:rFonts w:ascii="Times New Roman" w:hAnsi="Times New Roman" w:cs="Times New Roman"/>
        </w:rPr>
        <w:t>保护，包括天燃气管道、自来水供水管，在整个施工阶段，还应注意对周围电线电缆的保护，同时注意行人的安全。</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按照本环评提出的固体废物处置措施对项目施工期产生的固体废物进行处理后，不会对周边环境产生明显的污染影响，其措施可行。</w:t>
      </w:r>
    </w:p>
    <w:bookmarkEnd w:id="510"/>
    <w:p>
      <w:pPr>
        <w:pStyle w:val="3"/>
        <w:rPr>
          <w:rFonts w:ascii="Times New Roman" w:hAnsi="Times New Roman" w:cs="Times New Roman" w:eastAsiaTheme="minorEastAsia"/>
        </w:rPr>
      </w:pPr>
      <w:bookmarkStart w:id="523" w:name="_Toc144236862"/>
      <w:bookmarkStart w:id="524" w:name="_Toc144276992"/>
      <w:bookmarkStart w:id="525" w:name="_Toc147848110"/>
      <w:bookmarkStart w:id="526" w:name="_Toc102658238"/>
      <w:r>
        <w:rPr>
          <w:rFonts w:ascii="Times New Roman" w:hAnsi="Times New Roman" w:cs="Times New Roman" w:eastAsiaTheme="minorEastAsia"/>
        </w:rPr>
        <w:t>8.2 运营期污染防治措施分析</w:t>
      </w:r>
      <w:bookmarkEnd w:id="523"/>
      <w:bookmarkEnd w:id="524"/>
      <w:bookmarkEnd w:id="525"/>
      <w:bookmarkEnd w:id="526"/>
    </w:p>
    <w:p>
      <w:pPr>
        <w:pStyle w:val="4"/>
        <w:rPr>
          <w:rFonts w:ascii="Times New Roman" w:hAnsi="Times New Roman" w:cs="Times New Roman"/>
        </w:rPr>
      </w:pPr>
      <w:bookmarkStart w:id="527" w:name="_Toc147848111"/>
      <w:bookmarkStart w:id="528" w:name="_Toc144236863"/>
      <w:bookmarkStart w:id="529" w:name="_Toc144276993"/>
      <w:r>
        <w:rPr>
          <w:rFonts w:ascii="Times New Roman" w:hAnsi="Times New Roman" w:cs="Times New Roman"/>
        </w:rPr>
        <w:t>8.2.1 运营期大气污染防治措施分析</w:t>
      </w:r>
      <w:bookmarkEnd w:id="527"/>
      <w:bookmarkEnd w:id="528"/>
      <w:bookmarkEnd w:id="529"/>
    </w:p>
    <w:p>
      <w:pPr>
        <w:pStyle w:val="5"/>
        <w:ind w:firstLine="482"/>
        <w:rPr>
          <w:rFonts w:ascii="Times New Roman" w:hAnsi="Times New Roman" w:cs="Times New Roman" w:eastAsiaTheme="minorEastAsia"/>
        </w:rPr>
      </w:pPr>
      <w:r>
        <w:rPr>
          <w:rFonts w:ascii="Times New Roman" w:hAnsi="Times New Roman" w:cs="Times New Roman" w:eastAsiaTheme="minorEastAsia"/>
        </w:rPr>
        <w:t>8.2.1.1 目各股废气处理与排放方式</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本项目各股废气处理与排放方式见下表。</w:t>
      </w:r>
    </w:p>
    <w:p>
      <w:pPr>
        <w:pStyle w:val="6"/>
        <w:rPr>
          <w:rFonts w:ascii="Times New Roman" w:hAnsi="Times New Roman" w:cs="Times New Roman"/>
        </w:rPr>
      </w:pPr>
      <w:r>
        <w:rPr>
          <w:rFonts w:ascii="Times New Roman" w:hAnsi="Times New Roman" w:cs="Times New Roman"/>
        </w:rPr>
        <w:t>表8.2-1本项目产污环节分析表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19"/>
        <w:gridCol w:w="1303"/>
        <w:gridCol w:w="2342"/>
        <w:gridCol w:w="2084"/>
        <w:gridCol w:w="21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3" w:type="pct"/>
            <w:vAlign w:val="center"/>
          </w:tcPr>
          <w:p>
            <w:pPr>
              <w:pStyle w:val="63"/>
            </w:pPr>
            <w:r>
              <w:t>类别</w:t>
            </w:r>
          </w:p>
        </w:tc>
        <w:tc>
          <w:tcPr>
            <w:tcW w:w="764" w:type="pct"/>
            <w:vAlign w:val="center"/>
          </w:tcPr>
          <w:p>
            <w:pPr>
              <w:pStyle w:val="63"/>
            </w:pPr>
            <w:r>
              <w:t>生产工序</w:t>
            </w:r>
          </w:p>
        </w:tc>
        <w:tc>
          <w:tcPr>
            <w:tcW w:w="1373" w:type="pct"/>
            <w:vAlign w:val="center"/>
          </w:tcPr>
          <w:p>
            <w:pPr>
              <w:pStyle w:val="63"/>
            </w:pPr>
            <w:r>
              <w:t>产生环节及名称</w:t>
            </w:r>
          </w:p>
        </w:tc>
        <w:tc>
          <w:tcPr>
            <w:tcW w:w="1222" w:type="pct"/>
            <w:vAlign w:val="center"/>
          </w:tcPr>
          <w:p>
            <w:pPr>
              <w:pStyle w:val="63"/>
            </w:pPr>
            <w:r>
              <w:t>处理方式</w:t>
            </w:r>
          </w:p>
        </w:tc>
        <w:tc>
          <w:tcPr>
            <w:tcW w:w="1278" w:type="pct"/>
            <w:vAlign w:val="center"/>
          </w:tcPr>
          <w:p>
            <w:pPr>
              <w:pStyle w:val="63"/>
            </w:pPr>
            <w:r>
              <w:t>排放去向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3" w:type="pct"/>
            <w:vMerge w:val="restart"/>
            <w:vAlign w:val="center"/>
          </w:tcPr>
          <w:p>
            <w:pPr>
              <w:pStyle w:val="63"/>
            </w:pPr>
            <w:r>
              <w:t>废气</w:t>
            </w:r>
          </w:p>
        </w:tc>
        <w:tc>
          <w:tcPr>
            <w:tcW w:w="764" w:type="pct"/>
            <w:vAlign w:val="center"/>
          </w:tcPr>
          <w:p>
            <w:pPr>
              <w:pStyle w:val="63"/>
            </w:pPr>
            <w:r>
              <w:t>预处理</w:t>
            </w:r>
          </w:p>
        </w:tc>
        <w:tc>
          <w:tcPr>
            <w:tcW w:w="1373" w:type="pct"/>
            <w:vAlign w:val="center"/>
          </w:tcPr>
          <w:p>
            <w:pPr>
              <w:pStyle w:val="63"/>
            </w:pPr>
            <w:r>
              <w:t>破碎、热解废气</w:t>
            </w:r>
          </w:p>
        </w:tc>
        <w:tc>
          <w:tcPr>
            <w:tcW w:w="1222" w:type="pct"/>
            <w:vAlign w:val="center"/>
          </w:tcPr>
          <w:p>
            <w:pPr>
              <w:pStyle w:val="63"/>
            </w:pPr>
            <w:r>
              <w:t>焚烧+急冷+布袋除尘+三级水喷淋+碱液喷淋</w:t>
            </w:r>
          </w:p>
        </w:tc>
        <w:tc>
          <w:tcPr>
            <w:tcW w:w="1278" w:type="pct"/>
            <w:vAlign w:val="center"/>
          </w:tcPr>
          <w:p>
            <w:pPr>
              <w:pStyle w:val="63"/>
            </w:pPr>
            <w:r>
              <w:t>30m排气筒排放（P1）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3" w:type="pct"/>
            <w:vMerge w:val="continue"/>
            <w:vAlign w:val="center"/>
          </w:tcPr>
          <w:p>
            <w:pPr>
              <w:pStyle w:val="63"/>
            </w:pPr>
          </w:p>
        </w:tc>
        <w:tc>
          <w:tcPr>
            <w:tcW w:w="764" w:type="pct"/>
            <w:vAlign w:val="center"/>
          </w:tcPr>
          <w:p>
            <w:pPr>
              <w:pStyle w:val="63"/>
            </w:pPr>
            <w:r>
              <w:t>浸出车间</w:t>
            </w:r>
          </w:p>
        </w:tc>
        <w:tc>
          <w:tcPr>
            <w:tcW w:w="1373" w:type="pct"/>
            <w:vAlign w:val="center"/>
          </w:tcPr>
          <w:p>
            <w:pPr>
              <w:pStyle w:val="63"/>
            </w:pPr>
            <w:r>
              <w:t>黑粉浸出</w:t>
            </w:r>
          </w:p>
        </w:tc>
        <w:tc>
          <w:tcPr>
            <w:tcW w:w="1222" w:type="pct"/>
            <w:vAlign w:val="center"/>
          </w:tcPr>
          <w:p>
            <w:pPr>
              <w:pStyle w:val="63"/>
            </w:pPr>
            <w:r>
              <w:t>碱喷淋酸雾吸收塔</w:t>
            </w:r>
          </w:p>
        </w:tc>
        <w:tc>
          <w:tcPr>
            <w:tcW w:w="1278" w:type="pct"/>
            <w:vAlign w:val="center"/>
          </w:tcPr>
          <w:p>
            <w:pPr>
              <w:pStyle w:val="63"/>
            </w:pPr>
            <w:r>
              <w:t>20m高排气筒排放（P2）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3" w:type="pct"/>
            <w:vMerge w:val="continue"/>
            <w:vAlign w:val="center"/>
          </w:tcPr>
          <w:p>
            <w:pPr>
              <w:pStyle w:val="63"/>
            </w:pPr>
          </w:p>
        </w:tc>
        <w:tc>
          <w:tcPr>
            <w:tcW w:w="764" w:type="pct"/>
            <w:vAlign w:val="center"/>
          </w:tcPr>
          <w:p>
            <w:pPr>
              <w:pStyle w:val="63"/>
            </w:pPr>
            <w:r>
              <w:t>萃取车间</w:t>
            </w:r>
          </w:p>
        </w:tc>
        <w:tc>
          <w:tcPr>
            <w:tcW w:w="1373" w:type="pct"/>
            <w:vAlign w:val="center"/>
          </w:tcPr>
          <w:p>
            <w:pPr>
              <w:pStyle w:val="63"/>
            </w:pPr>
            <w:r>
              <w:t>萃取槽废气</w:t>
            </w:r>
          </w:p>
        </w:tc>
        <w:tc>
          <w:tcPr>
            <w:tcW w:w="1222" w:type="pct"/>
            <w:vAlign w:val="center"/>
          </w:tcPr>
          <w:p>
            <w:pPr>
              <w:pStyle w:val="63"/>
            </w:pPr>
            <w:r>
              <w:t>酸雾净化塔+干湿过滤棉+活性炭吸附</w:t>
            </w:r>
          </w:p>
        </w:tc>
        <w:tc>
          <w:tcPr>
            <w:tcW w:w="1278" w:type="pct"/>
            <w:vAlign w:val="center"/>
          </w:tcPr>
          <w:p>
            <w:pPr>
              <w:pStyle w:val="63"/>
            </w:pPr>
            <w:r>
              <w:t>15m高排气筒排放（P3）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3" w:type="pct"/>
            <w:vMerge w:val="continue"/>
            <w:vAlign w:val="center"/>
          </w:tcPr>
          <w:p>
            <w:pPr>
              <w:pStyle w:val="63"/>
            </w:pPr>
          </w:p>
        </w:tc>
        <w:tc>
          <w:tcPr>
            <w:tcW w:w="764" w:type="pct"/>
            <w:vAlign w:val="center"/>
          </w:tcPr>
          <w:p>
            <w:pPr>
              <w:pStyle w:val="63"/>
            </w:pPr>
            <w:r>
              <w:t>锅炉</w:t>
            </w:r>
          </w:p>
        </w:tc>
        <w:tc>
          <w:tcPr>
            <w:tcW w:w="1373" w:type="pct"/>
            <w:vAlign w:val="center"/>
          </w:tcPr>
          <w:p>
            <w:pPr>
              <w:pStyle w:val="63"/>
            </w:pPr>
            <w:r>
              <w:t>锅炉废气</w:t>
            </w:r>
          </w:p>
        </w:tc>
        <w:tc>
          <w:tcPr>
            <w:tcW w:w="1222" w:type="pct"/>
            <w:vAlign w:val="center"/>
          </w:tcPr>
          <w:p>
            <w:pPr>
              <w:pStyle w:val="63"/>
            </w:pPr>
            <w:r>
              <w:t>低氮燃烧</w:t>
            </w:r>
          </w:p>
        </w:tc>
        <w:tc>
          <w:tcPr>
            <w:tcW w:w="1278" w:type="pct"/>
            <w:vAlign w:val="center"/>
          </w:tcPr>
          <w:p>
            <w:pPr>
              <w:pStyle w:val="63"/>
            </w:pPr>
            <w:r>
              <w:t>40m高排气筒排放（P4）</w:t>
            </w:r>
          </w:p>
        </w:tc>
      </w:tr>
    </w:tbl>
    <w:p>
      <w:pPr>
        <w:pStyle w:val="5"/>
        <w:ind w:firstLine="482"/>
        <w:rPr>
          <w:rFonts w:ascii="Times New Roman" w:hAnsi="Times New Roman" w:cs="Times New Roman" w:eastAsiaTheme="minorEastAsia"/>
        </w:rPr>
      </w:pPr>
      <w:r>
        <w:rPr>
          <w:rFonts w:ascii="Times New Roman" w:hAnsi="Times New Roman" w:cs="Times New Roman" w:eastAsiaTheme="minorEastAsia"/>
        </w:rPr>
        <w:t>8.2.1.2 预处理废气</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整个破碎、裂解工序在氮气保护环境下作业，破碎废气与裂解废气经二次燃烧、骤冷后，与一次筛选产生的废气一同汇入1套布袋除尘器进行除尘，再由三级水洗、碱式喷淋塔碱洗后由1根30m排气筒外排。综合除尘效率99%，氟化物综合去除效率为99.5%，非甲烷总烃去除效率为99.5%。</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裂解烟气需要二次燃烧的目的是将其中的有机污染物C</w:t>
      </w:r>
      <w:r>
        <w:rPr>
          <w:rFonts w:ascii="Times New Roman" w:hAnsi="Times New Roman" w:cs="Times New Roman"/>
          <w:u w:val="single"/>
          <w:vertAlign w:val="subscript"/>
        </w:rPr>
        <w:t>2</w:t>
      </w:r>
      <w:r>
        <w:rPr>
          <w:rFonts w:ascii="Times New Roman" w:hAnsi="Times New Roman" w:cs="Times New Roman"/>
          <w:u w:val="single"/>
        </w:rPr>
        <w:t>H</w:t>
      </w:r>
      <w:r>
        <w:rPr>
          <w:rFonts w:ascii="Times New Roman" w:hAnsi="Times New Roman" w:cs="Times New Roman"/>
          <w:u w:val="single"/>
          <w:vertAlign w:val="subscript"/>
        </w:rPr>
        <w:t>2</w:t>
      </w:r>
      <w:r>
        <w:rPr>
          <w:rFonts w:ascii="Times New Roman" w:hAnsi="Times New Roman" w:cs="Times New Roman"/>
          <w:u w:val="single"/>
        </w:rPr>
        <w:t>、CH</w:t>
      </w:r>
      <w:r>
        <w:rPr>
          <w:rFonts w:ascii="Times New Roman" w:hAnsi="Times New Roman" w:cs="Times New Roman"/>
          <w:u w:val="single"/>
          <w:vertAlign w:val="subscript"/>
        </w:rPr>
        <w:t>4</w:t>
      </w:r>
      <w:r>
        <w:rPr>
          <w:rFonts w:ascii="Times New Roman" w:hAnsi="Times New Roman" w:cs="Times New Roman"/>
          <w:u w:val="single"/>
        </w:rPr>
        <w:t>、C</w:t>
      </w:r>
      <w:r>
        <w:rPr>
          <w:rFonts w:ascii="Times New Roman" w:hAnsi="Times New Roman" w:cs="Times New Roman"/>
          <w:u w:val="single"/>
          <w:vertAlign w:val="subscript"/>
        </w:rPr>
        <w:t>2</w:t>
      </w:r>
      <w:r>
        <w:rPr>
          <w:rFonts w:ascii="Times New Roman" w:hAnsi="Times New Roman" w:cs="Times New Roman"/>
          <w:u w:val="single"/>
        </w:rPr>
        <w:t>H</w:t>
      </w:r>
      <w:r>
        <w:rPr>
          <w:rFonts w:ascii="Times New Roman" w:hAnsi="Times New Roman" w:cs="Times New Roman"/>
          <w:u w:val="single"/>
          <w:vertAlign w:val="subscript"/>
        </w:rPr>
        <w:t>4</w:t>
      </w:r>
      <w:r>
        <w:rPr>
          <w:rFonts w:ascii="Times New Roman" w:hAnsi="Times New Roman" w:cs="Times New Roman"/>
          <w:u w:val="single"/>
        </w:rPr>
        <w:t>、C</w:t>
      </w:r>
      <w:r>
        <w:rPr>
          <w:rFonts w:ascii="Times New Roman" w:hAnsi="Times New Roman" w:cs="Times New Roman"/>
          <w:u w:val="single"/>
          <w:vertAlign w:val="subscript"/>
        </w:rPr>
        <w:t>2</w:t>
      </w:r>
      <w:r>
        <w:rPr>
          <w:rFonts w:ascii="Times New Roman" w:hAnsi="Times New Roman" w:cs="Times New Roman"/>
          <w:u w:val="single"/>
        </w:rPr>
        <w:t>HF及CO燃烧成CO</w:t>
      </w:r>
      <w:r>
        <w:rPr>
          <w:rFonts w:ascii="Times New Roman" w:hAnsi="Times New Roman" w:cs="Times New Roman"/>
          <w:u w:val="single"/>
          <w:vertAlign w:val="subscript"/>
        </w:rPr>
        <w:t>2</w:t>
      </w:r>
      <w:r>
        <w:rPr>
          <w:rFonts w:ascii="Times New Roman" w:hAnsi="Times New Roman" w:cs="Times New Roman"/>
          <w:u w:val="single"/>
        </w:rPr>
        <w:t>和H</w:t>
      </w:r>
      <w:r>
        <w:rPr>
          <w:rFonts w:ascii="Times New Roman" w:hAnsi="Times New Roman" w:cs="Times New Roman"/>
          <w:u w:val="single"/>
          <w:vertAlign w:val="subscript"/>
        </w:rPr>
        <w:t>2</w:t>
      </w:r>
      <w:r>
        <w:rPr>
          <w:rFonts w:ascii="Times New Roman" w:hAnsi="Times New Roman" w:cs="Times New Roman"/>
          <w:u w:val="single"/>
        </w:rPr>
        <w:t>O，降低废气中非甲烷总烃的含量。</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从裂解炉出来的裂解气温度约为500</w:t>
      </w:r>
      <w:r>
        <w:rPr>
          <w:rFonts w:hint="eastAsia" w:ascii="宋体" w:hAnsi="宋体" w:eastAsia="宋体" w:cs="宋体"/>
          <w:u w:val="single"/>
        </w:rPr>
        <w:t>℃</w:t>
      </w:r>
      <w:r>
        <w:rPr>
          <w:rFonts w:ascii="Times New Roman" w:hAnsi="Times New Roman" w:cs="Times New Roman"/>
          <w:u w:val="single"/>
        </w:rPr>
        <w:t>~600</w:t>
      </w:r>
      <w:r>
        <w:rPr>
          <w:rFonts w:hint="eastAsia" w:ascii="宋体" w:hAnsi="宋体" w:eastAsia="宋体" w:cs="宋体"/>
          <w:u w:val="single"/>
        </w:rPr>
        <w:t>℃</w:t>
      </w:r>
      <w:r>
        <w:rPr>
          <w:rFonts w:ascii="Times New Roman" w:hAnsi="Times New Roman" w:cs="Times New Roman"/>
          <w:u w:val="single"/>
        </w:rPr>
        <w:t>左右，烟气进入二次燃烧室进行</w:t>
      </w:r>
      <w:r>
        <w:rPr>
          <w:rFonts w:hint="eastAsia" w:ascii="Times New Roman" w:hAnsi="Times New Roman" w:cs="Times New Roman"/>
          <w:u w:val="single"/>
        </w:rPr>
        <w:t>850</w:t>
      </w:r>
      <w:r>
        <w:rPr>
          <w:rFonts w:hint="eastAsia" w:ascii="宋体" w:hAnsi="宋体" w:eastAsia="宋体" w:cs="宋体"/>
          <w:u w:val="single"/>
        </w:rPr>
        <w:t>℃</w:t>
      </w:r>
      <w:r>
        <w:rPr>
          <w:rFonts w:ascii="Times New Roman" w:hAnsi="Times New Roman" w:cs="Times New Roman"/>
          <w:u w:val="single"/>
        </w:rPr>
        <w:t>高温焚烧处理，同时保证烟气的停留时间</w:t>
      </w:r>
      <w:r>
        <w:rPr>
          <w:rFonts w:hint="eastAsia" w:ascii="宋体" w:hAnsi="宋体" w:eastAsia="宋体" w:cs="宋体"/>
          <w:u w:val="single"/>
        </w:rPr>
        <w:t>≧</w:t>
      </w:r>
      <w:r>
        <w:rPr>
          <w:rFonts w:ascii="Times New Roman" w:hAnsi="Times New Roman" w:cs="Times New Roman"/>
          <w:u w:val="single"/>
        </w:rPr>
        <w:t>2s。</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二次燃烧后的烟气进入急冷塔进行降温，主要是为低温烟气进入布袋除尘做准备。</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布袋除尘器属于高效除尘器，主要用于处理风量大、浓度范围广和波动较大的含尘气体。本项目采用布袋除尘器主要是去除裂解废气中裂解烟尘、破碎分选废气中的颗粒物。裂解烟尘中含有Li、Co、Ni、Mn等本项目浸出生产产品氢氧化镍钴锰和碳酸锂的金属，裂解烟气和颗粒物具有较高的回收利用价值，并且废气最终排放要执行特别排放限值，因此，本项目采用布袋除尘器较为合理，除尘效率为99%。</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急冷塔烟气用水直冷烟气除尘使用布袋除尘器的可行性：</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急冷塔烟气进口温度1100</w:t>
      </w:r>
      <w:r>
        <w:rPr>
          <w:rFonts w:hint="eastAsia" w:ascii="宋体" w:hAnsi="宋体" w:eastAsia="宋体" w:cs="宋体"/>
          <w:u w:val="single"/>
        </w:rPr>
        <w:t>℃</w:t>
      </w:r>
      <w:r>
        <w:rPr>
          <w:rFonts w:ascii="Times New Roman" w:hAnsi="Times New Roman" w:cs="Times New Roman"/>
          <w:u w:val="single"/>
        </w:rPr>
        <w:t>，喷入水雾后烟气温度降至200</w:t>
      </w:r>
      <w:r>
        <w:rPr>
          <w:rFonts w:hint="eastAsia" w:ascii="宋体" w:hAnsi="宋体" w:eastAsia="宋体" w:cs="宋体"/>
          <w:u w:val="single"/>
        </w:rPr>
        <w:t>℃</w:t>
      </w:r>
      <w:r>
        <w:rPr>
          <w:rFonts w:ascii="Times New Roman" w:hAnsi="Times New Roman" w:cs="Times New Roman"/>
          <w:u w:val="single"/>
        </w:rPr>
        <w:t>，根据热平衡计算，烟气降温后，烟气中水蒸气含量增加，根据计算，烟气露点温度为45</w:t>
      </w:r>
      <w:r>
        <w:rPr>
          <w:rFonts w:hint="eastAsia" w:ascii="宋体" w:hAnsi="宋体" w:eastAsia="宋体" w:cs="宋体"/>
          <w:u w:val="single"/>
        </w:rPr>
        <w:t>℃</w:t>
      </w:r>
      <w:r>
        <w:rPr>
          <w:rFonts w:ascii="Times New Roman" w:hAnsi="Times New Roman" w:cs="Times New Roman"/>
          <w:u w:val="single"/>
        </w:rPr>
        <w:t>，降温后烟气温度远大于露点温度，而且温度远大于水的沸点100</w:t>
      </w:r>
      <w:r>
        <w:rPr>
          <w:rFonts w:hint="eastAsia" w:ascii="宋体" w:hAnsi="宋体" w:eastAsia="宋体" w:cs="宋体"/>
          <w:u w:val="single"/>
        </w:rPr>
        <w:t>℃</w:t>
      </w:r>
      <w:r>
        <w:rPr>
          <w:rFonts w:ascii="Times New Roman" w:hAnsi="Times New Roman" w:cs="Times New Roman"/>
          <w:u w:val="single"/>
        </w:rPr>
        <w:t>，因此降温后烟气温度不会在布袋除尘器中结露而导致除尘器“糊死”（在除尘器外层包裹隔热材料，以防止因冬季室外温度过低使收尘器壁温度过低，而导致结露的现象发生）。</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布袋除尘器属于干式除尘器，除尘布袋通过纤维孔的方式来过滤粉尘，一旦水蒸气结露成水珠，除尘布袋孔便会堵住。</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一般情况下，布袋除尘器的运行温度要求必须高于露点温度25K以上，对于除尘布袋来讲运行比较安全，这主要就是为了避免结露的发生，当运行温度低于露点时就会结出液态水。液态水与粉尘混合并聚集在滤袋表面就会形成糊袋。</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所以一般要求水蒸气比较大的工况，烟气温度要始终保持在150度以上，可以有效预防结露的发生。</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本项目骤冷装置内配套有温控装置，通过检测骤冷装置出口的气体温度控制骤冷装置喷淋水量，使骤冷装置出口温度保持在150~200</w:t>
      </w:r>
      <w:r>
        <w:rPr>
          <w:rFonts w:hint="eastAsia" w:ascii="宋体" w:hAnsi="宋体" w:eastAsia="宋体" w:cs="宋体"/>
          <w:u w:val="single"/>
        </w:rPr>
        <w:t>℃</w:t>
      </w:r>
      <w:r>
        <w:rPr>
          <w:rFonts w:ascii="Times New Roman" w:hAnsi="Times New Roman" w:cs="Times New Roman"/>
          <w:u w:val="single"/>
        </w:rPr>
        <w:t>。并在烟气管道及布袋除尘器外设置保温措施，以防止冬季管道及布袋除尘器壳体边上的烟气就降到100度以下，结露成水分。</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三级水洗、碱洗是为了去除废气中的HF等酸性气体，同时对颗粒物和重金属具有一定的洗涤作用，HF是化学活泼性很强的物质，易溶于水生成氢氟酸。</w:t>
      </w:r>
    </w:p>
    <w:p>
      <w:pPr>
        <w:autoSpaceDE w:val="0"/>
        <w:autoSpaceDN w:val="0"/>
        <w:spacing w:line="360" w:lineRule="auto"/>
        <w:ind w:firstLine="480" w:firstLineChars="200"/>
        <w:jc w:val="left"/>
        <w:rPr>
          <w:rFonts w:ascii="Times New Roman" w:hAnsi="Times New Roman" w:cs="Times New Roman"/>
          <w:u w:val="single"/>
        </w:rPr>
      </w:pPr>
      <w:r>
        <w:rPr>
          <w:rFonts w:hint="eastAsia" w:ascii="宋体" w:hAnsi="宋体" w:eastAsia="宋体" w:cs="宋体"/>
          <w:u w:val="single"/>
        </w:rPr>
        <w:t>①</w:t>
      </w:r>
      <w:r>
        <w:rPr>
          <w:rFonts w:ascii="Times New Roman" w:hAnsi="Times New Roman" w:cs="Times New Roman"/>
          <w:u w:val="single"/>
        </w:rPr>
        <w:t>干法除氟</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干法除氟通常采用碱性氧化物作吸附剂，利用其固体表面的物理或化学吸附作用，将烟气中的HF、SiF</w:t>
      </w:r>
      <w:r>
        <w:rPr>
          <w:rFonts w:ascii="Times New Roman" w:hAnsi="Times New Roman" w:cs="Times New Roman"/>
          <w:u w:val="single"/>
          <w:vertAlign w:val="subscript"/>
        </w:rPr>
        <w:t>4</w:t>
      </w:r>
      <w:r>
        <w:rPr>
          <w:rFonts w:ascii="Times New Roman" w:hAnsi="Times New Roman" w:cs="Times New Roman"/>
          <w:u w:val="single"/>
        </w:rPr>
        <w:t>、SO</w:t>
      </w:r>
      <w:r>
        <w:rPr>
          <w:rFonts w:ascii="Times New Roman" w:hAnsi="Times New Roman" w:cs="Times New Roman"/>
          <w:u w:val="single"/>
          <w:vertAlign w:val="subscript"/>
        </w:rPr>
        <w:t>2</w:t>
      </w:r>
      <w:r>
        <w:rPr>
          <w:rFonts w:ascii="Times New Roman" w:hAnsi="Times New Roman" w:cs="Times New Roman"/>
          <w:u w:val="single"/>
        </w:rPr>
        <w:t xml:space="preserve"> 等污染物吸附在固体表面，而后利用除尘技术使之从烟气中除去。根据相关资料报道，20世纪50年代出现了用干法从烟气中回收氟化物的工艺，此法主要是应用固态氧化铝作为吸附剂，吸附后的含氟化物的氧化铝可作炼铝的原料。</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干法除氟工艺具有工艺简单、操作方便、除氟效率高（可达 98%）、不存在废水二次污染，避免了设备出现结垢和腐蚀问题以及吸附价廉易得等特点。不过该方法多应用于磷矿石生产磷、磷酸、磷肥等过程或炼铝过程所发生的氟化物治理。</w:t>
      </w:r>
    </w:p>
    <w:p>
      <w:pPr>
        <w:autoSpaceDE w:val="0"/>
        <w:autoSpaceDN w:val="0"/>
        <w:spacing w:line="360" w:lineRule="auto"/>
        <w:ind w:firstLine="480" w:firstLineChars="200"/>
        <w:jc w:val="left"/>
        <w:rPr>
          <w:rFonts w:ascii="Times New Roman" w:hAnsi="Times New Roman" w:cs="Times New Roman"/>
          <w:u w:val="single"/>
        </w:rPr>
      </w:pPr>
      <w:r>
        <w:rPr>
          <w:rFonts w:hint="eastAsia" w:ascii="宋体" w:hAnsi="宋体" w:eastAsia="宋体" w:cs="宋体"/>
          <w:u w:val="single"/>
        </w:rPr>
        <w:t>②</w:t>
      </w:r>
      <w:r>
        <w:rPr>
          <w:rFonts w:ascii="Times New Roman" w:hAnsi="Times New Roman" w:cs="Times New Roman"/>
          <w:u w:val="single"/>
        </w:rPr>
        <w:t>酸法除氟</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酸法除氟工艺是采用H</w:t>
      </w:r>
      <w:r>
        <w:rPr>
          <w:rFonts w:ascii="Times New Roman" w:hAnsi="Times New Roman" w:cs="Times New Roman"/>
          <w:u w:val="single"/>
          <w:vertAlign w:val="subscript"/>
        </w:rPr>
        <w:t>2</w:t>
      </w:r>
      <w:r>
        <w:rPr>
          <w:rFonts w:ascii="Times New Roman" w:hAnsi="Times New Roman" w:cs="Times New Roman"/>
          <w:u w:val="single"/>
        </w:rPr>
        <w:t>O作吸收剂，循环吸收烟气中的HF、SiF</w:t>
      </w:r>
      <w:r>
        <w:rPr>
          <w:rFonts w:ascii="Times New Roman" w:hAnsi="Times New Roman" w:cs="Times New Roman"/>
          <w:u w:val="single"/>
          <w:vertAlign w:val="subscript"/>
        </w:rPr>
        <w:t>4</w:t>
      </w:r>
      <w:r>
        <w:rPr>
          <w:rFonts w:ascii="Times New Roman" w:hAnsi="Times New Roman" w:cs="Times New Roman"/>
          <w:u w:val="single"/>
        </w:rPr>
        <w:t>而生成氢氟酸和氟硅酸，吸收呈酸性，待吸收液中含氟达到一定浓度后，将其排出加以回收利用或中各处理。酸法除氟工艺虽然存在设备腐蚀，中各渣量大，存在废渣的二次污染等特点，但是具有除氟效率高、操作弹性大、吸收液（水）和中和剂（石灰）价廉易得，不存在设备、管道因结垢堵塞或磨损等问题，吸收液经中和处理或回收氟盐产品后含氟浓度很低，废水对环境的影响较小。</w:t>
      </w:r>
    </w:p>
    <w:p>
      <w:pPr>
        <w:autoSpaceDE w:val="0"/>
        <w:autoSpaceDN w:val="0"/>
        <w:spacing w:line="360" w:lineRule="auto"/>
        <w:ind w:firstLine="480" w:firstLineChars="200"/>
        <w:jc w:val="left"/>
        <w:rPr>
          <w:rFonts w:ascii="Times New Roman" w:hAnsi="Times New Roman" w:cs="Times New Roman"/>
          <w:u w:val="single"/>
        </w:rPr>
      </w:pPr>
      <w:r>
        <w:rPr>
          <w:rFonts w:hint="eastAsia" w:ascii="宋体" w:hAnsi="宋体" w:eastAsia="宋体" w:cs="宋体"/>
          <w:u w:val="single"/>
        </w:rPr>
        <w:t>③</w:t>
      </w:r>
      <w:r>
        <w:rPr>
          <w:rFonts w:ascii="Times New Roman" w:hAnsi="Times New Roman" w:cs="Times New Roman"/>
          <w:u w:val="single"/>
        </w:rPr>
        <w:t>碱法除氟</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碱法除氟是采用含碱性物质的吸收液吸收烟气中氟化物的方法。参实际运行中吸收液也有呈中性或弱酸性，常用的碱性物质有NH</w:t>
      </w:r>
      <w:r>
        <w:rPr>
          <w:rFonts w:ascii="Times New Roman" w:hAnsi="Times New Roman" w:cs="Times New Roman"/>
          <w:u w:val="single"/>
          <w:vertAlign w:val="subscript"/>
        </w:rPr>
        <w:t>4</w:t>
      </w:r>
      <w:r>
        <w:rPr>
          <w:rFonts w:ascii="Times New Roman" w:hAnsi="Times New Roman" w:cs="Times New Roman"/>
          <w:u w:val="single"/>
        </w:rPr>
        <w:t>OH、NaOH、Na</w:t>
      </w:r>
      <w:r>
        <w:rPr>
          <w:rFonts w:ascii="Times New Roman" w:hAnsi="Times New Roman" w:cs="Times New Roman"/>
          <w:u w:val="single"/>
          <w:vertAlign w:val="subscript"/>
        </w:rPr>
        <w:t>2</w:t>
      </w:r>
      <w:r>
        <w:rPr>
          <w:rFonts w:ascii="Times New Roman" w:hAnsi="Times New Roman" w:cs="Times New Roman"/>
          <w:u w:val="single"/>
        </w:rPr>
        <w:t>CO</w:t>
      </w:r>
      <w:r>
        <w:rPr>
          <w:rFonts w:ascii="Times New Roman" w:hAnsi="Times New Roman" w:cs="Times New Roman"/>
          <w:u w:val="single"/>
          <w:vertAlign w:val="subscript"/>
        </w:rPr>
        <w:t>3</w:t>
      </w:r>
      <w:r>
        <w:rPr>
          <w:rFonts w:ascii="Times New Roman" w:hAnsi="Times New Roman" w:cs="Times New Roman"/>
          <w:u w:val="single"/>
        </w:rPr>
        <w:t>、CaO等。</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根据本项目生产工艺废气的特征，企业在遵循清洁生产原则，最大限度地减少污染物的产生的基础上，使经过布袋除尘器的废气进入三级水洗、碱式喷淋塔洗涤，使废气中的HF经与水和NaOH喷淋形成氢氟酸和NaF，然后再与Ca（OH）</w:t>
      </w:r>
      <w:r>
        <w:rPr>
          <w:rFonts w:ascii="Times New Roman" w:hAnsi="Times New Roman" w:cs="Times New Roman"/>
          <w:u w:val="single"/>
          <w:vertAlign w:val="subscript"/>
        </w:rPr>
        <w:t>2</w:t>
      </w:r>
      <w:r>
        <w:rPr>
          <w:rFonts w:ascii="Times New Roman" w:hAnsi="Times New Roman" w:cs="Times New Roman"/>
          <w:u w:val="single"/>
        </w:rPr>
        <w:t>反应形成CaF</w:t>
      </w:r>
      <w:r>
        <w:rPr>
          <w:rFonts w:ascii="Times New Roman" w:hAnsi="Times New Roman" w:cs="Times New Roman"/>
          <w:u w:val="single"/>
          <w:vertAlign w:val="subscript"/>
        </w:rPr>
        <w:t>2</w:t>
      </w:r>
      <w:r>
        <w:rPr>
          <w:rFonts w:ascii="Times New Roman" w:hAnsi="Times New Roman" w:cs="Times New Roman"/>
          <w:u w:val="single"/>
        </w:rPr>
        <w:t>沉淀，以除废气中的HF，综合去除氟效率可达99.5%以上。</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环保措施可行性分析：本项目采取环保措施后，颗粒物的排放浓度为</w:t>
      </w:r>
      <w:r>
        <w:rPr>
          <w:szCs w:val="21"/>
          <w:u w:val="single"/>
        </w:rPr>
        <w:t>0.03844</w:t>
      </w:r>
      <w:r>
        <w:rPr>
          <w:rFonts w:ascii="Times New Roman" w:hAnsi="Times New Roman" w:cs="Times New Roman"/>
          <w:u w:val="single"/>
        </w:rPr>
        <w:t>mg/m</w:t>
      </w:r>
      <w:r>
        <w:rPr>
          <w:rFonts w:ascii="Times New Roman" w:hAnsi="Times New Roman" w:cs="Times New Roman"/>
          <w:u w:val="single"/>
          <w:vertAlign w:val="superscript"/>
        </w:rPr>
        <w:t>3</w:t>
      </w:r>
      <w:r>
        <w:rPr>
          <w:rFonts w:ascii="Times New Roman" w:hAnsi="Times New Roman" w:cs="Times New Roman"/>
          <w:u w:val="single"/>
        </w:rPr>
        <w:t>、镍及其化合物排放浓度为</w:t>
      </w:r>
      <w:r>
        <w:rPr>
          <w:szCs w:val="21"/>
          <w:u w:val="single"/>
        </w:rPr>
        <w:t>0.00089</w:t>
      </w:r>
      <w:r>
        <w:rPr>
          <w:rFonts w:ascii="Times New Roman" w:hAnsi="Times New Roman" w:cs="Times New Roman"/>
          <w:u w:val="single"/>
        </w:rPr>
        <w:t>mg/m</w:t>
      </w:r>
      <w:r>
        <w:rPr>
          <w:rFonts w:ascii="Times New Roman" w:hAnsi="Times New Roman" w:cs="Times New Roman"/>
          <w:u w:val="single"/>
          <w:vertAlign w:val="superscript"/>
        </w:rPr>
        <w:t>3</w:t>
      </w:r>
      <w:r>
        <w:rPr>
          <w:rFonts w:ascii="Times New Roman" w:hAnsi="Times New Roman" w:cs="Times New Roman"/>
          <w:u w:val="single"/>
        </w:rPr>
        <w:t>、氟化物排放浓度为3.30222mg/m</w:t>
      </w:r>
      <w:r>
        <w:rPr>
          <w:rFonts w:ascii="Times New Roman" w:hAnsi="Times New Roman" w:cs="Times New Roman"/>
          <w:u w:val="single"/>
          <w:vertAlign w:val="superscript"/>
        </w:rPr>
        <w:t>3</w:t>
      </w:r>
      <w:r>
        <w:rPr>
          <w:rFonts w:ascii="Times New Roman" w:hAnsi="Times New Roman" w:cs="Times New Roman"/>
          <w:u w:val="single"/>
        </w:rPr>
        <w:t>、非甲烷总烃排放浓度为32.8844mg/m</w:t>
      </w:r>
      <w:r>
        <w:rPr>
          <w:rFonts w:ascii="Times New Roman" w:hAnsi="Times New Roman" w:cs="Times New Roman"/>
          <w:u w:val="single"/>
          <w:vertAlign w:val="superscript"/>
        </w:rPr>
        <w:t>3</w:t>
      </w:r>
      <w:r>
        <w:rPr>
          <w:rFonts w:ascii="Times New Roman" w:hAnsi="Times New Roman" w:cs="Times New Roman"/>
          <w:u w:val="single"/>
        </w:rPr>
        <w:t>，颗粒物、非甲烷总烃、氟化物、镍及其化合物满足《大气污染物综合排放标准》（GB16297-1996）中表2中污染物排放限值；综合除尘效率为99%，综合除氟效率为99.5%，二次燃烧非甲烷总烃的效率99.5%。因此，本项目预处理烟气所采取的环保措施可行。</w:t>
      </w:r>
    </w:p>
    <w:p>
      <w:pPr>
        <w:pStyle w:val="5"/>
        <w:ind w:firstLine="482"/>
        <w:rPr>
          <w:rFonts w:ascii="Times New Roman" w:hAnsi="Times New Roman" w:cs="Times New Roman" w:eastAsiaTheme="minorEastAsia"/>
          <w:u w:val="single"/>
        </w:rPr>
      </w:pPr>
      <w:r>
        <w:rPr>
          <w:rFonts w:ascii="Times New Roman" w:hAnsi="Times New Roman" w:cs="Times New Roman" w:eastAsiaTheme="minorEastAsia"/>
          <w:u w:val="single"/>
        </w:rPr>
        <w:t>8.2.1.3 浸出车间硫酸雾</w:t>
      </w:r>
    </w:p>
    <w:p>
      <w:pPr>
        <w:autoSpaceDE w:val="0"/>
        <w:autoSpaceDN w:val="0"/>
        <w:spacing w:line="360" w:lineRule="auto"/>
        <w:ind w:firstLine="480" w:firstLineChars="200"/>
        <w:jc w:val="left"/>
        <w:rPr>
          <w:rFonts w:ascii="Times New Roman" w:hAnsi="Times New Roman" w:cs="Times New Roman"/>
          <w:kern w:val="0"/>
          <w:u w:val="single"/>
        </w:rPr>
      </w:pPr>
      <w:r>
        <w:rPr>
          <w:rFonts w:ascii="Times New Roman" w:hAnsi="Times New Roman" w:cs="Times New Roman"/>
          <w:kern w:val="0"/>
          <w:u w:val="single"/>
        </w:rPr>
        <w:t>（1）酸雾处理工艺比选</w:t>
      </w:r>
    </w:p>
    <w:p>
      <w:pPr>
        <w:autoSpaceDE w:val="0"/>
        <w:autoSpaceDN w:val="0"/>
        <w:spacing w:line="360" w:lineRule="auto"/>
        <w:ind w:firstLine="480" w:firstLineChars="200"/>
        <w:jc w:val="left"/>
        <w:rPr>
          <w:rFonts w:ascii="Times New Roman" w:hAnsi="Times New Roman" w:cs="Times New Roman"/>
          <w:kern w:val="0"/>
          <w:u w:val="single"/>
        </w:rPr>
      </w:pPr>
      <w:r>
        <w:rPr>
          <w:rFonts w:ascii="Times New Roman" w:hAnsi="Times New Roman" w:cs="Times New Roman"/>
          <w:kern w:val="0"/>
          <w:u w:val="single"/>
        </w:rPr>
        <w:t>目前国内工厂酸气废气处理达标排放的处理方法主要有：液体吸收法、固体吸附法、过滤法、静电除雾法、机械式除雾法及覆盖法等。</w:t>
      </w:r>
    </w:p>
    <w:p>
      <w:pPr>
        <w:autoSpaceDE w:val="0"/>
        <w:autoSpaceDN w:val="0"/>
        <w:spacing w:line="360" w:lineRule="auto"/>
        <w:ind w:firstLine="480" w:firstLineChars="200"/>
        <w:jc w:val="left"/>
        <w:rPr>
          <w:rFonts w:ascii="Times New Roman" w:hAnsi="Times New Roman" w:cs="Times New Roman"/>
          <w:kern w:val="0"/>
          <w:u w:val="single"/>
        </w:rPr>
      </w:pPr>
      <w:r>
        <w:rPr>
          <w:rFonts w:hint="eastAsia" w:ascii="宋体" w:hAnsi="宋体" w:eastAsia="宋体" w:cs="宋体"/>
          <w:kern w:val="0"/>
          <w:u w:val="single"/>
        </w:rPr>
        <w:t>①</w:t>
      </w:r>
      <w:r>
        <w:rPr>
          <w:rFonts w:ascii="Times New Roman" w:hAnsi="Times New Roman" w:cs="Times New Roman"/>
          <w:kern w:val="0"/>
          <w:u w:val="single"/>
        </w:rPr>
        <w:t>液体吸收法。液体吸收一般包括水洗法和碱液中和法。碱液吸收常用的吸收剂有10％的Na</w:t>
      </w:r>
      <w:r>
        <w:rPr>
          <w:rFonts w:ascii="Times New Roman" w:hAnsi="Times New Roman" w:cs="Times New Roman"/>
          <w:kern w:val="0"/>
          <w:u w:val="single"/>
          <w:vertAlign w:val="subscript"/>
        </w:rPr>
        <w:t>2</w:t>
      </w:r>
      <w:r>
        <w:rPr>
          <w:rFonts w:ascii="Times New Roman" w:hAnsi="Times New Roman" w:cs="Times New Roman"/>
          <w:kern w:val="0"/>
          <w:u w:val="single"/>
        </w:rPr>
        <w:t>CO</w:t>
      </w:r>
      <w:r>
        <w:rPr>
          <w:rFonts w:ascii="Times New Roman" w:hAnsi="Times New Roman" w:cs="Times New Roman"/>
          <w:kern w:val="0"/>
          <w:u w:val="single"/>
          <w:vertAlign w:val="subscript"/>
        </w:rPr>
        <w:t>3</w:t>
      </w:r>
      <w:r>
        <w:rPr>
          <w:rFonts w:ascii="Times New Roman" w:hAnsi="Times New Roman" w:cs="Times New Roman"/>
          <w:kern w:val="0"/>
          <w:u w:val="single"/>
        </w:rPr>
        <w:t>、4%~6%的NaOH和NH</w:t>
      </w:r>
      <w:r>
        <w:rPr>
          <w:rFonts w:ascii="Times New Roman" w:hAnsi="Times New Roman" w:cs="Times New Roman"/>
          <w:kern w:val="0"/>
          <w:u w:val="single"/>
          <w:vertAlign w:val="subscript"/>
        </w:rPr>
        <w:t>3</w:t>
      </w:r>
      <w:r>
        <w:rPr>
          <w:rFonts w:ascii="Times New Roman" w:hAnsi="Times New Roman" w:cs="Times New Roman"/>
          <w:kern w:val="0"/>
          <w:u w:val="single"/>
        </w:rPr>
        <w:t>等的水溶液。所采用净化处理设备主要有洗涤塔、泡沫塔、填料塔、斜孔板塔、湍球塔等。其主要净化机理是使气、液充分接触，酸、碱中和，从而提高净化效率。液体吸收法的优点是设备投资较低，工艺较简单。缺点是：耗能耗水量大、运行费用高；容易带来二次污染；在北方的冬天还容易因结冰而导致设备无法正常运行；由于硝酸雾中含有不易溶于水NO，因此液体吸收法对硝酸雾的净化效率比较低。</w:t>
      </w:r>
    </w:p>
    <w:p>
      <w:pPr>
        <w:autoSpaceDE w:val="0"/>
        <w:autoSpaceDN w:val="0"/>
        <w:spacing w:line="360" w:lineRule="auto"/>
        <w:ind w:firstLine="480" w:firstLineChars="200"/>
        <w:jc w:val="left"/>
        <w:rPr>
          <w:rFonts w:ascii="Times New Roman" w:hAnsi="Times New Roman" w:cs="Times New Roman"/>
          <w:kern w:val="0"/>
          <w:u w:val="single"/>
        </w:rPr>
      </w:pPr>
      <w:r>
        <w:rPr>
          <w:rFonts w:ascii="Times New Roman" w:hAnsi="Times New Roman" w:cs="Times New Roman"/>
          <w:kern w:val="0"/>
          <w:u w:val="single"/>
        </w:rPr>
        <w:t>酸雾处理塔的工作原理：酸性气体净化塔属两相逆向流填料吸收塔。酸性气体从塔体下方进气口沿切向进入净化塔，在通风机的动力作用下，迅速充满进气段空间，然后均匀地通过均流段上升到第一级填料吸收段。在填料的表面上，气相中酸性物质与液相中碱性物质发生化学反应。反应生成物油（多数为可溶性盐类）随吸收液流入下部贮液槽。未完全吸收的酸性气体继续上升进入第一级喷淋段。在喷淋段中吸收液从均布的喷嘴高速喷出，形成无数细小雾滴与气体充分混合、接触、继续发生化学反应。然后酸性气体上升到第二级填料段、喷淋段进行与第一级类似的吸收过程。第二级与第一级喷嘴密度不同，喷液压力不同，吸收酸性气体浓度范围也有所不同。在喷淋段及填料段两相接触的过程也是材热与传质的过程。通过控制空塔流速与滞贮时间保证这一过程的充分与稳定。对于某些化学活泼性较差的酸性气体，尚需在吸收液中加入一定量的表面活性剂。塔体的最上部是除雾段，气体中所夹带的吸收液雾滴在这里被清除下来，经过处理后的洁净空气从净化塔上端排气管放入大气。净化效率可达98%，酸雾洗涤塔具有以下优点：水洗式废气处理系统，价格便宜、处理方法简单；直立式结构最适用于经济空间安装；适用于气态及液态污染源；处理单一污染源；适用于中低风量。</w:t>
      </w:r>
    </w:p>
    <w:p>
      <w:pPr>
        <w:autoSpaceDE w:val="0"/>
        <w:autoSpaceDN w:val="0"/>
        <w:spacing w:line="360" w:lineRule="auto"/>
        <w:ind w:firstLine="480" w:firstLineChars="200"/>
        <w:jc w:val="left"/>
        <w:rPr>
          <w:rFonts w:ascii="Times New Roman" w:hAnsi="Times New Roman" w:cs="Times New Roman"/>
          <w:kern w:val="0"/>
          <w:u w:val="single"/>
        </w:rPr>
      </w:pPr>
      <w:r>
        <w:rPr>
          <w:rFonts w:hint="eastAsia" w:ascii="宋体" w:hAnsi="宋体" w:eastAsia="宋体" w:cs="宋体"/>
          <w:kern w:val="0"/>
          <w:u w:val="single"/>
        </w:rPr>
        <w:t>②</w:t>
      </w:r>
      <w:r>
        <w:rPr>
          <w:rFonts w:ascii="Times New Roman" w:hAnsi="Times New Roman" w:cs="Times New Roman"/>
          <w:kern w:val="0"/>
          <w:u w:val="single"/>
        </w:rPr>
        <w:t>固体吸附法。常用的吸附剂有活性炭、分子筛、硅胶、含氨煤泥等。北京工业大学研制成功一种可以治理多种酸雾的吸附剂—SDG吸附剂，曾被国家环保总局列为1992年最佳实用技术和1995年可行实用技术。该吸附剂已在多个行业中得到成功的应用。它可以净化硫酸、硝酸、盐酸、氢氟酸、醋酸、磷酸等各种酸气（雾）。尤其适用于浓度小于1000 mg/m</w:t>
      </w:r>
      <w:r>
        <w:rPr>
          <w:rFonts w:ascii="Times New Roman" w:hAnsi="Times New Roman" w:cs="Times New Roman"/>
          <w:kern w:val="0"/>
          <w:u w:val="single"/>
          <w:vertAlign w:val="superscript"/>
        </w:rPr>
        <w:t>3</w:t>
      </w:r>
      <w:r>
        <w:rPr>
          <w:rFonts w:ascii="Times New Roman" w:hAnsi="Times New Roman" w:cs="Times New Roman"/>
          <w:kern w:val="0"/>
          <w:u w:val="single"/>
        </w:rPr>
        <w:t>的间歇排放的酸洗操作场所。</w:t>
      </w:r>
    </w:p>
    <w:p>
      <w:pPr>
        <w:autoSpaceDE w:val="0"/>
        <w:autoSpaceDN w:val="0"/>
        <w:spacing w:line="360" w:lineRule="auto"/>
        <w:ind w:firstLine="480" w:firstLineChars="200"/>
        <w:jc w:val="left"/>
        <w:rPr>
          <w:rFonts w:ascii="Times New Roman" w:hAnsi="Times New Roman" w:cs="Times New Roman"/>
          <w:kern w:val="0"/>
          <w:u w:val="single"/>
        </w:rPr>
      </w:pPr>
      <w:r>
        <w:rPr>
          <w:rFonts w:ascii="Times New Roman" w:hAnsi="Times New Roman" w:cs="Times New Roman"/>
          <w:kern w:val="0"/>
          <w:u w:val="single"/>
        </w:rPr>
        <w:t>与现有的其他吸附剂相比，SDG酸雾吸附剂具有以下优点：吸附剂原料及制作成本低；吸附效率高，吸附容量大；吸附过程以化学吸附为主，形成的产物性质稳定，所以吸附完成后的吸附剂可以直接抛弃，无需再生，节约了相应的工艺和设备消耗。吸附法净化设备有固定床吸附器、移动床吸附器、回转式吸附器等。吸附法净化酸雾的优点是：能比较好地去除伴随硝酸雾产生的氮氧化物的污染；设备简单，操作方便；干式工艺，不产生二次污染。其缺点是：由于吸附剂的吸附容量有限，造成设备庞大，且过程为间歇操作。因此，吸附法仅适用于净化处理酸雾浓度较低的废气。</w:t>
      </w:r>
    </w:p>
    <w:p>
      <w:pPr>
        <w:autoSpaceDE w:val="0"/>
        <w:autoSpaceDN w:val="0"/>
        <w:spacing w:line="360" w:lineRule="auto"/>
        <w:ind w:firstLine="480" w:firstLineChars="200"/>
        <w:jc w:val="left"/>
        <w:rPr>
          <w:rFonts w:ascii="Times New Roman" w:hAnsi="Times New Roman" w:cs="Times New Roman"/>
          <w:kern w:val="0"/>
          <w:u w:val="single"/>
        </w:rPr>
      </w:pPr>
      <w:r>
        <w:rPr>
          <w:rFonts w:hint="eastAsia" w:ascii="宋体" w:hAnsi="宋体" w:eastAsia="宋体" w:cs="宋体"/>
          <w:kern w:val="0"/>
          <w:u w:val="single"/>
        </w:rPr>
        <w:t>③</w:t>
      </w:r>
      <w:r>
        <w:rPr>
          <w:rFonts w:ascii="Times New Roman" w:hAnsi="Times New Roman" w:cs="Times New Roman"/>
          <w:kern w:val="0"/>
          <w:u w:val="single"/>
        </w:rPr>
        <w:t>过滤法。酸雾处理塔的滤层主要包括板网、丝网和纤维三种型式。板网除雾器的滤层通常由聚氯乙烯材料制作，交错叠置于设备内。丝网除雾器中的丝网一般由聚乙烯或耐腐蚀不锈钢材料制作而成。纤维除雾器的纤维材料则以聚丙烯和玻璃纤维居多。</w:t>
      </w:r>
    </w:p>
    <w:p>
      <w:pPr>
        <w:autoSpaceDE w:val="0"/>
        <w:autoSpaceDN w:val="0"/>
        <w:spacing w:line="360" w:lineRule="auto"/>
        <w:ind w:firstLine="480" w:firstLineChars="200"/>
        <w:jc w:val="left"/>
        <w:rPr>
          <w:rFonts w:ascii="Times New Roman" w:hAnsi="Times New Roman" w:cs="Times New Roman"/>
          <w:kern w:val="0"/>
          <w:u w:val="single"/>
        </w:rPr>
      </w:pPr>
      <w:r>
        <w:rPr>
          <w:rFonts w:hint="eastAsia" w:ascii="宋体" w:hAnsi="宋体" w:eastAsia="宋体" w:cs="宋体"/>
          <w:kern w:val="0"/>
          <w:u w:val="single"/>
        </w:rPr>
        <w:t>④</w:t>
      </w:r>
      <w:r>
        <w:rPr>
          <w:rFonts w:ascii="Times New Roman" w:hAnsi="Times New Roman" w:cs="Times New Roman"/>
          <w:kern w:val="0"/>
          <w:u w:val="single"/>
        </w:rPr>
        <w:t>静电除雾法。酸雾静电捕集器是静电收尘器系列产品中的一个种类，静电收尘成为专利技术后，第一次成功的实际应用便是1907年用于硫酸雾的捕集。</w:t>
      </w:r>
    </w:p>
    <w:p>
      <w:pPr>
        <w:autoSpaceDE w:val="0"/>
        <w:autoSpaceDN w:val="0"/>
        <w:spacing w:line="360" w:lineRule="auto"/>
        <w:ind w:firstLine="480" w:firstLineChars="200"/>
        <w:jc w:val="left"/>
        <w:rPr>
          <w:rFonts w:ascii="Times New Roman" w:hAnsi="Times New Roman" w:cs="Times New Roman"/>
          <w:kern w:val="0"/>
          <w:u w:val="single"/>
        </w:rPr>
      </w:pPr>
      <w:r>
        <w:rPr>
          <w:rFonts w:hint="eastAsia" w:ascii="宋体" w:hAnsi="宋体" w:eastAsia="宋体" w:cs="宋体"/>
          <w:kern w:val="0"/>
          <w:u w:val="single"/>
        </w:rPr>
        <w:t>⑤</w:t>
      </w:r>
      <w:r>
        <w:rPr>
          <w:rFonts w:ascii="Times New Roman" w:hAnsi="Times New Roman" w:cs="Times New Roman"/>
          <w:kern w:val="0"/>
          <w:u w:val="single"/>
        </w:rPr>
        <w:t>机械式除雾法。这类酸雾处理塔方法的原理是借用重力、惯性力或离心力的作用使雾滴与气体分离，从而达到净化目的。常用的设备有折流式除雾器、离心式除雾器等。</w:t>
      </w:r>
    </w:p>
    <w:p>
      <w:pPr>
        <w:autoSpaceDE w:val="0"/>
        <w:autoSpaceDN w:val="0"/>
        <w:spacing w:line="360" w:lineRule="auto"/>
        <w:ind w:firstLine="480" w:firstLineChars="200"/>
        <w:jc w:val="left"/>
        <w:rPr>
          <w:rFonts w:ascii="Times New Roman" w:hAnsi="Times New Roman" w:cs="Times New Roman"/>
          <w:kern w:val="0"/>
          <w:u w:val="single"/>
        </w:rPr>
      </w:pPr>
      <w:r>
        <w:rPr>
          <w:rFonts w:ascii="Times New Roman" w:hAnsi="Times New Roman" w:cs="Times New Roman"/>
          <w:kern w:val="0"/>
          <w:u w:val="single"/>
        </w:rPr>
        <w:t>目前国内对于酸性气体的治理，大多采用液体吸收法。根据本项目酸雾的产生特点及各处理工艺的原理，经比选，本项目拟采用“碱液喷淋吸收法”处理工艺对上述各股酸雾进行处理，吸收剂为NaOH。采用液体吸收法治理硫酸雾废气，关键在于酸雾吸收塔（碱液喷淋塔）的选择。</w:t>
      </w:r>
    </w:p>
    <w:p>
      <w:pPr>
        <w:autoSpaceDE w:val="0"/>
        <w:autoSpaceDN w:val="0"/>
        <w:spacing w:line="360" w:lineRule="auto"/>
        <w:ind w:firstLine="480" w:firstLineChars="200"/>
        <w:jc w:val="left"/>
        <w:rPr>
          <w:rFonts w:ascii="Times New Roman" w:hAnsi="Times New Roman" w:cs="Times New Roman"/>
          <w:kern w:val="0"/>
          <w:u w:val="single"/>
        </w:rPr>
      </w:pPr>
      <w:r>
        <w:rPr>
          <w:rFonts w:ascii="Times New Roman" w:hAnsi="Times New Roman" w:cs="Times New Roman"/>
          <w:kern w:val="0"/>
          <w:u w:val="single"/>
        </w:rPr>
        <w:t>（2）酸雾处理工艺流程</w:t>
      </w:r>
    </w:p>
    <w:p>
      <w:pPr>
        <w:autoSpaceDE w:val="0"/>
        <w:autoSpaceDN w:val="0"/>
        <w:spacing w:line="360" w:lineRule="auto"/>
        <w:ind w:firstLine="480" w:firstLineChars="200"/>
        <w:jc w:val="left"/>
        <w:rPr>
          <w:rFonts w:ascii="Times New Roman" w:hAnsi="Times New Roman" w:cs="Times New Roman"/>
          <w:kern w:val="0"/>
          <w:u w:val="single"/>
        </w:rPr>
      </w:pPr>
      <w:r>
        <w:rPr>
          <w:rFonts w:ascii="Times New Roman" w:hAnsi="Times New Roman" w:cs="Times New Roman"/>
          <w:kern w:val="0"/>
          <w:u w:val="single"/>
        </w:rPr>
        <w:t>经酸浸除杂及萃取工序产生的废气进入一级水洗塔进行降温。一级水洗塔采用高液气比，吸收废气中绝大部分饱和蒸汽、热量及部分酸性物质，使废气温度降至50～60</w:t>
      </w:r>
      <w:r>
        <w:rPr>
          <w:rFonts w:hint="eastAsia" w:ascii="宋体" w:hAnsi="宋体" w:eastAsia="宋体" w:cs="宋体"/>
          <w:kern w:val="0"/>
          <w:u w:val="single"/>
        </w:rPr>
        <w:t>℃</w:t>
      </w:r>
      <w:r>
        <w:rPr>
          <w:rFonts w:ascii="Times New Roman" w:hAnsi="Times New Roman" w:cs="Times New Roman"/>
          <w:kern w:val="0"/>
          <w:u w:val="single"/>
        </w:rPr>
        <w:t>，同时保证循环罐的溶液pH值≥7。</w:t>
      </w:r>
    </w:p>
    <w:p>
      <w:pPr>
        <w:autoSpaceDE w:val="0"/>
        <w:autoSpaceDN w:val="0"/>
        <w:spacing w:line="360" w:lineRule="auto"/>
        <w:ind w:firstLine="480" w:firstLineChars="200"/>
        <w:jc w:val="left"/>
        <w:rPr>
          <w:rFonts w:ascii="Times New Roman" w:hAnsi="Times New Roman" w:cs="Times New Roman"/>
          <w:kern w:val="0"/>
          <w:u w:val="single"/>
        </w:rPr>
      </w:pPr>
      <w:r>
        <w:rPr>
          <w:rFonts w:ascii="Times New Roman" w:hAnsi="Times New Roman" w:cs="Times New Roman"/>
          <w:kern w:val="0"/>
          <w:u w:val="single"/>
        </w:rPr>
        <w:t>冷却降温后的废气进入酸洗喷淋工序，两级酸洗喷淋采用低液气比，除去废气中的酸洗物质，使废气达到中和，温度≤（常温-5</w:t>
      </w:r>
      <w:r>
        <w:rPr>
          <w:rFonts w:hint="eastAsia" w:ascii="宋体" w:hAnsi="宋体" w:eastAsia="宋体" w:cs="宋体"/>
          <w:kern w:val="0"/>
          <w:u w:val="single"/>
        </w:rPr>
        <w:t>℃</w:t>
      </w:r>
      <w:r>
        <w:rPr>
          <w:rFonts w:ascii="Times New Roman" w:hAnsi="Times New Roman" w:cs="Times New Roman"/>
          <w:kern w:val="0"/>
          <w:u w:val="single"/>
        </w:rPr>
        <w:t>）。具体流程如下：冷却洗涤塔内的废气降温后经风机压入酸洗喷淋塔 1。垂直向上与喷淋段自上而下的吸收液其化学反应，使废气浓度降低，然后进入下一级喷淋塔。酸洗喷淋塔 2 中的废气污染物与继续吸收液进行化学反应，使废气浓度进一步降低。碱液喷淋过程中能够捕捉废气中的颗粒物，并对硫酸雾、氯化氢、硫化氢具有较好的去除效率，反应方程式如下：</w:t>
      </w:r>
    </w:p>
    <w:p>
      <w:pPr>
        <w:autoSpaceDE w:val="0"/>
        <w:autoSpaceDN w:val="0"/>
        <w:spacing w:line="360" w:lineRule="auto"/>
        <w:ind w:firstLine="480" w:firstLineChars="200"/>
        <w:jc w:val="center"/>
        <w:rPr>
          <w:rFonts w:ascii="Times New Roman" w:hAnsi="Times New Roman" w:cs="Times New Roman"/>
          <w:kern w:val="0"/>
          <w:u w:val="single"/>
        </w:rPr>
      </w:pPr>
      <w:r>
        <w:rPr>
          <w:rFonts w:ascii="Times New Roman" w:hAnsi="Times New Roman" w:cs="Times New Roman"/>
          <w:kern w:val="0"/>
          <w:u w:val="single"/>
        </w:rPr>
        <w:t>H</w:t>
      </w:r>
      <w:r>
        <w:rPr>
          <w:rFonts w:ascii="Times New Roman" w:hAnsi="Times New Roman" w:cs="Times New Roman"/>
          <w:kern w:val="0"/>
          <w:u w:val="single"/>
          <w:vertAlign w:val="subscript"/>
        </w:rPr>
        <w:t>2</w:t>
      </w:r>
      <w:r>
        <w:rPr>
          <w:rFonts w:ascii="Times New Roman" w:hAnsi="Times New Roman" w:cs="Times New Roman"/>
          <w:kern w:val="0"/>
          <w:u w:val="single"/>
        </w:rPr>
        <w:t>SO</w:t>
      </w:r>
      <w:r>
        <w:rPr>
          <w:rFonts w:ascii="Times New Roman" w:hAnsi="Times New Roman" w:cs="Times New Roman"/>
          <w:kern w:val="0"/>
          <w:u w:val="single"/>
          <w:vertAlign w:val="subscript"/>
        </w:rPr>
        <w:t>4</w:t>
      </w:r>
      <w:r>
        <w:rPr>
          <w:rFonts w:ascii="Times New Roman" w:hAnsi="Times New Roman" w:cs="Times New Roman"/>
          <w:kern w:val="0"/>
          <w:u w:val="single"/>
        </w:rPr>
        <w:t>＋NaOH→NaHSO</w:t>
      </w:r>
      <w:r>
        <w:rPr>
          <w:rFonts w:ascii="Times New Roman" w:hAnsi="Times New Roman" w:cs="Times New Roman"/>
          <w:kern w:val="0"/>
          <w:u w:val="single"/>
          <w:vertAlign w:val="subscript"/>
        </w:rPr>
        <w:t>4</w:t>
      </w:r>
      <w:r>
        <w:rPr>
          <w:rFonts w:ascii="Times New Roman" w:hAnsi="Times New Roman" w:cs="Times New Roman"/>
          <w:kern w:val="0"/>
          <w:u w:val="single"/>
        </w:rPr>
        <w:t>＋H</w:t>
      </w:r>
      <w:r>
        <w:rPr>
          <w:rFonts w:ascii="Times New Roman" w:hAnsi="Times New Roman" w:cs="Times New Roman"/>
          <w:kern w:val="0"/>
          <w:u w:val="single"/>
          <w:vertAlign w:val="subscript"/>
        </w:rPr>
        <w:t>2</w:t>
      </w:r>
      <w:r>
        <w:rPr>
          <w:rFonts w:ascii="Times New Roman" w:hAnsi="Times New Roman" w:cs="Times New Roman"/>
          <w:kern w:val="0"/>
          <w:u w:val="single"/>
        </w:rPr>
        <w:t>O</w:t>
      </w:r>
    </w:p>
    <w:p>
      <w:pPr>
        <w:autoSpaceDE w:val="0"/>
        <w:autoSpaceDN w:val="0"/>
        <w:spacing w:line="360" w:lineRule="auto"/>
        <w:ind w:firstLine="480" w:firstLineChars="200"/>
        <w:jc w:val="center"/>
        <w:rPr>
          <w:rFonts w:ascii="Times New Roman" w:hAnsi="Times New Roman" w:cs="Times New Roman"/>
          <w:kern w:val="0"/>
          <w:u w:val="single"/>
        </w:rPr>
      </w:pPr>
      <w:r>
        <w:rPr>
          <w:rFonts w:ascii="Times New Roman" w:hAnsi="Times New Roman" w:cs="Times New Roman"/>
          <w:kern w:val="0"/>
          <w:u w:val="single"/>
        </w:rPr>
        <w:t>H</w:t>
      </w:r>
      <w:r>
        <w:rPr>
          <w:rFonts w:ascii="Times New Roman" w:hAnsi="Times New Roman" w:cs="Times New Roman"/>
          <w:kern w:val="0"/>
          <w:u w:val="single"/>
          <w:vertAlign w:val="subscript"/>
        </w:rPr>
        <w:t>2</w:t>
      </w:r>
      <w:r>
        <w:rPr>
          <w:rFonts w:ascii="Times New Roman" w:hAnsi="Times New Roman" w:cs="Times New Roman"/>
          <w:kern w:val="0"/>
          <w:u w:val="single"/>
        </w:rPr>
        <w:t>S+ NaOH→NaHS+H</w:t>
      </w:r>
      <w:r>
        <w:rPr>
          <w:rFonts w:ascii="Times New Roman" w:hAnsi="Times New Roman" w:cs="Times New Roman"/>
          <w:kern w:val="0"/>
          <w:u w:val="single"/>
          <w:vertAlign w:val="subscript"/>
        </w:rPr>
        <w:t>2</w:t>
      </w:r>
      <w:r>
        <w:rPr>
          <w:rFonts w:ascii="Times New Roman" w:hAnsi="Times New Roman" w:cs="Times New Roman"/>
          <w:kern w:val="0"/>
          <w:u w:val="single"/>
        </w:rPr>
        <w:t>O</w:t>
      </w:r>
    </w:p>
    <w:p>
      <w:pPr>
        <w:autoSpaceDE w:val="0"/>
        <w:autoSpaceDN w:val="0"/>
        <w:spacing w:line="360" w:lineRule="auto"/>
        <w:ind w:firstLine="480" w:firstLineChars="200"/>
        <w:jc w:val="center"/>
        <w:rPr>
          <w:rFonts w:ascii="Times New Roman" w:hAnsi="Times New Roman" w:cs="Times New Roman"/>
          <w:kern w:val="0"/>
          <w:u w:val="single"/>
        </w:rPr>
      </w:pPr>
      <w:r>
        <w:rPr>
          <w:rFonts w:ascii="Times New Roman" w:hAnsi="Times New Roman" w:cs="Times New Roman"/>
          <w:kern w:val="0"/>
          <w:u w:val="single"/>
        </w:rPr>
        <w:t>HCl+NaOH→NaCl+H</w:t>
      </w:r>
      <w:r>
        <w:rPr>
          <w:rFonts w:ascii="Times New Roman" w:hAnsi="Times New Roman" w:cs="Times New Roman"/>
          <w:kern w:val="0"/>
          <w:u w:val="single"/>
          <w:vertAlign w:val="subscript"/>
        </w:rPr>
        <w:t>2</w:t>
      </w:r>
      <w:r>
        <w:rPr>
          <w:rFonts w:ascii="Times New Roman" w:hAnsi="Times New Roman" w:cs="Times New Roman"/>
          <w:kern w:val="0"/>
          <w:u w:val="single"/>
        </w:rPr>
        <w:t>O</w:t>
      </w:r>
    </w:p>
    <w:p>
      <w:pPr>
        <w:autoSpaceDE w:val="0"/>
        <w:autoSpaceDN w:val="0"/>
        <w:spacing w:line="360" w:lineRule="auto"/>
        <w:ind w:firstLine="480" w:firstLineChars="200"/>
        <w:jc w:val="left"/>
        <w:rPr>
          <w:rFonts w:ascii="Times New Roman" w:hAnsi="Times New Roman" w:cs="Times New Roman"/>
          <w:kern w:val="0"/>
          <w:u w:val="single"/>
        </w:rPr>
      </w:pPr>
      <w:r>
        <w:rPr>
          <w:rFonts w:ascii="Times New Roman" w:hAnsi="Times New Roman" w:cs="Times New Roman"/>
          <w:kern w:val="0"/>
          <w:u w:val="single"/>
        </w:rPr>
        <w:t>碱喷淋塔吸收液采用10～20%的氢氧化钠溶液，由于吸收液循环使用，碱浓度降低后，补充氢氧化钠，净化渣采用离心脱水后作为一般固废，可外售综合利用。</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drawing>
          <wp:inline distT="0" distB="0" distL="0" distR="0">
            <wp:extent cx="5709920" cy="3359785"/>
            <wp:effectExtent l="0" t="0" r="508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a:xfrm>
                      <a:off x="0" y="0"/>
                      <a:ext cx="5709920" cy="3359785"/>
                    </a:xfrm>
                    <a:prstGeom prst="rect">
                      <a:avLst/>
                    </a:prstGeom>
                    <a:noFill/>
                    <a:ln>
                      <a:noFill/>
                    </a:ln>
                  </pic:spPr>
                </pic:pic>
              </a:graphicData>
            </a:graphic>
          </wp:inline>
        </w:drawing>
      </w:r>
    </w:p>
    <w:p>
      <w:pPr>
        <w:pStyle w:val="6"/>
        <w:rPr>
          <w:rFonts w:ascii="Times New Roman" w:hAnsi="Times New Roman" w:cs="Times New Roman"/>
          <w:u w:val="single"/>
        </w:rPr>
      </w:pPr>
      <w:r>
        <w:rPr>
          <w:rFonts w:ascii="Times New Roman" w:hAnsi="Times New Roman" w:cs="Times New Roman"/>
          <w:u w:val="single"/>
        </w:rPr>
        <w:t>图8.2-1  本项目酸雾处理工艺流程图</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（3）可行性分析</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酸性气体易溶于水物质，酸雾吸收塔是低浓度酸雾净化常用的方法，技术较成熟。其原理为将碱液通过喷嘴雾化后与引入塔内的废气逆向运动，微粒发生碰撞，气相中的污染物被液相中的碱所吸收，从而达到净化废气的目的。喷淋塔具有阻力小、能耗省、噪声低、处理效率高，它具有效率高，耐腐蚀性强，高强度，体积小、轻巧耐用，外观美观大方等优点，本项目采用圆形塔体，用法兰分段连接，项目2级碱喷淋分别设置两套，分担负荷，并且可减少事故概率，喷淋采用多级喷淋，提高净化效率，喷淋塔对酸雾的处理效率在95%以上，处理后硫酸雾排放浓度可达《大气污染物综合排放标准》（GB16297-1996）表2中标准要求。喷淋塔在国内应用较广泛，技术成熟，所以采用“碱液喷淋吸收法”处理酸浸除杂及萃取工序产生的硫酸雾等酸性气体可实现达标排放，满足本项目要求，处理措施可行。</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本项目采取环保措施后，浸出车间硫酸雾的排放浓度为13.38mg/m</w:t>
      </w:r>
      <w:r>
        <w:rPr>
          <w:rFonts w:ascii="Times New Roman" w:hAnsi="Times New Roman" w:cs="Times New Roman"/>
          <w:u w:val="single"/>
          <w:vertAlign w:val="superscript"/>
        </w:rPr>
        <w:t>3</w:t>
      </w:r>
      <w:r>
        <w:rPr>
          <w:rFonts w:ascii="Times New Roman" w:hAnsi="Times New Roman" w:cs="Times New Roman"/>
          <w:u w:val="single"/>
        </w:rPr>
        <w:t>，硫酸雾能够满足《大气污染物综合排放标准》（GB16297-1996）中表2中污染物排放限值。综合硫酸雾去除效率效率为95%。因此，本项目萃取车间烟气所采取的环保措施可行。</w:t>
      </w:r>
    </w:p>
    <w:p>
      <w:pPr>
        <w:pStyle w:val="5"/>
        <w:ind w:firstLine="482"/>
        <w:rPr>
          <w:rFonts w:ascii="Times New Roman" w:hAnsi="Times New Roman" w:cs="Times New Roman" w:eastAsiaTheme="minorEastAsia"/>
        </w:rPr>
      </w:pPr>
      <w:r>
        <w:rPr>
          <w:rFonts w:ascii="Times New Roman" w:hAnsi="Times New Roman" w:cs="Times New Roman" w:eastAsiaTheme="minorEastAsia"/>
        </w:rPr>
        <w:t>8.2.1.4 萃取车间废气</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萃取车间废气中主要污染物为硫酸雾和非甲烷总烃，其均为萃取槽中挥发出的。萃取车间废气采用“碱液喷淋+过滤棉+活性炭吸附”处理后经15m高排气筒排放。</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kern w:val="0"/>
        </w:rPr>
        <w:t>（1）</w:t>
      </w:r>
      <w:r>
        <w:rPr>
          <w:rFonts w:ascii="Times New Roman" w:hAnsi="Times New Roman" w:cs="Times New Roman"/>
        </w:rPr>
        <w:t>硫酸雾</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根据前述分析可知，硫酸雾采用碱液喷淋处理后能够确保外排硫酸雾能够满足《大气污染物综合排放标准》（GB16297-1996）中表2中污染物排放限值。</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（2）非甲烷总烃</w:t>
      </w:r>
    </w:p>
    <w:p>
      <w:pPr>
        <w:pStyle w:val="91"/>
        <w:snapToGrid/>
        <w:spacing w:line="360" w:lineRule="auto"/>
        <w:rPr>
          <w:rStyle w:val="89"/>
          <w:rFonts w:ascii="Times New Roman" w:hAnsi="Times New Roman" w:cs="Times New Roman" w:eastAsiaTheme="minorEastAsia"/>
          <w:color w:val="auto"/>
        </w:rPr>
      </w:pPr>
      <w:r>
        <w:rPr>
          <w:rStyle w:val="89"/>
          <w:rFonts w:ascii="Times New Roman" w:hAnsi="Times New Roman" w:cs="Times New Roman" w:eastAsiaTheme="minorEastAsia"/>
          <w:color w:val="auto"/>
        </w:rPr>
        <w:t>目前，有机废气处理主要有以下几种方法：</w:t>
      </w:r>
    </w:p>
    <w:p>
      <w:pPr>
        <w:pStyle w:val="91"/>
        <w:snapToGrid/>
        <w:spacing w:line="360" w:lineRule="auto"/>
        <w:rPr>
          <w:rStyle w:val="89"/>
          <w:rFonts w:ascii="Times New Roman" w:hAnsi="Times New Roman" w:cs="Times New Roman" w:eastAsiaTheme="minorEastAsia"/>
          <w:color w:val="auto"/>
        </w:rPr>
      </w:pPr>
      <w:r>
        <w:rPr>
          <w:rStyle w:val="89"/>
          <w:rFonts w:hint="eastAsia" w:cs="宋体"/>
          <w:color w:val="auto"/>
        </w:rPr>
        <w:t>①</w:t>
      </w:r>
      <w:r>
        <w:rPr>
          <w:rStyle w:val="89"/>
          <w:rFonts w:ascii="Times New Roman" w:hAnsi="Times New Roman" w:cs="Times New Roman" w:eastAsiaTheme="minorEastAsia"/>
          <w:color w:val="auto"/>
        </w:rPr>
        <w:t>燃烧法包括高温燃烧和催化燃烧，前者需要附加燃料燃烧，因此，使用该法时要考虑回收利用热能;催化燃烧能耗低，但在工作初期，需用电加热将废气加热到起燃温度，故对于频繁开停车的场合不合适。而直接采用催化燃烧投资太大。燃烧法适用于浓度较高的有机废气。</w:t>
      </w:r>
    </w:p>
    <w:p>
      <w:pPr>
        <w:pStyle w:val="91"/>
        <w:snapToGrid/>
        <w:spacing w:line="360" w:lineRule="auto"/>
        <w:rPr>
          <w:rStyle w:val="89"/>
          <w:rFonts w:ascii="Times New Roman" w:hAnsi="Times New Roman" w:cs="Times New Roman" w:eastAsiaTheme="minorEastAsia"/>
          <w:color w:val="auto"/>
        </w:rPr>
      </w:pPr>
      <w:r>
        <w:rPr>
          <w:rStyle w:val="89"/>
          <w:rFonts w:hint="eastAsia" w:cs="宋体"/>
          <w:color w:val="auto"/>
        </w:rPr>
        <w:t>②</w:t>
      </w:r>
      <w:r>
        <w:rPr>
          <w:rStyle w:val="89"/>
          <w:rFonts w:ascii="Times New Roman" w:hAnsi="Times New Roman" w:cs="Times New Roman" w:eastAsiaTheme="minorEastAsia"/>
          <w:color w:val="auto"/>
        </w:rPr>
        <w:t>吸收法即采用适当的吸收剂（如柴油、煤油、水等介质）在吸收塔内进行吸收，吸收到-一定浓度后进行溶剂与吸收液的分离，溶剂回收，吸收液重新使用或另行处理，采用这种方法的关键是吸收剂的选择。由于溶剂与吸收剂的分离较为困难，因此其应用受到了一定的限制。</w:t>
      </w:r>
    </w:p>
    <w:p>
      <w:pPr>
        <w:pStyle w:val="91"/>
        <w:snapToGrid/>
        <w:spacing w:line="360" w:lineRule="auto"/>
        <w:rPr>
          <w:rStyle w:val="89"/>
          <w:rFonts w:ascii="Times New Roman" w:hAnsi="Times New Roman" w:cs="Times New Roman" w:eastAsiaTheme="minorEastAsia"/>
          <w:color w:val="auto"/>
        </w:rPr>
      </w:pPr>
      <w:r>
        <w:rPr>
          <w:rStyle w:val="89"/>
          <w:rFonts w:hint="eastAsia" w:cs="宋体"/>
          <w:color w:val="auto"/>
        </w:rPr>
        <w:t>③</w:t>
      </w:r>
      <w:r>
        <w:rPr>
          <w:rStyle w:val="89"/>
          <w:rFonts w:ascii="Times New Roman" w:hAnsi="Times New Roman" w:cs="Times New Roman" w:eastAsiaTheme="minorEastAsia"/>
          <w:color w:val="auto"/>
        </w:rPr>
        <w:t>催化燃烧原理：催化燃烧是典型的气-固相催化反应，其实质是活性氧参与的深度氧化作用。在催化燃烧过程中，催化剂的作用是降低活化能，同时催化剂表面具有吸附作用，使反应物分子富集于表面提高了反应速率，加快了反应的进行。借助催化剂可使有机废气在较低的起燃温度条件下，发生无焰燃烧，并氧化分解为CO</w:t>
      </w:r>
      <w:r>
        <w:rPr>
          <w:rStyle w:val="89"/>
          <w:rFonts w:ascii="Times New Roman" w:hAnsi="Times New Roman" w:cs="Times New Roman" w:eastAsiaTheme="minorEastAsia"/>
          <w:color w:val="auto"/>
          <w:vertAlign w:val="subscript"/>
        </w:rPr>
        <w:t>2</w:t>
      </w:r>
      <w:r>
        <w:rPr>
          <w:rStyle w:val="89"/>
          <w:rFonts w:ascii="Times New Roman" w:hAnsi="Times New Roman" w:cs="Times New Roman" w:eastAsiaTheme="minorEastAsia"/>
          <w:color w:val="auto"/>
        </w:rPr>
        <w:t>和H</w:t>
      </w:r>
      <w:r>
        <w:rPr>
          <w:rStyle w:val="89"/>
          <w:rFonts w:ascii="Times New Roman" w:hAnsi="Times New Roman" w:cs="Times New Roman" w:eastAsiaTheme="minorEastAsia"/>
          <w:color w:val="auto"/>
          <w:vertAlign w:val="subscript"/>
        </w:rPr>
        <w:t>2</w:t>
      </w:r>
      <w:r>
        <w:rPr>
          <w:rStyle w:val="89"/>
          <w:rFonts w:ascii="Times New Roman" w:hAnsi="Times New Roman" w:cs="Times New Roman" w:eastAsiaTheme="minorEastAsia"/>
          <w:color w:val="auto"/>
        </w:rPr>
        <w:t>O，同时放出大量热能。</w:t>
      </w:r>
    </w:p>
    <w:p>
      <w:pPr>
        <w:pStyle w:val="91"/>
        <w:snapToGrid/>
        <w:spacing w:line="360" w:lineRule="auto"/>
        <w:rPr>
          <w:rStyle w:val="89"/>
          <w:rFonts w:ascii="Times New Roman" w:hAnsi="Times New Roman" w:cs="Times New Roman" w:eastAsiaTheme="minorEastAsia"/>
          <w:color w:val="auto"/>
        </w:rPr>
      </w:pPr>
      <w:r>
        <w:rPr>
          <w:rStyle w:val="89"/>
          <w:rFonts w:hint="eastAsia" w:cs="宋体"/>
          <w:color w:val="auto"/>
        </w:rPr>
        <w:t>④</w:t>
      </w:r>
      <w:r>
        <w:rPr>
          <w:rStyle w:val="89"/>
          <w:rFonts w:ascii="Times New Roman" w:hAnsi="Times New Roman" w:cs="Times New Roman" w:eastAsiaTheme="minorEastAsia"/>
          <w:color w:val="auto"/>
        </w:rPr>
        <w:t>活性炭吸附法采用多孔活性炭或活性炭纤维吸附有机废气，饱和后用低压蒸汽再生，</w:t>
      </w:r>
      <w:r>
        <w:rPr>
          <w:rStyle w:val="89"/>
          <w:rFonts w:hint="eastAsia" w:ascii="Times New Roman" w:hAnsi="Times New Roman" w:cs="Times New Roman" w:eastAsiaTheme="minorEastAsia"/>
          <w:color w:val="auto"/>
          <w:lang w:eastAsia="zh-CN"/>
        </w:rPr>
        <w:t>活性炭</w:t>
      </w:r>
      <w:r>
        <w:rPr>
          <w:rStyle w:val="89"/>
          <w:rFonts w:ascii="Times New Roman" w:hAnsi="Times New Roman" w:cs="Times New Roman" w:eastAsiaTheme="minorEastAsia"/>
          <w:color w:val="auto"/>
        </w:rPr>
        <w:t>是一-种具有非极性表面、疏水性和亲有机物的吸附剂，比表面积大，它是用超细的活性炭微粒与各种纤维素、人造丝等混合制成，对各种无机和有机气体中的有机物和重金属离子等具有较大的吸附量和较快的吸附速率，在环境保护方面常用来吸附回收空气中的有机溶剂和恶臭物质。当废气总浓度为1000g/m</w:t>
      </w:r>
      <w:r>
        <w:rPr>
          <w:rStyle w:val="89"/>
          <w:rFonts w:ascii="Times New Roman" w:hAnsi="Times New Roman" w:cs="Times New Roman" w:eastAsiaTheme="minorEastAsia"/>
          <w:color w:val="auto"/>
          <w:vertAlign w:val="superscript"/>
        </w:rPr>
        <w:t>3</w:t>
      </w:r>
      <w:r>
        <w:rPr>
          <w:rStyle w:val="89"/>
          <w:rFonts w:ascii="Times New Roman" w:hAnsi="Times New Roman" w:cs="Times New Roman" w:eastAsiaTheme="minorEastAsia"/>
          <w:color w:val="auto"/>
        </w:rPr>
        <w:t>以下，出口温度小于45'C，其性质属于低浓度废气。适宜采用</w:t>
      </w:r>
      <w:r>
        <w:rPr>
          <w:rStyle w:val="89"/>
          <w:rFonts w:hint="eastAsia" w:ascii="Times New Roman" w:hAnsi="Times New Roman" w:cs="Times New Roman" w:eastAsiaTheme="minorEastAsia"/>
          <w:color w:val="auto"/>
          <w:lang w:eastAsia="zh-CN"/>
        </w:rPr>
        <w:t>活性炭</w:t>
      </w:r>
      <w:r>
        <w:rPr>
          <w:rStyle w:val="89"/>
          <w:rFonts w:ascii="Times New Roman" w:hAnsi="Times New Roman" w:cs="Times New Roman" w:eastAsiaTheme="minorEastAsia"/>
          <w:color w:val="auto"/>
        </w:rPr>
        <w:t>吸附处理工艺。</w:t>
      </w:r>
    </w:p>
    <w:p>
      <w:pPr>
        <w:pStyle w:val="91"/>
        <w:snapToGrid/>
        <w:spacing w:line="360" w:lineRule="auto"/>
        <w:rPr>
          <w:rStyle w:val="89"/>
          <w:rFonts w:ascii="Times New Roman" w:hAnsi="Times New Roman" w:cs="Times New Roman" w:eastAsiaTheme="minorEastAsia"/>
          <w:color w:val="auto"/>
        </w:rPr>
      </w:pPr>
      <w:r>
        <w:rPr>
          <w:rStyle w:val="89"/>
          <w:rFonts w:ascii="Times New Roman" w:hAnsi="Times New Roman" w:cs="Times New Roman" w:eastAsiaTheme="minorEastAsia"/>
          <w:color w:val="auto"/>
        </w:rPr>
        <w:t>活性炭吸附塔原理：有机废气进入活性炭吸附层，在活性炭吸附层内装填有</w:t>
      </w:r>
      <w:r>
        <w:rPr>
          <w:rStyle w:val="89"/>
          <w:rFonts w:hint="eastAsia" w:ascii="Times New Roman" w:hAnsi="Times New Roman" w:cs="Times New Roman" w:eastAsiaTheme="minorEastAsia"/>
          <w:color w:val="auto"/>
          <w:lang w:eastAsia="zh-CN"/>
        </w:rPr>
        <w:t>活性炭</w:t>
      </w:r>
      <w:r>
        <w:rPr>
          <w:rStyle w:val="89"/>
          <w:rFonts w:ascii="Times New Roman" w:hAnsi="Times New Roman" w:cs="Times New Roman" w:eastAsiaTheme="minorEastAsia"/>
          <w:color w:val="auto"/>
        </w:rPr>
        <w:t>颗粒层,活性炭颗粒表面和内部具有丰富的空间网状微孔结构，其比表面积相当巨大。当有机废气通过</w:t>
      </w:r>
      <w:r>
        <w:rPr>
          <w:rStyle w:val="89"/>
          <w:rFonts w:hint="eastAsia" w:ascii="Times New Roman" w:hAnsi="Times New Roman" w:cs="Times New Roman" w:eastAsiaTheme="minorEastAsia"/>
          <w:color w:val="auto"/>
          <w:lang w:eastAsia="zh-CN"/>
        </w:rPr>
        <w:t>活性炭</w:t>
      </w:r>
      <w:r>
        <w:rPr>
          <w:rStyle w:val="89"/>
          <w:rFonts w:ascii="Times New Roman" w:hAnsi="Times New Roman" w:cs="Times New Roman" w:eastAsiaTheme="minorEastAsia"/>
          <w:color w:val="auto"/>
        </w:rPr>
        <w:t>层时有机废气内各种污染物组分被活性炭表面及内部的微孔有效吸附，废气完成了净化可达标排放。活性炭吸附是一-个物理过程，因此还可以采用高温蒸汽将使用过的活性炭内之杂质进行脱附，并使其恢复原有之活性，以达到重复使用的目的，具有明显的经济效益。再生后的活性炭其用途仍可连续重复使用及再生。</w:t>
      </w:r>
    </w:p>
    <w:p>
      <w:pPr>
        <w:pStyle w:val="91"/>
        <w:snapToGrid/>
        <w:spacing w:line="360" w:lineRule="auto"/>
        <w:rPr>
          <w:rStyle w:val="89"/>
          <w:rFonts w:ascii="Times New Roman" w:hAnsi="Times New Roman" w:cs="Times New Roman" w:eastAsiaTheme="minorEastAsia"/>
          <w:color w:val="auto"/>
        </w:rPr>
      </w:pPr>
      <w:r>
        <w:rPr>
          <w:rStyle w:val="89"/>
          <w:rFonts w:ascii="Times New Roman" w:hAnsi="Times New Roman" w:cs="Times New Roman" w:eastAsiaTheme="minorEastAsia"/>
          <w:color w:val="auto"/>
        </w:rPr>
        <w:t>活性炭吸附技术利用碳的吸收异味、吸附有害气体的原理，较早开始使用，技术比较成熟、稳定，而且造价低，无毒无副作用，对苯等挥发性有机物的吸附效果很好，不会产生二次污染，是目前应用最广泛、最成熟、效果最可靠、吸收物质种类最多的一种方法。</w:t>
      </w:r>
    </w:p>
    <w:p>
      <w:pPr>
        <w:pStyle w:val="91"/>
        <w:snapToGrid/>
        <w:spacing w:line="360" w:lineRule="auto"/>
        <w:rPr>
          <w:rStyle w:val="89"/>
          <w:rFonts w:ascii="Times New Roman" w:hAnsi="Times New Roman" w:cs="Times New Roman" w:eastAsiaTheme="minorEastAsia"/>
          <w:color w:val="auto"/>
        </w:rPr>
      </w:pPr>
      <w:r>
        <w:rPr>
          <w:rStyle w:val="89"/>
          <w:rFonts w:ascii="Times New Roman" w:hAnsi="Times New Roman" w:cs="Times New Roman" w:eastAsiaTheme="minorEastAsia"/>
          <w:color w:val="auto"/>
        </w:rPr>
        <w:t>本项目所产生的有机废气浓度较低，采用燃烧法投资过大，项目有机废气中污染物的溶解性各异，采用吸收法的吸收溶剂较难选择，故本项目采用活性炭吸附器处理该有机废气。</w:t>
      </w:r>
    </w:p>
    <w:p>
      <w:pPr>
        <w:pStyle w:val="91"/>
        <w:snapToGrid/>
        <w:spacing w:line="360" w:lineRule="auto"/>
        <w:rPr>
          <w:rStyle w:val="89"/>
          <w:rFonts w:ascii="Times New Roman" w:hAnsi="Times New Roman" w:cs="Times New Roman" w:eastAsiaTheme="minorEastAsia"/>
          <w:color w:val="auto"/>
        </w:rPr>
      </w:pPr>
      <w:r>
        <w:rPr>
          <w:rStyle w:val="89"/>
          <w:rFonts w:ascii="Times New Roman" w:hAnsi="Times New Roman" w:cs="Times New Roman" w:eastAsiaTheme="minorEastAsia"/>
          <w:color w:val="auto"/>
        </w:rPr>
        <w:t>在应用活性炭处理有机废气时值得注意的是:当活性炭吸附饱和后，应及时更换饱和的活性炭，补充新鲜的活性炭，这样才能保证有机废气的稳定达标排放。饱和后的活性炭交由有资质的单位处理。这样，项目有机废气对环境空气质量的影响就会减轻到最低程度。</w:t>
      </w:r>
    </w:p>
    <w:p>
      <w:pPr>
        <w:pStyle w:val="91"/>
        <w:snapToGrid/>
        <w:spacing w:line="360" w:lineRule="auto"/>
        <w:rPr>
          <w:rStyle w:val="89"/>
          <w:rFonts w:ascii="Times New Roman" w:hAnsi="Times New Roman" w:cs="Times New Roman" w:eastAsiaTheme="minorEastAsia"/>
          <w:color w:val="auto"/>
        </w:rPr>
      </w:pPr>
      <w:r>
        <w:rPr>
          <w:rStyle w:val="89"/>
          <w:rFonts w:hint="eastAsia" w:cs="宋体"/>
          <w:color w:val="auto"/>
        </w:rPr>
        <w:t>⑤</w:t>
      </w:r>
      <w:r>
        <w:rPr>
          <w:rStyle w:val="89"/>
          <w:rFonts w:ascii="Times New Roman" w:hAnsi="Times New Roman" w:cs="Times New Roman" w:eastAsiaTheme="minorEastAsia"/>
          <w:color w:val="auto"/>
        </w:rPr>
        <w:t>UV光解法：紫外线是由电磁波组成,其本身所带有的能量与波长直接有关，波长越短，能量越大。通过采D波段内的真空紫外线（波长范围170~184.9nm），照射有机气体或恶臭气体分子，当这些气体分子吸收了这类紫外线光后，因紫外线光本身所带有的能量，使有机气体或恶臭气体分子内部发生裂解，化学键断裂，形成游离状态的原子或基团（C*、 H*、O*等）。同时，混合气体中的氧气被紫外线光裂解形成游离的氧原子并结合生成臭氧[UV O</w:t>
      </w:r>
      <w:r>
        <w:rPr>
          <w:rStyle w:val="89"/>
          <w:rFonts w:ascii="Times New Roman" w:hAnsi="Times New Roman" w:cs="Times New Roman" w:eastAsiaTheme="minorEastAsia"/>
          <w:color w:val="auto"/>
          <w:vertAlign w:val="subscript"/>
        </w:rPr>
        <w:t>2</w:t>
      </w:r>
      <w:r>
        <w:rPr>
          <w:rStyle w:val="89"/>
          <w:rFonts w:ascii="Times New Roman" w:hAnsi="Times New Roman" w:cs="Times New Roman" w:eastAsiaTheme="minorEastAsia"/>
          <w:color w:val="auto"/>
        </w:rPr>
        <w:t xml:space="preserve"> &gt;O</w:t>
      </w:r>
      <w:r>
        <w:rPr>
          <w:rStyle w:val="89"/>
          <w:rFonts w:ascii="Times New Roman" w:hAnsi="Times New Roman" w:cs="Times New Roman" w:eastAsiaTheme="minorEastAsia"/>
          <w:color w:val="auto"/>
          <w:vertAlign w:val="superscript"/>
        </w:rPr>
        <w:t>-</w:t>
      </w:r>
      <w:r>
        <w:rPr>
          <w:rStyle w:val="89"/>
          <w:rFonts w:ascii="Times New Roman" w:hAnsi="Times New Roman" w:cs="Times New Roman" w:eastAsiaTheme="minorEastAsia"/>
          <w:color w:val="auto"/>
        </w:rPr>
        <w:t xml:space="preserve"> O*（活性氧） O*O</w:t>
      </w:r>
      <w:r>
        <w:rPr>
          <w:rStyle w:val="89"/>
          <w:rFonts w:ascii="Times New Roman" w:hAnsi="Times New Roman" w:cs="Times New Roman" w:eastAsiaTheme="minorEastAsia"/>
          <w:color w:val="auto"/>
          <w:vertAlign w:val="subscript"/>
        </w:rPr>
        <w:t>2</w:t>
      </w:r>
      <w:r>
        <w:rPr>
          <w:rStyle w:val="89"/>
          <w:rFonts w:ascii="Times New Roman" w:hAnsi="Times New Roman" w:cs="Times New Roman" w:eastAsiaTheme="minorEastAsia"/>
          <w:color w:val="auto"/>
        </w:rPr>
        <w:t xml:space="preserve"> &gt;O</w:t>
      </w:r>
      <w:r>
        <w:rPr>
          <w:rStyle w:val="89"/>
          <w:rFonts w:ascii="Times New Roman" w:hAnsi="Times New Roman" w:cs="Times New Roman" w:eastAsiaTheme="minorEastAsia"/>
          <w:color w:val="auto"/>
          <w:vertAlign w:val="subscript"/>
        </w:rPr>
        <w:t>3</w:t>
      </w:r>
      <w:r>
        <w:rPr>
          <w:rStyle w:val="89"/>
          <w:rFonts w:ascii="Times New Roman" w:hAnsi="Times New Roman" w:cs="Times New Roman" w:eastAsiaTheme="minorEastAsia"/>
          <w:color w:val="auto"/>
        </w:rPr>
        <w:t>（臭氧）]；混合气体中的水蒸气被紫外线光裂解产生羟基[UV H</w:t>
      </w:r>
      <w:r>
        <w:rPr>
          <w:rStyle w:val="89"/>
          <w:rFonts w:ascii="Times New Roman" w:hAnsi="Times New Roman" w:cs="Times New Roman" w:eastAsiaTheme="minorEastAsia"/>
          <w:color w:val="auto"/>
          <w:vertAlign w:val="subscript"/>
        </w:rPr>
        <w:t>2</w:t>
      </w:r>
      <w:r>
        <w:rPr>
          <w:rStyle w:val="89"/>
          <w:rFonts w:ascii="Times New Roman" w:hAnsi="Times New Roman" w:cs="Times New Roman" w:eastAsiaTheme="minorEastAsia"/>
          <w:color w:val="auto"/>
        </w:rPr>
        <w:t>O →HOH（羟基）]，而这些生成的臭氧和羟基具有极强的氧化性，可将废气分子裂解产生的原子和基团（甚至是有机气体或恶臭气体分子）氧化成H</w:t>
      </w:r>
      <w:r>
        <w:rPr>
          <w:rStyle w:val="89"/>
          <w:rFonts w:ascii="Times New Roman" w:hAnsi="Times New Roman" w:cs="Times New Roman" w:eastAsiaTheme="minorEastAsia"/>
          <w:color w:val="auto"/>
          <w:vertAlign w:val="subscript"/>
        </w:rPr>
        <w:t>2</w:t>
      </w:r>
      <w:r>
        <w:rPr>
          <w:rStyle w:val="89"/>
          <w:rFonts w:ascii="Times New Roman" w:hAnsi="Times New Roman" w:cs="Times New Roman" w:eastAsiaTheme="minorEastAsia"/>
          <w:color w:val="auto"/>
        </w:rPr>
        <w:t>O和CO</w:t>
      </w:r>
      <w:r>
        <w:rPr>
          <w:rStyle w:val="89"/>
          <w:rFonts w:ascii="Times New Roman" w:hAnsi="Times New Roman" w:cs="Times New Roman" w:eastAsiaTheme="minorEastAsia"/>
          <w:color w:val="auto"/>
          <w:vertAlign w:val="subscript"/>
        </w:rPr>
        <w:t>2</w:t>
      </w:r>
      <w:r>
        <w:rPr>
          <w:rStyle w:val="89"/>
          <w:rFonts w:ascii="Times New Roman" w:hAnsi="Times New Roman" w:cs="Times New Roman" w:eastAsiaTheme="minorEastAsia"/>
          <w:color w:val="auto"/>
        </w:rPr>
        <w:t>等无污染的低分子化合物。另外，利用高能紫外线光束可裂解恶臭气体中细菌的分子键,破坏细菌的核酸（DNA），再通过臭氧进行氧化反应，彻底达到脱臭及杀菌的目的。此有机废气治理方法具有运行稳定可靠、处理效率高、维修方便等优点，适用于大风量、低浓度的废气治理，该废气治理设施的处理效率能达到90%以上。</w:t>
      </w:r>
    </w:p>
    <w:p>
      <w:pPr>
        <w:autoSpaceDE w:val="0"/>
        <w:autoSpaceDN w:val="0"/>
        <w:spacing w:line="360" w:lineRule="auto"/>
        <w:ind w:firstLine="480" w:firstLineChars="200"/>
        <w:jc w:val="left"/>
        <w:rPr>
          <w:rFonts w:ascii="Times New Roman" w:hAnsi="Times New Roman" w:cs="Times New Roman"/>
          <w:kern w:val="0"/>
        </w:rPr>
      </w:pPr>
      <w:r>
        <w:rPr>
          <w:rFonts w:ascii="Times New Roman" w:hAnsi="Times New Roman" w:cs="Times New Roman"/>
          <w:kern w:val="0"/>
        </w:rPr>
        <w:t>本项目萃取车间挥发的有机废气量较少，其采用“碱液喷淋+活性炭吸附”能够确保非甲烷总烃的外排浓度能够满足《大气污染物综合排放标准》（GB16297-1996）中表2中污染物排放限值。</w:t>
      </w:r>
    </w:p>
    <w:p>
      <w:pPr>
        <w:autoSpaceDE w:val="0"/>
        <w:autoSpaceDN w:val="0"/>
        <w:spacing w:line="360" w:lineRule="auto"/>
        <w:ind w:firstLine="480" w:firstLineChars="200"/>
        <w:jc w:val="left"/>
        <w:rPr>
          <w:rFonts w:ascii="Times New Roman" w:hAnsi="Times New Roman" w:cs="Times New Roman"/>
          <w:kern w:val="0"/>
        </w:rPr>
      </w:pPr>
      <w:r>
        <w:rPr>
          <w:rFonts w:ascii="Times New Roman" w:hAnsi="Times New Roman" w:cs="Times New Roman"/>
          <w:kern w:val="0"/>
        </w:rPr>
        <w:t>综上，本项目萃取车间废气采用“碱液喷淋+</w:t>
      </w:r>
      <w:r>
        <w:rPr>
          <w:rFonts w:hint="eastAsia" w:ascii="Times New Roman" w:hAnsi="Times New Roman" w:cs="Times New Roman"/>
          <w:kern w:val="0"/>
        </w:rPr>
        <w:t>干式过滤器</w:t>
      </w:r>
      <w:r>
        <w:rPr>
          <w:rFonts w:ascii="Times New Roman" w:hAnsi="Times New Roman" w:cs="Times New Roman"/>
          <w:kern w:val="0"/>
        </w:rPr>
        <w:t>+活性炭”处理，外排废气能够满足《大气污染物综合排放标准》（GB16297-1996）中表2中污染物排放限值。因此，其措施可行。</w:t>
      </w:r>
    </w:p>
    <w:p>
      <w:pPr>
        <w:pStyle w:val="5"/>
        <w:ind w:firstLine="482"/>
        <w:rPr>
          <w:rFonts w:ascii="Times New Roman" w:hAnsi="Times New Roman" w:cs="Times New Roman" w:eastAsiaTheme="minorEastAsia"/>
        </w:rPr>
      </w:pPr>
      <w:r>
        <w:rPr>
          <w:rFonts w:ascii="Times New Roman" w:hAnsi="Times New Roman" w:cs="Times New Roman" w:eastAsiaTheme="minorEastAsia"/>
        </w:rPr>
        <w:t>8.2.1.6 食堂油烟</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根据工程分析可知，项目所产生的油烟的量0.0094kg/h，油烟产生浓度为18.8mg/m</w:t>
      </w:r>
      <w:r>
        <w:rPr>
          <w:rFonts w:ascii="Times New Roman" w:hAnsi="Times New Roman" w:cs="Times New Roman"/>
          <w:vertAlign w:val="superscript"/>
        </w:rPr>
        <w:t>3</w:t>
      </w:r>
      <w:r>
        <w:rPr>
          <w:rFonts w:ascii="Times New Roman" w:hAnsi="Times New Roman" w:cs="Times New Roman"/>
        </w:rPr>
        <w:t>。项目区食堂油烟经过拟安装的净化效率为90%的油烟净化设备后，排放浓度为1.88mg/m</w:t>
      </w:r>
      <w:r>
        <w:rPr>
          <w:rFonts w:ascii="Times New Roman" w:hAnsi="Times New Roman" w:cs="Times New Roman"/>
          <w:vertAlign w:val="superscript"/>
        </w:rPr>
        <w:t>3</w:t>
      </w:r>
      <w:r>
        <w:rPr>
          <w:rFonts w:ascii="Times New Roman" w:hAnsi="Times New Roman" w:cs="Times New Roman"/>
        </w:rPr>
        <w:t>。其可满足《饮食业油烟排放标准》（GB18483-2001）中的相关要求，处理后的油烟废气经食堂屋顶排放。</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因此，其措施可行。</w:t>
      </w:r>
    </w:p>
    <w:p>
      <w:pPr>
        <w:pStyle w:val="5"/>
        <w:ind w:firstLine="482"/>
        <w:rPr>
          <w:rFonts w:ascii="Times New Roman" w:hAnsi="Times New Roman" w:cs="Times New Roman" w:eastAsiaTheme="minorEastAsia"/>
        </w:rPr>
      </w:pPr>
      <w:r>
        <w:rPr>
          <w:rFonts w:ascii="Times New Roman" w:hAnsi="Times New Roman" w:cs="Times New Roman" w:eastAsiaTheme="minorEastAsia"/>
        </w:rPr>
        <w:t>8.2.1.7 无组织废气治理措施分析</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本项目无组织废气主要来自于酸浸车间设备及管道的跑冒滴漏会挥发产生少量的酸雾、酸储罐</w:t>
      </w:r>
      <w:r>
        <w:rPr>
          <w:rFonts w:hint="eastAsia" w:ascii="Times New Roman" w:hAnsi="Times New Roman" w:cs="Times New Roman"/>
        </w:rPr>
        <w:t>使用</w:t>
      </w:r>
      <w:r>
        <w:rPr>
          <w:rFonts w:ascii="Times New Roman" w:hAnsi="Times New Roman" w:cs="Times New Roman"/>
        </w:rPr>
        <w:t>过程产生的挥发性气体。</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（1）生产车间无组织废气</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对于生产车间的无组织酸性废气，主要采取通风换气的方式对车间内废气进行稀释、输出，各类废气排风系统换气疏散到室外等措施减少无组织废气排放，同时评价建议还应做好以下无组织排放治理措施：</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hint="eastAsia" w:ascii="宋体" w:hAnsi="宋体" w:eastAsia="宋体" w:cs="宋体"/>
        </w:rPr>
        <w:t>①</w:t>
      </w:r>
      <w:r>
        <w:rPr>
          <w:rFonts w:ascii="Times New Roman" w:hAnsi="Times New Roman" w:cs="Times New Roman"/>
        </w:rPr>
        <w:fldChar w:fldCharType="end"/>
      </w:r>
      <w:r>
        <w:rPr>
          <w:rFonts w:ascii="Times New Roman" w:hAnsi="Times New Roman" w:cs="Times New Roman"/>
        </w:rPr>
        <w:t>为保持高集气效率，在确定净化系统排烟量时，要充分考虑实际生产作业中各种不利因素，在引风机设备选型上应留有余地。</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hint="eastAsia" w:ascii="宋体" w:hAnsi="宋体" w:eastAsia="宋体" w:cs="宋体"/>
        </w:rPr>
        <w:t>②</w:t>
      </w:r>
      <w:r>
        <w:rPr>
          <w:rFonts w:ascii="Times New Roman" w:hAnsi="Times New Roman" w:cs="Times New Roman"/>
        </w:rPr>
        <w:fldChar w:fldCharType="end"/>
      </w:r>
      <w:r>
        <w:rPr>
          <w:rFonts w:ascii="Times New Roman" w:hAnsi="Times New Roman" w:cs="Times New Roman"/>
        </w:rPr>
        <w:t>混料过程中均硫酸雾采用管道、液泵（配计量装置）输送，尽量减少真空抽料，从而减少加料、出料等操作工序的物料损失，可有效减少废气逸散。</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3 \* GB3 </w:instrText>
      </w:r>
      <w:r>
        <w:rPr>
          <w:rFonts w:ascii="Times New Roman" w:hAnsi="Times New Roman" w:cs="Times New Roman"/>
        </w:rPr>
        <w:fldChar w:fldCharType="separate"/>
      </w:r>
      <w:r>
        <w:rPr>
          <w:rFonts w:hint="eastAsia" w:ascii="宋体" w:hAnsi="宋体" w:eastAsia="宋体" w:cs="宋体"/>
        </w:rPr>
        <w:t>③</w:t>
      </w:r>
      <w:r>
        <w:rPr>
          <w:rFonts w:ascii="Times New Roman" w:hAnsi="Times New Roman" w:cs="Times New Roman"/>
        </w:rPr>
        <w:fldChar w:fldCharType="end"/>
      </w:r>
      <w:r>
        <w:rPr>
          <w:rFonts w:ascii="Times New Roman" w:hAnsi="Times New Roman" w:cs="Times New Roman"/>
        </w:rPr>
        <w:t>对于管道，应定期做好检修，减少跑冒滴漏等现象的发生。一般情况下管道为密封管道，无破损时不会发生跑冒滴漏等现象，但在弯头、管道衔接、连接泵等地方易发生泄漏现象，因此应注意保护和维修。</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4 \* GB3 </w:instrText>
      </w:r>
      <w:r>
        <w:rPr>
          <w:rFonts w:ascii="Times New Roman" w:hAnsi="Times New Roman" w:cs="Times New Roman"/>
        </w:rPr>
        <w:fldChar w:fldCharType="separate"/>
      </w:r>
      <w:r>
        <w:rPr>
          <w:rFonts w:hint="eastAsia" w:ascii="宋体" w:hAnsi="宋体" w:eastAsia="宋体" w:cs="宋体"/>
        </w:rPr>
        <w:t>④</w:t>
      </w:r>
      <w:r>
        <w:rPr>
          <w:rFonts w:ascii="Times New Roman" w:hAnsi="Times New Roman" w:cs="Times New Roman"/>
        </w:rPr>
        <w:fldChar w:fldCharType="end"/>
      </w:r>
      <w:r>
        <w:rPr>
          <w:rFonts w:ascii="Times New Roman" w:hAnsi="Times New Roman" w:cs="Times New Roman"/>
        </w:rPr>
        <w:t>对生产车间各类储罐、反应槽等加强密封，改进操作管理等措施进行综合治理，防止跑冒滴漏，有效控制无组织废气的产生；同时，对车间进行强制通风换气，减少厂区内无组织废气外排。</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5 \* GB3 </w:instrText>
      </w:r>
      <w:r>
        <w:rPr>
          <w:rFonts w:ascii="Times New Roman" w:hAnsi="Times New Roman" w:cs="Times New Roman"/>
        </w:rPr>
        <w:fldChar w:fldCharType="separate"/>
      </w:r>
      <w:r>
        <w:rPr>
          <w:rFonts w:hint="eastAsia" w:ascii="宋体" w:hAnsi="宋体" w:eastAsia="宋体" w:cs="宋体"/>
        </w:rPr>
        <w:t>⑤</w:t>
      </w:r>
      <w:r>
        <w:rPr>
          <w:rFonts w:ascii="Times New Roman" w:hAnsi="Times New Roman" w:cs="Times New Roman"/>
        </w:rPr>
        <w:fldChar w:fldCharType="end"/>
      </w:r>
      <w:r>
        <w:rPr>
          <w:rFonts w:ascii="Times New Roman" w:hAnsi="Times New Roman" w:cs="Times New Roman"/>
        </w:rPr>
        <w:t>通过加强维护和管理使防治设备有效地运转，尽可能使之发挥出设计的性能。控制无组织排放废气的关键，是确保浸出槽、萃取槽、反应槽、低位槽及各类储罐等生产装置的密闭性操作，提高其使用寿命，操作人员一定要严格控制好生产线各项工艺指标，对废气密闭设施的易损易耗件应注重备用品的储存，确保设备发生故障时能得到及时的更换，杜绝各种操作事故和异常现象。</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6 \* GB3 </w:instrText>
      </w:r>
      <w:r>
        <w:rPr>
          <w:rFonts w:ascii="Times New Roman" w:hAnsi="Times New Roman" w:cs="Times New Roman"/>
        </w:rPr>
        <w:fldChar w:fldCharType="separate"/>
      </w:r>
      <w:r>
        <w:rPr>
          <w:rFonts w:hint="eastAsia" w:ascii="宋体" w:hAnsi="宋体" w:eastAsia="宋体" w:cs="宋体"/>
        </w:rPr>
        <w:t>⑥</w:t>
      </w:r>
      <w:r>
        <w:rPr>
          <w:rFonts w:ascii="Times New Roman" w:hAnsi="Times New Roman" w:cs="Times New Roman"/>
        </w:rPr>
        <w:fldChar w:fldCharType="end"/>
      </w:r>
      <w:r>
        <w:rPr>
          <w:rFonts w:ascii="Times New Roman" w:hAnsi="Times New Roman" w:cs="Times New Roman"/>
        </w:rPr>
        <w:t>一旦发现废气净化设施运行不正常时，应及时予以处理或维修，如确定适时间内不能恢复正常运行的，应立即停产检修，以避免对环境造成更大的污染影响；</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（2）酸碱储罐废气</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对酸碱储罐加强密封、采取夏季水喷淋、罐体隔热、改进操作管理及控制储罐大小呼吸产生的无组织废气，减少厂区内无组织废气外排。</w:t>
      </w:r>
    </w:p>
    <w:p>
      <w:pPr>
        <w:pStyle w:val="5"/>
        <w:ind w:firstLine="482"/>
        <w:rPr>
          <w:rFonts w:ascii="Times New Roman" w:hAnsi="Times New Roman" w:cs="Times New Roman" w:eastAsiaTheme="minorEastAsia"/>
        </w:rPr>
      </w:pPr>
      <w:r>
        <w:rPr>
          <w:rFonts w:ascii="Times New Roman" w:hAnsi="Times New Roman" w:cs="Times New Roman" w:eastAsiaTheme="minorEastAsia"/>
        </w:rPr>
        <w:t>8.2.1.8 废气事故排放控制措施</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为避免废气事故排放时对周围环境的影响，建设单位在废气处理措施运行期间应做好事故性排放防范措施。生产过程中，应加强生产管理，优化设计和操作条件，严格控制工艺参数及物料配比。如生产负责人到现场巡视，在巡视中发现问题及时整改；技术总工继续对已有技术进行研究，以期找到更合适的反应条件和设备尺寸、型号，减少因反应、设备上的缺陷而带来的无组织排放等。对于生产设备，应定期做好检修，减少跑冒滴漏等现象的发生。一般情况下生产设备均为密封装置，容易发生泄漏的地方多为封盖处和接头处，因此应注意对这这些地方进行检查和保护。在项目实施过程应找相关的专业单位进行设计。废气处理设施应设置相应的备用风机，一旦发生事故，立即停产，及时抢修。</w:t>
      </w:r>
    </w:p>
    <w:p>
      <w:pPr>
        <w:pStyle w:val="5"/>
        <w:ind w:firstLine="482"/>
        <w:rPr>
          <w:rFonts w:ascii="Times New Roman" w:hAnsi="Times New Roman" w:cs="Times New Roman" w:eastAsiaTheme="minorEastAsia"/>
        </w:rPr>
      </w:pPr>
      <w:r>
        <w:rPr>
          <w:rFonts w:ascii="Times New Roman" w:hAnsi="Times New Roman" w:cs="Times New Roman" w:eastAsiaTheme="minorEastAsia"/>
        </w:rPr>
        <w:t>8.2.1.9 有关要求及建议</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1）在线监测系统属环保设施的组成部分，必须与主体工程同时设计、同时施工、同时运行。未安装在线监测系统的气型污染源排放口应按照《污染源监测技术规范》设置便于测量流量、流速的测流段和采样点。</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（2）制定严格的企业管理制度，强化生产装置的密闭性操作，加强输送管线的日常管理与检查，杜绝生产过程中的跑、冒、滴、漏等现象，最大程度的减少生产过程中的无组织排放废气。</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（3）加强除尘设施及脱硫设施的日常管理与维护，在定期检修工程主体设备时，应同时检查和维护各主要废气净化系统，以确保其长期正常稳定运行。</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（4）注重废气净化设施易损易耗件的备用品储存，确保设备发生故障时能得到及时维护与更换。</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（5）一旦发现废气净化设施运行不正常时，应及时予以处理或维修，如短时间内不能恢复正常运行的，应立即停产检修，以避免对环境造成更大的污染。</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（6）制定一套科学、完整和严格的故障处理制度及应急处理措施，责任到人，以便发生故障时及时处理。</w:t>
      </w:r>
    </w:p>
    <w:p>
      <w:pPr>
        <w:pStyle w:val="5"/>
        <w:ind w:firstLine="482"/>
        <w:rPr>
          <w:rFonts w:ascii="Times New Roman" w:hAnsi="Times New Roman" w:cs="Times New Roman" w:eastAsiaTheme="minorEastAsia"/>
        </w:rPr>
      </w:pPr>
      <w:r>
        <w:rPr>
          <w:rFonts w:ascii="Times New Roman" w:hAnsi="Times New Roman" w:cs="Times New Roman" w:eastAsiaTheme="minorEastAsia"/>
        </w:rPr>
        <w:t>8.2.1.10 小结</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综上分析，本项目工艺废气采取的废气治理措施能保证排放口污染物达标排放，经预测分析，所排废气不会影响区域环境现状。废气处理设施环保投资在企业经济可承受的合理范围之内。因此，本项目拟采用的废气治理措施在经济和技术方面均是可行的。</w:t>
      </w:r>
    </w:p>
    <w:p>
      <w:pPr>
        <w:pStyle w:val="4"/>
        <w:rPr>
          <w:rFonts w:ascii="Times New Roman" w:hAnsi="Times New Roman" w:cs="Times New Roman"/>
        </w:rPr>
      </w:pPr>
      <w:bookmarkStart w:id="530" w:name="_Toc144236864"/>
      <w:bookmarkStart w:id="531" w:name="_Toc144276994"/>
      <w:bookmarkStart w:id="532" w:name="_Toc147848112"/>
      <w:r>
        <w:rPr>
          <w:rFonts w:ascii="Times New Roman" w:hAnsi="Times New Roman" w:cs="Times New Roman"/>
        </w:rPr>
        <w:t>8.2.2 运营期水污染防治措施分析</w:t>
      </w:r>
      <w:bookmarkEnd w:id="530"/>
      <w:bookmarkEnd w:id="531"/>
      <w:bookmarkEnd w:id="532"/>
    </w:p>
    <w:p>
      <w:pPr>
        <w:pStyle w:val="5"/>
        <w:ind w:firstLine="482"/>
        <w:rPr>
          <w:rFonts w:ascii="Times New Roman" w:hAnsi="Times New Roman" w:cs="Times New Roman" w:eastAsiaTheme="minorEastAsia"/>
        </w:rPr>
      </w:pPr>
      <w:r>
        <w:rPr>
          <w:rFonts w:ascii="Times New Roman" w:hAnsi="Times New Roman" w:cs="Times New Roman" w:eastAsiaTheme="minorEastAsia"/>
        </w:rPr>
        <w:t>8.2.2.1 生产废水处理措施</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kern w:val="0"/>
        </w:rPr>
        <w:t>（1）</w:t>
      </w:r>
      <w:r>
        <w:rPr>
          <w:rFonts w:ascii="Times New Roman" w:hAnsi="Times New Roman" w:cs="Times New Roman"/>
        </w:rPr>
        <w:t>厂区各股生产废水去向</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本项目纯水制备废水、锅炉排污水、浸出车间酸雾洗涤废水、萃取车间酸雾洗涤废水、蒸发结晶离心分离废水、地面冲洗废水经厂区废水处理站处理后全部回用，不外排；预处理车间废气处理废水经预处理车间旁的除氟设施处理全部回用于废气预处理车间，不外排；浸出车间铁铝渣和铜渣洗涤废水送至浸出车间的制浆工序，不外排。</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（2）废水处理措施可行性分析</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hint="eastAsia" w:ascii="宋体" w:hAnsi="宋体" w:eastAsia="宋体" w:cs="宋体"/>
        </w:rPr>
        <w:t>①</w:t>
      </w:r>
      <w:r>
        <w:rPr>
          <w:rFonts w:ascii="Times New Roman" w:hAnsi="Times New Roman" w:cs="Times New Roman"/>
        </w:rPr>
        <w:fldChar w:fldCharType="end"/>
      </w:r>
      <w:r>
        <w:rPr>
          <w:rFonts w:ascii="Times New Roman" w:hAnsi="Times New Roman" w:cs="Times New Roman"/>
        </w:rPr>
        <w:t>裂解炉烟气洗涤废水处理可行性分析</w:t>
      </w:r>
    </w:p>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裂解烟气处理过程中的废水主要为三级水洗废水和一级碱洗废水，废水中主要污染物为氟化物。预处理车间产生的含氟废水经泵提升进入脱氟沉降反应段，与投加的石灰乳进行中和反应，生成氟化钙沉淀，在反应器中同时投加絮凝剂，使其发生凝聚反应生成较大颗粒，然后进入配水槽，经配水槽进入斜板澄清段，在斜板的加速作用下进行沉淀自动排出。斜板沉淀池的出水回用，斜板沉淀池的底泥由泵送至板框压滤机进行脱水，产生的干渣送至暂存库。板框压滤机的废水全部回用，不外排。裂解炉烟气洗涤废水处理前后水质见下表。</w:t>
      </w:r>
    </w:p>
    <w:p>
      <w:pPr>
        <w:autoSpaceDE w:val="0"/>
        <w:autoSpaceDN w:val="0"/>
        <w:spacing w:line="360" w:lineRule="auto"/>
        <w:ind w:firstLine="480" w:firstLineChars="200"/>
        <w:jc w:val="left"/>
        <w:rPr>
          <w:rFonts w:ascii="Times New Roman" w:hAnsi="Times New Roman" w:cs="Times New Roman"/>
        </w:rPr>
      </w:pPr>
    </w:p>
    <w:p>
      <w:pPr>
        <w:autoSpaceDE w:val="0"/>
        <w:autoSpaceDN w:val="0"/>
        <w:spacing w:line="360" w:lineRule="auto"/>
        <w:ind w:firstLine="480" w:firstLineChars="200"/>
        <w:jc w:val="left"/>
        <w:rPr>
          <w:rFonts w:ascii="Times New Roman" w:hAnsi="Times New Roman" w:cs="Times New Roman"/>
        </w:rPr>
      </w:pPr>
    </w:p>
    <w:p>
      <w:pPr>
        <w:pStyle w:val="6"/>
        <w:rPr>
          <w:rFonts w:ascii="Times New Roman" w:hAnsi="Times New Roman" w:cs="Times New Roman"/>
        </w:rPr>
      </w:pPr>
      <w:r>
        <w:rPr>
          <w:rFonts w:ascii="Times New Roman" w:hAnsi="Times New Roman" w:cs="Times New Roman"/>
        </w:rPr>
        <w:t>表8.2-3  裂解炉烟气洗涤废水处理前后水质一览表</w:t>
      </w:r>
    </w:p>
    <w:tbl>
      <w:tblPr>
        <w:tblStyle w:val="3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57"/>
        <w:gridCol w:w="959"/>
        <w:gridCol w:w="968"/>
        <w:gridCol w:w="958"/>
        <w:gridCol w:w="1090"/>
        <w:gridCol w:w="899"/>
        <w:gridCol w:w="899"/>
        <w:gridCol w:w="8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37" w:type="dxa"/>
            <w:shd w:val="clear" w:color="auto" w:fill="auto"/>
            <w:vAlign w:val="center"/>
          </w:tcPr>
          <w:p>
            <w:pPr>
              <w:pStyle w:val="63"/>
            </w:pPr>
            <w:r>
              <w:t>水质参数</w:t>
            </w:r>
          </w:p>
        </w:tc>
        <w:tc>
          <w:tcPr>
            <w:tcW w:w="987" w:type="dxa"/>
            <w:shd w:val="clear" w:color="auto" w:fill="auto"/>
            <w:vAlign w:val="center"/>
          </w:tcPr>
          <w:p>
            <w:pPr>
              <w:pStyle w:val="63"/>
            </w:pPr>
            <w:r>
              <w:t>pH</w:t>
            </w:r>
          </w:p>
        </w:tc>
        <w:tc>
          <w:tcPr>
            <w:tcW w:w="989" w:type="dxa"/>
            <w:shd w:val="clear" w:color="auto" w:fill="auto"/>
            <w:vAlign w:val="center"/>
          </w:tcPr>
          <w:p>
            <w:pPr>
              <w:pStyle w:val="63"/>
            </w:pPr>
            <w:r>
              <w:t>COD</w:t>
            </w:r>
          </w:p>
        </w:tc>
        <w:tc>
          <w:tcPr>
            <w:tcW w:w="987" w:type="dxa"/>
            <w:shd w:val="clear" w:color="auto" w:fill="auto"/>
            <w:vAlign w:val="center"/>
          </w:tcPr>
          <w:p>
            <w:pPr>
              <w:pStyle w:val="63"/>
            </w:pPr>
            <w:r>
              <w:t>SS</w:t>
            </w:r>
          </w:p>
        </w:tc>
        <w:tc>
          <w:tcPr>
            <w:tcW w:w="1128" w:type="dxa"/>
            <w:shd w:val="clear" w:color="auto" w:fill="auto"/>
            <w:vAlign w:val="center"/>
          </w:tcPr>
          <w:p>
            <w:pPr>
              <w:pStyle w:val="63"/>
            </w:pPr>
            <w:r>
              <w:t>氟化物</w:t>
            </w:r>
          </w:p>
        </w:tc>
        <w:tc>
          <w:tcPr>
            <w:tcW w:w="850" w:type="dxa"/>
            <w:shd w:val="clear" w:color="auto" w:fill="auto"/>
            <w:vAlign w:val="center"/>
          </w:tcPr>
          <w:p>
            <w:pPr>
              <w:pStyle w:val="63"/>
            </w:pPr>
            <w:r>
              <w:t>镍</w:t>
            </w:r>
          </w:p>
        </w:tc>
        <w:tc>
          <w:tcPr>
            <w:tcW w:w="850" w:type="dxa"/>
            <w:shd w:val="clear" w:color="auto" w:fill="auto"/>
            <w:vAlign w:val="center"/>
          </w:tcPr>
          <w:p>
            <w:pPr>
              <w:pStyle w:val="63"/>
            </w:pPr>
            <w:r>
              <w:t>钴</w:t>
            </w:r>
          </w:p>
        </w:tc>
        <w:tc>
          <w:tcPr>
            <w:tcW w:w="801" w:type="dxa"/>
            <w:shd w:val="clear" w:color="auto" w:fill="auto"/>
            <w:vAlign w:val="center"/>
          </w:tcPr>
          <w:p>
            <w:pPr>
              <w:pStyle w:val="63"/>
            </w:pPr>
            <w:r>
              <w:t>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37" w:type="dxa"/>
            <w:shd w:val="clear" w:color="auto" w:fill="auto"/>
            <w:vAlign w:val="center"/>
          </w:tcPr>
          <w:p>
            <w:pPr>
              <w:pStyle w:val="63"/>
            </w:pPr>
            <w:r>
              <w:t>处理前浓度mg/L</w:t>
            </w:r>
          </w:p>
        </w:tc>
        <w:tc>
          <w:tcPr>
            <w:tcW w:w="987" w:type="dxa"/>
            <w:shd w:val="clear" w:color="auto" w:fill="auto"/>
            <w:vAlign w:val="center"/>
          </w:tcPr>
          <w:p>
            <w:pPr>
              <w:pStyle w:val="63"/>
            </w:pPr>
            <w:r>
              <w:t>6~9</w:t>
            </w:r>
          </w:p>
        </w:tc>
        <w:tc>
          <w:tcPr>
            <w:tcW w:w="989" w:type="dxa"/>
            <w:shd w:val="clear" w:color="auto" w:fill="auto"/>
            <w:vAlign w:val="center"/>
          </w:tcPr>
          <w:p>
            <w:pPr>
              <w:pStyle w:val="63"/>
            </w:pPr>
            <w:r>
              <w:t>300</w:t>
            </w:r>
          </w:p>
        </w:tc>
        <w:tc>
          <w:tcPr>
            <w:tcW w:w="987" w:type="dxa"/>
            <w:shd w:val="clear" w:color="auto" w:fill="auto"/>
            <w:vAlign w:val="center"/>
          </w:tcPr>
          <w:p>
            <w:pPr>
              <w:pStyle w:val="63"/>
            </w:pPr>
            <w:r>
              <w:t>300</w:t>
            </w:r>
          </w:p>
        </w:tc>
        <w:tc>
          <w:tcPr>
            <w:tcW w:w="1128" w:type="dxa"/>
            <w:shd w:val="clear" w:color="auto" w:fill="auto"/>
            <w:vAlign w:val="center"/>
          </w:tcPr>
          <w:p>
            <w:pPr>
              <w:pStyle w:val="63"/>
            </w:pPr>
            <w:r>
              <w:t>500</w:t>
            </w:r>
          </w:p>
        </w:tc>
        <w:tc>
          <w:tcPr>
            <w:tcW w:w="850" w:type="dxa"/>
            <w:shd w:val="clear" w:color="auto" w:fill="auto"/>
            <w:vAlign w:val="center"/>
          </w:tcPr>
          <w:p>
            <w:pPr>
              <w:pStyle w:val="63"/>
            </w:pPr>
            <w:r>
              <w:t>0.0031</w:t>
            </w:r>
          </w:p>
        </w:tc>
        <w:tc>
          <w:tcPr>
            <w:tcW w:w="850" w:type="dxa"/>
            <w:shd w:val="clear" w:color="auto" w:fill="auto"/>
            <w:vAlign w:val="center"/>
          </w:tcPr>
          <w:p>
            <w:pPr>
              <w:pStyle w:val="63"/>
            </w:pPr>
            <w:r>
              <w:t>0.0012</w:t>
            </w:r>
          </w:p>
        </w:tc>
        <w:tc>
          <w:tcPr>
            <w:tcW w:w="801" w:type="dxa"/>
            <w:shd w:val="clear" w:color="auto" w:fill="auto"/>
            <w:vAlign w:val="center"/>
          </w:tcPr>
          <w:p>
            <w:pPr>
              <w:pStyle w:val="63"/>
            </w:pPr>
            <w:r>
              <w:t>0.00018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37" w:type="dxa"/>
            <w:shd w:val="clear" w:color="auto" w:fill="auto"/>
            <w:vAlign w:val="center"/>
          </w:tcPr>
          <w:p>
            <w:pPr>
              <w:pStyle w:val="63"/>
            </w:pPr>
            <w:r>
              <w:t>处理后浓度mg/L</w:t>
            </w:r>
          </w:p>
        </w:tc>
        <w:tc>
          <w:tcPr>
            <w:tcW w:w="987" w:type="dxa"/>
            <w:shd w:val="clear" w:color="auto" w:fill="auto"/>
            <w:vAlign w:val="center"/>
          </w:tcPr>
          <w:p>
            <w:pPr>
              <w:pStyle w:val="63"/>
            </w:pPr>
            <w:r>
              <w:t>/</w:t>
            </w:r>
          </w:p>
        </w:tc>
        <w:tc>
          <w:tcPr>
            <w:tcW w:w="989" w:type="dxa"/>
            <w:shd w:val="clear" w:color="auto" w:fill="auto"/>
            <w:vAlign w:val="center"/>
          </w:tcPr>
          <w:p>
            <w:pPr>
              <w:pStyle w:val="63"/>
            </w:pPr>
            <w:r>
              <w:t>30</w:t>
            </w:r>
          </w:p>
        </w:tc>
        <w:tc>
          <w:tcPr>
            <w:tcW w:w="987" w:type="dxa"/>
            <w:shd w:val="clear" w:color="auto" w:fill="auto"/>
            <w:vAlign w:val="center"/>
          </w:tcPr>
          <w:p>
            <w:pPr>
              <w:pStyle w:val="63"/>
            </w:pPr>
            <w:r>
              <w:t>30</w:t>
            </w:r>
          </w:p>
        </w:tc>
        <w:tc>
          <w:tcPr>
            <w:tcW w:w="1128" w:type="dxa"/>
            <w:shd w:val="clear" w:color="auto" w:fill="auto"/>
            <w:vAlign w:val="center"/>
          </w:tcPr>
          <w:p>
            <w:pPr>
              <w:pStyle w:val="63"/>
            </w:pPr>
            <w:r>
              <w:t>10</w:t>
            </w:r>
          </w:p>
        </w:tc>
        <w:tc>
          <w:tcPr>
            <w:tcW w:w="850" w:type="dxa"/>
            <w:shd w:val="clear" w:color="auto" w:fill="auto"/>
            <w:vAlign w:val="center"/>
          </w:tcPr>
          <w:p>
            <w:pPr>
              <w:pStyle w:val="63"/>
            </w:pPr>
            <w:r>
              <w:t>0.00031</w:t>
            </w:r>
          </w:p>
        </w:tc>
        <w:tc>
          <w:tcPr>
            <w:tcW w:w="850" w:type="dxa"/>
            <w:shd w:val="clear" w:color="auto" w:fill="auto"/>
            <w:vAlign w:val="center"/>
          </w:tcPr>
          <w:p>
            <w:pPr>
              <w:pStyle w:val="63"/>
            </w:pPr>
            <w:r>
              <w:t>0.00012</w:t>
            </w:r>
          </w:p>
        </w:tc>
        <w:tc>
          <w:tcPr>
            <w:tcW w:w="801" w:type="dxa"/>
            <w:shd w:val="clear" w:color="auto" w:fill="auto"/>
            <w:vAlign w:val="center"/>
          </w:tcPr>
          <w:p>
            <w:pPr>
              <w:pStyle w:val="63"/>
            </w:pPr>
            <w:r>
              <w:t>0.00018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37" w:type="dxa"/>
            <w:shd w:val="clear" w:color="auto" w:fill="auto"/>
            <w:vAlign w:val="center"/>
          </w:tcPr>
          <w:p>
            <w:pPr>
              <w:pStyle w:val="63"/>
            </w:pPr>
            <w:r>
              <w:t>去除效率%</w:t>
            </w:r>
          </w:p>
        </w:tc>
        <w:tc>
          <w:tcPr>
            <w:tcW w:w="987" w:type="dxa"/>
            <w:shd w:val="clear" w:color="auto" w:fill="auto"/>
            <w:vAlign w:val="center"/>
          </w:tcPr>
          <w:p>
            <w:pPr>
              <w:pStyle w:val="63"/>
            </w:pPr>
            <w:r>
              <w:t>/</w:t>
            </w:r>
          </w:p>
        </w:tc>
        <w:tc>
          <w:tcPr>
            <w:tcW w:w="989" w:type="dxa"/>
            <w:shd w:val="clear" w:color="auto" w:fill="auto"/>
            <w:vAlign w:val="center"/>
          </w:tcPr>
          <w:p>
            <w:pPr>
              <w:pStyle w:val="63"/>
            </w:pPr>
            <w:r>
              <w:t>90</w:t>
            </w:r>
          </w:p>
        </w:tc>
        <w:tc>
          <w:tcPr>
            <w:tcW w:w="987" w:type="dxa"/>
            <w:shd w:val="clear" w:color="auto" w:fill="auto"/>
            <w:vAlign w:val="center"/>
          </w:tcPr>
          <w:p>
            <w:pPr>
              <w:pStyle w:val="63"/>
            </w:pPr>
            <w:r>
              <w:t>90</w:t>
            </w:r>
          </w:p>
        </w:tc>
        <w:tc>
          <w:tcPr>
            <w:tcW w:w="1128" w:type="dxa"/>
            <w:shd w:val="clear" w:color="auto" w:fill="auto"/>
            <w:vAlign w:val="center"/>
          </w:tcPr>
          <w:p>
            <w:pPr>
              <w:pStyle w:val="63"/>
            </w:pPr>
            <w:r>
              <w:t>98</w:t>
            </w:r>
          </w:p>
        </w:tc>
        <w:tc>
          <w:tcPr>
            <w:tcW w:w="850" w:type="dxa"/>
            <w:shd w:val="clear" w:color="auto" w:fill="auto"/>
            <w:vAlign w:val="center"/>
          </w:tcPr>
          <w:p>
            <w:pPr>
              <w:pStyle w:val="63"/>
            </w:pPr>
            <w:r>
              <w:t>90</w:t>
            </w:r>
          </w:p>
        </w:tc>
        <w:tc>
          <w:tcPr>
            <w:tcW w:w="850" w:type="dxa"/>
            <w:shd w:val="clear" w:color="auto" w:fill="auto"/>
            <w:vAlign w:val="center"/>
          </w:tcPr>
          <w:p>
            <w:pPr>
              <w:pStyle w:val="63"/>
            </w:pPr>
            <w:r>
              <w:t>90</w:t>
            </w:r>
          </w:p>
        </w:tc>
        <w:tc>
          <w:tcPr>
            <w:tcW w:w="801" w:type="dxa"/>
            <w:shd w:val="clear" w:color="auto" w:fill="auto"/>
            <w:vAlign w:val="center"/>
          </w:tcPr>
          <w:p>
            <w:pPr>
              <w:pStyle w:val="63"/>
            </w:pPr>
            <w: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37" w:type="dxa"/>
            <w:shd w:val="clear" w:color="auto" w:fill="auto"/>
            <w:vAlign w:val="center"/>
          </w:tcPr>
          <w:p>
            <w:pPr>
              <w:pStyle w:val="63"/>
            </w:pPr>
            <w:r>
              <w:t>回用水水质要求mg/L</w:t>
            </w:r>
          </w:p>
        </w:tc>
        <w:tc>
          <w:tcPr>
            <w:tcW w:w="987" w:type="dxa"/>
            <w:shd w:val="clear" w:color="auto" w:fill="auto"/>
            <w:vAlign w:val="center"/>
          </w:tcPr>
          <w:p>
            <w:pPr>
              <w:pStyle w:val="63"/>
            </w:pPr>
            <w:r>
              <w:t>/</w:t>
            </w:r>
          </w:p>
        </w:tc>
        <w:tc>
          <w:tcPr>
            <w:tcW w:w="989" w:type="dxa"/>
            <w:shd w:val="clear" w:color="auto" w:fill="auto"/>
            <w:vAlign w:val="center"/>
          </w:tcPr>
          <w:p>
            <w:pPr>
              <w:pStyle w:val="63"/>
            </w:pPr>
            <w:r>
              <w:t>/</w:t>
            </w:r>
          </w:p>
        </w:tc>
        <w:tc>
          <w:tcPr>
            <w:tcW w:w="987" w:type="dxa"/>
            <w:shd w:val="clear" w:color="auto" w:fill="auto"/>
            <w:vAlign w:val="center"/>
          </w:tcPr>
          <w:p>
            <w:pPr>
              <w:pStyle w:val="63"/>
            </w:pPr>
            <w:r>
              <w:t>/</w:t>
            </w:r>
          </w:p>
        </w:tc>
        <w:tc>
          <w:tcPr>
            <w:tcW w:w="1128" w:type="dxa"/>
            <w:shd w:val="clear" w:color="auto" w:fill="auto"/>
            <w:vAlign w:val="center"/>
          </w:tcPr>
          <w:p>
            <w:pPr>
              <w:pStyle w:val="63"/>
            </w:pPr>
            <w:r>
              <w:t>/</w:t>
            </w:r>
          </w:p>
        </w:tc>
        <w:tc>
          <w:tcPr>
            <w:tcW w:w="850" w:type="dxa"/>
            <w:shd w:val="clear" w:color="auto" w:fill="auto"/>
            <w:vAlign w:val="center"/>
          </w:tcPr>
          <w:p>
            <w:pPr>
              <w:pStyle w:val="63"/>
            </w:pPr>
            <w:r>
              <w:t>/</w:t>
            </w:r>
          </w:p>
        </w:tc>
        <w:tc>
          <w:tcPr>
            <w:tcW w:w="850" w:type="dxa"/>
            <w:shd w:val="clear" w:color="auto" w:fill="auto"/>
            <w:vAlign w:val="center"/>
          </w:tcPr>
          <w:p>
            <w:pPr>
              <w:pStyle w:val="63"/>
            </w:pPr>
            <w:r>
              <w:t>/</w:t>
            </w:r>
          </w:p>
        </w:tc>
        <w:tc>
          <w:tcPr>
            <w:tcW w:w="801" w:type="dxa"/>
            <w:shd w:val="clear" w:color="auto" w:fill="auto"/>
            <w:vAlign w:val="center"/>
          </w:tcPr>
          <w:p>
            <w:pPr>
              <w:pStyle w:val="63"/>
            </w:pPr>
            <w:r>
              <w:t>/</w:t>
            </w:r>
          </w:p>
        </w:tc>
      </w:tr>
    </w:tbl>
    <w:p>
      <w:pPr>
        <w:autoSpaceDE w:val="0"/>
        <w:autoSpaceDN w:val="0"/>
        <w:spacing w:line="360" w:lineRule="auto"/>
        <w:ind w:firstLine="480" w:firstLineChars="200"/>
        <w:jc w:val="left"/>
        <w:rPr>
          <w:rFonts w:ascii="Times New Roman" w:hAnsi="Times New Roman" w:cs="Times New Roman"/>
        </w:rPr>
      </w:pPr>
      <w:r>
        <w:rPr>
          <w:rFonts w:ascii="Times New Roman" w:hAnsi="Times New Roman" w:cs="Times New Roman"/>
        </w:rPr>
        <w:t>根据上表可知，裂解炉烟气洗涤废水处理后的水质满足三级水洗工艺用水水质要求。因此该措施可行。</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fldChar w:fldCharType="begin"/>
      </w:r>
      <w:r>
        <w:rPr>
          <w:rFonts w:ascii="Times New Roman" w:hAnsi="Times New Roman" w:cs="Times New Roman"/>
          <w:u w:val="single"/>
        </w:rPr>
        <w:instrText xml:space="preserve"> = 2 \* GB3 </w:instrText>
      </w:r>
      <w:r>
        <w:rPr>
          <w:rFonts w:ascii="Times New Roman" w:hAnsi="Times New Roman" w:cs="Times New Roman"/>
          <w:u w:val="single"/>
        </w:rPr>
        <w:fldChar w:fldCharType="separate"/>
      </w:r>
      <w:r>
        <w:rPr>
          <w:rFonts w:hint="eastAsia" w:ascii="宋体" w:hAnsi="宋体" w:eastAsia="宋体" w:cs="宋体"/>
          <w:u w:val="single"/>
        </w:rPr>
        <w:t>②</w:t>
      </w:r>
      <w:r>
        <w:rPr>
          <w:rFonts w:ascii="Times New Roman" w:hAnsi="Times New Roman" w:cs="Times New Roman"/>
          <w:u w:val="single"/>
        </w:rPr>
        <w:fldChar w:fldCharType="end"/>
      </w:r>
      <w:r>
        <w:rPr>
          <w:rFonts w:ascii="Times New Roman" w:hAnsi="Times New Roman" w:cs="Times New Roman"/>
          <w:u w:val="single"/>
        </w:rPr>
        <w:t>含重金属废水预处理措施</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本项目蒸发结晶离心分离废水、地面冲洗废水中含有第一类污染物镍。根据相关要求，含第一类污染物的废水应在车间或车间处理设施预处理达标。因此，本项目对蒸发结晶离心分离废水、地面冲洗废水等含重金属废水进行预处理，废水收集后，往其中加入氢氧化钠进行化学沉淀，然后加入絮凝剂进行絮凝沉淀，再用板框压滤机进行压滤，压滤得到的水进入后续的废水处理工序进行进一步处理。</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重金属预处理之后产生的废水、纯水制备废水、锅炉排污水、浸出车间酸雾洗涤废水、萃取车间酸雾洗涤废水在调节池调质混合均匀，依次通过机械过滤器、自清洗过滤器将废水中COD以及细小悬浮物滤除。随后进入超滤装置，将胶体物质滤除满足反渗透装置进水条件。超滤后产水经过三级反渗透装置，浓缩液排至蒸发前液池暂存，经MVR多效蒸发器蒸发后产生的废水返回超滤装置</w:t>
      </w:r>
      <w:r>
        <w:rPr>
          <w:rFonts w:hint="eastAsia" w:ascii="Times New Roman" w:hAnsi="Times New Roman" w:cs="Times New Roman"/>
          <w:u w:val="single"/>
        </w:rPr>
        <w:t>，</w:t>
      </w:r>
      <w:r>
        <w:rPr>
          <w:rFonts w:ascii="Times New Roman" w:hAnsi="Times New Roman" w:cs="Times New Roman"/>
          <w:u w:val="single"/>
        </w:rPr>
        <w:t>经三级反渗透后，得到电导率≤50us/cm纯水回用于生产。</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项目其他生产废水经处理后能够满足《城市污水再生利用 工业用水水质》（GB/T19923-2005）中“工艺与产品用水”标准，回用于厂区，不外排，因此该措施可行。</w:t>
      </w:r>
    </w:p>
    <w:p>
      <w:pPr>
        <w:pStyle w:val="5"/>
        <w:ind w:firstLine="482"/>
        <w:rPr>
          <w:rFonts w:ascii="Times New Roman" w:hAnsi="Times New Roman" w:cs="Times New Roman" w:eastAsiaTheme="minorEastAsia"/>
        </w:rPr>
      </w:pPr>
      <w:r>
        <w:rPr>
          <w:rFonts w:ascii="Times New Roman" w:hAnsi="Times New Roman" w:cs="Times New Roman" w:eastAsiaTheme="minorEastAsia"/>
        </w:rPr>
        <w:t>8.2.2.2 生活污水达标排放可行性</w:t>
      </w:r>
    </w:p>
    <w:p>
      <w:pPr>
        <w:spacing w:line="360" w:lineRule="auto"/>
        <w:ind w:firstLine="480" w:firstLineChars="200"/>
        <w:rPr>
          <w:rFonts w:ascii="Times New Roman" w:hAnsi="Times New Roman" w:cs="Times New Roman"/>
        </w:rPr>
      </w:pPr>
      <w:r>
        <w:rPr>
          <w:rFonts w:ascii="Times New Roman" w:hAnsi="Times New Roman" w:cs="Times New Roman"/>
        </w:rPr>
        <w:t>本项目位于湖南衡东经济开发区内，生活污水主要为职工办公期间产生的。项目生活污水中主要污染物为COD、BOD</w:t>
      </w:r>
      <w:r>
        <w:rPr>
          <w:rFonts w:ascii="Times New Roman" w:hAnsi="Times New Roman" w:cs="Times New Roman"/>
          <w:vertAlign w:val="subscript"/>
        </w:rPr>
        <w:t>5</w:t>
      </w:r>
      <w:r>
        <w:rPr>
          <w:rFonts w:ascii="Times New Roman" w:hAnsi="Times New Roman" w:cs="Times New Roman"/>
        </w:rPr>
        <w:t>、SS和氨氮，其污染物浓度低。因此经化粪池处理后能够满足《污水综合排放标准》（GB8978-1996）表4中的三级标准后排入园区污水处理厂。</w:t>
      </w:r>
    </w:p>
    <w:p>
      <w:pPr>
        <w:spacing w:line="360" w:lineRule="auto"/>
        <w:ind w:firstLine="480" w:firstLineChars="200"/>
        <w:rPr>
          <w:rFonts w:ascii="Times New Roman" w:hAnsi="Times New Roman" w:cs="Times New Roman"/>
        </w:rPr>
      </w:pPr>
      <w:r>
        <w:rPr>
          <w:rFonts w:ascii="Times New Roman" w:hAnsi="Times New Roman" w:cs="Times New Roman"/>
        </w:rPr>
        <w:t>因此，本项目生活污水处理措施可行。</w:t>
      </w:r>
    </w:p>
    <w:p>
      <w:pPr>
        <w:pStyle w:val="5"/>
        <w:ind w:firstLine="482"/>
        <w:rPr>
          <w:rFonts w:ascii="Times New Roman" w:hAnsi="Times New Roman" w:cs="Times New Roman" w:eastAsiaTheme="minorEastAsia"/>
        </w:rPr>
      </w:pPr>
      <w:r>
        <w:rPr>
          <w:rFonts w:ascii="Times New Roman" w:hAnsi="Times New Roman" w:cs="Times New Roman" w:eastAsiaTheme="minorEastAsia"/>
        </w:rPr>
        <w:t>8.2.2.3 废水回用可行性分析</w:t>
      </w:r>
    </w:p>
    <w:p>
      <w:pPr>
        <w:spacing w:line="360" w:lineRule="auto"/>
        <w:ind w:firstLine="480" w:firstLineChars="200"/>
        <w:rPr>
          <w:rFonts w:ascii="Times New Roman" w:hAnsi="Times New Roman" w:cs="Times New Roman"/>
        </w:rPr>
      </w:pPr>
      <w:r>
        <w:rPr>
          <w:rFonts w:ascii="Times New Roman" w:hAnsi="Times New Roman" w:cs="Times New Roman"/>
        </w:rPr>
        <w:t>本项目回用水包括三级水洗用水、一级碱洗用水、急冷用水、浸出车间用水、酸雾洗涤塔用水。项目总生产用水量为183080m</w:t>
      </w:r>
      <w:r>
        <w:rPr>
          <w:rFonts w:ascii="Times New Roman" w:hAnsi="Times New Roman" w:cs="Times New Roman"/>
          <w:vertAlign w:val="superscript"/>
        </w:rPr>
        <w:t>3</w:t>
      </w:r>
      <w:r>
        <w:rPr>
          <w:rFonts w:ascii="Times New Roman" w:hAnsi="Times New Roman" w:cs="Times New Roman"/>
        </w:rPr>
        <w:t>/a，废水产生量为23560m</w:t>
      </w:r>
      <w:r>
        <w:rPr>
          <w:rFonts w:ascii="Times New Roman" w:hAnsi="Times New Roman" w:cs="Times New Roman"/>
          <w:vertAlign w:val="superscript"/>
        </w:rPr>
        <w:t>3</w:t>
      </w:r>
      <w:r>
        <w:rPr>
          <w:rFonts w:ascii="Times New Roman" w:hAnsi="Times New Roman" w:cs="Times New Roman"/>
        </w:rPr>
        <w:t>/a，因此本项目生产废水经处理后全部回用，其从水量的角度分析可行。</w:t>
      </w:r>
    </w:p>
    <w:p>
      <w:pPr>
        <w:spacing w:line="360" w:lineRule="auto"/>
        <w:ind w:firstLine="480" w:firstLineChars="200"/>
        <w:rPr>
          <w:rFonts w:ascii="Times New Roman" w:hAnsi="Times New Roman" w:cs="Times New Roman"/>
        </w:rPr>
      </w:pPr>
      <w:r>
        <w:rPr>
          <w:rFonts w:ascii="Times New Roman" w:hAnsi="Times New Roman" w:cs="Times New Roman"/>
        </w:rPr>
        <w:t>此外，根据前述分析可知，本项目生产废水经处理后能够满足《城市污水再生利用 工业用水水质》（GB/T19923-2005）中“工艺与产品用水”标准。本项目废水最终采用过滤膜过滤，浓水采用MVR进行蒸发，经膜过滤后的废水其电导率≤50us/cm。根据建设单位提供的资料，本项目各浸出、洗涤工序用水水质要求为水中电导率≤50us/cm，因此，本项目废水最终采用膜处理，出水浓度能够满足各类用水的水质要求。因此本项目生产废水经处理后全部回用，其从水质的角度分析可行。</w:t>
      </w:r>
    </w:p>
    <w:p>
      <w:pPr>
        <w:spacing w:line="360" w:lineRule="auto"/>
        <w:ind w:firstLine="480" w:firstLineChars="200"/>
        <w:rPr>
          <w:rFonts w:ascii="Times New Roman" w:hAnsi="Times New Roman" w:cs="Times New Roman"/>
        </w:rPr>
      </w:pPr>
      <w:r>
        <w:rPr>
          <w:rFonts w:ascii="Times New Roman" w:hAnsi="Times New Roman" w:cs="Times New Roman"/>
        </w:rPr>
        <w:t>因此，本项目废水经处理后全部回用可行。</w:t>
      </w:r>
    </w:p>
    <w:p>
      <w:pPr>
        <w:pStyle w:val="5"/>
        <w:ind w:firstLine="482"/>
        <w:rPr>
          <w:rFonts w:ascii="Times New Roman" w:hAnsi="Times New Roman" w:cs="Times New Roman" w:eastAsiaTheme="minorEastAsia"/>
          <w:u w:val="single"/>
        </w:rPr>
      </w:pPr>
      <w:r>
        <w:rPr>
          <w:rFonts w:ascii="Times New Roman" w:hAnsi="Times New Roman" w:cs="Times New Roman" w:eastAsiaTheme="minorEastAsia"/>
          <w:u w:val="single"/>
        </w:rPr>
        <w:t>8.2.2.</w:t>
      </w:r>
      <w:r>
        <w:rPr>
          <w:rFonts w:hint="eastAsia" w:ascii="Times New Roman" w:hAnsi="Times New Roman" w:cs="Times New Roman" w:eastAsiaTheme="minorEastAsia"/>
          <w:u w:val="single"/>
        </w:rPr>
        <w:t>4</w:t>
      </w:r>
      <w:r>
        <w:rPr>
          <w:rFonts w:ascii="Times New Roman" w:hAnsi="Times New Roman" w:cs="Times New Roman" w:eastAsiaTheme="minorEastAsia"/>
          <w:u w:val="single"/>
        </w:rPr>
        <w:t xml:space="preserve"> 废水</w:t>
      </w:r>
      <w:r>
        <w:rPr>
          <w:rFonts w:hint="eastAsia" w:ascii="Times New Roman" w:hAnsi="Times New Roman" w:cs="Times New Roman" w:eastAsiaTheme="minorEastAsia"/>
          <w:u w:val="single"/>
        </w:rPr>
        <w:t>处理</w:t>
      </w:r>
      <w:r>
        <w:rPr>
          <w:rFonts w:ascii="Times New Roman" w:hAnsi="Times New Roman" w:cs="Times New Roman" w:eastAsiaTheme="minorEastAsia"/>
          <w:u w:val="single"/>
        </w:rPr>
        <w:t>经济可行性分析</w:t>
      </w:r>
    </w:p>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本项目废水采用“超滤+反渗透+MVR多效蒸发”进行处理，处理后部分废水部分回用于生产。由于项目工艺生产需求，需要在生产过程中进行蒸发、结晶工序，因此借助MVR系统进行废水处理，可以有效的减少项目建设成本；同时在废水处理设计中采用新技术新工艺，选用新设备，提高能源的利用率，节约能源。采用MVR蒸发技术，比常规蒸发技术节约能源30%以上，同时通过MVR处理后的废水可以满足</w:t>
      </w:r>
      <w:r>
        <w:rPr>
          <w:rFonts w:ascii="Times New Roman" w:hAnsi="Times New Roman" w:cs="Times New Roman"/>
          <w:u w:val="single"/>
        </w:rPr>
        <w:t>本项目各浸出、洗涤工序用水水质电导率≤50us/cm的相关要求，无需进一步处理，增加了水的重复利用率，减小项目运行成本。</w:t>
      </w:r>
    </w:p>
    <w:p>
      <w:pPr>
        <w:spacing w:line="360" w:lineRule="auto"/>
        <w:ind w:firstLine="480" w:firstLineChars="200"/>
        <w:rPr>
          <w:rFonts w:ascii="Times New Roman" w:hAnsi="Times New Roman" w:cs="Times New Roman"/>
        </w:rPr>
      </w:pPr>
      <w:r>
        <w:rPr>
          <w:rFonts w:hint="eastAsia" w:ascii="Times New Roman" w:hAnsi="Times New Roman" w:cs="Times New Roman"/>
          <w:u w:val="single"/>
        </w:rPr>
        <w:t>因此废水采用“超滤+反渗透+MVR多效蒸发”进行处理有较好的经济可行性。</w:t>
      </w:r>
    </w:p>
    <w:p>
      <w:pPr>
        <w:pStyle w:val="4"/>
        <w:rPr>
          <w:rFonts w:ascii="Times New Roman" w:hAnsi="Times New Roman" w:cs="Times New Roman"/>
          <w:u w:val="single"/>
        </w:rPr>
      </w:pPr>
      <w:bookmarkStart w:id="533" w:name="_Toc144276995"/>
      <w:bookmarkStart w:id="534" w:name="_Toc144236865"/>
      <w:bookmarkStart w:id="535" w:name="_Toc147848113"/>
      <w:r>
        <w:rPr>
          <w:rFonts w:ascii="Times New Roman" w:hAnsi="Times New Roman" w:cs="Times New Roman"/>
          <w:u w:val="single"/>
        </w:rPr>
        <w:t>8.2.3 运营期地下水污染防治措施分析</w:t>
      </w:r>
      <w:bookmarkEnd w:id="533"/>
      <w:bookmarkEnd w:id="534"/>
      <w:bookmarkEnd w:id="535"/>
    </w:p>
    <w:p>
      <w:pPr>
        <w:pStyle w:val="5"/>
        <w:ind w:firstLine="482"/>
        <w:rPr>
          <w:rFonts w:ascii="Times New Roman" w:hAnsi="Times New Roman" w:cs="Times New Roman" w:eastAsiaTheme="minorEastAsia"/>
          <w:u w:val="single"/>
        </w:rPr>
      </w:pPr>
      <w:r>
        <w:rPr>
          <w:rFonts w:ascii="Times New Roman" w:hAnsi="Times New Roman" w:cs="Times New Roman" w:eastAsiaTheme="minorEastAsia"/>
          <w:u w:val="single"/>
        </w:rPr>
        <w:t>8.2.3.1 环境管理对策</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1、提高环保意识：提高全员的环境风险意识和应急能力，严格执行各项规章制度，避免由于误操作或违章操作带来严重污染后果。</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2、健全管理机制：对可能发生泄漏的污染源进行认真排查、登记、建立健全定期巡检制度，及时发现，及时解决。</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3、制定应急预案：对可能发生突发事件制定应急预案，采取相应有效的措施，以避免对地下水的污染。</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4、定期监测：对监测井定期监测。一旦发现水质污染现象，应及时查明原因采取防范措施，防止污染。</w:t>
      </w:r>
    </w:p>
    <w:p>
      <w:pPr>
        <w:pStyle w:val="5"/>
        <w:ind w:firstLine="482"/>
        <w:rPr>
          <w:rFonts w:ascii="Times New Roman" w:hAnsi="Times New Roman" w:cs="Times New Roman" w:eastAsiaTheme="minorEastAsia"/>
          <w:u w:val="single"/>
        </w:rPr>
      </w:pPr>
      <w:r>
        <w:rPr>
          <w:rFonts w:ascii="Times New Roman" w:hAnsi="Times New Roman" w:cs="Times New Roman" w:eastAsiaTheme="minorEastAsia"/>
          <w:u w:val="single"/>
        </w:rPr>
        <w:t>8.2.3.2 地下水防治原则</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针对项目可能发生的地下水污染，地下水污染防治措施按照“源头控制、末端防治、污染监控、应急响应”相结合的原则，从污染物的产生、入渗、扩散、应急响应全阶段进行控制。</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（1）源头控制措施</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主要包括在工艺、管道、设备、污水储存及处理构筑物采取相应措施，防止和降低污染物跑、冒、滴、漏，将污染物泄漏的环境风险事故降到最低程度；管线敷设尽量采用“可视化”原则，即管道尽可能地上敷设，做到污染物“早发现、早处理”，减少由于埋地管道泄漏而造成的地下水污染。</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（2）末端防治措施</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主要包括建设区域污染区地面的防渗措施和泄漏、渗漏污染物收集措施，即在污染区地面进行防渗处理，防止洒落地面的污染物渗入地下，并把滞留在地面的污染物收集起来，集中送至污水处理场处理；末端控制采取分区防渗，按重点污染防治区、一般污染防治区和非污染区防渗措施有区别的防渗原则。</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（3）污染监控体系</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实施覆盖生产区的地下水污染监控系统，建立完善的监测制度，配备先进的检测仪器和设备，科学合理设置地下水监控井，及时发现污染、控制污染。</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（4）应急响应措施</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包括一旦发现地下水污染事故，立即启动应急预案、采取应急措施控制地下水污染，并使污染得到治理。</w:t>
      </w:r>
    </w:p>
    <w:p>
      <w:pPr>
        <w:pStyle w:val="5"/>
        <w:ind w:firstLine="482"/>
        <w:rPr>
          <w:rFonts w:ascii="Times New Roman" w:hAnsi="Times New Roman" w:cs="Times New Roman" w:eastAsiaTheme="minorEastAsia"/>
          <w:u w:val="single"/>
        </w:rPr>
      </w:pPr>
      <w:r>
        <w:rPr>
          <w:rFonts w:ascii="Times New Roman" w:hAnsi="Times New Roman" w:cs="Times New Roman" w:eastAsiaTheme="minorEastAsia"/>
          <w:u w:val="single"/>
        </w:rPr>
        <w:t>8.2.3.3 分区防控措施</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根据防渗参照的标准和规范，结合施工过程中的可操作性和技术水平，针对不同的防渗区域采用的防渗措施如下。具体设计时可根据实际情况在满足防渗标准的前提下作必要的调整。工程防渗的设计标准应符合下列规定：设备、地下管道、建构筑物防渗的设计使用年限不应低于其主体的设计使用年限；针对不同的防渗区域采用不同的防渗措施。</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重点防渗区：指位于地下或半地下的生产功能单元，污染地下水环境的物料泄漏后，不容易被及时发现和处理的区域。</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一般防渗区：是指裸露于地面的生产功能单元，污染地下水环境的物料泄漏后，容易被及时发现和处理的区域。</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简单防渗区：指不会对地下水环境造成污染的区域。主要包括绿化区、管理区以及装置区外系统管廊区等。</w:t>
      </w:r>
    </w:p>
    <w:p>
      <w:pPr>
        <w:pStyle w:val="6"/>
        <w:rPr>
          <w:rFonts w:ascii="Times New Roman" w:hAnsi="Times New Roman" w:cs="Times New Roman"/>
          <w:u w:val="single"/>
        </w:rPr>
      </w:pPr>
      <w:r>
        <w:rPr>
          <w:rFonts w:ascii="Times New Roman" w:hAnsi="Times New Roman" w:cs="Times New Roman"/>
          <w:u w:val="single"/>
        </w:rPr>
        <w:t>表8.2-</w:t>
      </w:r>
      <w:r>
        <w:rPr>
          <w:rFonts w:hint="eastAsia" w:ascii="Times New Roman" w:hAnsi="Times New Roman" w:cs="Times New Roman"/>
          <w:u w:val="single"/>
        </w:rPr>
        <w:t>4</w:t>
      </w:r>
      <w:r>
        <w:rPr>
          <w:rFonts w:ascii="Times New Roman" w:hAnsi="Times New Roman" w:cs="Times New Roman"/>
          <w:u w:val="single"/>
        </w:rPr>
        <w:t xml:space="preserve">  分区防渗措施内容一览表</w:t>
      </w:r>
    </w:p>
    <w:tbl>
      <w:tblPr>
        <w:tblStyle w:val="35"/>
        <w:tblW w:w="906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25"/>
        <w:gridCol w:w="3827"/>
        <w:gridCol w:w="40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5" w:type="dxa"/>
            <w:vAlign w:val="center"/>
          </w:tcPr>
          <w:p>
            <w:pPr>
              <w:pStyle w:val="63"/>
              <w:rPr>
                <w:u w:val="single"/>
              </w:rPr>
            </w:pPr>
            <w:r>
              <w:rPr>
                <w:u w:val="single"/>
              </w:rPr>
              <w:t>防渗分区</w:t>
            </w:r>
          </w:p>
        </w:tc>
        <w:tc>
          <w:tcPr>
            <w:tcW w:w="3827" w:type="dxa"/>
            <w:vAlign w:val="center"/>
          </w:tcPr>
          <w:p>
            <w:pPr>
              <w:pStyle w:val="63"/>
              <w:rPr>
                <w:u w:val="single"/>
              </w:rPr>
            </w:pPr>
            <w:r>
              <w:rPr>
                <w:u w:val="single"/>
              </w:rPr>
              <w:t>具体单元</w:t>
            </w:r>
          </w:p>
        </w:tc>
        <w:tc>
          <w:tcPr>
            <w:tcW w:w="4008" w:type="dxa"/>
            <w:vAlign w:val="center"/>
          </w:tcPr>
          <w:p>
            <w:pPr>
              <w:pStyle w:val="63"/>
              <w:rPr>
                <w:u w:val="single"/>
              </w:rPr>
            </w:pPr>
            <w:r>
              <w:rPr>
                <w:u w:val="single"/>
              </w:rPr>
              <w:t>防渗技术要求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5" w:type="dxa"/>
            <w:vAlign w:val="center"/>
          </w:tcPr>
          <w:p>
            <w:pPr>
              <w:pStyle w:val="63"/>
              <w:rPr>
                <w:u w:val="single"/>
              </w:rPr>
            </w:pPr>
            <w:r>
              <w:rPr>
                <w:u w:val="single"/>
              </w:rPr>
              <w:t>重点防渗区</w:t>
            </w:r>
          </w:p>
        </w:tc>
        <w:tc>
          <w:tcPr>
            <w:tcW w:w="3827" w:type="dxa"/>
            <w:vAlign w:val="center"/>
          </w:tcPr>
          <w:p>
            <w:pPr>
              <w:pStyle w:val="63"/>
              <w:rPr>
                <w:u w:val="single"/>
              </w:rPr>
            </w:pPr>
            <w:r>
              <w:rPr>
                <w:u w:val="single"/>
              </w:rPr>
              <w:t>生产车间、包装及成品库、事故池、雨水池、危废库、罐区、危废暂存间</w:t>
            </w:r>
          </w:p>
        </w:tc>
        <w:tc>
          <w:tcPr>
            <w:tcW w:w="4008" w:type="dxa"/>
            <w:vAlign w:val="center"/>
          </w:tcPr>
          <w:p>
            <w:pPr>
              <w:pStyle w:val="63"/>
              <w:rPr>
                <w:u w:val="single"/>
              </w:rPr>
            </w:pPr>
            <w:r>
              <w:rPr>
                <w:u w:val="single"/>
              </w:rPr>
              <w:t>等效黏土防渗层Mb≥6.0m，K≤1×10</w:t>
            </w:r>
            <w:r>
              <w:rPr>
                <w:u w:val="single"/>
                <w:vertAlign w:val="superscript"/>
              </w:rPr>
              <w:t>-7</w:t>
            </w:r>
            <w:r>
              <w:rPr>
                <w:u w:val="single"/>
              </w:rPr>
              <w:t>cm/s；或参考GB18598执行。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5" w:type="dxa"/>
            <w:vAlign w:val="center"/>
          </w:tcPr>
          <w:p>
            <w:pPr>
              <w:pStyle w:val="63"/>
              <w:rPr>
                <w:u w:val="single"/>
              </w:rPr>
            </w:pPr>
            <w:r>
              <w:rPr>
                <w:u w:val="single"/>
              </w:rPr>
              <w:t>一般防渗区</w:t>
            </w:r>
          </w:p>
        </w:tc>
        <w:tc>
          <w:tcPr>
            <w:tcW w:w="3827" w:type="dxa"/>
            <w:vAlign w:val="center"/>
          </w:tcPr>
          <w:p>
            <w:pPr>
              <w:pStyle w:val="63"/>
              <w:rPr>
                <w:u w:val="single"/>
              </w:rPr>
            </w:pPr>
            <w:r>
              <w:rPr>
                <w:u w:val="single"/>
              </w:rPr>
              <w:t>污水池（化粪池）、一般固废暂存间</w:t>
            </w:r>
          </w:p>
        </w:tc>
        <w:tc>
          <w:tcPr>
            <w:tcW w:w="4008" w:type="dxa"/>
            <w:vAlign w:val="center"/>
          </w:tcPr>
          <w:p>
            <w:pPr>
              <w:pStyle w:val="63"/>
              <w:rPr>
                <w:u w:val="single"/>
              </w:rPr>
            </w:pPr>
            <w:r>
              <w:rPr>
                <w:u w:val="single"/>
              </w:rPr>
              <w:t>等效黏土防渗层Mb≥1.5m，K≤1×10</w:t>
            </w:r>
            <w:r>
              <w:rPr>
                <w:u w:val="single"/>
                <w:vertAlign w:val="superscript"/>
              </w:rPr>
              <w:t>-7</w:t>
            </w:r>
            <w:r>
              <w:rPr>
                <w:u w:val="single"/>
              </w:rPr>
              <w:t>cm/s；或参考GB16689执行。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5" w:type="dxa"/>
            <w:vAlign w:val="center"/>
          </w:tcPr>
          <w:p>
            <w:pPr>
              <w:pStyle w:val="63"/>
              <w:rPr>
                <w:u w:val="single"/>
              </w:rPr>
            </w:pPr>
            <w:r>
              <w:rPr>
                <w:u w:val="single"/>
              </w:rPr>
              <w:t>简单防渗区</w:t>
            </w:r>
          </w:p>
        </w:tc>
        <w:tc>
          <w:tcPr>
            <w:tcW w:w="3827" w:type="dxa"/>
            <w:vAlign w:val="center"/>
          </w:tcPr>
          <w:p>
            <w:pPr>
              <w:pStyle w:val="63"/>
              <w:rPr>
                <w:u w:val="single"/>
              </w:rPr>
            </w:pPr>
            <w:r>
              <w:rPr>
                <w:u w:val="single"/>
              </w:rPr>
              <w:t>备件库、门卫、公用工程</w:t>
            </w:r>
          </w:p>
        </w:tc>
        <w:tc>
          <w:tcPr>
            <w:tcW w:w="4008" w:type="dxa"/>
            <w:vAlign w:val="center"/>
          </w:tcPr>
          <w:p>
            <w:pPr>
              <w:pStyle w:val="63"/>
              <w:rPr>
                <w:u w:val="single"/>
              </w:rPr>
            </w:pPr>
            <w:r>
              <w:rPr>
                <w:u w:val="single"/>
              </w:rPr>
              <w:t>不采取专门针对地下水污染的防治措施，地基处理应分层压实或一般地面硬化。</w:t>
            </w:r>
          </w:p>
        </w:tc>
      </w:tr>
    </w:tbl>
    <w:p>
      <w:pPr>
        <w:pStyle w:val="5"/>
        <w:ind w:firstLine="482"/>
        <w:rPr>
          <w:rFonts w:ascii="Times New Roman" w:hAnsi="Times New Roman" w:cs="Times New Roman" w:eastAsiaTheme="minorEastAsia"/>
          <w:u w:val="single"/>
        </w:rPr>
      </w:pPr>
      <w:r>
        <w:rPr>
          <w:rFonts w:ascii="Times New Roman" w:hAnsi="Times New Roman" w:cs="Times New Roman" w:eastAsiaTheme="minorEastAsia"/>
          <w:u w:val="single"/>
        </w:rPr>
        <w:t>8.2.3.4 地下水水质环境监测与管理</w:t>
      </w:r>
    </w:p>
    <w:p>
      <w:pPr>
        <w:spacing w:line="360" w:lineRule="auto"/>
        <w:ind w:firstLine="482" w:firstLineChars="200"/>
        <w:rPr>
          <w:rFonts w:ascii="Times New Roman" w:hAnsi="Times New Roman" w:cs="Times New Roman"/>
          <w:b/>
          <w:szCs w:val="24"/>
          <w:u w:val="single"/>
        </w:rPr>
      </w:pPr>
      <w:r>
        <w:rPr>
          <w:rFonts w:ascii="Times New Roman" w:hAnsi="Times New Roman" w:cs="Times New Roman"/>
          <w:b/>
          <w:szCs w:val="24"/>
          <w:u w:val="single"/>
        </w:rPr>
        <w:t>（1）地下水监测计划</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为了及时准确掌握项目区及下游地下水环境质量状况和地下水体中污染物的动态变化，本项目拟建立覆盖全区的地下水长期监控系统，包括科学、合理地设置地下水污染监控井，建立完善的监测制度，配备先进的检测仪器和设备，以便及时发现并及时控制。</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目前尚没有针对建设项目地下水环境监测的法律法规或规程规范，本项目地下水环境监测主要参考《地下水环境监测技术规范》（HJ/T164-2004），结合研究区含水层系统和地下水径流系统特征，考虑潜在污染源、环境保护目标等因素，并结合预测的结果来布置地下水监测点。</w:t>
      </w:r>
    </w:p>
    <w:p>
      <w:pPr>
        <w:spacing w:line="360" w:lineRule="auto"/>
        <w:ind w:firstLine="482" w:firstLineChars="200"/>
        <w:rPr>
          <w:rFonts w:ascii="Times New Roman" w:hAnsi="Times New Roman" w:cs="Times New Roman"/>
          <w:b/>
          <w:szCs w:val="24"/>
          <w:u w:val="single"/>
        </w:rPr>
      </w:pPr>
      <w:bookmarkStart w:id="536" w:name="_Toc35931884"/>
      <w:bookmarkStart w:id="537" w:name="_Toc106263823"/>
      <w:r>
        <w:rPr>
          <w:rFonts w:ascii="Times New Roman" w:hAnsi="Times New Roman" w:cs="Times New Roman"/>
          <w:b/>
          <w:szCs w:val="24"/>
          <w:u w:val="single"/>
        </w:rPr>
        <w:t>（2）地下水监测原则</w:t>
      </w:r>
      <w:bookmarkEnd w:id="536"/>
      <w:bookmarkEnd w:id="537"/>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地下水监测将遵循以下原则：</w:t>
      </w:r>
      <w:r>
        <w:rPr>
          <w:rFonts w:hint="eastAsia" w:ascii="宋体" w:hAnsi="宋体" w:eastAsia="宋体" w:cs="宋体"/>
          <w:szCs w:val="24"/>
          <w:u w:val="single"/>
        </w:rPr>
        <w:t>①</w:t>
      </w:r>
      <w:r>
        <w:rPr>
          <w:rFonts w:ascii="Times New Roman" w:hAnsi="Times New Roman" w:cs="Times New Roman"/>
          <w:szCs w:val="24"/>
          <w:u w:val="single"/>
        </w:rPr>
        <w:t>加强重点污染防治区监测；</w:t>
      </w:r>
      <w:r>
        <w:rPr>
          <w:rFonts w:hint="eastAsia" w:ascii="宋体" w:hAnsi="宋体" w:eastAsia="宋体" w:cs="宋体"/>
          <w:szCs w:val="24"/>
          <w:u w:val="single"/>
        </w:rPr>
        <w:t>②</w:t>
      </w:r>
      <w:r>
        <w:rPr>
          <w:rFonts w:ascii="Times New Roman" w:hAnsi="Times New Roman" w:cs="Times New Roman"/>
          <w:szCs w:val="24"/>
          <w:u w:val="single"/>
        </w:rPr>
        <w:t>以受污染含水层地下水监测为主；</w:t>
      </w:r>
      <w:r>
        <w:rPr>
          <w:rFonts w:hint="eastAsia" w:ascii="宋体" w:hAnsi="宋体" w:eastAsia="宋体" w:cs="宋体"/>
          <w:szCs w:val="24"/>
          <w:u w:val="single"/>
        </w:rPr>
        <w:t>③</w:t>
      </w:r>
      <w:r>
        <w:rPr>
          <w:rFonts w:ascii="Times New Roman" w:hAnsi="Times New Roman" w:cs="Times New Roman"/>
          <w:szCs w:val="24"/>
          <w:u w:val="single"/>
        </w:rPr>
        <w:t>充分利用现有监测孔；</w:t>
      </w:r>
      <w:r>
        <w:rPr>
          <w:rFonts w:hint="eastAsia" w:ascii="宋体" w:hAnsi="宋体" w:eastAsia="宋体" w:cs="宋体"/>
          <w:szCs w:val="24"/>
          <w:u w:val="single"/>
        </w:rPr>
        <w:t>④</w:t>
      </w:r>
      <w:r>
        <w:rPr>
          <w:rFonts w:ascii="Times New Roman" w:hAnsi="Times New Roman" w:cs="Times New Roman"/>
          <w:szCs w:val="24"/>
          <w:u w:val="single"/>
        </w:rPr>
        <w:t>水质监测项目参照《地下水质量标准》（GB/T14848-2017）相关要求和潜在污染源特征污染因子确定，各监测井可依据监测目的不同适当增加和减少监测项目。安全环保部门设立地下水动态监测小组，专人负责监测或者委托专业的机构分析。</w:t>
      </w:r>
    </w:p>
    <w:p>
      <w:pPr>
        <w:spacing w:line="360" w:lineRule="auto"/>
        <w:ind w:firstLine="482" w:firstLineChars="200"/>
        <w:rPr>
          <w:rFonts w:ascii="Times New Roman" w:hAnsi="Times New Roman" w:cs="Times New Roman"/>
          <w:b/>
          <w:szCs w:val="24"/>
          <w:u w:val="single"/>
        </w:rPr>
      </w:pPr>
      <w:bookmarkStart w:id="538" w:name="_Toc106263824"/>
      <w:bookmarkStart w:id="539" w:name="_Toc35931885"/>
      <w:r>
        <w:rPr>
          <w:rFonts w:ascii="Times New Roman" w:hAnsi="Times New Roman" w:cs="Times New Roman"/>
          <w:b/>
          <w:szCs w:val="24"/>
          <w:u w:val="single"/>
        </w:rPr>
        <w:t>（3）监测井布置</w:t>
      </w:r>
      <w:bookmarkEnd w:id="538"/>
      <w:bookmarkEnd w:id="539"/>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为保障地下水不受污染，要加强对项目周边地下水的监测，以便及时发现问题，采取相应的补救措施。</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地下水的监测点的布置依据厂布置、地下水流向及预测结果等来确定。本项目区依托原有监测井，对厂区周边进行地下水水质监控。根据本项目地理位置及所在区域水文地质条件情况，设置两个监测井，地下水环境监测点布置情况见下表及图所示。</w:t>
      </w:r>
    </w:p>
    <w:p>
      <w:pPr>
        <w:pStyle w:val="6"/>
        <w:rPr>
          <w:rFonts w:ascii="Times New Roman" w:hAnsi="Times New Roman" w:cs="Times New Roman"/>
          <w:u w:val="single"/>
        </w:rPr>
      </w:pPr>
      <w:r>
        <w:rPr>
          <w:rFonts w:ascii="Times New Roman" w:hAnsi="Times New Roman" w:cs="Times New Roman"/>
          <w:u w:val="single"/>
        </w:rPr>
        <w:t>表8.2</w:t>
      </w:r>
      <w:r>
        <w:rPr>
          <w:rFonts w:hint="eastAsia" w:ascii="Times New Roman" w:hAnsi="Times New Roman" w:cs="Times New Roman"/>
          <w:u w:val="single"/>
        </w:rPr>
        <w:t>-5</w:t>
      </w:r>
      <w:r>
        <w:rPr>
          <w:rFonts w:ascii="Times New Roman" w:hAnsi="Times New Roman" w:cs="Times New Roman"/>
          <w:u w:val="single"/>
        </w:rPr>
        <w:t xml:space="preserve">  地下水监测计划一览表</w:t>
      </w:r>
    </w:p>
    <w:tbl>
      <w:tblPr>
        <w:tblStyle w:val="35"/>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291"/>
        <w:gridCol w:w="1986"/>
        <w:gridCol w:w="4218"/>
        <w:gridCol w:w="84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74" w:type="pct"/>
            <w:vAlign w:val="center"/>
          </w:tcPr>
          <w:p>
            <w:pPr>
              <w:pStyle w:val="63"/>
              <w:rPr>
                <w:u w:val="single"/>
              </w:rPr>
            </w:pPr>
            <w:r>
              <w:rPr>
                <w:u w:val="single"/>
              </w:rPr>
              <w:t>监测点</w:t>
            </w:r>
          </w:p>
        </w:tc>
        <w:tc>
          <w:tcPr>
            <w:tcW w:w="1190" w:type="pct"/>
            <w:vAlign w:val="center"/>
          </w:tcPr>
          <w:p>
            <w:pPr>
              <w:pStyle w:val="63"/>
              <w:rPr>
                <w:u w:val="single"/>
              </w:rPr>
            </w:pPr>
            <w:r>
              <w:rPr>
                <w:u w:val="single"/>
              </w:rPr>
              <w:t>经纬度</w:t>
            </w:r>
          </w:p>
        </w:tc>
        <w:tc>
          <w:tcPr>
            <w:tcW w:w="2528" w:type="pct"/>
            <w:vAlign w:val="center"/>
          </w:tcPr>
          <w:p>
            <w:pPr>
              <w:pStyle w:val="63"/>
              <w:rPr>
                <w:u w:val="single"/>
              </w:rPr>
            </w:pPr>
            <w:r>
              <w:rPr>
                <w:u w:val="single"/>
              </w:rPr>
              <w:t>监测因子</w:t>
            </w:r>
          </w:p>
        </w:tc>
        <w:tc>
          <w:tcPr>
            <w:tcW w:w="508" w:type="pct"/>
            <w:vAlign w:val="center"/>
          </w:tcPr>
          <w:p>
            <w:pPr>
              <w:pStyle w:val="63"/>
              <w:rPr>
                <w:u w:val="single"/>
              </w:rPr>
            </w:pPr>
            <w:r>
              <w:rPr>
                <w:u w:val="single"/>
              </w:rPr>
              <w:t>监测频次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774" w:type="pct"/>
            <w:vAlign w:val="center"/>
          </w:tcPr>
          <w:p>
            <w:pPr>
              <w:pStyle w:val="63"/>
              <w:rPr>
                <w:u w:val="single"/>
              </w:rPr>
            </w:pPr>
            <w:r>
              <w:rPr>
                <w:u w:val="single"/>
              </w:rPr>
              <w:t>JCI</w:t>
            </w:r>
          </w:p>
        </w:tc>
        <w:tc>
          <w:tcPr>
            <w:tcW w:w="1190" w:type="pct"/>
            <w:vAlign w:val="center"/>
          </w:tcPr>
          <w:p>
            <w:pPr>
              <w:pStyle w:val="63"/>
              <w:rPr>
                <w:u w:val="single"/>
              </w:rPr>
            </w:pPr>
            <w:r>
              <w:rPr>
                <w:u w:val="single"/>
              </w:rPr>
              <w:t>112°48′13.03143″</w:t>
            </w:r>
          </w:p>
          <w:p>
            <w:pPr>
              <w:pStyle w:val="63"/>
              <w:rPr>
                <w:u w:val="single"/>
              </w:rPr>
            </w:pPr>
            <w:r>
              <w:rPr>
                <w:u w:val="single"/>
              </w:rPr>
              <w:t>27°0′43.82204″</w:t>
            </w:r>
          </w:p>
        </w:tc>
        <w:tc>
          <w:tcPr>
            <w:tcW w:w="2528" w:type="pct"/>
            <w:vAlign w:val="center"/>
          </w:tcPr>
          <w:p>
            <w:pPr>
              <w:pStyle w:val="63"/>
              <w:rPr>
                <w:u w:val="single"/>
              </w:rPr>
            </w:pPr>
            <w:r>
              <w:rPr>
                <w:u w:val="single"/>
              </w:rPr>
              <w:t>pH、耗氧量、氯化物、硫酸盐、氨氮、硝酸盐、亚硝酸盐、挥发性酚类、砷、氟化物、铁、锰、锌、铜、镍、石油类、钴</w:t>
            </w:r>
          </w:p>
        </w:tc>
        <w:tc>
          <w:tcPr>
            <w:tcW w:w="508" w:type="pct"/>
            <w:vAlign w:val="center"/>
          </w:tcPr>
          <w:p>
            <w:pPr>
              <w:pStyle w:val="63"/>
              <w:rPr>
                <w:u w:val="single"/>
              </w:rPr>
            </w:pPr>
            <w:r>
              <w:rPr>
                <w:u w:val="single"/>
              </w:rPr>
              <w:t>枯、丰各一次</w:t>
            </w:r>
          </w:p>
        </w:tc>
      </w:tr>
    </w:tbl>
    <w:p>
      <w:pPr>
        <w:pStyle w:val="5"/>
        <w:ind w:firstLine="482"/>
        <w:rPr>
          <w:rFonts w:ascii="Times New Roman" w:hAnsi="Times New Roman" w:cs="Times New Roman" w:eastAsiaTheme="minorEastAsia"/>
          <w:u w:val="single"/>
        </w:rPr>
      </w:pPr>
      <w:r>
        <w:rPr>
          <w:rFonts w:ascii="Times New Roman" w:hAnsi="Times New Roman" w:cs="Times New Roman" w:eastAsiaTheme="minorEastAsia"/>
          <w:u w:val="single"/>
        </w:rPr>
        <w:t>8.2.3.5 地下水水质监测数据管理</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上述监测结果应按项目有关规定及时建立档案，并定期向环保部门汇报，对于常规监测数据应该进行公开。如发现异常或发生事故，加密监测频次，改为每天监测一次，并分析污染原因，确定泄漏污染源，及时采取应急措施。</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进行质量体系认证，实现“质量、安全、环境”三位一体的全面质量管理目标。设立地下水动态监测小组，负责对地下水环境监测和管理，或者委托专业的机构完成。建立有关规章制度和岗位责任制。制定风险预警方案，设立应急设施减少环境污染影响。</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为保证地下水监测有效、有序管理，须制定相关规定、明确职责，采取以下管理措施和技术措施。</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（一）管理措施</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（1）防止地下水污染管理的职责属于环境保护管理部门的职责之一。场环境保护管理部门指派专人负责防治地下水污染管理工作。</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（2）环境保护管理部门应委托具有监测资质的单位负责地下水监测工作，按要求及时分析整理原始资料、监测报告的编写工作。</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（3）建立地下水监测数据信息管理系统，与场环境管理系统相联系。</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4）根据实际情况，按事故的性质、类型、影响范围、严重后果分等级地制订相应的预案。在制定预案时要根据本场环境污染事故潜在威胁的情况，认真细致地考虑各项影响因素，适当的时候组织有关部门、人员进行演练，不断补充完善。</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（二）技术措施</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（1）按照《地下水环境监测技术规范》（HJ/T164-2004）要求，及时上报监测数据和有关表格。</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2）在日常例行监测中，一旦发现地下水水质监测数据异常，应尽快核查数据，确保数据的正确性。并将核查过的监测数据通告安全环保部门，由专人负责对数据进行分析、核实，并密切关注生产设施的运行情况，为防止地下水污染采取措施提供正确的依据。应采取的措施如下：</w:t>
      </w:r>
    </w:p>
    <w:p>
      <w:pPr>
        <w:spacing w:line="360" w:lineRule="auto"/>
        <w:ind w:firstLine="480" w:firstLineChars="200"/>
        <w:rPr>
          <w:rFonts w:ascii="Times New Roman" w:hAnsi="Times New Roman" w:cs="Times New Roman"/>
          <w:szCs w:val="24"/>
          <w:u w:val="single"/>
        </w:rPr>
      </w:pPr>
      <w:r>
        <w:rPr>
          <w:rFonts w:hint="eastAsia" w:ascii="宋体" w:hAnsi="宋体" w:eastAsia="宋体" w:cs="宋体"/>
          <w:szCs w:val="24"/>
          <w:u w:val="single"/>
        </w:rPr>
        <w:t>①</w:t>
      </w:r>
      <w:r>
        <w:rPr>
          <w:rFonts w:ascii="Times New Roman" w:hAnsi="Times New Roman" w:cs="Times New Roman"/>
          <w:szCs w:val="24"/>
          <w:u w:val="single"/>
        </w:rPr>
        <w:t>了解全场生产是否出现异常情况，出现异常情况的装置、原因。加大监测密度，如监测频率临时加密为每天一次或更多，连续多天，分析变化动向，杜绝超标排放。</w:t>
      </w:r>
    </w:p>
    <w:p>
      <w:pPr>
        <w:spacing w:line="360" w:lineRule="auto"/>
        <w:ind w:firstLine="480" w:firstLineChars="200"/>
        <w:rPr>
          <w:rFonts w:ascii="Times New Roman" w:hAnsi="Times New Roman" w:cs="Times New Roman"/>
          <w:szCs w:val="24"/>
          <w:u w:val="single"/>
        </w:rPr>
      </w:pPr>
      <w:r>
        <w:rPr>
          <w:rFonts w:hint="eastAsia" w:ascii="宋体" w:hAnsi="宋体" w:eastAsia="宋体" w:cs="宋体"/>
          <w:szCs w:val="24"/>
          <w:u w:val="single"/>
        </w:rPr>
        <w:t>②</w:t>
      </w:r>
      <w:r>
        <w:rPr>
          <w:rFonts w:ascii="Times New Roman" w:hAnsi="Times New Roman" w:cs="Times New Roman"/>
          <w:szCs w:val="24"/>
          <w:u w:val="single"/>
        </w:rPr>
        <w:t>周期性地编写地下水动态监测报告；</w:t>
      </w:r>
    </w:p>
    <w:p>
      <w:pPr>
        <w:spacing w:line="360" w:lineRule="auto"/>
        <w:ind w:firstLine="480" w:firstLineChars="200"/>
        <w:rPr>
          <w:rFonts w:ascii="Times New Roman" w:hAnsi="Times New Roman" w:cs="Times New Roman"/>
          <w:szCs w:val="24"/>
          <w:u w:val="single"/>
        </w:rPr>
      </w:pPr>
      <w:r>
        <w:rPr>
          <w:rFonts w:hint="eastAsia" w:ascii="宋体" w:hAnsi="宋体" w:eastAsia="宋体" w:cs="宋体"/>
          <w:szCs w:val="24"/>
          <w:u w:val="single"/>
        </w:rPr>
        <w:t>③</w:t>
      </w:r>
      <w:r>
        <w:rPr>
          <w:rFonts w:ascii="Times New Roman" w:hAnsi="Times New Roman" w:cs="Times New Roman"/>
          <w:szCs w:val="24"/>
          <w:u w:val="single"/>
        </w:rPr>
        <w:t>定期对污染区的生产装置进行检查。</w:t>
      </w:r>
    </w:p>
    <w:p>
      <w:pPr>
        <w:pStyle w:val="5"/>
        <w:ind w:firstLine="482"/>
        <w:rPr>
          <w:rFonts w:ascii="Times New Roman" w:hAnsi="Times New Roman" w:cs="Times New Roman" w:eastAsiaTheme="minorEastAsia"/>
          <w:u w:val="single"/>
        </w:rPr>
      </w:pPr>
      <w:bookmarkStart w:id="540" w:name="_Toc106263827"/>
      <w:bookmarkStart w:id="541" w:name="_Toc35931888"/>
      <w:r>
        <w:rPr>
          <w:rFonts w:ascii="Times New Roman" w:hAnsi="Times New Roman" w:cs="Times New Roman" w:eastAsiaTheme="minorEastAsia"/>
          <w:u w:val="single"/>
        </w:rPr>
        <w:t>8.2.3.6 应急响应</w:t>
      </w:r>
      <w:bookmarkEnd w:id="540"/>
      <w:bookmarkEnd w:id="541"/>
    </w:p>
    <w:p>
      <w:pPr>
        <w:spacing w:line="360" w:lineRule="auto"/>
        <w:ind w:firstLine="482" w:firstLineChars="200"/>
        <w:rPr>
          <w:rFonts w:ascii="Times New Roman" w:hAnsi="Times New Roman" w:cs="Times New Roman"/>
          <w:b/>
          <w:szCs w:val="24"/>
          <w:u w:val="single"/>
        </w:rPr>
      </w:pPr>
      <w:bookmarkStart w:id="542" w:name="_Toc106263828"/>
      <w:bookmarkStart w:id="543" w:name="_Toc35931889"/>
      <w:r>
        <w:rPr>
          <w:rFonts w:ascii="Times New Roman" w:hAnsi="Times New Roman" w:cs="Times New Roman"/>
          <w:b/>
          <w:szCs w:val="24"/>
          <w:u w:val="single"/>
        </w:rPr>
        <w:t>（1）地下水污染事故应急预案</w:t>
      </w:r>
      <w:bookmarkEnd w:id="542"/>
      <w:bookmarkEnd w:id="543"/>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一旦发现地下水发生异常情况，必须按照应急预案马上采取紧急措施：</w:t>
      </w:r>
    </w:p>
    <w:p>
      <w:pPr>
        <w:spacing w:line="360" w:lineRule="auto"/>
        <w:ind w:firstLine="480" w:firstLineChars="200"/>
        <w:rPr>
          <w:rFonts w:ascii="Times New Roman" w:hAnsi="Times New Roman" w:cs="Times New Roman"/>
          <w:szCs w:val="24"/>
          <w:u w:val="single"/>
        </w:rPr>
      </w:pPr>
      <w:r>
        <w:rPr>
          <w:rFonts w:hint="eastAsia" w:ascii="宋体" w:hAnsi="宋体" w:eastAsia="宋体" w:cs="宋体"/>
          <w:szCs w:val="24"/>
          <w:u w:val="single"/>
        </w:rPr>
        <w:t>①</w:t>
      </w:r>
      <w:r>
        <w:rPr>
          <w:rFonts w:ascii="Times New Roman" w:hAnsi="Times New Roman" w:cs="Times New Roman"/>
          <w:szCs w:val="24"/>
          <w:u w:val="single"/>
        </w:rPr>
        <w:t>当确定发生地下水异常情况时，在第一时间内尽快上报公司主管领导，通知当地环保局、附近居民等，密切关注地下水水质变化情况；</w:t>
      </w:r>
    </w:p>
    <w:p>
      <w:pPr>
        <w:spacing w:line="360" w:lineRule="auto"/>
        <w:ind w:firstLine="480" w:firstLineChars="200"/>
        <w:rPr>
          <w:rFonts w:ascii="Times New Roman" w:hAnsi="Times New Roman" w:cs="Times New Roman"/>
          <w:szCs w:val="24"/>
          <w:u w:val="single"/>
        </w:rPr>
      </w:pPr>
      <w:r>
        <w:rPr>
          <w:rFonts w:hint="eastAsia" w:ascii="宋体" w:hAnsi="宋体" w:eastAsia="宋体" w:cs="宋体"/>
          <w:szCs w:val="24"/>
          <w:u w:val="single"/>
        </w:rPr>
        <w:t>②</w:t>
      </w:r>
      <w:r>
        <w:rPr>
          <w:rFonts w:ascii="Times New Roman" w:hAnsi="Times New Roman" w:cs="Times New Roman"/>
          <w:szCs w:val="24"/>
          <w:u w:val="single"/>
        </w:rPr>
        <w:t>组织专业队伍对事故现场进行调查、监测，查找环境事故发生地点、分析事故原因，尽量将紧急事件局部化，如可能应予以消除，采取包括切断生产装置或设施等措施，防止事故的扩散、蔓延及连锁反应，尽量缩小地下水污染事故对人和财产的影响；</w:t>
      </w:r>
    </w:p>
    <w:p>
      <w:pPr>
        <w:spacing w:line="360" w:lineRule="auto"/>
        <w:ind w:firstLine="480" w:firstLineChars="200"/>
        <w:rPr>
          <w:rFonts w:ascii="Times New Roman" w:hAnsi="Times New Roman" w:cs="Times New Roman"/>
          <w:szCs w:val="24"/>
          <w:u w:val="single"/>
        </w:rPr>
      </w:pPr>
      <w:r>
        <w:rPr>
          <w:rFonts w:hint="eastAsia" w:ascii="宋体" w:hAnsi="宋体" w:eastAsia="宋体" w:cs="宋体"/>
          <w:szCs w:val="24"/>
          <w:u w:val="single"/>
        </w:rPr>
        <w:t>③</w:t>
      </w:r>
      <w:r>
        <w:rPr>
          <w:rFonts w:ascii="Times New Roman" w:hAnsi="Times New Roman" w:cs="Times New Roman"/>
          <w:szCs w:val="24"/>
          <w:u w:val="single"/>
        </w:rPr>
        <w:t>当通过监测发现对周围地下水造成污染时，根据观测井的反馈信息，可对污染区地下水人工开采以形成地下水漏斗，控制污染区地下水流场，尽量防止污染物扩散；</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地下水排水系统是根据建设项目对地下水可能产生影响而采取的被动防范措施，是建设项目环境工程的重要组成部分。当地下水污染事件发生后，启动地下水排水应急系统，将会有效抑制污染物向下游扩散速度，控制污染范围，使地下水质量得到尽快恢复；</w:t>
      </w:r>
    </w:p>
    <w:p>
      <w:pPr>
        <w:spacing w:line="360" w:lineRule="auto"/>
        <w:ind w:firstLine="480" w:firstLineChars="200"/>
        <w:rPr>
          <w:rFonts w:ascii="Times New Roman" w:hAnsi="Times New Roman" w:cs="Times New Roman"/>
          <w:szCs w:val="24"/>
          <w:u w:val="single"/>
        </w:rPr>
      </w:pPr>
      <w:r>
        <w:rPr>
          <w:rFonts w:hint="eastAsia" w:ascii="宋体" w:hAnsi="宋体" w:eastAsia="宋体" w:cs="宋体"/>
          <w:szCs w:val="24"/>
          <w:u w:val="single"/>
        </w:rPr>
        <w:t>④</w:t>
      </w:r>
      <w:r>
        <w:rPr>
          <w:rFonts w:ascii="Times New Roman" w:hAnsi="Times New Roman" w:cs="Times New Roman"/>
          <w:szCs w:val="24"/>
          <w:u w:val="single"/>
        </w:rPr>
        <w:t>对被破坏的区域设置紧急隔离围堤，防止物料及消防水进一步渗入地下；</w:t>
      </w:r>
    </w:p>
    <w:p>
      <w:pPr>
        <w:spacing w:line="360" w:lineRule="auto"/>
        <w:ind w:firstLine="480" w:firstLineChars="200"/>
        <w:rPr>
          <w:rFonts w:ascii="Times New Roman" w:hAnsi="Times New Roman" w:cs="Times New Roman"/>
          <w:szCs w:val="24"/>
          <w:u w:val="single"/>
        </w:rPr>
      </w:pPr>
      <w:r>
        <w:rPr>
          <w:rFonts w:hint="eastAsia" w:ascii="宋体" w:hAnsi="宋体" w:eastAsia="宋体" w:cs="宋体"/>
          <w:szCs w:val="24"/>
          <w:u w:val="single"/>
        </w:rPr>
        <w:t>⑤</w:t>
      </w:r>
      <w:r>
        <w:rPr>
          <w:rFonts w:ascii="Times New Roman" w:hAnsi="Times New Roman" w:cs="Times New Roman"/>
          <w:szCs w:val="24"/>
          <w:u w:val="single"/>
        </w:rPr>
        <w:t>对事故后果进行评估，并制定防止类似事件发生的措施；</w:t>
      </w:r>
    </w:p>
    <w:p>
      <w:pPr>
        <w:spacing w:line="360" w:lineRule="auto"/>
        <w:ind w:firstLine="480" w:firstLineChars="200"/>
        <w:rPr>
          <w:rFonts w:ascii="Times New Roman" w:hAnsi="Times New Roman" w:cs="Times New Roman"/>
          <w:szCs w:val="24"/>
          <w:u w:val="single"/>
        </w:rPr>
      </w:pPr>
      <w:r>
        <w:rPr>
          <w:rFonts w:hint="eastAsia" w:ascii="宋体" w:hAnsi="宋体" w:eastAsia="宋体" w:cs="宋体"/>
          <w:szCs w:val="24"/>
          <w:u w:val="single"/>
        </w:rPr>
        <w:t>⑥</w:t>
      </w:r>
      <w:r>
        <w:rPr>
          <w:rFonts w:ascii="Times New Roman" w:hAnsi="Times New Roman" w:cs="Times New Roman"/>
          <w:szCs w:val="24"/>
          <w:u w:val="single"/>
        </w:rPr>
        <w:t>如果本厂力量无法应对污染事故，应立即请求社会应急力量协助处理。</w:t>
      </w:r>
    </w:p>
    <w:p>
      <w:pPr>
        <w:spacing w:line="360" w:lineRule="auto"/>
        <w:ind w:firstLine="482" w:firstLineChars="200"/>
        <w:rPr>
          <w:rFonts w:ascii="Times New Roman" w:hAnsi="Times New Roman" w:cs="Times New Roman"/>
          <w:b/>
          <w:szCs w:val="24"/>
          <w:u w:val="single"/>
        </w:rPr>
      </w:pPr>
      <w:bookmarkStart w:id="544" w:name="_Toc106263829"/>
      <w:bookmarkStart w:id="545" w:name="_Toc35931890"/>
      <w:r>
        <w:rPr>
          <w:rFonts w:ascii="Times New Roman" w:hAnsi="Times New Roman" w:cs="Times New Roman"/>
          <w:b/>
          <w:szCs w:val="24"/>
          <w:u w:val="single"/>
        </w:rPr>
        <w:t>（2）应急治理程序</w:t>
      </w:r>
      <w:bookmarkEnd w:id="544"/>
      <w:bookmarkEnd w:id="545"/>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针对应急工作需要，参照“场地环境保护标准体系”的相关技术导则，结合地下水污染治理的技术特点，制定地下水污染应急治理程序见下图所示。</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 xml:space="preserve"> </w:t>
      </w:r>
      <w:r>
        <w:rPr>
          <w:rFonts w:ascii="Times New Roman" w:hAnsi="Times New Roman" w:cs="Times New Roman"/>
          <w:b/>
          <w:kern w:val="0"/>
          <w:u w:val="single"/>
        </w:rPr>
        <w:drawing>
          <wp:inline distT="0" distB="0" distL="0" distR="0">
            <wp:extent cx="5076825" cy="6247130"/>
            <wp:effectExtent l="0" t="0" r="9525" b="127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159"/>
                    <a:srcRect/>
                    <a:stretch>
                      <a:fillRect/>
                    </a:stretch>
                  </pic:blipFill>
                  <pic:spPr>
                    <a:xfrm>
                      <a:off x="0" y="0"/>
                      <a:ext cx="5076825" cy="6247130"/>
                    </a:xfrm>
                    <a:prstGeom prst="rect">
                      <a:avLst/>
                    </a:prstGeom>
                    <a:noFill/>
                    <a:ln>
                      <a:noFill/>
                    </a:ln>
                  </pic:spPr>
                </pic:pic>
              </a:graphicData>
            </a:graphic>
          </wp:inline>
        </w:drawing>
      </w:r>
    </w:p>
    <w:p>
      <w:pPr>
        <w:pStyle w:val="6"/>
        <w:rPr>
          <w:rFonts w:ascii="Times New Roman" w:hAnsi="Times New Roman" w:cs="Times New Roman"/>
          <w:u w:val="single"/>
        </w:rPr>
      </w:pPr>
      <w:r>
        <w:rPr>
          <w:rFonts w:ascii="Times New Roman" w:hAnsi="Times New Roman" w:cs="Times New Roman"/>
          <w:u w:val="single"/>
        </w:rPr>
        <w:t>图</w:t>
      </w:r>
      <w:r>
        <w:rPr>
          <w:rFonts w:hint="eastAsia" w:ascii="Times New Roman" w:hAnsi="Times New Roman" w:cs="Times New Roman"/>
          <w:u w:val="single"/>
        </w:rPr>
        <w:t xml:space="preserve">8.2-2 </w:t>
      </w:r>
      <w:r>
        <w:rPr>
          <w:rFonts w:ascii="Times New Roman" w:hAnsi="Times New Roman" w:cs="Times New Roman"/>
          <w:u w:val="single"/>
        </w:rPr>
        <w:t xml:space="preserve"> 地下水污染应急治理程序框图</w:t>
      </w:r>
    </w:p>
    <w:p>
      <w:pPr>
        <w:spacing w:line="360" w:lineRule="auto"/>
        <w:ind w:firstLine="482" w:firstLineChars="200"/>
        <w:rPr>
          <w:rFonts w:ascii="Times New Roman" w:hAnsi="Times New Roman" w:cs="Times New Roman"/>
          <w:b/>
          <w:szCs w:val="24"/>
          <w:u w:val="single"/>
        </w:rPr>
      </w:pPr>
      <w:bookmarkStart w:id="546" w:name="_Toc106263830"/>
      <w:bookmarkStart w:id="547" w:name="_Toc35931891"/>
      <w:r>
        <w:rPr>
          <w:rFonts w:ascii="Times New Roman" w:hAnsi="Times New Roman" w:cs="Times New Roman"/>
          <w:b/>
          <w:szCs w:val="24"/>
          <w:u w:val="single"/>
        </w:rPr>
        <w:t>（3）地下水污染治理措施</w:t>
      </w:r>
      <w:bookmarkEnd w:id="546"/>
      <w:bookmarkEnd w:id="547"/>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地下水污染治理技术归纳起来主要有：物理处理法、水动力控制法、抽出处理法、原位处理法等。建议治理措施：</w:t>
      </w:r>
    </w:p>
    <w:p>
      <w:pPr>
        <w:spacing w:line="360" w:lineRule="auto"/>
        <w:ind w:firstLine="480" w:firstLineChars="200"/>
        <w:rPr>
          <w:rFonts w:ascii="Times New Roman" w:hAnsi="Times New Roman" w:cs="Times New Roman"/>
          <w:szCs w:val="24"/>
          <w:u w:val="single"/>
        </w:rPr>
      </w:pPr>
      <w:r>
        <w:rPr>
          <w:rFonts w:ascii="Times New Roman" w:hAnsi="Times New Roman" w:cs="Times New Roman"/>
          <w:szCs w:val="24"/>
          <w:u w:val="single"/>
        </w:rPr>
        <w:t>拟建项目厂址区建议采取如下污染治理措施。</w:t>
      </w:r>
    </w:p>
    <w:p>
      <w:pPr>
        <w:spacing w:line="360" w:lineRule="auto"/>
        <w:ind w:firstLine="480" w:firstLineChars="200"/>
        <w:rPr>
          <w:rFonts w:ascii="Times New Roman" w:hAnsi="Times New Roman" w:cs="Times New Roman"/>
          <w:szCs w:val="24"/>
          <w:u w:val="single"/>
        </w:rPr>
      </w:pPr>
      <w:r>
        <w:rPr>
          <w:rFonts w:hint="eastAsia" w:ascii="宋体" w:hAnsi="宋体" w:eastAsia="宋体" w:cs="宋体"/>
          <w:szCs w:val="24"/>
          <w:u w:val="single"/>
        </w:rPr>
        <w:t>①</w:t>
      </w:r>
      <w:r>
        <w:rPr>
          <w:rFonts w:ascii="Times New Roman" w:hAnsi="Times New Roman" w:cs="Times New Roman"/>
          <w:szCs w:val="24"/>
          <w:u w:val="single"/>
        </w:rPr>
        <w:t>一旦发生地下水污染事故，应立即启动应急预案；</w:t>
      </w:r>
    </w:p>
    <w:p>
      <w:pPr>
        <w:spacing w:line="360" w:lineRule="auto"/>
        <w:ind w:firstLine="480" w:firstLineChars="200"/>
        <w:rPr>
          <w:rFonts w:ascii="Times New Roman" w:hAnsi="Times New Roman" w:cs="Times New Roman"/>
          <w:szCs w:val="24"/>
          <w:u w:val="single"/>
        </w:rPr>
      </w:pPr>
      <w:r>
        <w:rPr>
          <w:rFonts w:hint="eastAsia" w:ascii="宋体" w:hAnsi="宋体" w:eastAsia="宋体" w:cs="宋体"/>
          <w:szCs w:val="24"/>
          <w:u w:val="single"/>
        </w:rPr>
        <w:t>②</w:t>
      </w:r>
      <w:r>
        <w:rPr>
          <w:rFonts w:ascii="Times New Roman" w:hAnsi="Times New Roman" w:cs="Times New Roman"/>
          <w:szCs w:val="24"/>
          <w:u w:val="single"/>
        </w:rPr>
        <w:t>查明并切断污染源；</w:t>
      </w:r>
    </w:p>
    <w:p>
      <w:pPr>
        <w:spacing w:line="360" w:lineRule="auto"/>
        <w:ind w:firstLine="480" w:firstLineChars="200"/>
        <w:rPr>
          <w:rFonts w:ascii="Times New Roman" w:hAnsi="Times New Roman" w:cs="Times New Roman"/>
          <w:szCs w:val="24"/>
          <w:u w:val="single"/>
        </w:rPr>
      </w:pPr>
      <w:r>
        <w:rPr>
          <w:rFonts w:hint="eastAsia" w:ascii="宋体" w:hAnsi="宋体" w:eastAsia="宋体" w:cs="宋体"/>
          <w:szCs w:val="24"/>
          <w:u w:val="single"/>
        </w:rPr>
        <w:t>③</w:t>
      </w:r>
      <w:r>
        <w:rPr>
          <w:rFonts w:ascii="Times New Roman" w:hAnsi="Times New Roman" w:cs="Times New Roman"/>
          <w:szCs w:val="24"/>
          <w:u w:val="single"/>
        </w:rPr>
        <w:t>立即启动应急抽水井；</w:t>
      </w:r>
    </w:p>
    <w:p>
      <w:pPr>
        <w:spacing w:line="360" w:lineRule="auto"/>
        <w:ind w:firstLine="480" w:firstLineChars="200"/>
        <w:rPr>
          <w:rFonts w:ascii="Times New Roman" w:hAnsi="Times New Roman" w:cs="Times New Roman"/>
          <w:szCs w:val="24"/>
          <w:u w:val="single"/>
        </w:rPr>
      </w:pPr>
      <w:r>
        <w:rPr>
          <w:rFonts w:hint="eastAsia" w:ascii="宋体" w:hAnsi="宋体" w:eastAsia="宋体" w:cs="宋体"/>
          <w:szCs w:val="24"/>
          <w:u w:val="single"/>
        </w:rPr>
        <w:t>④</w:t>
      </w:r>
      <w:r>
        <w:rPr>
          <w:rFonts w:ascii="Times New Roman" w:hAnsi="Times New Roman" w:cs="Times New Roman"/>
          <w:szCs w:val="24"/>
          <w:u w:val="single"/>
        </w:rPr>
        <w:t>进一步探明地下水污染深度、范围和污染程度；</w:t>
      </w:r>
    </w:p>
    <w:p>
      <w:pPr>
        <w:spacing w:line="360" w:lineRule="auto"/>
        <w:ind w:firstLine="480" w:firstLineChars="200"/>
        <w:rPr>
          <w:rFonts w:ascii="Times New Roman" w:hAnsi="Times New Roman" w:cs="Times New Roman"/>
          <w:szCs w:val="24"/>
          <w:u w:val="single"/>
        </w:rPr>
      </w:pPr>
      <w:r>
        <w:rPr>
          <w:rFonts w:hint="eastAsia" w:ascii="宋体" w:hAnsi="宋体" w:eastAsia="宋体" w:cs="宋体"/>
          <w:szCs w:val="24"/>
          <w:u w:val="single"/>
        </w:rPr>
        <w:t>⑤</w:t>
      </w:r>
      <w:r>
        <w:rPr>
          <w:rFonts w:ascii="Times New Roman" w:hAnsi="Times New Roman" w:cs="Times New Roman"/>
          <w:szCs w:val="24"/>
          <w:u w:val="single"/>
        </w:rPr>
        <w:t>依据探明的地下水污染情况和污染场地的岩性特征，结合已有应急井分布位置，合理布置新增抽水井的深度及间距；</w:t>
      </w:r>
    </w:p>
    <w:p>
      <w:pPr>
        <w:spacing w:line="360" w:lineRule="auto"/>
        <w:ind w:firstLine="480" w:firstLineChars="200"/>
        <w:rPr>
          <w:rFonts w:ascii="Times New Roman" w:hAnsi="Times New Roman" w:cs="Times New Roman"/>
          <w:szCs w:val="24"/>
          <w:u w:val="single"/>
        </w:rPr>
      </w:pPr>
      <w:r>
        <w:rPr>
          <w:rFonts w:hint="eastAsia" w:ascii="宋体" w:hAnsi="宋体" w:eastAsia="宋体" w:cs="宋体"/>
          <w:szCs w:val="24"/>
          <w:u w:val="single"/>
        </w:rPr>
        <w:t>⑥</w:t>
      </w:r>
      <w:r>
        <w:rPr>
          <w:rFonts w:ascii="Times New Roman" w:hAnsi="Times New Roman" w:cs="Times New Roman"/>
          <w:szCs w:val="24"/>
          <w:u w:val="single"/>
        </w:rPr>
        <w:t>抽取被污染的地下水体，并依据各井孔出水情况进行调整；</w:t>
      </w:r>
    </w:p>
    <w:p>
      <w:pPr>
        <w:spacing w:line="360" w:lineRule="auto"/>
        <w:ind w:firstLine="480" w:firstLineChars="200"/>
        <w:rPr>
          <w:rFonts w:ascii="Times New Roman" w:hAnsi="Times New Roman" w:cs="Times New Roman"/>
          <w:szCs w:val="24"/>
          <w:u w:val="single"/>
        </w:rPr>
      </w:pPr>
      <w:r>
        <w:rPr>
          <w:rFonts w:hint="eastAsia" w:ascii="宋体" w:hAnsi="宋体" w:eastAsia="宋体" w:cs="宋体"/>
          <w:szCs w:val="24"/>
          <w:u w:val="single"/>
        </w:rPr>
        <w:t>⑦</w:t>
      </w:r>
      <w:r>
        <w:rPr>
          <w:rFonts w:ascii="Times New Roman" w:hAnsi="Times New Roman" w:cs="Times New Roman"/>
          <w:szCs w:val="24"/>
          <w:u w:val="single"/>
        </w:rPr>
        <w:t>将抽取的地下水送工业废水系统处理，然后用于生产用水。</w:t>
      </w:r>
    </w:p>
    <w:p>
      <w:pPr>
        <w:spacing w:line="360" w:lineRule="auto"/>
        <w:ind w:firstLine="480" w:firstLineChars="200"/>
        <w:rPr>
          <w:rFonts w:ascii="Times New Roman" w:hAnsi="Times New Roman" w:cs="Times New Roman"/>
          <w:u w:val="single"/>
        </w:rPr>
      </w:pPr>
      <w:r>
        <w:rPr>
          <w:rFonts w:ascii="Times New Roman" w:hAnsi="Times New Roman" w:cs="Times New Roman"/>
          <w:szCs w:val="24"/>
          <w:u w:val="single"/>
        </w:rPr>
        <w:t>当地下水中的特征污染物浓度满足地下水功能区划的标准后，逐步停止井点抽水，并进行土壤修复治理工作。</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污水处理站的沉淀池池体必须进行防腐、防渗处理。对于混凝土池体应采用防渗混凝土。周边地面应用防渗混凝土进行固化，防止污水外渗是发生扩散。同时站内排污沟、雨水排放沟均应采取防腐、防渗措施，防止污水泄漏污染地下水。</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所有管道系统均必须按有关标准进行良好设计、制作及安装。工艺管线的设计、安装均考虑热应力变化、管线的振动及蠕变、密封防泄漏等多种因素，并采取设置膨胀节及固定管架等安全措施；必须由当地有关质检部门进行验收并通过后方能投入使用。工艺输送泵均采用密封防泄漏驱动泵以避免物料泄漏。物料输送管线要定期试压检漏。涉污管线应设有明显标记。</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结合现状监测井定期开展运营期地下水跟踪监测，监测频次每季度一次。</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根据现场调查和建设单位提供的相关资料，本项目各生产车间、危废暂存间等均进行了防渗处理。污水输送管道、管线等均做好了防渗措施，以防止污水的渗漏。</w:t>
      </w:r>
    </w:p>
    <w:p>
      <w:pPr>
        <w:pStyle w:val="4"/>
        <w:rPr>
          <w:rFonts w:ascii="Times New Roman" w:hAnsi="Times New Roman" w:cs="Times New Roman"/>
        </w:rPr>
      </w:pPr>
      <w:bookmarkStart w:id="548" w:name="_Toc147848114"/>
      <w:bookmarkStart w:id="549" w:name="_Toc144276996"/>
      <w:bookmarkStart w:id="550" w:name="_Toc144236866"/>
      <w:r>
        <w:rPr>
          <w:rFonts w:ascii="Times New Roman" w:hAnsi="Times New Roman" w:cs="Times New Roman"/>
        </w:rPr>
        <w:t>8.2.4 运营期噪声污染防治措施分析</w:t>
      </w:r>
      <w:bookmarkEnd w:id="548"/>
      <w:bookmarkEnd w:id="549"/>
      <w:bookmarkEnd w:id="550"/>
    </w:p>
    <w:p>
      <w:pPr>
        <w:spacing w:line="360" w:lineRule="auto"/>
        <w:ind w:firstLine="480" w:firstLineChars="200"/>
        <w:rPr>
          <w:rFonts w:ascii="Times New Roman" w:hAnsi="Times New Roman" w:cs="Times New Roman"/>
        </w:rPr>
      </w:pPr>
      <w:r>
        <w:rPr>
          <w:rFonts w:ascii="Times New Roman" w:hAnsi="Times New Roman" w:cs="Times New Roman"/>
        </w:rPr>
        <w:t>本项目噪声主要来自于各类风机、泵类等机械设备，其噪声值在80-90dB（A）之间。为了减轻各类设备产生的噪声对外环境的影响，根据各类噪声的声源特征，提出以下噪声防治措施：</w:t>
      </w:r>
    </w:p>
    <w:p>
      <w:pPr>
        <w:spacing w:line="360" w:lineRule="auto"/>
        <w:ind w:firstLine="480" w:firstLineChars="200"/>
        <w:rPr>
          <w:rFonts w:ascii="Times New Roman" w:hAnsi="Times New Roman" w:cs="Times New Roman"/>
        </w:rPr>
      </w:pPr>
      <w:r>
        <w:rPr>
          <w:rFonts w:ascii="Times New Roman" w:hAnsi="Times New Roman" w:cs="Times New Roman"/>
        </w:rPr>
        <w:t>（1）各种风机和泵类等设备器械均在85dB（A）以上，设计时应考虑对噪声较大的水泵房和供气站等选用隔声及消声性能较好的建筑材料，操作室采用双层复合板、双层隔声门及门窗密封装置，减轻噪声对操作人员的危害和对环境的影响。</w:t>
      </w:r>
    </w:p>
    <w:p>
      <w:pPr>
        <w:spacing w:line="360" w:lineRule="auto"/>
        <w:ind w:firstLine="480" w:firstLineChars="200"/>
        <w:rPr>
          <w:rFonts w:ascii="Times New Roman" w:hAnsi="Times New Roman" w:cs="Times New Roman"/>
        </w:rPr>
      </w:pPr>
      <w:r>
        <w:rPr>
          <w:rFonts w:ascii="Times New Roman" w:hAnsi="Times New Roman" w:cs="Times New Roman"/>
        </w:rPr>
        <w:t>（2）设备房采用吸声墙体及隔声门窗，进气口设消声器，以减少噪声污染，真空泵采用减振基础和柔性接头，以减少振动对建筑物和管路系统的影响。</w:t>
      </w:r>
    </w:p>
    <w:p>
      <w:pPr>
        <w:spacing w:line="360" w:lineRule="auto"/>
        <w:ind w:firstLine="480" w:firstLineChars="200"/>
        <w:rPr>
          <w:rFonts w:ascii="Times New Roman" w:hAnsi="Times New Roman" w:cs="Times New Roman"/>
        </w:rPr>
      </w:pPr>
      <w:r>
        <w:rPr>
          <w:rFonts w:ascii="Times New Roman" w:hAnsi="Times New Roman" w:cs="Times New Roman"/>
        </w:rPr>
        <w:t>（3）风机出口要加消音器和消声风道，风机和风管采用软接头连接，泵类出入口处装避振喉，降低噪声传播，在安装高噪设备时应加防振设施，降低设备噪声对厂界环境的影响。</w:t>
      </w:r>
    </w:p>
    <w:p>
      <w:pPr>
        <w:spacing w:line="360" w:lineRule="auto"/>
        <w:ind w:firstLine="480" w:firstLineChars="200"/>
        <w:rPr>
          <w:rFonts w:ascii="Times New Roman" w:hAnsi="Times New Roman" w:cs="Times New Roman"/>
        </w:rPr>
      </w:pPr>
      <w:r>
        <w:rPr>
          <w:rFonts w:ascii="Times New Roman" w:hAnsi="Times New Roman" w:cs="Times New Roman"/>
        </w:rPr>
        <w:t>（4）在设计中合理布局，充分利用厂内建筑物的隔声作用，以减轻各类声源对周围环境的影响。</w:t>
      </w:r>
    </w:p>
    <w:p>
      <w:pPr>
        <w:spacing w:line="360" w:lineRule="auto"/>
        <w:ind w:firstLine="480" w:firstLineChars="200"/>
        <w:rPr>
          <w:rFonts w:ascii="Times New Roman" w:hAnsi="Times New Roman" w:cs="Times New Roman"/>
        </w:rPr>
      </w:pPr>
      <w:r>
        <w:rPr>
          <w:rFonts w:ascii="Times New Roman" w:hAnsi="Times New Roman" w:cs="Times New Roman"/>
        </w:rPr>
        <w:t>（5）货物运输车辆应配备低音喇叭，在厂区门前做到不鸣或少鸣笛，以减轻交通噪声对周围环境的影响。</w:t>
      </w:r>
    </w:p>
    <w:p>
      <w:pPr>
        <w:spacing w:line="360" w:lineRule="auto"/>
        <w:ind w:firstLine="480" w:firstLineChars="200"/>
        <w:rPr>
          <w:rFonts w:ascii="Times New Roman" w:hAnsi="Times New Roman" w:cs="Times New Roman"/>
        </w:rPr>
      </w:pPr>
      <w:r>
        <w:rPr>
          <w:rFonts w:ascii="Times New Roman" w:hAnsi="Times New Roman" w:cs="Times New Roman"/>
        </w:rPr>
        <w:t>（6）在引进设备中，在满足工艺要求的前提下应尽量采用低噪声设备，设备安装中基础应做减振处理。</w:t>
      </w:r>
    </w:p>
    <w:p>
      <w:pPr>
        <w:spacing w:line="360" w:lineRule="auto"/>
        <w:ind w:firstLine="480" w:firstLineChars="200"/>
        <w:rPr>
          <w:rFonts w:ascii="Times New Roman" w:hAnsi="Times New Roman" w:cs="Times New Roman"/>
        </w:rPr>
      </w:pPr>
      <w:r>
        <w:rPr>
          <w:rFonts w:ascii="Times New Roman" w:hAnsi="Times New Roman" w:cs="Times New Roman"/>
        </w:rPr>
        <w:t>本项目通过选用低噪声设备，大功率机泵进行隔音处理，高噪声设备进行基础减震、隔声、吸声及综合治理，同时在平面布置上，将噪声高的机泵布置在远离厂界的区域等措施后，厂界噪声增加值经距离衰减、障碍物遮挡等作用后能够符合《工业企业厂界环境噪声排放标准》（GB12348-2008）中3类标准要求，所以本项目噪声对周围环境影响较小。</w:t>
      </w:r>
    </w:p>
    <w:p>
      <w:pPr>
        <w:pStyle w:val="4"/>
        <w:rPr>
          <w:rFonts w:ascii="Times New Roman" w:hAnsi="Times New Roman" w:cs="Times New Roman"/>
        </w:rPr>
      </w:pPr>
      <w:bookmarkStart w:id="551" w:name="_Toc144236867"/>
      <w:bookmarkStart w:id="552" w:name="_Toc147848115"/>
      <w:bookmarkStart w:id="553" w:name="_Toc144276997"/>
      <w:r>
        <w:rPr>
          <w:rFonts w:ascii="Times New Roman" w:hAnsi="Times New Roman" w:cs="Times New Roman"/>
        </w:rPr>
        <w:t>8.2.5 运营期固体废物污染防治措施分析</w:t>
      </w:r>
      <w:bookmarkEnd w:id="551"/>
      <w:bookmarkEnd w:id="552"/>
      <w:bookmarkEnd w:id="553"/>
    </w:p>
    <w:p>
      <w:pPr>
        <w:pStyle w:val="5"/>
        <w:ind w:firstLine="482"/>
        <w:rPr>
          <w:rFonts w:ascii="Times New Roman" w:hAnsi="Times New Roman" w:cs="Times New Roman" w:eastAsiaTheme="minorEastAsia"/>
        </w:rPr>
      </w:pPr>
      <w:r>
        <w:rPr>
          <w:rFonts w:ascii="Times New Roman" w:hAnsi="Times New Roman" w:cs="Times New Roman" w:eastAsiaTheme="minorEastAsia"/>
        </w:rPr>
        <w:t>8.2.5.1 处置措施</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本项目运营期间产生的可在厂内回用的废弃物主要为布袋除尘器收集的粉尘，其送往浸出槽浸出。</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本项目运营期间产生的</w:t>
      </w:r>
      <w:r>
        <w:rPr>
          <w:rFonts w:hint="eastAsia" w:ascii="Times New Roman" w:hAnsi="Times New Roman" w:cs="Times New Roman"/>
          <w:u w:val="single"/>
        </w:rPr>
        <w:t>钠</w:t>
      </w:r>
      <w:r>
        <w:rPr>
          <w:rFonts w:ascii="Times New Roman" w:hAnsi="Times New Roman" w:cs="Times New Roman"/>
          <w:u w:val="single"/>
        </w:rPr>
        <w:t>盐类物质，主要为硫酸钠，可作为</w:t>
      </w:r>
      <w:r>
        <w:rPr>
          <w:rFonts w:hint="eastAsia" w:ascii="Times New Roman" w:hAnsi="Times New Roman" w:cs="Times New Roman"/>
          <w:u w:val="single"/>
        </w:rPr>
        <w:t>副产品外售</w:t>
      </w:r>
      <w:r>
        <w:rPr>
          <w:rFonts w:ascii="Times New Roman" w:hAnsi="Times New Roman" w:cs="Times New Roman"/>
          <w:u w:val="single"/>
        </w:rPr>
        <w:t>，由于该部分固体废物的属性无法判断，因此环评要求，</w:t>
      </w:r>
      <w:r>
        <w:rPr>
          <w:rFonts w:hint="eastAsia" w:ascii="Times New Roman" w:hAnsi="Times New Roman" w:cs="Times New Roman"/>
          <w:u w:val="single"/>
        </w:rPr>
        <w:t>待该硫酸钠</w:t>
      </w:r>
      <w:r>
        <w:rPr>
          <w:rFonts w:ascii="Times New Roman" w:hAnsi="Times New Roman" w:cs="Times New Roman"/>
          <w:u w:val="single"/>
        </w:rPr>
        <w:t>盐类物质</w:t>
      </w:r>
      <w:r>
        <w:rPr>
          <w:rFonts w:hint="eastAsia" w:ascii="Times New Roman" w:hAnsi="Times New Roman" w:cs="Times New Roman"/>
          <w:u w:val="single"/>
        </w:rPr>
        <w:t>副产品产生后，</w:t>
      </w:r>
      <w:r>
        <w:rPr>
          <w:rFonts w:ascii="Times New Roman" w:hAnsi="Times New Roman" w:cs="Times New Roman"/>
          <w:u w:val="single"/>
        </w:rPr>
        <w:t>应</w:t>
      </w:r>
      <w:r>
        <w:rPr>
          <w:rFonts w:hint="eastAsia" w:ascii="Times New Roman" w:hAnsi="Times New Roman" w:cs="Times New Roman"/>
          <w:u w:val="single"/>
        </w:rPr>
        <w:t>进行鉴定</w:t>
      </w:r>
      <w:r>
        <w:rPr>
          <w:rFonts w:ascii="Times New Roman" w:hAnsi="Times New Roman" w:cs="Times New Roman"/>
          <w:u w:val="single"/>
        </w:rPr>
        <w:t>，若鉴别结果</w:t>
      </w:r>
      <w:r>
        <w:rPr>
          <w:rFonts w:hint="eastAsia" w:ascii="Times New Roman" w:hAnsi="Times New Roman" w:cs="Times New Roman"/>
          <w:u w:val="single"/>
        </w:rPr>
        <w:t>符合相关要求，可作为副产品外售。</w:t>
      </w:r>
    </w:p>
    <w:p>
      <w:pPr>
        <w:spacing w:line="360" w:lineRule="auto"/>
        <w:ind w:firstLine="480" w:firstLineChars="200"/>
        <w:rPr>
          <w:rFonts w:ascii="Times New Roman" w:hAnsi="Times New Roman" w:cs="Times New Roman"/>
        </w:rPr>
      </w:pPr>
      <w:r>
        <w:rPr>
          <w:rFonts w:ascii="Times New Roman" w:hAnsi="Times New Roman" w:cs="Times New Roman"/>
        </w:rPr>
        <w:t>项目运营期间产生的危险废物包括：过滤棉、废活性炭（危废代码：HW49，900-041-49）、废布袋（危废代码：HW49，900-041-49）、废机油（危废代码：HW08，900-214-08）、含油抹布（HW49，900-041-49）。以上危险废物在厂区危废暂存间暂存后交由有资质的单位处理。</w:t>
      </w:r>
    </w:p>
    <w:p>
      <w:pPr>
        <w:spacing w:line="360" w:lineRule="auto"/>
        <w:ind w:firstLine="480" w:firstLineChars="200"/>
        <w:rPr>
          <w:rFonts w:ascii="Times New Roman" w:hAnsi="Times New Roman" w:cs="Times New Roman"/>
        </w:rPr>
      </w:pPr>
      <w:r>
        <w:rPr>
          <w:rFonts w:ascii="Times New Roman" w:hAnsi="Times New Roman" w:cs="Times New Roman"/>
        </w:rPr>
        <w:t>本项目运营期间产生的一般工业固体废物包括：梯次利用工艺产生的电池外壳、废BMS、线缆、电池包拆解塑料；预处理过程中产生的外壳及桩头、铜、铝、铁等废旧金属；纯水制备过程中产生的废弃的离子交换树脂；</w:t>
      </w:r>
    </w:p>
    <w:p>
      <w:pPr>
        <w:spacing w:line="360" w:lineRule="auto"/>
        <w:ind w:firstLine="480" w:firstLineChars="200"/>
        <w:rPr>
          <w:rFonts w:ascii="Times New Roman" w:hAnsi="Times New Roman" w:cs="Times New Roman"/>
        </w:rPr>
      </w:pPr>
      <w:r>
        <w:rPr>
          <w:rFonts w:ascii="Times New Roman" w:hAnsi="Times New Roman" w:cs="Times New Roman"/>
        </w:rPr>
        <w:t>其中电池外壳、废BMS、线缆、电池包拆解塑料、外壳及桩头、铜、铝、铁等废旧金属外售给物资回收部门；废弃离子交换树脂以及废弃分子筛交由环卫部门处理。</w:t>
      </w:r>
    </w:p>
    <w:p>
      <w:pPr>
        <w:spacing w:line="360" w:lineRule="auto"/>
        <w:ind w:firstLine="480" w:firstLineChars="200"/>
        <w:rPr>
          <w:rFonts w:ascii="Times New Roman" w:hAnsi="Times New Roman" w:cs="Times New Roman"/>
          <w:color w:val="FF0000"/>
          <w:u w:val="single"/>
        </w:rPr>
      </w:pPr>
      <w:r>
        <w:rPr>
          <w:rFonts w:ascii="Times New Roman" w:hAnsi="Times New Roman" w:cs="Times New Roman"/>
          <w:color w:val="FF0000"/>
          <w:u w:val="single"/>
        </w:rPr>
        <w:t>浸出车间产生的石墨渣、浸出车间产生的铁铝渣和海绵铜渣、废气处理过程中产生的氟化钙</w:t>
      </w:r>
      <w:r>
        <w:rPr>
          <w:rFonts w:hint="eastAsia" w:ascii="Times New Roman" w:hAnsi="Times New Roman" w:cs="Times New Roman"/>
          <w:color w:val="FF0000"/>
          <w:u w:val="single"/>
        </w:rPr>
        <w:t>进行危险废物鉴定，若鉴别结果判定为危险废物，则需交由有危险废物处理资质的单位处置；若鉴定为一般固废，则交由相应的单位进行资源化、无害化处置。</w:t>
      </w:r>
    </w:p>
    <w:p>
      <w:pPr>
        <w:spacing w:line="360" w:lineRule="auto"/>
        <w:ind w:firstLine="480" w:firstLineChars="200"/>
        <w:rPr>
          <w:rFonts w:ascii="Times New Roman" w:hAnsi="Times New Roman" w:cs="Times New Roman"/>
        </w:rPr>
      </w:pPr>
      <w:r>
        <w:rPr>
          <w:rFonts w:ascii="Times New Roman" w:hAnsi="Times New Roman" w:cs="Times New Roman"/>
        </w:rPr>
        <w:t>办公生活垃圾经厂区垃圾桶收集后交由环卫部门处理。</w:t>
      </w:r>
    </w:p>
    <w:p>
      <w:pPr>
        <w:pStyle w:val="5"/>
        <w:ind w:firstLine="482"/>
        <w:rPr>
          <w:rFonts w:ascii="Times New Roman" w:hAnsi="Times New Roman" w:cs="Times New Roman" w:eastAsiaTheme="minorEastAsia"/>
        </w:rPr>
      </w:pPr>
      <w:r>
        <w:rPr>
          <w:rFonts w:ascii="Times New Roman" w:hAnsi="Times New Roman" w:cs="Times New Roman" w:eastAsiaTheme="minorEastAsia"/>
        </w:rPr>
        <w:t>8.2.5.2 管理要求</w:t>
      </w:r>
    </w:p>
    <w:p>
      <w:pPr>
        <w:spacing w:line="360" w:lineRule="auto"/>
        <w:ind w:firstLine="480" w:firstLineChars="200"/>
        <w:rPr>
          <w:rFonts w:ascii="Times New Roman" w:hAnsi="Times New Roman" w:cs="Times New Roman"/>
        </w:rPr>
      </w:pPr>
      <w:r>
        <w:rPr>
          <w:rFonts w:ascii="Times New Roman" w:hAnsi="Times New Roman" w:cs="Times New Roman"/>
        </w:rPr>
        <w:t>通常，固体废物中有害物质通过释放到水体、土壤和大气中而进入环境，对环境造成影响，影响的程度取决于释放过程中污染物的转移量及其进入环境后的浓度。从其产生固体废物的种类及其成份来看，若不妥善处置，有可能对土壤、水体、环境空气质量产生影响。</w:t>
      </w:r>
    </w:p>
    <w:p>
      <w:pPr>
        <w:spacing w:line="360" w:lineRule="auto"/>
        <w:ind w:firstLine="480" w:firstLineChars="200"/>
        <w:rPr>
          <w:rFonts w:ascii="Times New Roman" w:hAnsi="Times New Roman" w:cs="Times New Roman"/>
        </w:rPr>
      </w:pPr>
      <w:r>
        <w:rPr>
          <w:rFonts w:ascii="Times New Roman" w:hAnsi="Times New Roman" w:cs="Times New Roman"/>
        </w:rPr>
        <w:t>项目产生的固废在处理之前，一般需要预先存贮一定数量废物，因此，危险废物的贮存设施应符合《危险废物贮存污染控制标准》（GB18597-2023）的要求。一般工业固体废物贮存过程中执行《一般工业固体废物贮存、处置场污染控制标准》（GB18599-2020）。所有贮存装置必须有良好的防雨防渗设施，可以有效地防止废物中的物质被雨水淋溶排入环境，因此要求所有暂存未处理的废物都必须存放在室内，所有地面都必须水泥硬化，对于综合处理后剩余固废和处理中产生的废物送暂存库暂存。本项目应根据需要，建设危险废物堆放场地，堆放场地基础防渗。设计建造径流疏导系统，堆场内设计雨水收集池。</w:t>
      </w:r>
    </w:p>
    <w:p>
      <w:pPr>
        <w:spacing w:line="360" w:lineRule="auto"/>
        <w:ind w:firstLine="480" w:firstLineChars="200"/>
        <w:rPr>
          <w:rFonts w:ascii="Times New Roman" w:hAnsi="Times New Roman" w:cs="Times New Roman"/>
        </w:rPr>
      </w:pPr>
      <w:r>
        <w:rPr>
          <w:rFonts w:ascii="Times New Roman" w:hAnsi="Times New Roman" w:cs="Times New Roman"/>
        </w:rPr>
        <w:t>对于固体废物的管理和贮存应做好以下工作：</w:t>
      </w:r>
    </w:p>
    <w:p>
      <w:pPr>
        <w:spacing w:line="360" w:lineRule="auto"/>
        <w:ind w:firstLine="480" w:firstLineChars="200"/>
        <w:rPr>
          <w:rFonts w:ascii="Times New Roman" w:hAnsi="Times New Roman" w:cs="Times New Roman"/>
        </w:rPr>
      </w:pPr>
      <w:r>
        <w:rPr>
          <w:rFonts w:ascii="Times New Roman" w:hAnsi="Times New Roman" w:cs="Times New Roman"/>
        </w:rPr>
        <w:t>（1）一般固体废物</w:t>
      </w:r>
    </w:p>
    <w:p>
      <w:pPr>
        <w:spacing w:line="360" w:lineRule="auto"/>
        <w:ind w:firstLine="480" w:firstLineChars="200"/>
        <w:rPr>
          <w:rFonts w:ascii="Times New Roman" w:hAnsi="Times New Roman" w:cs="Times New Roman"/>
        </w:rPr>
      </w:pPr>
      <w:r>
        <w:rPr>
          <w:rFonts w:ascii="Times New Roman" w:hAnsi="Times New Roman" w:cs="Times New Roman"/>
        </w:rPr>
        <w:t>本项目在拆解产物仓库、电池再生料仓库旁设置一个一般固废暂存库（占地面积约200m</w:t>
      </w:r>
      <w:r>
        <w:rPr>
          <w:rFonts w:ascii="Times New Roman" w:hAnsi="Times New Roman" w:cs="Times New Roman"/>
          <w:vertAlign w:val="superscript"/>
        </w:rPr>
        <w:t>2</w:t>
      </w:r>
      <w:r>
        <w:rPr>
          <w:rFonts w:ascii="Times New Roman" w:hAnsi="Times New Roman" w:cs="Times New Roman"/>
        </w:rPr>
        <w:t>）；同时在梯次利用厂房内设置一个占地30m</w:t>
      </w:r>
      <w:r>
        <w:rPr>
          <w:rFonts w:ascii="Times New Roman" w:hAnsi="Times New Roman" w:cs="Times New Roman"/>
          <w:vertAlign w:val="superscript"/>
        </w:rPr>
        <w:t>2</w:t>
      </w:r>
      <w:r>
        <w:rPr>
          <w:rFonts w:ascii="Times New Roman" w:hAnsi="Times New Roman" w:cs="Times New Roman"/>
        </w:rPr>
        <w:t>的一般固废间。一般固废间有防渗漏、防雨、防风设施，并且堆放周期不应过长，原则上日产日清，并做好运输途中方泄漏、洒落措施。</w:t>
      </w:r>
    </w:p>
    <w:p>
      <w:pPr>
        <w:spacing w:line="360" w:lineRule="auto"/>
        <w:ind w:firstLine="480" w:firstLineChars="200"/>
        <w:rPr>
          <w:rFonts w:ascii="Times New Roman" w:hAnsi="Times New Roman" w:cs="Times New Roman"/>
        </w:rPr>
      </w:pPr>
      <w:r>
        <w:rPr>
          <w:rFonts w:ascii="Times New Roman" w:hAnsi="Times New Roman" w:cs="Times New Roman"/>
        </w:rPr>
        <w:t>（2）危险废物</w:t>
      </w:r>
    </w:p>
    <w:p>
      <w:pPr>
        <w:spacing w:line="360" w:lineRule="auto"/>
        <w:ind w:firstLine="480" w:firstLineChars="200"/>
        <w:rPr>
          <w:rFonts w:ascii="Times New Roman" w:hAnsi="Times New Roman" w:cs="Times New Roman"/>
        </w:rPr>
      </w:pPr>
      <w:r>
        <w:rPr>
          <w:rFonts w:ascii="Times New Roman" w:hAnsi="Times New Roman" w:cs="Times New Roman"/>
        </w:rPr>
        <w:t>1）危险废物暂存</w:t>
      </w:r>
    </w:p>
    <w:p>
      <w:pPr>
        <w:spacing w:line="360" w:lineRule="auto"/>
        <w:ind w:firstLine="480" w:firstLineChars="200"/>
        <w:rPr>
          <w:rFonts w:ascii="Times New Roman" w:hAnsi="Times New Roman" w:cs="Times New Roman"/>
        </w:rPr>
      </w:pPr>
      <w:r>
        <w:rPr>
          <w:rFonts w:ascii="Times New Roman" w:hAnsi="Times New Roman" w:cs="Times New Roman"/>
        </w:rPr>
        <w:t>本项目在预处理车间旁位置设置150m</w:t>
      </w:r>
      <w:r>
        <w:rPr>
          <w:rFonts w:ascii="Times New Roman" w:hAnsi="Times New Roman" w:cs="Times New Roman"/>
          <w:vertAlign w:val="superscript"/>
        </w:rPr>
        <w:t>3</w:t>
      </w:r>
      <w:r>
        <w:rPr>
          <w:rFonts w:ascii="Times New Roman" w:hAnsi="Times New Roman" w:cs="Times New Roman"/>
        </w:rPr>
        <w:t>的危险废物暂存间，同时在的梯次利用厂房内设置一个占地20m</w:t>
      </w:r>
      <w:r>
        <w:rPr>
          <w:rFonts w:ascii="Times New Roman" w:hAnsi="Times New Roman" w:cs="Times New Roman"/>
          <w:vertAlign w:val="superscript"/>
        </w:rPr>
        <w:t>2</w:t>
      </w:r>
      <w:r>
        <w:rPr>
          <w:rFonts w:ascii="Times New Roman" w:hAnsi="Times New Roman" w:cs="Times New Roman"/>
        </w:rPr>
        <w:t>的危废间，为保证厂区内暂存的危险废物不对环境产生污染，依据《危险废物贮存污染控制标准》（GB18597-2023）建设单位要确保危险废物暂存设施需满足以下安全措施：</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1 \* GB3</w:instrText>
      </w:r>
      <w:r>
        <w:rPr>
          <w:rFonts w:ascii="Times New Roman" w:hAnsi="Times New Roman" w:cs="Times New Roman"/>
        </w:rPr>
        <w:fldChar w:fldCharType="separate"/>
      </w:r>
      <w:r>
        <w:rPr>
          <w:rFonts w:hint="eastAsia" w:ascii="宋体" w:hAnsi="宋体" w:eastAsia="宋体" w:cs="宋体"/>
        </w:rPr>
        <w:t>①</w:t>
      </w:r>
      <w:r>
        <w:rPr>
          <w:rFonts w:ascii="Times New Roman" w:hAnsi="Times New Roman" w:cs="Times New Roman"/>
        </w:rPr>
        <w:fldChar w:fldCharType="end"/>
      </w:r>
      <w:r>
        <w:rPr>
          <w:rFonts w:ascii="Times New Roman" w:hAnsi="Times New Roman" w:cs="Times New Roman"/>
        </w:rPr>
        <w:t>危险废物的收集应根据危险废物产生的工艺特征、排放周期、危险废物特性、废物管理计划等因素制定收集计划、制定详细的操作规程并配备必要的个人防护装备。</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2 \* GB3</w:instrText>
      </w:r>
      <w:r>
        <w:rPr>
          <w:rFonts w:ascii="Times New Roman" w:hAnsi="Times New Roman" w:cs="Times New Roman"/>
        </w:rPr>
        <w:fldChar w:fldCharType="separate"/>
      </w:r>
      <w:r>
        <w:rPr>
          <w:rFonts w:hint="eastAsia" w:ascii="宋体" w:hAnsi="宋体" w:eastAsia="宋体" w:cs="宋体"/>
        </w:rPr>
        <w:t>②</w:t>
      </w:r>
      <w:r>
        <w:rPr>
          <w:rFonts w:ascii="Times New Roman" w:hAnsi="Times New Roman" w:cs="Times New Roman"/>
        </w:rPr>
        <w:fldChar w:fldCharType="end"/>
      </w:r>
      <w:r>
        <w:rPr>
          <w:rFonts w:ascii="Times New Roman" w:hAnsi="Times New Roman" w:cs="Times New Roman"/>
        </w:rPr>
        <w:t>危险废物收集时，应合理确定包装形式，包装材质要与危险废物相容；不相容的危险废物不应混合包装；包装应能有效隔断危险废物迁移扩散途径，并达到防渗、防漏要求；包装好的危险废物应设置相应的标签，标签信息应填写完整翔实。</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3 \* GB3</w:instrText>
      </w:r>
      <w:r>
        <w:rPr>
          <w:rFonts w:ascii="Times New Roman" w:hAnsi="Times New Roman" w:cs="Times New Roman"/>
        </w:rPr>
        <w:fldChar w:fldCharType="separate"/>
      </w:r>
      <w:r>
        <w:rPr>
          <w:rFonts w:hint="eastAsia" w:ascii="宋体" w:hAnsi="宋体" w:eastAsia="宋体" w:cs="宋体"/>
        </w:rPr>
        <w:t>③</w:t>
      </w:r>
      <w:r>
        <w:rPr>
          <w:rFonts w:ascii="Times New Roman" w:hAnsi="Times New Roman" w:cs="Times New Roman"/>
        </w:rPr>
        <w:fldChar w:fldCharType="end"/>
      </w:r>
      <w:r>
        <w:rPr>
          <w:rFonts w:ascii="Times New Roman" w:hAnsi="Times New Roman" w:cs="Times New Roman"/>
        </w:rPr>
        <w:t>根据收集设备、运转车辆以及现场人员等实际情况确定相应作业区域，同时设置作业界线标志和警示牌；作业区域内设置危废收集专用通道和人员避险通道等。</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4 \* GB3</w:instrText>
      </w:r>
      <w:r>
        <w:rPr>
          <w:rFonts w:ascii="Times New Roman" w:hAnsi="Times New Roman" w:cs="Times New Roman"/>
        </w:rPr>
        <w:fldChar w:fldCharType="separate"/>
      </w:r>
      <w:r>
        <w:rPr>
          <w:rFonts w:hint="eastAsia" w:ascii="宋体" w:hAnsi="宋体" w:eastAsia="宋体" w:cs="宋体"/>
        </w:rPr>
        <w:t>④</w:t>
      </w:r>
      <w:r>
        <w:rPr>
          <w:rFonts w:ascii="Times New Roman" w:hAnsi="Times New Roman" w:cs="Times New Roman"/>
        </w:rPr>
        <w:fldChar w:fldCharType="end"/>
      </w:r>
      <w:r>
        <w:rPr>
          <w:rFonts w:ascii="Times New Roman" w:hAnsi="Times New Roman" w:cs="Times New Roman"/>
        </w:rPr>
        <w:t>内部转运尽量避开办公区和生活区，并填写《危险废物厂内转运记录表》等。</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5 \* GB3</w:instrText>
      </w:r>
      <w:r>
        <w:rPr>
          <w:rFonts w:ascii="Times New Roman" w:hAnsi="Times New Roman" w:cs="Times New Roman"/>
        </w:rPr>
        <w:fldChar w:fldCharType="separate"/>
      </w:r>
      <w:r>
        <w:rPr>
          <w:rFonts w:hint="eastAsia" w:ascii="宋体" w:hAnsi="宋体" w:eastAsia="宋体" w:cs="宋体"/>
        </w:rPr>
        <w:t>⑤</w:t>
      </w:r>
      <w:r>
        <w:rPr>
          <w:rFonts w:ascii="Times New Roman" w:hAnsi="Times New Roman" w:cs="Times New Roman"/>
        </w:rPr>
        <w:fldChar w:fldCharType="end"/>
      </w:r>
      <w:r>
        <w:rPr>
          <w:rFonts w:ascii="Times New Roman" w:hAnsi="Times New Roman" w:cs="Times New Roman"/>
        </w:rPr>
        <w:t>危险废物贮存采取设置室内单独间临时贮存方式，禁止一般废物与危险废物混放，并针对危险废物设置环境保护图形标志和警示标志；按照危险废物的种类和特性进行分区贮存，每个贮存区域之间宜设置挡墙间隔，并设置防雨、防火、防雷、防扬尘装置；危险废物贮存间应留有搬运通道，并做到及时清运。</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6 \* GB3</w:instrText>
      </w:r>
      <w:r>
        <w:rPr>
          <w:rFonts w:ascii="Times New Roman" w:hAnsi="Times New Roman" w:cs="Times New Roman"/>
        </w:rPr>
        <w:fldChar w:fldCharType="separate"/>
      </w:r>
      <w:r>
        <w:rPr>
          <w:rFonts w:hint="eastAsia" w:ascii="宋体" w:hAnsi="宋体" w:eastAsia="宋体" w:cs="宋体"/>
        </w:rPr>
        <w:t>⑥</w:t>
      </w:r>
      <w:r>
        <w:rPr>
          <w:rFonts w:ascii="Times New Roman" w:hAnsi="Times New Roman" w:cs="Times New Roman"/>
        </w:rPr>
        <w:fldChar w:fldCharType="end"/>
      </w:r>
      <w:r>
        <w:rPr>
          <w:rFonts w:ascii="Times New Roman" w:hAnsi="Times New Roman" w:cs="Times New Roman"/>
        </w:rPr>
        <w:t>临时贮存场所内基础必须防渗，用以存放装载液体、半固体危险废物容器的地方，必须有耐腐蚀的硬化地面，且表面无缝隙。</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7 \* GB3</w:instrText>
      </w:r>
      <w:r>
        <w:rPr>
          <w:rFonts w:ascii="Times New Roman" w:hAnsi="Times New Roman" w:cs="Times New Roman"/>
        </w:rPr>
        <w:fldChar w:fldCharType="separate"/>
      </w:r>
      <w:r>
        <w:rPr>
          <w:rFonts w:hint="eastAsia" w:ascii="宋体" w:hAnsi="宋体" w:eastAsia="宋体" w:cs="宋体"/>
        </w:rPr>
        <w:t>⑦</w:t>
      </w:r>
      <w:r>
        <w:rPr>
          <w:rFonts w:ascii="Times New Roman" w:hAnsi="Times New Roman" w:cs="Times New Roman"/>
        </w:rPr>
        <w:fldChar w:fldCharType="end"/>
      </w:r>
      <w:r>
        <w:rPr>
          <w:rFonts w:ascii="Times New Roman" w:hAnsi="Times New Roman" w:cs="Times New Roman"/>
        </w:rPr>
        <w:t>建立危险废物档案制度，对暂存的废物种类、数量、特性、包装容器类别、存放库位、存入日期、运出日期等详细记录在案并长期保存。</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8 \* GB3</w:instrText>
      </w:r>
      <w:r>
        <w:rPr>
          <w:rFonts w:ascii="Times New Roman" w:hAnsi="Times New Roman" w:cs="Times New Roman"/>
        </w:rPr>
        <w:fldChar w:fldCharType="separate"/>
      </w:r>
      <w:r>
        <w:rPr>
          <w:rFonts w:hint="eastAsia" w:ascii="宋体" w:hAnsi="宋体" w:eastAsia="宋体" w:cs="宋体"/>
        </w:rPr>
        <w:t>⑧</w:t>
      </w:r>
      <w:r>
        <w:rPr>
          <w:rFonts w:ascii="Times New Roman" w:hAnsi="Times New Roman" w:cs="Times New Roman"/>
        </w:rPr>
        <w:fldChar w:fldCharType="end"/>
      </w:r>
      <w:r>
        <w:rPr>
          <w:rFonts w:ascii="Times New Roman" w:hAnsi="Times New Roman" w:cs="Times New Roman"/>
        </w:rPr>
        <w:t>建立危险废物存放装置的定期巡查、维护制度。</w:t>
      </w:r>
    </w:p>
    <w:p>
      <w:pPr>
        <w:spacing w:line="360" w:lineRule="auto"/>
        <w:ind w:firstLine="480" w:firstLineChars="200"/>
        <w:rPr>
          <w:rFonts w:ascii="Times New Roman" w:hAnsi="Times New Roman" w:cs="Times New Roman"/>
        </w:rPr>
      </w:pPr>
      <w:r>
        <w:rPr>
          <w:rFonts w:ascii="Times New Roman" w:hAnsi="Times New Roman" w:cs="Times New Roman"/>
        </w:rPr>
        <w:t>2）危险废物转移相关规定</w:t>
      </w:r>
    </w:p>
    <w:p>
      <w:pPr>
        <w:spacing w:line="360" w:lineRule="auto"/>
        <w:ind w:firstLine="480" w:firstLineChars="200"/>
        <w:rPr>
          <w:rFonts w:ascii="Times New Roman" w:hAnsi="Times New Roman" w:cs="Times New Roman"/>
        </w:rPr>
      </w:pPr>
      <w:r>
        <w:rPr>
          <w:rFonts w:ascii="Times New Roman" w:hAnsi="Times New Roman" w:cs="Times New Roman"/>
        </w:rPr>
        <w:t>根据国务院令第591号《危险化学品安全管理条例》、原国家环境保护总局令第5号《危险废物转移联单管理办法》有关规定，在危险废物外运至处置单位时必须严格遵守以下要求：</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1 \* GB3</w:instrText>
      </w:r>
      <w:r>
        <w:rPr>
          <w:rFonts w:ascii="Times New Roman" w:hAnsi="Times New Roman" w:cs="Times New Roman"/>
        </w:rPr>
        <w:fldChar w:fldCharType="separate"/>
      </w:r>
      <w:r>
        <w:rPr>
          <w:rFonts w:hint="eastAsia" w:ascii="宋体" w:hAnsi="宋体" w:eastAsia="宋体" w:cs="宋体"/>
        </w:rPr>
        <w:t>①</w:t>
      </w:r>
      <w:r>
        <w:rPr>
          <w:rFonts w:ascii="Times New Roman" w:hAnsi="Times New Roman" w:cs="Times New Roman"/>
        </w:rPr>
        <w:fldChar w:fldCharType="end"/>
      </w:r>
      <w:r>
        <w:rPr>
          <w:rFonts w:ascii="Times New Roman" w:hAnsi="Times New Roman" w:cs="Times New Roman"/>
        </w:rPr>
        <w:t>危险废物在转移前，建设单位须按照国家有关规定报批危险废物转移计划；经批准后，建设单位应当向当地环境保护行政主管部门申请领取联单。转移前三日内报告移出地环境保护行政主管部门，并同时将预期到达时间报告接受地环境保护行政主管部门。</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2 \* GB3</w:instrText>
      </w:r>
      <w:r>
        <w:rPr>
          <w:rFonts w:ascii="Times New Roman" w:hAnsi="Times New Roman" w:cs="Times New Roman"/>
        </w:rPr>
        <w:fldChar w:fldCharType="separate"/>
      </w:r>
      <w:r>
        <w:rPr>
          <w:rFonts w:hint="eastAsia" w:ascii="宋体" w:hAnsi="宋体" w:eastAsia="宋体" w:cs="宋体"/>
        </w:rPr>
        <w:t>②</w:t>
      </w:r>
      <w:r>
        <w:rPr>
          <w:rFonts w:ascii="Times New Roman" w:hAnsi="Times New Roman" w:cs="Times New Roman"/>
        </w:rPr>
        <w:fldChar w:fldCharType="end"/>
      </w:r>
      <w:r>
        <w:rPr>
          <w:rFonts w:ascii="Times New Roman" w:hAnsi="Times New Roman" w:cs="Times New Roman"/>
        </w:rPr>
        <w:t>危险废物产生单位每转移一车、船（次）同类危险废物，应填写一份联单。每车、船（次）有多类危险废物的，应当按每一类危险废物填写一份联单。</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3 \* GB3</w:instrText>
      </w:r>
      <w:r>
        <w:rPr>
          <w:rFonts w:ascii="Times New Roman" w:hAnsi="Times New Roman" w:cs="Times New Roman"/>
        </w:rPr>
        <w:fldChar w:fldCharType="separate"/>
      </w:r>
      <w:r>
        <w:rPr>
          <w:rFonts w:hint="eastAsia" w:ascii="宋体" w:hAnsi="宋体" w:eastAsia="宋体" w:cs="宋体"/>
        </w:rPr>
        <w:t>③</w:t>
      </w:r>
      <w:r>
        <w:rPr>
          <w:rFonts w:ascii="Times New Roman" w:hAnsi="Times New Roman" w:cs="Times New Roman"/>
        </w:rPr>
        <w:fldChar w:fldCharType="end"/>
      </w:r>
      <w:r>
        <w:rPr>
          <w:rFonts w:ascii="Times New Roman" w:hAnsi="Times New Roman" w:cs="Times New Roman"/>
        </w:rPr>
        <w:t>危险废物运输单位应当如实填写联单的运输单位栏目，按照国家有关危险物品运输的规定，将危险废物安全运抵联单载明的接受地点，并将联单第一联、第二联副联、第三联、第四联、第五联随转移的危险废物交付危险废物接受单位。</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4 \* GB3</w:instrText>
      </w:r>
      <w:r>
        <w:rPr>
          <w:rFonts w:ascii="Times New Roman" w:hAnsi="Times New Roman" w:cs="Times New Roman"/>
        </w:rPr>
        <w:fldChar w:fldCharType="separate"/>
      </w:r>
      <w:r>
        <w:rPr>
          <w:rFonts w:hint="eastAsia" w:ascii="宋体" w:hAnsi="宋体" w:eastAsia="宋体" w:cs="宋体"/>
        </w:rPr>
        <w:t>④</w:t>
      </w:r>
      <w:r>
        <w:rPr>
          <w:rFonts w:ascii="Times New Roman" w:hAnsi="Times New Roman" w:cs="Times New Roman"/>
        </w:rPr>
        <w:fldChar w:fldCharType="end"/>
      </w:r>
      <w:r>
        <w:rPr>
          <w:rFonts w:ascii="Times New Roman" w:hAnsi="Times New Roman" w:cs="Times New Roman"/>
        </w:rPr>
        <w:t>危险废物接受单位应当按照联单填写的内容对危险废物核实验收，如实填写联单中接受单位栏目并加盖公章。接受单位应当将联单第一联、第二联副联自接受危险废物之日起十日内交付建设单位，联单第一联由建设单位自留存档，联单第二联副联由建设单位在二日内报送环境主管部门。</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5 \* GB3</w:instrText>
      </w:r>
      <w:r>
        <w:rPr>
          <w:rFonts w:ascii="Times New Roman" w:hAnsi="Times New Roman" w:cs="Times New Roman"/>
        </w:rPr>
        <w:fldChar w:fldCharType="separate"/>
      </w:r>
      <w:r>
        <w:rPr>
          <w:rFonts w:hint="eastAsia" w:ascii="宋体" w:hAnsi="宋体" w:eastAsia="宋体" w:cs="宋体"/>
        </w:rPr>
        <w:t>⑤</w:t>
      </w:r>
      <w:r>
        <w:rPr>
          <w:rFonts w:ascii="Times New Roman" w:hAnsi="Times New Roman" w:cs="Times New Roman"/>
        </w:rPr>
        <w:fldChar w:fldCharType="end"/>
      </w:r>
      <w:r>
        <w:rPr>
          <w:rFonts w:ascii="Times New Roman" w:hAnsi="Times New Roman" w:cs="Times New Roman"/>
        </w:rPr>
        <w:t>联单保存期限为五年；贮存危险废物的，其联单保存期限与危险废物贮存期限相同。环境保护行政主管部门认为有必要延长联单保存期限的，产生单位应当按照要求延期保存联单。</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6 \* GB3</w:instrText>
      </w:r>
      <w:r>
        <w:rPr>
          <w:rFonts w:ascii="Times New Roman" w:hAnsi="Times New Roman" w:cs="Times New Roman"/>
        </w:rPr>
        <w:fldChar w:fldCharType="separate"/>
      </w:r>
      <w:r>
        <w:rPr>
          <w:rFonts w:hint="eastAsia" w:ascii="宋体" w:hAnsi="宋体" w:eastAsia="宋体" w:cs="宋体"/>
        </w:rPr>
        <w:t>⑥</w:t>
      </w:r>
      <w:r>
        <w:rPr>
          <w:rFonts w:ascii="Times New Roman" w:hAnsi="Times New Roman" w:cs="Times New Roman"/>
        </w:rPr>
        <w:fldChar w:fldCharType="end"/>
      </w:r>
      <w:r>
        <w:rPr>
          <w:rFonts w:ascii="Times New Roman" w:hAnsi="Times New Roman" w:cs="Times New Roman"/>
        </w:rPr>
        <w:t>废弃物处置单位的运输人员必须掌握危险化学品运输的安全知识，了解所运载的危险化学品的性质、危害特性、包装容器的使用特性和发生意外时的应急措施。运输车辆必须具有车辆危险货物运输许可证。驾驶人员必须由取得驾驶执照的熟练人员担任。</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7 \* GB3</w:instrText>
      </w:r>
      <w:r>
        <w:rPr>
          <w:rFonts w:ascii="Times New Roman" w:hAnsi="Times New Roman" w:cs="Times New Roman"/>
        </w:rPr>
        <w:fldChar w:fldCharType="separate"/>
      </w:r>
      <w:r>
        <w:rPr>
          <w:rFonts w:hint="eastAsia" w:ascii="宋体" w:hAnsi="宋体" w:eastAsia="宋体" w:cs="宋体"/>
        </w:rPr>
        <w:t>⑦</w:t>
      </w:r>
      <w:r>
        <w:rPr>
          <w:rFonts w:ascii="Times New Roman" w:hAnsi="Times New Roman" w:cs="Times New Roman"/>
        </w:rPr>
        <w:fldChar w:fldCharType="end"/>
      </w:r>
      <w:r>
        <w:rPr>
          <w:rFonts w:ascii="Times New Roman" w:hAnsi="Times New Roman" w:cs="Times New Roman"/>
        </w:rPr>
        <w:t>处置单位在运输危险废物时必须配备押运人员，并随时处于押运人员的监管之下，不得超装、超载，严格按照所在城市规定的行车时间和行车路线行驶，不得进入危险化学品运输车辆禁止通行的区域。</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8 \* GB3</w:instrText>
      </w:r>
      <w:r>
        <w:rPr>
          <w:rFonts w:ascii="Times New Roman" w:hAnsi="Times New Roman" w:cs="Times New Roman"/>
        </w:rPr>
        <w:fldChar w:fldCharType="separate"/>
      </w:r>
      <w:r>
        <w:rPr>
          <w:rFonts w:hint="eastAsia" w:ascii="宋体" w:hAnsi="宋体" w:eastAsia="宋体" w:cs="宋体"/>
        </w:rPr>
        <w:t>⑧</w:t>
      </w:r>
      <w:r>
        <w:rPr>
          <w:rFonts w:ascii="Times New Roman" w:hAnsi="Times New Roman" w:cs="Times New Roman"/>
        </w:rPr>
        <w:fldChar w:fldCharType="end"/>
      </w:r>
      <w:r>
        <w:rPr>
          <w:rFonts w:ascii="Times New Roman" w:hAnsi="Times New Roman" w:cs="Times New Roman"/>
        </w:rPr>
        <w:t>危险废物在运输途中若发生被盗、丢失、流散、泄漏等情况时，公司及押运人员必须立即向当地公安部门报告，并采取一切可能的警示措施。</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9 \* GB3</w:instrText>
      </w:r>
      <w:r>
        <w:rPr>
          <w:rFonts w:ascii="Times New Roman" w:hAnsi="Times New Roman" w:cs="Times New Roman"/>
        </w:rPr>
        <w:fldChar w:fldCharType="separate"/>
      </w:r>
      <w:r>
        <w:rPr>
          <w:rFonts w:hint="eastAsia" w:ascii="宋体" w:hAnsi="宋体" w:eastAsia="宋体" w:cs="宋体"/>
        </w:rPr>
        <w:t>⑨</w:t>
      </w:r>
      <w:r>
        <w:rPr>
          <w:rFonts w:ascii="Times New Roman" w:hAnsi="Times New Roman" w:cs="Times New Roman"/>
        </w:rPr>
        <w:fldChar w:fldCharType="end"/>
      </w:r>
      <w:r>
        <w:rPr>
          <w:rFonts w:ascii="Times New Roman" w:hAnsi="Times New Roman" w:cs="Times New Roman"/>
        </w:rPr>
        <w:t>一旦发生废弃物泄漏事故，公司和废弃物处置单位都应积极协助有关部门采取必要的安全措施，减少事故损失，防止事故蔓延、扩大；针对事故对人体、动植物、土壤、水源、空气造成的现实危害和可能产生的危害，应迅速采取封闭、隔离、洗消等措施，并对一事故造成的危害进行监测、处置，直至符合国家环境保护标准。</w:t>
      </w:r>
    </w:p>
    <w:p>
      <w:pPr>
        <w:spacing w:line="360" w:lineRule="auto"/>
        <w:ind w:firstLine="480" w:firstLineChars="200"/>
        <w:rPr>
          <w:rFonts w:ascii="Times New Roman" w:hAnsi="Times New Roman" w:cs="Times New Roman"/>
        </w:rPr>
      </w:pPr>
      <w:r>
        <w:rPr>
          <w:rFonts w:ascii="Times New Roman" w:hAnsi="Times New Roman" w:cs="Times New Roman"/>
        </w:rPr>
        <w:t>综上所述，本项目产生的固体废物进行分类后，其中危险废物委托具有相关处理资质的单位处置，一般废物定期清运，不会对环境产生二次污染，其处置方法及去向具有可行性。</w:t>
      </w:r>
    </w:p>
    <w:p>
      <w:pPr>
        <w:spacing w:line="360" w:lineRule="auto"/>
        <w:ind w:firstLine="480" w:firstLineChars="200"/>
        <w:rPr>
          <w:rFonts w:ascii="Times New Roman" w:hAnsi="Times New Roman" w:cs="Times New Roman"/>
        </w:rPr>
      </w:pPr>
      <w:r>
        <w:rPr>
          <w:rFonts w:ascii="Times New Roman" w:hAnsi="Times New Roman" w:cs="Times New Roman"/>
        </w:rPr>
        <w:t>建设单位按上述措施分类处理，各类废物经妥善处理后，对周边环境无影响。</w:t>
      </w:r>
    </w:p>
    <w:p>
      <w:pPr>
        <w:pStyle w:val="4"/>
        <w:rPr>
          <w:rFonts w:ascii="Times New Roman" w:hAnsi="Times New Roman" w:cs="Times New Roman"/>
        </w:rPr>
      </w:pPr>
      <w:bookmarkStart w:id="554" w:name="_Toc144276998"/>
      <w:bookmarkStart w:id="555" w:name="_Toc144236868"/>
      <w:bookmarkStart w:id="556" w:name="_Toc147848116"/>
      <w:r>
        <w:rPr>
          <w:rFonts w:ascii="Times New Roman" w:hAnsi="Times New Roman" w:cs="Times New Roman"/>
        </w:rPr>
        <w:t>8.2.6 运营期土壤污染防治措施分析</w:t>
      </w:r>
      <w:bookmarkEnd w:id="554"/>
      <w:bookmarkEnd w:id="555"/>
      <w:bookmarkEnd w:id="556"/>
    </w:p>
    <w:p>
      <w:pPr>
        <w:spacing w:line="360" w:lineRule="auto"/>
        <w:ind w:firstLine="480" w:firstLineChars="200"/>
        <w:rPr>
          <w:rFonts w:ascii="Times New Roman" w:hAnsi="Times New Roman" w:cs="Times New Roman"/>
        </w:rPr>
      </w:pPr>
      <w:r>
        <w:rPr>
          <w:rFonts w:ascii="Times New Roman" w:hAnsi="Times New Roman" w:cs="Times New Roman"/>
        </w:rPr>
        <w:t>根据土壤环境影响分析内容，项目可能通过大气沉降、地面漫流、垂直入渗等方式对土壤造成影响。因此，根据《环境影响评价技术导则土壤环境（试行）》（HJ964-2018）相关要求，建设单位应做到以下几点：</w:t>
      </w:r>
    </w:p>
    <w:p>
      <w:pPr>
        <w:spacing w:line="360" w:lineRule="auto"/>
        <w:ind w:firstLine="480" w:firstLineChars="200"/>
        <w:rPr>
          <w:rFonts w:ascii="Times New Roman" w:hAnsi="Times New Roman" w:cs="Times New Roman"/>
        </w:rPr>
      </w:pPr>
      <w:r>
        <w:rPr>
          <w:rFonts w:ascii="Times New Roman" w:hAnsi="Times New Roman" w:cs="Times New Roman"/>
        </w:rPr>
        <w:t>（1）加强绿化</w:t>
      </w:r>
    </w:p>
    <w:p>
      <w:pPr>
        <w:spacing w:line="360" w:lineRule="auto"/>
        <w:ind w:firstLine="480" w:firstLineChars="200"/>
        <w:rPr>
          <w:rFonts w:ascii="Times New Roman" w:hAnsi="Times New Roman" w:cs="Times New Roman"/>
        </w:rPr>
      </w:pPr>
      <w:r>
        <w:rPr>
          <w:rFonts w:ascii="Times New Roman" w:hAnsi="Times New Roman" w:cs="Times New Roman"/>
        </w:rPr>
        <w:t>项目占地范围内及项目南侧空地应加强绿化，以种植具有较强吸附能力又耐旱的植被为主。</w:t>
      </w:r>
    </w:p>
    <w:p>
      <w:pPr>
        <w:spacing w:line="360" w:lineRule="auto"/>
        <w:ind w:firstLine="480" w:firstLineChars="200"/>
        <w:rPr>
          <w:rFonts w:ascii="Times New Roman" w:hAnsi="Times New Roman" w:cs="Times New Roman"/>
        </w:rPr>
      </w:pPr>
      <w:r>
        <w:rPr>
          <w:rFonts w:ascii="Times New Roman" w:hAnsi="Times New Roman" w:cs="Times New Roman"/>
        </w:rPr>
        <w:t>（2）厂区硬化、事故废水收集</w:t>
      </w:r>
    </w:p>
    <w:p>
      <w:pPr>
        <w:spacing w:line="360" w:lineRule="auto"/>
        <w:ind w:firstLine="480" w:firstLineChars="200"/>
        <w:rPr>
          <w:rFonts w:ascii="Times New Roman" w:hAnsi="Times New Roman" w:cs="Times New Roman"/>
        </w:rPr>
      </w:pPr>
      <w:r>
        <w:rPr>
          <w:rFonts w:ascii="Times New Roman" w:hAnsi="Times New Roman" w:cs="Times New Roman"/>
        </w:rPr>
        <w:t>项目厂区地面硬化、围墙，并设置事故废水收集池，对事故状态下的泄漏物及消防废水进行收集，确保项目废水不出厂。</w:t>
      </w:r>
    </w:p>
    <w:p>
      <w:pPr>
        <w:spacing w:line="360" w:lineRule="auto"/>
        <w:ind w:firstLine="480" w:firstLineChars="200"/>
        <w:rPr>
          <w:rFonts w:ascii="Times New Roman" w:hAnsi="Times New Roman" w:cs="Times New Roman"/>
        </w:rPr>
      </w:pPr>
      <w:r>
        <w:rPr>
          <w:rFonts w:ascii="Times New Roman" w:hAnsi="Times New Roman" w:cs="Times New Roman"/>
        </w:rPr>
        <w:t>（3）源头控制措施</w:t>
      </w:r>
    </w:p>
    <w:p>
      <w:pPr>
        <w:spacing w:line="360" w:lineRule="auto"/>
        <w:ind w:firstLine="480" w:firstLineChars="200"/>
        <w:rPr>
          <w:rFonts w:ascii="Times New Roman" w:hAnsi="Times New Roman" w:cs="Times New Roman"/>
        </w:rPr>
      </w:pPr>
      <w:r>
        <w:rPr>
          <w:rFonts w:ascii="Times New Roman" w:hAnsi="Times New Roman" w:cs="Times New Roman"/>
        </w:rPr>
        <w:t>本项目将选择先进、成熟、可靠的工艺技术和较清洁的原辅材料，并对产生的废物进行合理的回用和治理，以尽可能从源头上减少污染物排放；严格按照国家相关规范要求，对工艺、管道、设备采取相应的措施，以防止和降低污染物的跑、冒、滴、漏，将污染物泄漏的环境风险事故降低到最低程度。</w:t>
      </w:r>
    </w:p>
    <w:p>
      <w:pPr>
        <w:spacing w:line="360" w:lineRule="auto"/>
        <w:ind w:firstLine="480" w:firstLineChars="200"/>
        <w:rPr>
          <w:rFonts w:ascii="Times New Roman" w:hAnsi="Times New Roman" w:cs="Times New Roman"/>
        </w:rPr>
      </w:pPr>
      <w:r>
        <w:rPr>
          <w:rFonts w:ascii="Times New Roman" w:hAnsi="Times New Roman" w:cs="Times New Roman"/>
        </w:rPr>
        <w:t>（4）分区防渗</w:t>
      </w:r>
    </w:p>
    <w:p>
      <w:pPr>
        <w:spacing w:line="360" w:lineRule="auto"/>
        <w:ind w:firstLine="480" w:firstLineChars="200"/>
        <w:rPr>
          <w:rFonts w:ascii="Times New Roman" w:hAnsi="Times New Roman" w:cs="Times New Roman"/>
        </w:rPr>
      </w:pPr>
      <w:r>
        <w:rPr>
          <w:rFonts w:ascii="Times New Roman" w:hAnsi="Times New Roman" w:cs="Times New Roman"/>
        </w:rPr>
        <w:t>根据厂区各生产功能单元可能泄漏至地面区域的污染物性质和生产单元的构筑方式等，将厂区划分为重点防渗区、一般防渗区和简单防渗区。</w:t>
      </w:r>
    </w:p>
    <w:p>
      <w:pPr>
        <w:spacing w:line="360" w:lineRule="auto"/>
        <w:ind w:firstLine="480" w:firstLineChars="200"/>
        <w:rPr>
          <w:rFonts w:ascii="Times New Roman" w:hAnsi="Times New Roman" w:cs="Times New Roman"/>
        </w:rPr>
      </w:pPr>
      <w:r>
        <w:rPr>
          <w:rFonts w:ascii="Times New Roman" w:hAnsi="Times New Roman" w:cs="Times New Roman"/>
        </w:rPr>
        <w:t>项目重点防渗区采用钢筋混凝土结构，并采用2mm厚的HDPE防渗膜，重点防渗区的防渗性能应与6.0m厚粘土层（渗透系数1.0×10</w:t>
      </w:r>
      <w:r>
        <w:rPr>
          <w:rFonts w:ascii="Times New Roman" w:hAnsi="Times New Roman" w:cs="Times New Roman"/>
          <w:vertAlign w:val="superscript"/>
        </w:rPr>
        <w:t>-7</w:t>
      </w:r>
      <w:r>
        <w:rPr>
          <w:rFonts w:ascii="Times New Roman" w:hAnsi="Times New Roman" w:cs="Times New Roman"/>
        </w:rPr>
        <w:t>cm/s）等效。</w:t>
      </w:r>
    </w:p>
    <w:p>
      <w:pPr>
        <w:spacing w:line="360" w:lineRule="auto"/>
        <w:ind w:firstLine="480" w:firstLineChars="200"/>
        <w:rPr>
          <w:rFonts w:ascii="Times New Roman" w:hAnsi="Times New Roman" w:cs="Times New Roman"/>
        </w:rPr>
      </w:pPr>
      <w:r>
        <w:rPr>
          <w:rFonts w:ascii="Times New Roman" w:hAnsi="Times New Roman" w:cs="Times New Roman"/>
        </w:rPr>
        <w:t>一般防渗区主要采用混凝土防渗，一般防渗区的防渗性能应与1.5m厚粘土层（渗透系数1.0×10</w:t>
      </w:r>
      <w:r>
        <w:rPr>
          <w:rFonts w:ascii="Times New Roman" w:hAnsi="Times New Roman" w:cs="Times New Roman"/>
          <w:vertAlign w:val="superscript"/>
        </w:rPr>
        <w:t>-7</w:t>
      </w:r>
      <w:r>
        <w:rPr>
          <w:rFonts w:ascii="Times New Roman" w:hAnsi="Times New Roman" w:cs="Times New Roman"/>
        </w:rPr>
        <w:t>cm/s）等效。</w:t>
      </w:r>
    </w:p>
    <w:p>
      <w:pPr>
        <w:spacing w:line="360" w:lineRule="auto"/>
        <w:ind w:firstLine="480" w:firstLineChars="200"/>
        <w:rPr>
          <w:rFonts w:ascii="Times New Roman" w:hAnsi="Times New Roman" w:cs="Times New Roman"/>
        </w:rPr>
      </w:pPr>
      <w:r>
        <w:rPr>
          <w:rFonts w:ascii="Times New Roman" w:hAnsi="Times New Roman" w:cs="Times New Roman"/>
        </w:rPr>
        <w:t>简单防渗区是指厂区其他未绿化区域，采用一般地面硬化。</w:t>
      </w:r>
    </w:p>
    <w:p>
      <w:pPr>
        <w:spacing w:line="360" w:lineRule="auto"/>
        <w:ind w:firstLine="480" w:firstLineChars="200"/>
        <w:rPr>
          <w:rFonts w:ascii="Times New Roman" w:hAnsi="Times New Roman" w:cs="Times New Roman"/>
        </w:rPr>
      </w:pPr>
      <w:r>
        <w:rPr>
          <w:rFonts w:ascii="Times New Roman" w:hAnsi="Times New Roman" w:cs="Times New Roman"/>
        </w:rPr>
        <w:t>（5）其他防治措施</w:t>
      </w:r>
    </w:p>
    <w:p>
      <w:pPr>
        <w:spacing w:line="360" w:lineRule="auto"/>
        <w:ind w:firstLine="480" w:firstLineChars="200"/>
        <w:rPr>
          <w:rFonts w:ascii="Times New Roman" w:hAnsi="Times New Roman" w:cs="Times New Roman"/>
        </w:rPr>
      </w:pPr>
      <w:r>
        <w:rPr>
          <w:rFonts w:ascii="Times New Roman" w:hAnsi="Times New Roman" w:cs="Times New Roman"/>
        </w:rPr>
        <w:t>加强日常环境管理，确保防护及防渗设施完好，一旦出现泄漏污染问题，应立即查找泄漏源，并采取有效补漏措施，避免渗漏污染土壤。</w:t>
      </w:r>
    </w:p>
    <w:p>
      <w:pPr>
        <w:spacing w:line="360" w:lineRule="auto"/>
        <w:ind w:firstLine="480" w:firstLineChars="200"/>
        <w:rPr>
          <w:rFonts w:ascii="Times New Roman" w:hAnsi="Times New Roman" w:cs="Times New Roman"/>
        </w:rPr>
      </w:pPr>
      <w:r>
        <w:rPr>
          <w:rFonts w:ascii="Times New Roman" w:hAnsi="Times New Roman" w:cs="Times New Roman"/>
        </w:rPr>
        <w:t>（6）跟踪监测</w:t>
      </w:r>
    </w:p>
    <w:p>
      <w:pPr>
        <w:spacing w:line="360" w:lineRule="auto"/>
        <w:ind w:firstLine="480" w:firstLineChars="200"/>
        <w:rPr>
          <w:rFonts w:ascii="Times New Roman" w:hAnsi="Times New Roman" w:cs="Times New Roman"/>
        </w:rPr>
      </w:pPr>
      <w:r>
        <w:rPr>
          <w:rFonts w:ascii="Times New Roman" w:hAnsi="Times New Roman" w:cs="Times New Roman"/>
        </w:rPr>
        <w:t>评价要求在项目厂区内、厂区外均设置跟踪监测点。</w:t>
      </w:r>
    </w:p>
    <w:p>
      <w:pPr>
        <w:spacing w:line="360" w:lineRule="auto"/>
        <w:ind w:firstLine="480" w:firstLineChars="200"/>
        <w:rPr>
          <w:rFonts w:ascii="Times New Roman" w:hAnsi="Times New Roman" w:cs="Times New Roman"/>
        </w:rPr>
      </w:pPr>
      <w:r>
        <w:rPr>
          <w:rFonts w:ascii="Times New Roman" w:hAnsi="Times New Roman" w:cs="Times New Roman"/>
        </w:rPr>
        <w:t>土壤跟踪监测计划见下表。</w:t>
      </w:r>
    </w:p>
    <w:p>
      <w:pPr>
        <w:spacing w:line="360" w:lineRule="auto"/>
        <w:ind w:firstLine="480" w:firstLineChars="200"/>
        <w:rPr>
          <w:rFonts w:ascii="Times New Roman" w:hAnsi="Times New Roman" w:cs="Times New Roman"/>
        </w:rPr>
      </w:pPr>
    </w:p>
    <w:p>
      <w:pPr>
        <w:pStyle w:val="6"/>
        <w:rPr>
          <w:rFonts w:ascii="Times New Roman" w:hAnsi="Times New Roman" w:cs="Times New Roman"/>
        </w:rPr>
      </w:pPr>
      <w:r>
        <w:rPr>
          <w:rFonts w:ascii="Times New Roman" w:hAnsi="Times New Roman" w:cs="Times New Roman"/>
        </w:rPr>
        <w:t>表8.2-</w:t>
      </w:r>
      <w:r>
        <w:rPr>
          <w:rFonts w:hint="eastAsia" w:ascii="Times New Roman" w:hAnsi="Times New Roman" w:cs="Times New Roman"/>
        </w:rPr>
        <w:t>6</w:t>
      </w:r>
      <w:r>
        <w:rPr>
          <w:rFonts w:ascii="Times New Roman" w:hAnsi="Times New Roman" w:cs="Times New Roman"/>
        </w:rPr>
        <w:t xml:space="preserve">  土壤跟踪监测计划一览表</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45"/>
        <w:gridCol w:w="65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40" w:type="pct"/>
            <w:vAlign w:val="center"/>
          </w:tcPr>
          <w:p>
            <w:pPr>
              <w:pStyle w:val="63"/>
            </w:pPr>
            <w:r>
              <w:t>序号</w:t>
            </w:r>
          </w:p>
        </w:tc>
        <w:tc>
          <w:tcPr>
            <w:tcW w:w="3860" w:type="pct"/>
            <w:vAlign w:val="center"/>
          </w:tcPr>
          <w:p>
            <w:pPr>
              <w:pStyle w:val="63"/>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40" w:type="pct"/>
            <w:vAlign w:val="center"/>
          </w:tcPr>
          <w:p>
            <w:pPr>
              <w:pStyle w:val="63"/>
            </w:pPr>
            <w:r>
              <w:t>位置</w:t>
            </w:r>
          </w:p>
        </w:tc>
        <w:tc>
          <w:tcPr>
            <w:tcW w:w="3860" w:type="pct"/>
            <w:vAlign w:val="center"/>
          </w:tcPr>
          <w:p>
            <w:pPr>
              <w:pStyle w:val="63"/>
            </w:pPr>
            <w:r>
              <w:t>项目场地范围内（污水处理站旁）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40" w:type="pct"/>
            <w:vAlign w:val="center"/>
          </w:tcPr>
          <w:p>
            <w:pPr>
              <w:pStyle w:val="63"/>
            </w:pPr>
            <w:r>
              <w:t>功能</w:t>
            </w:r>
          </w:p>
        </w:tc>
        <w:tc>
          <w:tcPr>
            <w:tcW w:w="3860" w:type="pct"/>
            <w:vAlign w:val="center"/>
          </w:tcPr>
          <w:p>
            <w:pPr>
              <w:pStyle w:val="63"/>
            </w:pPr>
            <w:r>
              <w:t>项目重点影响区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40" w:type="pct"/>
            <w:vAlign w:val="center"/>
          </w:tcPr>
          <w:p>
            <w:pPr>
              <w:pStyle w:val="63"/>
            </w:pPr>
            <w:r>
              <w:t>监测频率</w:t>
            </w:r>
          </w:p>
        </w:tc>
        <w:tc>
          <w:tcPr>
            <w:tcW w:w="3860" w:type="pct"/>
            <w:vAlign w:val="center"/>
          </w:tcPr>
          <w:p>
            <w:pPr>
              <w:pStyle w:val="63"/>
            </w:pPr>
            <w:r>
              <w:t>每5年开展1次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40" w:type="pct"/>
            <w:vAlign w:val="center"/>
          </w:tcPr>
          <w:p>
            <w:pPr>
              <w:pStyle w:val="63"/>
            </w:pPr>
            <w:r>
              <w:t>监测因子</w:t>
            </w:r>
          </w:p>
        </w:tc>
        <w:tc>
          <w:tcPr>
            <w:tcW w:w="3860" w:type="pct"/>
            <w:vAlign w:val="center"/>
          </w:tcPr>
          <w:p>
            <w:pPr>
              <w:pStyle w:val="63"/>
            </w:pPr>
            <w:r>
              <w:t>砷、镉、铬（六价）、铜、铅、汞、镍、</w:t>
            </w:r>
          </w:p>
        </w:tc>
      </w:tr>
    </w:tbl>
    <w:p>
      <w:pPr>
        <w:pStyle w:val="3"/>
        <w:rPr>
          <w:rFonts w:ascii="Times New Roman" w:hAnsi="Times New Roman" w:cs="Times New Roman" w:eastAsiaTheme="minorEastAsia"/>
        </w:rPr>
      </w:pPr>
      <w:bookmarkStart w:id="557" w:name="_Toc147848117"/>
      <w:bookmarkStart w:id="558" w:name="_Toc102658239"/>
      <w:bookmarkStart w:id="559" w:name="_Toc144236869"/>
      <w:bookmarkStart w:id="560" w:name="_Toc144276999"/>
      <w:r>
        <w:rPr>
          <w:rFonts w:ascii="Times New Roman" w:hAnsi="Times New Roman" w:cs="Times New Roman" w:eastAsiaTheme="minorEastAsia"/>
        </w:rPr>
        <w:t>8.3 梯次利用车间措施可行性分析</w:t>
      </w:r>
      <w:bookmarkEnd w:id="557"/>
      <w:bookmarkEnd w:id="558"/>
      <w:bookmarkEnd w:id="559"/>
      <w:bookmarkEnd w:id="560"/>
    </w:p>
    <w:p>
      <w:pPr>
        <w:pStyle w:val="4"/>
        <w:rPr>
          <w:rFonts w:ascii="Times New Roman" w:hAnsi="Times New Roman" w:cs="Times New Roman"/>
        </w:rPr>
      </w:pPr>
      <w:bookmarkStart w:id="561" w:name="_Toc147848118"/>
      <w:bookmarkStart w:id="562" w:name="_Toc144236870"/>
      <w:bookmarkStart w:id="563" w:name="_Toc144277000"/>
      <w:r>
        <w:rPr>
          <w:rFonts w:ascii="Times New Roman" w:hAnsi="Times New Roman" w:cs="Times New Roman"/>
        </w:rPr>
        <w:t>8.3.1 大气污染防治措施</w:t>
      </w:r>
      <w:bookmarkEnd w:id="561"/>
      <w:bookmarkEnd w:id="562"/>
      <w:bookmarkEnd w:id="563"/>
    </w:p>
    <w:p>
      <w:pPr>
        <w:spacing w:line="360" w:lineRule="auto"/>
        <w:ind w:firstLine="480" w:firstLineChars="200"/>
        <w:rPr>
          <w:rFonts w:ascii="Times New Roman" w:hAnsi="Times New Roman" w:cs="Times New Roman"/>
        </w:rPr>
      </w:pPr>
      <w:r>
        <w:rPr>
          <w:rFonts w:ascii="Times New Roman" w:hAnsi="Times New Roman" w:cs="Times New Roman"/>
        </w:rPr>
        <w:t>本项目废旧动力电池梯次利用过程中产生的废气污染物主要为颗粒物，来自激光焊接过程产生的少量焊烟。项目梯次利用规模为25000t/a，焊接量少，产生的烟尘量较少。</w:t>
      </w:r>
    </w:p>
    <w:p>
      <w:pPr>
        <w:spacing w:line="360" w:lineRule="auto"/>
        <w:ind w:firstLine="480" w:firstLineChars="200"/>
        <w:rPr>
          <w:rFonts w:ascii="Times New Roman" w:hAnsi="Times New Roman" w:cs="Times New Roman"/>
        </w:rPr>
      </w:pPr>
      <w:r>
        <w:rPr>
          <w:rFonts w:ascii="Times New Roman" w:hAnsi="Times New Roman" w:cs="Times New Roman"/>
        </w:rPr>
        <w:t>其通过厂房通风等措施降低废气产生的影响，其措施可行。</w:t>
      </w:r>
    </w:p>
    <w:p>
      <w:pPr>
        <w:pStyle w:val="4"/>
        <w:rPr>
          <w:rFonts w:ascii="Times New Roman" w:hAnsi="Times New Roman" w:cs="Times New Roman"/>
        </w:rPr>
      </w:pPr>
      <w:bookmarkStart w:id="564" w:name="_Toc144236871"/>
      <w:bookmarkStart w:id="565" w:name="_Toc144277001"/>
      <w:bookmarkStart w:id="566" w:name="_Toc147848119"/>
      <w:r>
        <w:rPr>
          <w:rFonts w:ascii="Times New Roman" w:hAnsi="Times New Roman" w:cs="Times New Roman"/>
        </w:rPr>
        <w:t>8.3.2 水污染防治措施</w:t>
      </w:r>
      <w:bookmarkEnd w:id="564"/>
      <w:bookmarkEnd w:id="565"/>
      <w:bookmarkEnd w:id="566"/>
    </w:p>
    <w:p>
      <w:pPr>
        <w:spacing w:line="360" w:lineRule="auto"/>
        <w:ind w:firstLine="480" w:firstLineChars="200"/>
        <w:rPr>
          <w:rFonts w:ascii="Times New Roman" w:hAnsi="Times New Roman" w:cs="Times New Roman"/>
        </w:rPr>
      </w:pPr>
      <w:r>
        <w:rPr>
          <w:rFonts w:ascii="Times New Roman" w:hAnsi="Times New Roman" w:cs="Times New Roman"/>
        </w:rPr>
        <w:t>本项目梯次利用过程中产生的废水主要为生活污水。</w:t>
      </w:r>
    </w:p>
    <w:p>
      <w:pPr>
        <w:spacing w:line="360" w:lineRule="auto"/>
        <w:ind w:firstLine="480" w:firstLineChars="200"/>
        <w:rPr>
          <w:rFonts w:ascii="Times New Roman" w:hAnsi="Times New Roman" w:cs="Times New Roman"/>
        </w:rPr>
      </w:pPr>
      <w:r>
        <w:rPr>
          <w:rFonts w:ascii="Times New Roman" w:hAnsi="Times New Roman" w:cs="Times New Roman"/>
        </w:rPr>
        <w:t>因此，本项目的生产过程中产生的生活污水依托化粪池处理能够满足《污水综合排放标准》（GB8978-1996）表4中三级排放标准，排入园区污水处理厂，该措施可行。</w:t>
      </w:r>
    </w:p>
    <w:p>
      <w:pPr>
        <w:pStyle w:val="4"/>
        <w:rPr>
          <w:rFonts w:ascii="Times New Roman" w:hAnsi="Times New Roman" w:cs="Times New Roman"/>
        </w:rPr>
      </w:pPr>
      <w:bookmarkStart w:id="567" w:name="_Toc144236872"/>
      <w:bookmarkStart w:id="568" w:name="_Toc144277002"/>
      <w:bookmarkStart w:id="569" w:name="_Toc147848120"/>
      <w:r>
        <w:rPr>
          <w:rFonts w:ascii="Times New Roman" w:hAnsi="Times New Roman" w:cs="Times New Roman"/>
        </w:rPr>
        <w:t>8.3.3 噪声污染防治措施</w:t>
      </w:r>
      <w:bookmarkEnd w:id="567"/>
      <w:bookmarkEnd w:id="568"/>
      <w:bookmarkEnd w:id="569"/>
    </w:p>
    <w:p>
      <w:pPr>
        <w:spacing w:line="360" w:lineRule="auto"/>
        <w:ind w:firstLine="480" w:firstLineChars="200"/>
        <w:rPr>
          <w:rFonts w:ascii="Times New Roman" w:hAnsi="Times New Roman" w:cs="Times New Roman"/>
        </w:rPr>
      </w:pPr>
      <w:r>
        <w:rPr>
          <w:rFonts w:ascii="Times New Roman" w:hAnsi="Times New Roman" w:cs="Times New Roman"/>
        </w:rPr>
        <w:t>本项目噪声主要来自于各类设备设备。</w:t>
      </w:r>
    </w:p>
    <w:p>
      <w:pPr>
        <w:spacing w:line="360" w:lineRule="auto"/>
        <w:ind w:firstLine="480" w:firstLineChars="200"/>
        <w:rPr>
          <w:rFonts w:ascii="Times New Roman" w:hAnsi="Times New Roman" w:cs="Times New Roman"/>
        </w:rPr>
      </w:pPr>
      <w:r>
        <w:rPr>
          <w:rFonts w:ascii="Times New Roman" w:hAnsi="Times New Roman" w:cs="Times New Roman"/>
        </w:rPr>
        <w:t>本项目通过选用低噪声设备，大功率机泵进行隔音处理，高噪声设备进行基础减震、隔声、吸声及综合治理，同时在平面布置上，将噪声高的机泵布置在远离厂界的区域等措施后，厂界噪声增加值经距离衰减、障碍物遮挡等作用后能够符合《工业企业厂界环境噪声排放标准》（GB12348-2008）中3类标准要求，所以本项目噪声对周围环境影响较小。</w:t>
      </w:r>
    </w:p>
    <w:p>
      <w:pPr>
        <w:pStyle w:val="4"/>
        <w:rPr>
          <w:rFonts w:ascii="Times New Roman" w:hAnsi="Times New Roman" w:cs="Times New Roman"/>
        </w:rPr>
      </w:pPr>
      <w:bookmarkStart w:id="570" w:name="_Toc144236873"/>
      <w:bookmarkStart w:id="571" w:name="_Toc147848121"/>
      <w:bookmarkStart w:id="572" w:name="_Toc144277003"/>
      <w:r>
        <w:rPr>
          <w:rFonts w:ascii="Times New Roman" w:hAnsi="Times New Roman" w:cs="Times New Roman"/>
        </w:rPr>
        <w:t>8.3.3 固体废物污染防治措施</w:t>
      </w:r>
      <w:bookmarkEnd w:id="570"/>
      <w:bookmarkEnd w:id="571"/>
      <w:bookmarkEnd w:id="572"/>
    </w:p>
    <w:p>
      <w:pPr>
        <w:pStyle w:val="5"/>
        <w:ind w:firstLine="482"/>
        <w:rPr>
          <w:rFonts w:ascii="Times New Roman" w:hAnsi="Times New Roman" w:cs="Times New Roman" w:eastAsiaTheme="minorEastAsia"/>
        </w:rPr>
      </w:pPr>
      <w:r>
        <w:rPr>
          <w:rFonts w:ascii="Times New Roman" w:hAnsi="Times New Roman" w:cs="Times New Roman" w:eastAsiaTheme="minorEastAsia"/>
        </w:rPr>
        <w:t>8.3.3.1 处置措施</w:t>
      </w:r>
    </w:p>
    <w:p>
      <w:pPr>
        <w:spacing w:line="360" w:lineRule="auto"/>
        <w:ind w:firstLine="480" w:firstLineChars="200"/>
        <w:rPr>
          <w:rFonts w:ascii="Times New Roman" w:hAnsi="Times New Roman" w:cs="Times New Roman"/>
        </w:rPr>
      </w:pPr>
      <w:r>
        <w:rPr>
          <w:rFonts w:ascii="Times New Roman" w:hAnsi="Times New Roman" w:cs="Times New Roman"/>
        </w:rPr>
        <w:t>（1）一般工业固体废物</w:t>
      </w:r>
    </w:p>
    <w:p>
      <w:pPr>
        <w:spacing w:line="360" w:lineRule="auto"/>
        <w:ind w:firstLine="480" w:firstLineChars="200"/>
        <w:rPr>
          <w:rFonts w:ascii="Times New Roman" w:hAnsi="Times New Roman" w:cs="Times New Roman"/>
        </w:rPr>
      </w:pPr>
      <w:r>
        <w:rPr>
          <w:rFonts w:ascii="Times New Roman" w:hAnsi="Times New Roman" w:cs="Times New Roman"/>
        </w:rPr>
        <w:t>本项目运营期间产生的一般工业固体废物包括：梯次利用工艺产生的电池包铁外壳、导流排（铜）、导流排（铝）、线材、电池包塑料件；</w:t>
      </w:r>
    </w:p>
    <w:p>
      <w:pPr>
        <w:spacing w:line="360" w:lineRule="auto"/>
        <w:ind w:firstLine="480" w:firstLineChars="200"/>
        <w:rPr>
          <w:rFonts w:ascii="Times New Roman" w:hAnsi="Times New Roman" w:cs="Times New Roman"/>
        </w:rPr>
      </w:pPr>
      <w:r>
        <w:rPr>
          <w:rFonts w:ascii="Times New Roman" w:hAnsi="Times New Roman" w:cs="Times New Roman"/>
        </w:rPr>
        <w:t>（2）办公生活垃圾</w:t>
      </w:r>
    </w:p>
    <w:p>
      <w:pPr>
        <w:spacing w:line="360" w:lineRule="auto"/>
        <w:ind w:firstLine="480" w:firstLineChars="200"/>
        <w:rPr>
          <w:rFonts w:ascii="Times New Roman" w:hAnsi="Times New Roman" w:cs="Times New Roman"/>
        </w:rPr>
      </w:pPr>
      <w:r>
        <w:rPr>
          <w:rFonts w:ascii="Times New Roman" w:hAnsi="Times New Roman" w:cs="Times New Roman"/>
        </w:rPr>
        <w:t>办公生活垃圾经厂区垃圾桶收集后交由环卫部门处理。</w:t>
      </w:r>
    </w:p>
    <w:p>
      <w:pPr>
        <w:spacing w:line="360" w:lineRule="auto"/>
        <w:ind w:firstLine="480" w:firstLineChars="200"/>
        <w:rPr>
          <w:rFonts w:ascii="Times New Roman" w:hAnsi="Times New Roman" w:cs="Times New Roman"/>
        </w:rPr>
      </w:pPr>
      <w:r>
        <w:rPr>
          <w:rFonts w:ascii="Times New Roman" w:hAnsi="Times New Roman" w:cs="Times New Roman"/>
        </w:rPr>
        <w:t>（3）危险废物</w:t>
      </w:r>
    </w:p>
    <w:p>
      <w:pPr>
        <w:spacing w:line="360" w:lineRule="auto"/>
        <w:ind w:firstLine="480" w:firstLineChars="200"/>
        <w:rPr>
          <w:rFonts w:ascii="Times New Roman" w:hAnsi="Times New Roman" w:cs="Times New Roman"/>
        </w:rPr>
      </w:pPr>
      <w:r>
        <w:rPr>
          <w:rFonts w:ascii="Times New Roman" w:hAnsi="Times New Roman" w:cs="Times New Roman"/>
        </w:rPr>
        <w:t>项目运营期间产生的危险废物梯次利用产生的废BMS（HW49，900-045-49）。在厂区危废暂存间暂存后交由有资质的单位处理。</w:t>
      </w:r>
    </w:p>
    <w:p>
      <w:pPr>
        <w:pStyle w:val="5"/>
        <w:ind w:firstLine="482"/>
        <w:rPr>
          <w:rFonts w:ascii="Times New Roman" w:hAnsi="Times New Roman" w:cs="Times New Roman" w:eastAsiaTheme="minorEastAsia"/>
        </w:rPr>
      </w:pPr>
      <w:r>
        <w:rPr>
          <w:rFonts w:ascii="Times New Roman" w:hAnsi="Times New Roman" w:cs="Times New Roman" w:eastAsiaTheme="minorEastAsia"/>
        </w:rPr>
        <w:t>8.3.3.2 管理要求</w:t>
      </w:r>
    </w:p>
    <w:p>
      <w:pPr>
        <w:spacing w:line="360" w:lineRule="auto"/>
        <w:ind w:firstLine="480" w:firstLineChars="200"/>
        <w:rPr>
          <w:rFonts w:ascii="Times New Roman" w:hAnsi="Times New Roman" w:cs="Times New Roman"/>
        </w:rPr>
      </w:pPr>
      <w:r>
        <w:rPr>
          <w:rFonts w:ascii="Times New Roman" w:hAnsi="Times New Roman" w:cs="Times New Roman"/>
        </w:rPr>
        <w:t>通常，固体废物中有害物质通过释放到水体、土壤和大气中而进入环境，对环境造成影响，影响的程度取决于释放过程中污染物的转移量及其进入环境后的浓度。从其产生固体废物的种类及其成份来看，若不妥善处置，有可能对土壤、水体、环境空气质量产生影响。</w:t>
      </w:r>
    </w:p>
    <w:p>
      <w:pPr>
        <w:spacing w:line="360" w:lineRule="auto"/>
        <w:ind w:firstLine="480" w:firstLineChars="200"/>
        <w:rPr>
          <w:rFonts w:ascii="Times New Roman" w:hAnsi="Times New Roman" w:cs="Times New Roman"/>
        </w:rPr>
      </w:pPr>
      <w:r>
        <w:rPr>
          <w:rFonts w:ascii="Times New Roman" w:hAnsi="Times New Roman" w:cs="Times New Roman"/>
        </w:rPr>
        <w:t>项目产生的固废在处理之前，一般需要预先存贮一定数量废物，因此，危险废物的贮存设施应符合《危险废物贮存污染控制标准》（GB18597-2023）的要求。一般工业固体废物贮存过程中执行《一般工业固体废物贮存、处置场污染控制标准》（GB18599-2020）。所有贮存装置必须有良好的防雨防渗设施，可以有效地防止废物中的物质被雨水淋溶排入环境，因此要求所有暂存未处理的废物都必须存放在室内，所有地面都必须水泥硬化，对于综合处理后剩余固废和处理中产生的废物送暂存库暂存。本项目应根据需要，建设危险废物堆放场地，堆放场地基础防渗。设计建造径流疏导系统，堆场内设计雨水收集池。</w:t>
      </w:r>
    </w:p>
    <w:p>
      <w:pPr>
        <w:spacing w:line="360" w:lineRule="auto"/>
        <w:ind w:firstLine="480" w:firstLineChars="200"/>
        <w:rPr>
          <w:rFonts w:ascii="Times New Roman" w:hAnsi="Times New Roman" w:cs="Times New Roman"/>
        </w:rPr>
      </w:pPr>
      <w:r>
        <w:rPr>
          <w:rFonts w:ascii="Times New Roman" w:hAnsi="Times New Roman" w:cs="Times New Roman"/>
        </w:rPr>
        <w:t>对于固体废物的管理和贮存应做好以下工作：</w:t>
      </w:r>
    </w:p>
    <w:p>
      <w:pPr>
        <w:spacing w:line="360" w:lineRule="auto"/>
        <w:ind w:firstLine="480" w:firstLineChars="200"/>
        <w:rPr>
          <w:rFonts w:ascii="Times New Roman" w:hAnsi="Times New Roman" w:cs="Times New Roman"/>
        </w:rPr>
      </w:pPr>
      <w:r>
        <w:rPr>
          <w:rFonts w:ascii="Times New Roman" w:hAnsi="Times New Roman" w:cs="Times New Roman"/>
        </w:rPr>
        <w:t>（1）一般固体废物</w:t>
      </w:r>
    </w:p>
    <w:p>
      <w:pPr>
        <w:spacing w:line="360" w:lineRule="auto"/>
        <w:ind w:firstLine="480" w:firstLineChars="200"/>
        <w:rPr>
          <w:rFonts w:ascii="Times New Roman" w:hAnsi="Times New Roman" w:cs="Times New Roman"/>
        </w:rPr>
      </w:pPr>
      <w:r>
        <w:rPr>
          <w:rFonts w:ascii="Times New Roman" w:hAnsi="Times New Roman" w:cs="Times New Roman"/>
        </w:rPr>
        <w:t>本项目在厂房内设置一个占地30m</w:t>
      </w:r>
      <w:r>
        <w:rPr>
          <w:rFonts w:ascii="Times New Roman" w:hAnsi="Times New Roman" w:cs="Times New Roman"/>
          <w:vertAlign w:val="superscript"/>
        </w:rPr>
        <w:t>2</w:t>
      </w:r>
      <w:r>
        <w:rPr>
          <w:rFonts w:ascii="Times New Roman" w:hAnsi="Times New Roman" w:cs="Times New Roman"/>
        </w:rPr>
        <w:t>的一般固废间。一般固废间有防渗漏、防雨、防风设施，并且堆放周期不应过长，原则上日产日清，并做好运输途中方泄漏、洒落措施。</w:t>
      </w:r>
    </w:p>
    <w:p>
      <w:pPr>
        <w:spacing w:line="360" w:lineRule="auto"/>
        <w:ind w:firstLine="480" w:firstLineChars="200"/>
        <w:rPr>
          <w:rFonts w:ascii="Times New Roman" w:hAnsi="Times New Roman" w:cs="Times New Roman"/>
        </w:rPr>
      </w:pPr>
      <w:r>
        <w:rPr>
          <w:rFonts w:ascii="Times New Roman" w:hAnsi="Times New Roman" w:cs="Times New Roman"/>
        </w:rPr>
        <w:t>（2）危险废物</w:t>
      </w:r>
    </w:p>
    <w:p>
      <w:pPr>
        <w:spacing w:line="360" w:lineRule="auto"/>
        <w:ind w:firstLine="480" w:firstLineChars="200"/>
        <w:rPr>
          <w:rFonts w:ascii="Times New Roman" w:hAnsi="Times New Roman" w:cs="Times New Roman"/>
        </w:rPr>
      </w:pPr>
      <w:r>
        <w:rPr>
          <w:rFonts w:ascii="Times New Roman" w:hAnsi="Times New Roman" w:cs="Times New Roman"/>
        </w:rPr>
        <w:t>1）危险废物暂存</w:t>
      </w:r>
    </w:p>
    <w:p>
      <w:pPr>
        <w:spacing w:line="360" w:lineRule="auto"/>
        <w:ind w:firstLine="480" w:firstLineChars="200"/>
        <w:rPr>
          <w:rFonts w:ascii="Times New Roman" w:hAnsi="Times New Roman" w:cs="Times New Roman"/>
        </w:rPr>
      </w:pPr>
      <w:r>
        <w:rPr>
          <w:rFonts w:ascii="Times New Roman" w:hAnsi="Times New Roman" w:cs="Times New Roman"/>
        </w:rPr>
        <w:t>项目在厂房内设置一个占地10m</w:t>
      </w:r>
      <w:r>
        <w:rPr>
          <w:rFonts w:ascii="Times New Roman" w:hAnsi="Times New Roman" w:cs="Times New Roman"/>
          <w:vertAlign w:val="superscript"/>
        </w:rPr>
        <w:t>2</w:t>
      </w:r>
      <w:r>
        <w:rPr>
          <w:rFonts w:ascii="Times New Roman" w:hAnsi="Times New Roman" w:cs="Times New Roman"/>
        </w:rPr>
        <w:t>的危废间，为保证厂区内暂存的危险废物不对环境产生污染，依据《危险废物贮存污染控制标准》（GB18597-2023）、《危险废物收集贮存运输技术规范》（HJ2025-2012）及相关国家及地方法律法规，建设单位要确保危险废物暂存设施需满足以下安全措施：</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1 \* GB3</w:instrText>
      </w:r>
      <w:r>
        <w:rPr>
          <w:rFonts w:ascii="Times New Roman" w:hAnsi="Times New Roman" w:cs="Times New Roman"/>
        </w:rPr>
        <w:fldChar w:fldCharType="separate"/>
      </w:r>
      <w:r>
        <w:rPr>
          <w:rFonts w:hint="eastAsia" w:ascii="宋体" w:hAnsi="宋体" w:eastAsia="宋体" w:cs="宋体"/>
        </w:rPr>
        <w:t>①</w:t>
      </w:r>
      <w:r>
        <w:rPr>
          <w:rFonts w:ascii="Times New Roman" w:hAnsi="Times New Roman" w:cs="Times New Roman"/>
        </w:rPr>
        <w:fldChar w:fldCharType="end"/>
      </w:r>
      <w:r>
        <w:rPr>
          <w:rFonts w:ascii="Times New Roman" w:hAnsi="Times New Roman" w:cs="Times New Roman"/>
        </w:rPr>
        <w:t>危险废物的收集应根据危险废物产生的工艺特征、排放周期、危险废物特性、废物管理计划等因素制定收集计划、制定详细的操作规程并配备必要的个人防护装备。</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2 \* GB3</w:instrText>
      </w:r>
      <w:r>
        <w:rPr>
          <w:rFonts w:ascii="Times New Roman" w:hAnsi="Times New Roman" w:cs="Times New Roman"/>
        </w:rPr>
        <w:fldChar w:fldCharType="separate"/>
      </w:r>
      <w:r>
        <w:rPr>
          <w:rFonts w:hint="eastAsia" w:ascii="宋体" w:hAnsi="宋体" w:eastAsia="宋体" w:cs="宋体"/>
        </w:rPr>
        <w:t>②</w:t>
      </w:r>
      <w:r>
        <w:rPr>
          <w:rFonts w:ascii="Times New Roman" w:hAnsi="Times New Roman" w:cs="Times New Roman"/>
        </w:rPr>
        <w:fldChar w:fldCharType="end"/>
      </w:r>
      <w:r>
        <w:rPr>
          <w:rFonts w:ascii="Times New Roman" w:hAnsi="Times New Roman" w:cs="Times New Roman"/>
        </w:rPr>
        <w:t>危险废物收集时，应合理确定包装形式，包装材质要与危险废物相容；不相容的危险废物不应混合包装；包装应能有效隔断危险废物迁移扩散途径，并达到防渗、防漏要求；包装好的危险废物应设置相应的标签，标签信息应填写完整翔实。</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3 \* GB3</w:instrText>
      </w:r>
      <w:r>
        <w:rPr>
          <w:rFonts w:ascii="Times New Roman" w:hAnsi="Times New Roman" w:cs="Times New Roman"/>
        </w:rPr>
        <w:fldChar w:fldCharType="separate"/>
      </w:r>
      <w:r>
        <w:rPr>
          <w:rFonts w:hint="eastAsia" w:ascii="宋体" w:hAnsi="宋体" w:eastAsia="宋体" w:cs="宋体"/>
        </w:rPr>
        <w:t>③</w:t>
      </w:r>
      <w:r>
        <w:rPr>
          <w:rFonts w:ascii="Times New Roman" w:hAnsi="Times New Roman" w:cs="Times New Roman"/>
        </w:rPr>
        <w:fldChar w:fldCharType="end"/>
      </w:r>
      <w:r>
        <w:rPr>
          <w:rFonts w:ascii="Times New Roman" w:hAnsi="Times New Roman" w:cs="Times New Roman"/>
        </w:rPr>
        <w:t>根据收集设备、运转车辆以及现场人员等实际情况确定相应作业区域，同时设置作业界线标志和警示牌；作业区域内设置危废收集专用通道和人员避险通道等。</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4 \* GB3</w:instrText>
      </w:r>
      <w:r>
        <w:rPr>
          <w:rFonts w:ascii="Times New Roman" w:hAnsi="Times New Roman" w:cs="Times New Roman"/>
        </w:rPr>
        <w:fldChar w:fldCharType="separate"/>
      </w:r>
      <w:r>
        <w:rPr>
          <w:rFonts w:hint="eastAsia" w:ascii="宋体" w:hAnsi="宋体" w:eastAsia="宋体" w:cs="宋体"/>
        </w:rPr>
        <w:t>④</w:t>
      </w:r>
      <w:r>
        <w:rPr>
          <w:rFonts w:ascii="Times New Roman" w:hAnsi="Times New Roman" w:cs="Times New Roman"/>
        </w:rPr>
        <w:fldChar w:fldCharType="end"/>
      </w:r>
      <w:r>
        <w:rPr>
          <w:rFonts w:ascii="Times New Roman" w:hAnsi="Times New Roman" w:cs="Times New Roman"/>
        </w:rPr>
        <w:t>内部转运尽量避开办公区和生活区，并填写《危险废物厂内转运记录表》等。</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5 \* GB3</w:instrText>
      </w:r>
      <w:r>
        <w:rPr>
          <w:rFonts w:ascii="Times New Roman" w:hAnsi="Times New Roman" w:cs="Times New Roman"/>
        </w:rPr>
        <w:fldChar w:fldCharType="separate"/>
      </w:r>
      <w:r>
        <w:rPr>
          <w:rFonts w:hint="eastAsia" w:ascii="宋体" w:hAnsi="宋体" w:eastAsia="宋体" w:cs="宋体"/>
        </w:rPr>
        <w:t>⑤</w:t>
      </w:r>
      <w:r>
        <w:rPr>
          <w:rFonts w:ascii="Times New Roman" w:hAnsi="Times New Roman" w:cs="Times New Roman"/>
        </w:rPr>
        <w:fldChar w:fldCharType="end"/>
      </w:r>
      <w:r>
        <w:rPr>
          <w:rFonts w:ascii="Times New Roman" w:hAnsi="Times New Roman" w:cs="Times New Roman"/>
        </w:rPr>
        <w:t>危险废物贮存采取设置室内单独间临时贮存方式，禁止一般废物与危险废物混放，并针对危险废物设置环境保护图形标志和警示标志；按照危险废物的种类和特性进行分区贮存，每个贮存区域之间宜设置挡墙间隔，并设置防雨、防火、防雷、防扬尘装置；危险废物贮存间应留有搬运通道，并做到及时清运。</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6 \* GB3</w:instrText>
      </w:r>
      <w:r>
        <w:rPr>
          <w:rFonts w:ascii="Times New Roman" w:hAnsi="Times New Roman" w:cs="Times New Roman"/>
        </w:rPr>
        <w:fldChar w:fldCharType="separate"/>
      </w:r>
      <w:r>
        <w:rPr>
          <w:rFonts w:hint="eastAsia" w:ascii="宋体" w:hAnsi="宋体" w:eastAsia="宋体" w:cs="宋体"/>
        </w:rPr>
        <w:t>⑥</w:t>
      </w:r>
      <w:r>
        <w:rPr>
          <w:rFonts w:ascii="Times New Roman" w:hAnsi="Times New Roman" w:cs="Times New Roman"/>
        </w:rPr>
        <w:fldChar w:fldCharType="end"/>
      </w:r>
      <w:r>
        <w:rPr>
          <w:rFonts w:ascii="Times New Roman" w:hAnsi="Times New Roman" w:cs="Times New Roman"/>
        </w:rPr>
        <w:t>临时贮存场所内基础必须防渗，用以存放装载液体、半固体危险废物容器的地方，必须有耐腐蚀的硬化地面，且表面无缝隙。</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7 \* GB3</w:instrText>
      </w:r>
      <w:r>
        <w:rPr>
          <w:rFonts w:ascii="Times New Roman" w:hAnsi="Times New Roman" w:cs="Times New Roman"/>
        </w:rPr>
        <w:fldChar w:fldCharType="separate"/>
      </w:r>
      <w:r>
        <w:rPr>
          <w:rFonts w:hint="eastAsia" w:ascii="宋体" w:hAnsi="宋体" w:eastAsia="宋体" w:cs="宋体"/>
        </w:rPr>
        <w:t>⑦</w:t>
      </w:r>
      <w:r>
        <w:rPr>
          <w:rFonts w:ascii="Times New Roman" w:hAnsi="Times New Roman" w:cs="Times New Roman"/>
        </w:rPr>
        <w:fldChar w:fldCharType="end"/>
      </w:r>
      <w:r>
        <w:rPr>
          <w:rFonts w:ascii="Times New Roman" w:hAnsi="Times New Roman" w:cs="Times New Roman"/>
        </w:rPr>
        <w:t>建立危险废物档案制度，对暂存的废物种类、数量、特性、包装容器类别、存放库位、存入日期、运出日期等详细记录在案并长期保存。</w:t>
      </w:r>
    </w:p>
    <w:p>
      <w:pPr>
        <w:spacing w:line="360" w:lineRule="auto"/>
        <w:ind w:firstLine="480" w:firstLineChars="20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8 \* GB3</w:instrText>
      </w:r>
      <w:r>
        <w:rPr>
          <w:rFonts w:ascii="Times New Roman" w:hAnsi="Times New Roman" w:cs="Times New Roman"/>
        </w:rPr>
        <w:fldChar w:fldCharType="separate"/>
      </w:r>
      <w:r>
        <w:rPr>
          <w:rFonts w:hint="eastAsia" w:ascii="宋体" w:hAnsi="宋体" w:eastAsia="宋体" w:cs="宋体"/>
        </w:rPr>
        <w:t>⑧</w:t>
      </w:r>
      <w:r>
        <w:rPr>
          <w:rFonts w:ascii="Times New Roman" w:hAnsi="Times New Roman" w:cs="Times New Roman"/>
        </w:rPr>
        <w:fldChar w:fldCharType="end"/>
      </w:r>
      <w:r>
        <w:rPr>
          <w:rFonts w:ascii="Times New Roman" w:hAnsi="Times New Roman" w:cs="Times New Roman"/>
        </w:rPr>
        <w:t>建立危险废物存放装置的定期巡查、维护制度。</w:t>
      </w:r>
    </w:p>
    <w:p>
      <w:pPr>
        <w:spacing w:line="360" w:lineRule="auto"/>
        <w:ind w:firstLine="480" w:firstLineChars="200"/>
        <w:rPr>
          <w:rFonts w:ascii="Times New Roman" w:hAnsi="Times New Roman" w:cs="Times New Roman"/>
        </w:rPr>
      </w:pPr>
      <w:r>
        <w:rPr>
          <w:rFonts w:ascii="Times New Roman" w:hAnsi="Times New Roman" w:cs="Times New Roman"/>
        </w:rPr>
        <w:t>综上所述，本项目产生的固体废物进行分类后，其中危险废物委托具有相关处理资质的单位处置，一般废物定期清运，不会对环境产生二次污染，其处置方法及去向具有可行性。</w:t>
      </w:r>
    </w:p>
    <w:p>
      <w:pPr>
        <w:spacing w:line="360" w:lineRule="auto"/>
        <w:ind w:firstLine="480" w:firstLineChars="200"/>
        <w:rPr>
          <w:rFonts w:ascii="Times New Roman" w:hAnsi="Times New Roman" w:cs="Times New Roman"/>
        </w:rPr>
      </w:pPr>
      <w:r>
        <w:rPr>
          <w:rFonts w:ascii="Times New Roman" w:hAnsi="Times New Roman" w:cs="Times New Roman"/>
        </w:rPr>
        <w:t>建设单位按上述措施分类处理，各类废物经妥善处理后，对周边环境无影响。</w:t>
      </w:r>
    </w:p>
    <w:p>
      <w:pPr>
        <w:pStyle w:val="4"/>
        <w:rPr>
          <w:rFonts w:ascii="Times New Roman" w:hAnsi="Times New Roman" w:cs="Times New Roman"/>
        </w:rPr>
      </w:pPr>
      <w:bookmarkStart w:id="573" w:name="_Toc147848122"/>
      <w:bookmarkStart w:id="574" w:name="_Toc144277004"/>
      <w:bookmarkStart w:id="575" w:name="_Toc144236874"/>
      <w:r>
        <w:rPr>
          <w:rFonts w:ascii="Times New Roman" w:hAnsi="Times New Roman" w:cs="Times New Roman"/>
        </w:rPr>
        <w:t>8.3.5 地下水污染防治措施</w:t>
      </w:r>
      <w:bookmarkEnd w:id="573"/>
      <w:bookmarkEnd w:id="574"/>
      <w:bookmarkEnd w:id="575"/>
    </w:p>
    <w:p>
      <w:pPr>
        <w:spacing w:line="360" w:lineRule="auto"/>
        <w:ind w:firstLine="480" w:firstLineChars="200"/>
        <w:rPr>
          <w:rFonts w:ascii="Times New Roman" w:hAnsi="Times New Roman" w:cs="Times New Roman"/>
        </w:rPr>
      </w:pPr>
      <w:r>
        <w:rPr>
          <w:rFonts w:ascii="Times New Roman" w:hAnsi="Times New Roman" w:cs="Times New Roman"/>
        </w:rPr>
        <w:t>本项目的厂房进行重点防渗，厂房内部四周设置沟槽，并设置收集池，用于泄漏的废电解液的收集，收集池进行了重点防渗；厂房内设置了危废暂存间，用于危废的收集和暂存，危废暂存间进行了重点防渗</w:t>
      </w:r>
    </w:p>
    <w:p>
      <w:pPr>
        <w:spacing w:line="360" w:lineRule="auto"/>
        <w:ind w:firstLine="480" w:firstLineChars="200"/>
        <w:rPr>
          <w:rFonts w:ascii="Times New Roman" w:hAnsi="Times New Roman" w:cs="Times New Roman"/>
        </w:rPr>
      </w:pPr>
      <w:r>
        <w:rPr>
          <w:rFonts w:ascii="Times New Roman" w:hAnsi="Times New Roman" w:cs="Times New Roman"/>
        </w:rPr>
        <w:t>因此，本项目进行25000t/a梯次利用，其对地下水环境影响很小。该措施可行。</w:t>
      </w:r>
    </w:p>
    <w:p>
      <w:pPr>
        <w:pStyle w:val="4"/>
        <w:rPr>
          <w:rFonts w:ascii="Times New Roman" w:hAnsi="Times New Roman" w:cs="Times New Roman"/>
        </w:rPr>
      </w:pPr>
      <w:bookmarkStart w:id="576" w:name="_Toc144277005"/>
      <w:bookmarkStart w:id="577" w:name="_Toc147848123"/>
      <w:bookmarkStart w:id="578" w:name="_Toc144236875"/>
      <w:r>
        <w:rPr>
          <w:rFonts w:ascii="Times New Roman" w:hAnsi="Times New Roman" w:cs="Times New Roman"/>
        </w:rPr>
        <w:t>8.3.6 土壤污染防治措施</w:t>
      </w:r>
      <w:bookmarkEnd w:id="576"/>
      <w:bookmarkEnd w:id="577"/>
      <w:bookmarkEnd w:id="578"/>
    </w:p>
    <w:p>
      <w:pPr>
        <w:spacing w:line="360" w:lineRule="auto"/>
        <w:ind w:firstLine="480" w:firstLineChars="200"/>
        <w:rPr>
          <w:rFonts w:ascii="Times New Roman" w:hAnsi="Times New Roman" w:cs="Times New Roman"/>
        </w:rPr>
      </w:pPr>
      <w:r>
        <w:rPr>
          <w:rFonts w:ascii="Times New Roman" w:hAnsi="Times New Roman" w:cs="Times New Roman"/>
        </w:rPr>
        <w:t>本项目的厂房进行重点防渗，厂房内部四周设置沟槽，并设置收集池，用于泄漏的废电解液的收集，收集池进行了重点防渗；厂房内设置了危废暂存间，用于危废的收集和暂存，危废暂存间进行了重点防渗</w:t>
      </w:r>
    </w:p>
    <w:p>
      <w:pPr>
        <w:spacing w:line="360" w:lineRule="auto"/>
        <w:ind w:firstLine="480" w:firstLineChars="200"/>
        <w:rPr>
          <w:rFonts w:ascii="Times New Roman" w:hAnsi="Times New Roman" w:cs="Times New Roman"/>
        </w:rPr>
        <w:sectPr>
          <w:pgSz w:w="11907" w:h="16840"/>
          <w:pgMar w:top="1440" w:right="1797" w:bottom="1440" w:left="1797" w:header="964" w:footer="851" w:gutter="0"/>
          <w:cols w:space="720" w:num="1"/>
          <w:docGrid w:linePitch="297" w:charSpace="200"/>
        </w:sectPr>
      </w:pPr>
      <w:r>
        <w:rPr>
          <w:rFonts w:ascii="Times New Roman" w:hAnsi="Times New Roman" w:cs="Times New Roman"/>
        </w:rPr>
        <w:t>因此，本项目进行25000t/a梯次利用，其对土壤环境影响很小。该措施可行。</w:t>
      </w:r>
      <w:bookmarkStart w:id="579" w:name="_Toc102658240"/>
    </w:p>
    <w:p>
      <w:pPr>
        <w:pStyle w:val="2"/>
        <w:spacing w:before="120" w:after="120"/>
        <w:rPr>
          <w:rFonts w:ascii="Times New Roman" w:hAnsi="Times New Roman" w:cs="Times New Roman"/>
          <w:w w:val="95"/>
        </w:rPr>
      </w:pPr>
      <w:bookmarkStart w:id="580" w:name="_Toc144277006"/>
      <w:bookmarkStart w:id="581" w:name="_Toc147848124"/>
      <w:bookmarkStart w:id="582" w:name="_Toc144236876"/>
      <w:r>
        <w:rPr>
          <w:rFonts w:ascii="Times New Roman" w:hAnsi="Times New Roman" w:cs="Times New Roman"/>
        </w:rPr>
        <w:t xml:space="preserve">第9章 </w:t>
      </w:r>
      <w:r>
        <w:rPr>
          <w:rFonts w:ascii="Times New Roman" w:hAnsi="Times New Roman" w:cs="Times New Roman"/>
          <w:w w:val="95"/>
        </w:rPr>
        <w:t>总量控制</w:t>
      </w:r>
      <w:bookmarkEnd w:id="579"/>
      <w:bookmarkEnd w:id="580"/>
      <w:bookmarkEnd w:id="581"/>
      <w:bookmarkEnd w:id="582"/>
    </w:p>
    <w:p>
      <w:pPr>
        <w:pStyle w:val="3"/>
        <w:rPr>
          <w:rFonts w:ascii="Times New Roman" w:hAnsi="Times New Roman" w:cs="Times New Roman" w:eastAsiaTheme="minorEastAsia"/>
        </w:rPr>
      </w:pPr>
      <w:bookmarkStart w:id="583" w:name="OLE_LINK216"/>
      <w:bookmarkStart w:id="584" w:name="OLE_LINK215"/>
      <w:bookmarkStart w:id="585" w:name="_Toc144277007"/>
      <w:bookmarkStart w:id="586" w:name="_Toc147848125"/>
      <w:bookmarkStart w:id="587" w:name="_Toc144236877"/>
      <w:r>
        <w:rPr>
          <w:rFonts w:ascii="Times New Roman" w:hAnsi="Times New Roman" w:cs="Times New Roman" w:eastAsiaTheme="minorEastAsia"/>
        </w:rPr>
        <w:t>9.1</w:t>
      </w:r>
      <w:bookmarkEnd w:id="583"/>
      <w:bookmarkEnd w:id="584"/>
      <w:r>
        <w:rPr>
          <w:rFonts w:ascii="Times New Roman" w:hAnsi="Times New Roman" w:cs="Times New Roman" w:eastAsiaTheme="minorEastAsia"/>
        </w:rPr>
        <w:t xml:space="preserve"> 本项目建成后全厂污染物排放量</w:t>
      </w:r>
      <w:bookmarkEnd w:id="585"/>
      <w:bookmarkEnd w:id="586"/>
      <w:bookmarkEnd w:id="587"/>
    </w:p>
    <w:p>
      <w:pPr>
        <w:pStyle w:val="84"/>
        <w:adjustRightInd/>
        <w:snapToGrid/>
        <w:ind w:firstLine="480"/>
        <w:jc w:val="left"/>
        <w:rPr>
          <w:rFonts w:eastAsiaTheme="minorEastAsia"/>
          <w:kern w:val="2"/>
          <w:sz w:val="24"/>
        </w:rPr>
      </w:pPr>
      <w:r>
        <w:rPr>
          <w:rFonts w:eastAsiaTheme="minorEastAsia"/>
          <w:kern w:val="2"/>
          <w:sz w:val="24"/>
        </w:rPr>
        <w:t>（1）废水</w:t>
      </w:r>
    </w:p>
    <w:p>
      <w:pPr>
        <w:autoSpaceDE w:val="0"/>
        <w:autoSpaceDN w:val="0"/>
        <w:spacing w:line="360" w:lineRule="auto"/>
        <w:ind w:firstLine="480" w:firstLineChars="200"/>
        <w:jc w:val="left"/>
        <w:rPr>
          <w:rFonts w:ascii="Times New Roman" w:hAnsi="Times New Roman" w:cs="Times New Roman"/>
          <w:u w:val="single"/>
        </w:rPr>
      </w:pPr>
      <w:r>
        <w:rPr>
          <w:rFonts w:ascii="Times New Roman" w:hAnsi="Times New Roman" w:cs="Times New Roman"/>
          <w:u w:val="single"/>
        </w:rPr>
        <w:t>本项目生产废水全部回用，不外排。</w:t>
      </w:r>
      <w:r>
        <w:rPr>
          <w:rFonts w:hint="eastAsia" w:ascii="Times New Roman" w:hAnsi="Times New Roman" w:cs="Times New Roman"/>
          <w:u w:val="single"/>
        </w:rPr>
        <w:t>全厂区</w:t>
      </w:r>
      <w:r>
        <w:rPr>
          <w:rFonts w:ascii="Times New Roman" w:hAnsi="Times New Roman" w:cs="Times New Roman"/>
          <w:u w:val="single"/>
        </w:rPr>
        <w:t>生活污水经化粪池处理后经市政污水管网排入园区污水处理厂</w:t>
      </w:r>
      <w:r>
        <w:rPr>
          <w:rFonts w:hint="eastAsia" w:ascii="Times New Roman" w:hAnsi="Times New Roman" w:cs="Times New Roman"/>
          <w:u w:val="single"/>
        </w:rPr>
        <w:t>，生活污水排放量为6768</w:t>
      </w:r>
      <w:r>
        <w:rPr>
          <w:rFonts w:ascii="Times New Roman" w:hAnsi="Times New Roman" w:cs="Times New Roman"/>
          <w:u w:val="single"/>
        </w:rPr>
        <w:t>m</w:t>
      </w:r>
      <w:r>
        <w:rPr>
          <w:rFonts w:ascii="Times New Roman" w:hAnsi="Times New Roman" w:cs="Times New Roman"/>
          <w:u w:val="single"/>
          <w:vertAlign w:val="superscript"/>
        </w:rPr>
        <w:t>3</w:t>
      </w:r>
      <w:r>
        <w:rPr>
          <w:rFonts w:ascii="Times New Roman" w:hAnsi="Times New Roman" w:cs="Times New Roman"/>
          <w:u w:val="single"/>
        </w:rPr>
        <w:t>/a，</w:t>
      </w:r>
      <w:r>
        <w:rPr>
          <w:rFonts w:hint="eastAsia" w:ascii="Times New Roman" w:hAnsi="Times New Roman" w:cs="Times New Roman"/>
          <w:u w:val="single"/>
        </w:rPr>
        <w:t>部分冷凝水外排，</w:t>
      </w:r>
      <w:r>
        <w:rPr>
          <w:rFonts w:ascii="Times New Roman" w:hAnsi="Times New Roman" w:cs="Times New Roman"/>
          <w:u w:val="single"/>
        </w:rPr>
        <w:t>经市政污水管网排入园区污水处理厂</w:t>
      </w:r>
      <w:r>
        <w:rPr>
          <w:rFonts w:hint="eastAsia" w:ascii="Times New Roman" w:hAnsi="Times New Roman" w:cs="Times New Roman"/>
          <w:u w:val="single"/>
        </w:rPr>
        <w:t>，外排冷凝水量为</w:t>
      </w:r>
      <w:r>
        <w:rPr>
          <w:rFonts w:ascii="Times New Roman" w:hAnsi="Times New Roman" w:cs="Times New Roman"/>
          <w:u w:val="single"/>
        </w:rPr>
        <w:t>29930m</w:t>
      </w:r>
      <w:r>
        <w:rPr>
          <w:rFonts w:ascii="Times New Roman" w:hAnsi="Times New Roman" w:cs="Times New Roman"/>
          <w:u w:val="single"/>
          <w:vertAlign w:val="superscript"/>
        </w:rPr>
        <w:t>3</w:t>
      </w:r>
      <w:r>
        <w:rPr>
          <w:rFonts w:ascii="Times New Roman" w:hAnsi="Times New Roman" w:cs="Times New Roman"/>
          <w:u w:val="single"/>
        </w:rPr>
        <w:t>/a</w:t>
      </w:r>
      <w:r>
        <w:rPr>
          <w:rFonts w:hint="eastAsia" w:ascii="Times New Roman" w:hAnsi="Times New Roman" w:cs="Times New Roman"/>
          <w:u w:val="single"/>
        </w:rPr>
        <w:t>。</w:t>
      </w:r>
      <w:r>
        <w:rPr>
          <w:rFonts w:ascii="Times New Roman" w:hAnsi="Times New Roman" w:cs="Times New Roman"/>
          <w:u w:val="single"/>
        </w:rPr>
        <w:t>园区污水处理厂外排废水执行《城镇污水处理厂污染物排放标准》（GB18918-2002）一级A标准（COD：50mg/L，氨氮：</w:t>
      </w:r>
      <w:r>
        <w:rPr>
          <w:rFonts w:hint="eastAsia" w:ascii="Times New Roman" w:hAnsi="Times New Roman" w:cs="Times New Roman"/>
          <w:u w:val="single"/>
        </w:rPr>
        <w:t>8</w:t>
      </w:r>
      <w:r>
        <w:rPr>
          <w:rFonts w:ascii="Times New Roman" w:hAnsi="Times New Roman" w:cs="Times New Roman"/>
          <w:u w:val="single"/>
        </w:rPr>
        <w:t>mg/L）。</w:t>
      </w:r>
    </w:p>
    <w:p>
      <w:pPr>
        <w:pStyle w:val="6"/>
        <w:rPr>
          <w:rFonts w:ascii="Times New Roman" w:hAnsi="Times New Roman" w:cs="Times New Roman"/>
          <w:u w:val="single"/>
        </w:rPr>
      </w:pPr>
      <w:r>
        <w:rPr>
          <w:rFonts w:ascii="Times New Roman" w:hAnsi="Times New Roman" w:cs="Times New Roman"/>
          <w:u w:val="single"/>
        </w:rPr>
        <w:t>表9.1-1  项目废水排放一览表</w:t>
      </w:r>
    </w:p>
    <w:tbl>
      <w:tblPr>
        <w:tblStyle w:val="35"/>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05"/>
        <w:gridCol w:w="2142"/>
        <w:gridCol w:w="2158"/>
        <w:gridCol w:w="212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321" w:type="dxa"/>
            <w:shd w:val="clear" w:color="auto" w:fill="auto"/>
            <w:vAlign w:val="center"/>
          </w:tcPr>
          <w:p>
            <w:pPr>
              <w:pStyle w:val="63"/>
              <w:rPr>
                <w:u w:val="single"/>
              </w:rPr>
            </w:pPr>
            <w:r>
              <w:rPr>
                <w:u w:val="single"/>
              </w:rPr>
              <w:t>序号</w:t>
            </w:r>
          </w:p>
        </w:tc>
        <w:tc>
          <w:tcPr>
            <w:tcW w:w="2322" w:type="dxa"/>
            <w:shd w:val="clear" w:color="auto" w:fill="auto"/>
            <w:vAlign w:val="center"/>
          </w:tcPr>
          <w:p>
            <w:pPr>
              <w:pStyle w:val="63"/>
              <w:rPr>
                <w:u w:val="single"/>
              </w:rPr>
            </w:pPr>
            <w:r>
              <w:rPr>
                <w:u w:val="single"/>
              </w:rPr>
              <w:t>废水排放量m</w:t>
            </w:r>
            <w:r>
              <w:rPr>
                <w:u w:val="single"/>
                <w:vertAlign w:val="superscript"/>
              </w:rPr>
              <w:t>3</w:t>
            </w:r>
            <w:r>
              <w:rPr>
                <w:u w:val="single"/>
              </w:rPr>
              <w:t>/a</w:t>
            </w:r>
          </w:p>
        </w:tc>
        <w:tc>
          <w:tcPr>
            <w:tcW w:w="2322" w:type="dxa"/>
            <w:shd w:val="clear" w:color="auto" w:fill="auto"/>
            <w:vAlign w:val="center"/>
          </w:tcPr>
          <w:p>
            <w:pPr>
              <w:pStyle w:val="63"/>
              <w:rPr>
                <w:u w:val="single"/>
              </w:rPr>
            </w:pPr>
            <w:r>
              <w:rPr>
                <w:u w:val="single"/>
              </w:rPr>
              <w:t>废水排放浓度mg/L</w:t>
            </w:r>
          </w:p>
        </w:tc>
        <w:tc>
          <w:tcPr>
            <w:tcW w:w="2322" w:type="dxa"/>
            <w:shd w:val="clear" w:color="auto" w:fill="auto"/>
            <w:vAlign w:val="center"/>
          </w:tcPr>
          <w:p>
            <w:pPr>
              <w:pStyle w:val="63"/>
              <w:rPr>
                <w:u w:val="single"/>
              </w:rPr>
            </w:pPr>
            <w:r>
              <w:rPr>
                <w:u w:val="single"/>
              </w:rPr>
              <w:t>各污染物排放量t/a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321" w:type="dxa"/>
            <w:shd w:val="clear" w:color="auto" w:fill="auto"/>
            <w:vAlign w:val="center"/>
          </w:tcPr>
          <w:p>
            <w:pPr>
              <w:pStyle w:val="63"/>
              <w:rPr>
                <w:u w:val="single"/>
              </w:rPr>
            </w:pPr>
            <w:r>
              <w:rPr>
                <w:u w:val="single"/>
              </w:rPr>
              <w:t>1</w:t>
            </w:r>
          </w:p>
        </w:tc>
        <w:tc>
          <w:tcPr>
            <w:tcW w:w="2322" w:type="dxa"/>
            <w:vMerge w:val="restart"/>
            <w:shd w:val="clear" w:color="auto" w:fill="auto"/>
            <w:vAlign w:val="center"/>
          </w:tcPr>
          <w:p>
            <w:pPr>
              <w:pStyle w:val="63"/>
              <w:rPr>
                <w:u w:val="single"/>
              </w:rPr>
            </w:pPr>
            <w:r>
              <w:rPr>
                <w:rFonts w:hint="eastAsia"/>
                <w:u w:val="single"/>
              </w:rPr>
              <w:t>36698</w:t>
            </w:r>
          </w:p>
        </w:tc>
        <w:tc>
          <w:tcPr>
            <w:tcW w:w="2322" w:type="dxa"/>
            <w:shd w:val="clear" w:color="auto" w:fill="auto"/>
            <w:vAlign w:val="center"/>
          </w:tcPr>
          <w:p>
            <w:pPr>
              <w:pStyle w:val="63"/>
              <w:rPr>
                <w:u w:val="single"/>
              </w:rPr>
            </w:pPr>
            <w:r>
              <w:rPr>
                <w:u w:val="single"/>
              </w:rPr>
              <w:t>COD：50mg/L</w:t>
            </w:r>
          </w:p>
        </w:tc>
        <w:tc>
          <w:tcPr>
            <w:tcW w:w="2322" w:type="dxa"/>
            <w:shd w:val="clear" w:color="auto" w:fill="auto"/>
            <w:vAlign w:val="center"/>
          </w:tcPr>
          <w:p>
            <w:pPr>
              <w:pStyle w:val="63"/>
              <w:rPr>
                <w:u w:val="single"/>
              </w:rPr>
            </w:pPr>
            <w:r>
              <w:rPr>
                <w:rFonts w:hint="eastAsia"/>
                <w:u w:val="single"/>
              </w:rPr>
              <w:t>1.84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321" w:type="dxa"/>
            <w:shd w:val="clear" w:color="auto" w:fill="auto"/>
            <w:vAlign w:val="center"/>
          </w:tcPr>
          <w:p>
            <w:pPr>
              <w:pStyle w:val="63"/>
              <w:rPr>
                <w:u w:val="single"/>
              </w:rPr>
            </w:pPr>
            <w:r>
              <w:rPr>
                <w:u w:val="single"/>
              </w:rPr>
              <w:t>2</w:t>
            </w:r>
          </w:p>
        </w:tc>
        <w:tc>
          <w:tcPr>
            <w:tcW w:w="2322" w:type="dxa"/>
            <w:vMerge w:val="continue"/>
            <w:shd w:val="clear" w:color="auto" w:fill="auto"/>
            <w:vAlign w:val="center"/>
          </w:tcPr>
          <w:p>
            <w:pPr>
              <w:pStyle w:val="63"/>
              <w:rPr>
                <w:u w:val="single"/>
              </w:rPr>
            </w:pPr>
          </w:p>
        </w:tc>
        <w:tc>
          <w:tcPr>
            <w:tcW w:w="2322" w:type="dxa"/>
            <w:shd w:val="clear" w:color="auto" w:fill="auto"/>
            <w:vAlign w:val="center"/>
          </w:tcPr>
          <w:p>
            <w:pPr>
              <w:pStyle w:val="63"/>
              <w:rPr>
                <w:u w:val="single"/>
              </w:rPr>
            </w:pPr>
            <w:r>
              <w:rPr>
                <w:u w:val="single"/>
              </w:rPr>
              <w:t>氨氮：</w:t>
            </w:r>
            <w:r>
              <w:rPr>
                <w:rFonts w:hint="eastAsia"/>
                <w:u w:val="single"/>
              </w:rPr>
              <w:t>8</w:t>
            </w:r>
            <w:r>
              <w:rPr>
                <w:u w:val="single"/>
              </w:rPr>
              <w:t>mg/L</w:t>
            </w:r>
          </w:p>
        </w:tc>
        <w:tc>
          <w:tcPr>
            <w:tcW w:w="2322" w:type="dxa"/>
            <w:shd w:val="clear" w:color="auto" w:fill="auto"/>
            <w:vAlign w:val="center"/>
          </w:tcPr>
          <w:p>
            <w:pPr>
              <w:pStyle w:val="63"/>
              <w:rPr>
                <w:u w:val="single"/>
              </w:rPr>
            </w:pPr>
            <w:r>
              <w:rPr>
                <w:u w:val="single"/>
              </w:rPr>
              <w:t>0.</w:t>
            </w:r>
            <w:r>
              <w:rPr>
                <w:rFonts w:hint="eastAsia"/>
                <w:u w:val="single"/>
              </w:rPr>
              <w:t>30</w:t>
            </w:r>
          </w:p>
        </w:tc>
      </w:tr>
    </w:tbl>
    <w:p>
      <w:pPr>
        <w:pStyle w:val="84"/>
        <w:adjustRightInd/>
        <w:snapToGrid/>
        <w:ind w:firstLine="480"/>
        <w:jc w:val="left"/>
        <w:rPr>
          <w:rFonts w:eastAsiaTheme="minorEastAsia"/>
          <w:kern w:val="2"/>
          <w:sz w:val="24"/>
        </w:rPr>
      </w:pPr>
      <w:r>
        <w:rPr>
          <w:rFonts w:eastAsiaTheme="minorEastAsia"/>
          <w:kern w:val="2"/>
          <w:sz w:val="24"/>
        </w:rPr>
        <w:t>（2）废气</w:t>
      </w:r>
    </w:p>
    <w:p>
      <w:pPr>
        <w:pStyle w:val="84"/>
        <w:adjustRightInd/>
        <w:snapToGrid/>
        <w:ind w:firstLine="480"/>
        <w:jc w:val="left"/>
        <w:rPr>
          <w:rFonts w:eastAsiaTheme="minorEastAsia"/>
          <w:kern w:val="2"/>
          <w:sz w:val="24"/>
        </w:rPr>
      </w:pPr>
      <w:r>
        <w:rPr>
          <w:rFonts w:eastAsiaTheme="minorEastAsia"/>
          <w:kern w:val="2"/>
          <w:sz w:val="24"/>
        </w:rPr>
        <w:t>根据前述分析，本项目建成后，全厂废气中各污染物排放量见下表。</w:t>
      </w:r>
    </w:p>
    <w:p>
      <w:pPr>
        <w:pStyle w:val="6"/>
        <w:rPr>
          <w:rFonts w:ascii="Times New Roman" w:hAnsi="Times New Roman" w:cs="Times New Roman"/>
        </w:rPr>
      </w:pPr>
      <w:r>
        <w:rPr>
          <w:rFonts w:ascii="Times New Roman" w:hAnsi="Times New Roman" w:cs="Times New Roman"/>
        </w:rPr>
        <w:t>表9.1-2  本项目运营期全厂废气中各污染物排放量</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838"/>
        <w:gridCol w:w="2844"/>
        <w:gridCol w:w="28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tcBorders>
              <w:top w:val="single" w:color="auto" w:sz="12" w:space="0"/>
              <w:left w:val="single" w:color="auto" w:sz="12" w:space="0"/>
              <w:bottom w:val="single" w:color="auto" w:sz="4" w:space="0"/>
              <w:right w:val="single" w:color="auto" w:sz="4" w:space="0"/>
            </w:tcBorders>
            <w:vAlign w:val="center"/>
          </w:tcPr>
          <w:p>
            <w:pPr>
              <w:pStyle w:val="63"/>
            </w:pPr>
            <w:r>
              <w:t>序号</w:t>
            </w:r>
          </w:p>
        </w:tc>
        <w:tc>
          <w:tcPr>
            <w:tcW w:w="1667" w:type="pct"/>
            <w:tcBorders>
              <w:top w:val="single" w:color="auto" w:sz="12" w:space="0"/>
              <w:left w:val="single" w:color="auto" w:sz="4" w:space="0"/>
              <w:bottom w:val="single" w:color="auto" w:sz="4" w:space="0"/>
              <w:right w:val="single" w:color="auto" w:sz="4" w:space="0"/>
            </w:tcBorders>
            <w:vAlign w:val="center"/>
          </w:tcPr>
          <w:p>
            <w:pPr>
              <w:pStyle w:val="63"/>
            </w:pPr>
            <w:r>
              <w:t>污染物</w:t>
            </w:r>
          </w:p>
        </w:tc>
        <w:tc>
          <w:tcPr>
            <w:tcW w:w="1669" w:type="pct"/>
            <w:tcBorders>
              <w:top w:val="single" w:color="auto" w:sz="12" w:space="0"/>
              <w:left w:val="single" w:color="auto" w:sz="4" w:space="0"/>
              <w:bottom w:val="single" w:color="auto" w:sz="4" w:space="0"/>
              <w:right w:val="single" w:color="auto" w:sz="12" w:space="0"/>
            </w:tcBorders>
            <w:vAlign w:val="center"/>
          </w:tcPr>
          <w:p>
            <w:pPr>
              <w:pStyle w:val="63"/>
            </w:pPr>
            <w:r>
              <w:t>年排放量（t/a）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tcBorders>
              <w:top w:val="single" w:color="auto" w:sz="4" w:space="0"/>
              <w:left w:val="single" w:color="auto" w:sz="12" w:space="0"/>
              <w:bottom w:val="single" w:color="auto" w:sz="4" w:space="0"/>
              <w:right w:val="single" w:color="auto" w:sz="4" w:space="0"/>
            </w:tcBorders>
            <w:vAlign w:val="center"/>
          </w:tcPr>
          <w:p>
            <w:pPr>
              <w:pStyle w:val="63"/>
            </w:pPr>
            <w:r>
              <w:t>1</w:t>
            </w:r>
          </w:p>
        </w:tc>
        <w:tc>
          <w:tcPr>
            <w:tcW w:w="1667"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sz w:val="21"/>
              </w:rPr>
            </w:pPr>
            <w:r>
              <w:rPr>
                <w:rFonts w:ascii="Times New Roman" w:hAnsi="Times New Roman" w:cs="Times New Roman"/>
                <w:sz w:val="21"/>
              </w:rPr>
              <w:t>颗粒物</w:t>
            </w:r>
          </w:p>
        </w:tc>
        <w:tc>
          <w:tcPr>
            <w:tcW w:w="1669" w:type="pct"/>
            <w:tcBorders>
              <w:top w:val="single" w:color="auto" w:sz="4" w:space="0"/>
              <w:left w:val="single" w:color="auto" w:sz="4" w:space="0"/>
              <w:bottom w:val="single" w:color="auto" w:sz="4" w:space="0"/>
              <w:right w:val="single" w:color="auto" w:sz="12" w:space="0"/>
            </w:tcBorders>
            <w:vAlign w:val="center"/>
          </w:tcPr>
          <w:p>
            <w:pPr>
              <w:pStyle w:val="63"/>
            </w:pPr>
            <w:r>
              <w:t>0.50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tcBorders>
              <w:top w:val="single" w:color="auto" w:sz="4" w:space="0"/>
              <w:left w:val="single" w:color="auto" w:sz="12" w:space="0"/>
              <w:bottom w:val="single" w:color="auto" w:sz="4" w:space="0"/>
              <w:right w:val="single" w:color="auto" w:sz="4" w:space="0"/>
            </w:tcBorders>
            <w:vAlign w:val="center"/>
          </w:tcPr>
          <w:p>
            <w:pPr>
              <w:pStyle w:val="63"/>
            </w:pPr>
            <w:r>
              <w:t>2</w:t>
            </w:r>
          </w:p>
        </w:tc>
        <w:tc>
          <w:tcPr>
            <w:tcW w:w="1667"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sz w:val="21"/>
              </w:rPr>
            </w:pPr>
            <w:r>
              <w:rPr>
                <w:rFonts w:ascii="Times New Roman" w:hAnsi="Times New Roman" w:cs="Times New Roman"/>
                <w:sz w:val="21"/>
              </w:rPr>
              <w:t>非甲烷总烃</w:t>
            </w:r>
          </w:p>
        </w:tc>
        <w:tc>
          <w:tcPr>
            <w:tcW w:w="1669" w:type="pct"/>
            <w:tcBorders>
              <w:top w:val="single" w:color="auto" w:sz="4" w:space="0"/>
              <w:left w:val="single" w:color="auto" w:sz="4" w:space="0"/>
              <w:bottom w:val="single" w:color="auto" w:sz="4" w:space="0"/>
              <w:right w:val="single" w:color="auto" w:sz="12" w:space="0"/>
            </w:tcBorders>
            <w:vAlign w:val="center"/>
          </w:tcPr>
          <w:p>
            <w:pPr>
              <w:pStyle w:val="63"/>
            </w:pPr>
            <w:r>
              <w:t>13.99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tcBorders>
              <w:top w:val="single" w:color="auto" w:sz="4" w:space="0"/>
              <w:left w:val="single" w:color="auto" w:sz="12" w:space="0"/>
              <w:bottom w:val="single" w:color="auto" w:sz="4" w:space="0"/>
              <w:right w:val="single" w:color="auto" w:sz="4" w:space="0"/>
            </w:tcBorders>
            <w:vAlign w:val="center"/>
          </w:tcPr>
          <w:p>
            <w:pPr>
              <w:pStyle w:val="63"/>
            </w:pPr>
            <w:r>
              <w:t>3</w:t>
            </w:r>
          </w:p>
        </w:tc>
        <w:tc>
          <w:tcPr>
            <w:tcW w:w="1667"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sz w:val="21"/>
              </w:rPr>
            </w:pPr>
            <w:r>
              <w:rPr>
                <w:rFonts w:ascii="Times New Roman" w:hAnsi="Times New Roman" w:cs="Times New Roman"/>
                <w:sz w:val="21"/>
              </w:rPr>
              <w:t>氟化物</w:t>
            </w:r>
          </w:p>
        </w:tc>
        <w:tc>
          <w:tcPr>
            <w:tcW w:w="1669" w:type="pct"/>
            <w:tcBorders>
              <w:top w:val="single" w:color="auto" w:sz="4" w:space="0"/>
              <w:left w:val="single" w:color="auto" w:sz="4" w:space="0"/>
              <w:bottom w:val="single" w:color="auto" w:sz="4" w:space="0"/>
              <w:right w:val="single" w:color="auto" w:sz="12" w:space="0"/>
            </w:tcBorders>
            <w:vAlign w:val="center"/>
          </w:tcPr>
          <w:p>
            <w:pPr>
              <w:jc w:val="center"/>
              <w:rPr>
                <w:rFonts w:ascii="Times New Roman" w:hAnsi="Times New Roman" w:cs="Times New Roman"/>
                <w:sz w:val="21"/>
              </w:rPr>
            </w:pPr>
            <w:r>
              <w:rPr>
                <w:rFonts w:ascii="Times New Roman" w:hAnsi="Times New Roman" w:cs="Times New Roman"/>
                <w:sz w:val="21"/>
                <w:szCs w:val="21"/>
              </w:rPr>
              <w:t>1.07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tcBorders>
              <w:top w:val="single" w:color="auto" w:sz="4" w:space="0"/>
              <w:left w:val="single" w:color="auto" w:sz="12" w:space="0"/>
              <w:bottom w:val="single" w:color="auto" w:sz="4" w:space="0"/>
              <w:right w:val="single" w:color="auto" w:sz="4" w:space="0"/>
            </w:tcBorders>
            <w:vAlign w:val="center"/>
          </w:tcPr>
          <w:p>
            <w:pPr>
              <w:pStyle w:val="63"/>
            </w:pPr>
            <w:r>
              <w:t>4</w:t>
            </w:r>
          </w:p>
        </w:tc>
        <w:tc>
          <w:tcPr>
            <w:tcW w:w="1667"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sz w:val="21"/>
              </w:rPr>
            </w:pPr>
            <w:r>
              <w:rPr>
                <w:rFonts w:ascii="Times New Roman" w:hAnsi="Times New Roman" w:cs="Times New Roman"/>
                <w:sz w:val="21"/>
              </w:rPr>
              <w:t>镍及其化合物</w:t>
            </w:r>
          </w:p>
        </w:tc>
        <w:tc>
          <w:tcPr>
            <w:tcW w:w="1669" w:type="pct"/>
            <w:tcBorders>
              <w:top w:val="single" w:color="auto" w:sz="4" w:space="0"/>
              <w:left w:val="single" w:color="auto" w:sz="4" w:space="0"/>
              <w:bottom w:val="single" w:color="auto" w:sz="4" w:space="0"/>
              <w:right w:val="single" w:color="auto" w:sz="12" w:space="0"/>
            </w:tcBorders>
            <w:vAlign w:val="center"/>
          </w:tcPr>
          <w:p>
            <w:pPr>
              <w:jc w:val="center"/>
              <w:rPr>
                <w:rFonts w:ascii="Times New Roman" w:hAnsi="Times New Roman" w:cs="Times New Roman"/>
                <w:sz w:val="21"/>
              </w:rPr>
            </w:pPr>
            <w:r>
              <w:rPr>
                <w:rFonts w:ascii="Times New Roman" w:hAnsi="Times New Roman" w:cs="Times New Roman"/>
                <w:sz w:val="21"/>
                <w:szCs w:val="21"/>
              </w:rPr>
              <w:t>0.324kg/a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tcBorders>
              <w:top w:val="single" w:color="auto" w:sz="4" w:space="0"/>
              <w:left w:val="single" w:color="auto" w:sz="12" w:space="0"/>
              <w:bottom w:val="single" w:color="auto" w:sz="4" w:space="0"/>
              <w:right w:val="single" w:color="auto" w:sz="4" w:space="0"/>
            </w:tcBorders>
            <w:vAlign w:val="center"/>
          </w:tcPr>
          <w:p>
            <w:pPr>
              <w:pStyle w:val="63"/>
            </w:pPr>
            <w:r>
              <w:t>5</w:t>
            </w:r>
          </w:p>
        </w:tc>
        <w:tc>
          <w:tcPr>
            <w:tcW w:w="1667"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sz w:val="21"/>
              </w:rPr>
            </w:pPr>
            <w:r>
              <w:rPr>
                <w:rFonts w:ascii="Times New Roman" w:hAnsi="Times New Roman" w:cs="Times New Roman"/>
                <w:sz w:val="21"/>
              </w:rPr>
              <w:t>钴及其化合物</w:t>
            </w:r>
          </w:p>
        </w:tc>
        <w:tc>
          <w:tcPr>
            <w:tcW w:w="1669" w:type="pct"/>
            <w:tcBorders>
              <w:top w:val="single" w:color="auto" w:sz="4" w:space="0"/>
              <w:left w:val="single" w:color="auto" w:sz="4" w:space="0"/>
              <w:bottom w:val="single" w:color="auto" w:sz="4" w:space="0"/>
              <w:right w:val="single" w:color="auto" w:sz="12" w:space="0"/>
            </w:tcBorders>
            <w:vAlign w:val="center"/>
          </w:tcPr>
          <w:p>
            <w:pPr>
              <w:jc w:val="center"/>
              <w:rPr>
                <w:rFonts w:ascii="Times New Roman" w:hAnsi="Times New Roman" w:cs="Times New Roman"/>
                <w:sz w:val="21"/>
              </w:rPr>
            </w:pPr>
            <w:r>
              <w:rPr>
                <w:rFonts w:ascii="Times New Roman" w:hAnsi="Times New Roman" w:cs="Times New Roman"/>
                <w:sz w:val="21"/>
                <w:szCs w:val="21"/>
              </w:rPr>
              <w:t>0.128kg/a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tcBorders>
              <w:top w:val="single" w:color="auto" w:sz="4" w:space="0"/>
              <w:left w:val="single" w:color="auto" w:sz="12" w:space="0"/>
              <w:bottom w:val="single" w:color="auto" w:sz="4" w:space="0"/>
              <w:right w:val="single" w:color="auto" w:sz="4" w:space="0"/>
            </w:tcBorders>
            <w:vAlign w:val="center"/>
          </w:tcPr>
          <w:p>
            <w:pPr>
              <w:pStyle w:val="63"/>
            </w:pPr>
            <w:r>
              <w:t>6</w:t>
            </w:r>
          </w:p>
        </w:tc>
        <w:tc>
          <w:tcPr>
            <w:tcW w:w="1667"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sz w:val="21"/>
              </w:rPr>
            </w:pPr>
            <w:r>
              <w:rPr>
                <w:rFonts w:ascii="Times New Roman" w:hAnsi="Times New Roman" w:cs="Times New Roman"/>
                <w:sz w:val="21"/>
              </w:rPr>
              <w:t>锰及其化合物</w:t>
            </w:r>
          </w:p>
        </w:tc>
        <w:tc>
          <w:tcPr>
            <w:tcW w:w="1669" w:type="pct"/>
            <w:tcBorders>
              <w:top w:val="single" w:color="auto" w:sz="4" w:space="0"/>
              <w:left w:val="single" w:color="auto" w:sz="4" w:space="0"/>
              <w:bottom w:val="single" w:color="auto" w:sz="4" w:space="0"/>
              <w:right w:val="single" w:color="auto" w:sz="12" w:space="0"/>
            </w:tcBorders>
            <w:vAlign w:val="center"/>
          </w:tcPr>
          <w:p>
            <w:pPr>
              <w:jc w:val="center"/>
              <w:rPr>
                <w:rFonts w:ascii="Times New Roman" w:hAnsi="Times New Roman" w:cs="Times New Roman"/>
                <w:sz w:val="21"/>
              </w:rPr>
            </w:pPr>
            <w:r>
              <w:rPr>
                <w:rFonts w:ascii="Times New Roman" w:hAnsi="Times New Roman" w:cs="Times New Roman"/>
                <w:sz w:val="21"/>
                <w:szCs w:val="21"/>
              </w:rPr>
              <w:t>0.196kg/a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tcBorders>
              <w:top w:val="single" w:color="auto" w:sz="4" w:space="0"/>
              <w:left w:val="single" w:color="auto" w:sz="12" w:space="0"/>
              <w:bottom w:val="single" w:color="auto" w:sz="4" w:space="0"/>
              <w:right w:val="single" w:color="auto" w:sz="4" w:space="0"/>
            </w:tcBorders>
            <w:vAlign w:val="center"/>
          </w:tcPr>
          <w:p>
            <w:pPr>
              <w:pStyle w:val="63"/>
            </w:pPr>
            <w:r>
              <w:rPr>
                <w:rFonts w:hint="eastAsia"/>
              </w:rPr>
              <w:t>7</w:t>
            </w:r>
          </w:p>
        </w:tc>
        <w:tc>
          <w:tcPr>
            <w:tcW w:w="1667"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sz w:val="21"/>
              </w:rPr>
            </w:pPr>
            <w:r>
              <w:rPr>
                <w:rFonts w:ascii="Times New Roman" w:hAnsi="Times New Roman" w:cs="Times New Roman"/>
                <w:sz w:val="21"/>
              </w:rPr>
              <w:t>SO2</w:t>
            </w:r>
          </w:p>
        </w:tc>
        <w:tc>
          <w:tcPr>
            <w:tcW w:w="1669" w:type="pct"/>
            <w:tcBorders>
              <w:top w:val="single" w:color="auto" w:sz="4" w:space="0"/>
              <w:left w:val="single" w:color="auto" w:sz="4" w:space="0"/>
              <w:bottom w:val="single" w:color="auto" w:sz="4" w:space="0"/>
              <w:right w:val="single" w:color="auto" w:sz="12" w:space="0"/>
            </w:tcBorders>
            <w:vAlign w:val="center"/>
          </w:tcPr>
          <w:p>
            <w:pPr>
              <w:pStyle w:val="63"/>
            </w:pPr>
            <w:r>
              <w:t>1.06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tcBorders>
              <w:top w:val="single" w:color="auto" w:sz="4" w:space="0"/>
              <w:left w:val="single" w:color="auto" w:sz="12" w:space="0"/>
              <w:bottom w:val="single" w:color="auto" w:sz="4" w:space="0"/>
              <w:right w:val="single" w:color="auto" w:sz="4" w:space="0"/>
            </w:tcBorders>
            <w:vAlign w:val="center"/>
          </w:tcPr>
          <w:p>
            <w:pPr>
              <w:pStyle w:val="63"/>
            </w:pPr>
            <w:r>
              <w:t>8</w:t>
            </w:r>
          </w:p>
        </w:tc>
        <w:tc>
          <w:tcPr>
            <w:tcW w:w="1667"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sz w:val="21"/>
              </w:rPr>
            </w:pPr>
            <w:r>
              <w:rPr>
                <w:rFonts w:ascii="Times New Roman" w:hAnsi="Times New Roman" w:cs="Times New Roman"/>
                <w:sz w:val="21"/>
              </w:rPr>
              <w:t>NOx</w:t>
            </w:r>
          </w:p>
        </w:tc>
        <w:tc>
          <w:tcPr>
            <w:tcW w:w="1669" w:type="pct"/>
            <w:tcBorders>
              <w:top w:val="single" w:color="auto" w:sz="4" w:space="0"/>
              <w:left w:val="single" w:color="auto" w:sz="4" w:space="0"/>
              <w:bottom w:val="single" w:color="auto" w:sz="4" w:space="0"/>
              <w:right w:val="single" w:color="auto" w:sz="12" w:space="0"/>
            </w:tcBorders>
            <w:vAlign w:val="center"/>
          </w:tcPr>
          <w:p>
            <w:pPr>
              <w:pStyle w:val="63"/>
            </w:pPr>
            <w:r>
              <w:t>14.47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4" w:type="pct"/>
            <w:tcBorders>
              <w:top w:val="single" w:color="auto" w:sz="4" w:space="0"/>
              <w:left w:val="single" w:color="auto" w:sz="12" w:space="0"/>
              <w:bottom w:val="single" w:color="auto" w:sz="4" w:space="0"/>
              <w:right w:val="single" w:color="auto" w:sz="4" w:space="0"/>
            </w:tcBorders>
            <w:vAlign w:val="center"/>
          </w:tcPr>
          <w:p>
            <w:pPr>
              <w:pStyle w:val="63"/>
            </w:pPr>
            <w:r>
              <w:rPr>
                <w:rFonts w:hint="eastAsia"/>
              </w:rPr>
              <w:t>9</w:t>
            </w:r>
          </w:p>
        </w:tc>
        <w:tc>
          <w:tcPr>
            <w:tcW w:w="1667" w:type="pct"/>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cs="Times New Roman"/>
                <w:sz w:val="21"/>
              </w:rPr>
            </w:pPr>
            <w:r>
              <w:t>硫酸雾</w:t>
            </w:r>
          </w:p>
        </w:tc>
        <w:tc>
          <w:tcPr>
            <w:tcW w:w="1669" w:type="pct"/>
            <w:tcBorders>
              <w:top w:val="single" w:color="auto" w:sz="4" w:space="0"/>
              <w:left w:val="single" w:color="auto" w:sz="4" w:space="0"/>
              <w:bottom w:val="single" w:color="auto" w:sz="4" w:space="0"/>
              <w:right w:val="single" w:color="auto" w:sz="12" w:space="0"/>
            </w:tcBorders>
            <w:vAlign w:val="center"/>
          </w:tcPr>
          <w:p>
            <w:pPr>
              <w:pStyle w:val="63"/>
            </w:pPr>
            <w:r>
              <w:t>4.20</w:t>
            </w:r>
          </w:p>
        </w:tc>
      </w:tr>
    </w:tbl>
    <w:p>
      <w:pPr>
        <w:pStyle w:val="3"/>
        <w:rPr>
          <w:rFonts w:ascii="Times New Roman" w:hAnsi="Times New Roman" w:cs="Times New Roman" w:eastAsiaTheme="minorEastAsia"/>
        </w:rPr>
      </w:pPr>
      <w:bookmarkStart w:id="588" w:name="_Toc144236878"/>
      <w:bookmarkStart w:id="589" w:name="_Toc144277008"/>
      <w:bookmarkStart w:id="590" w:name="_Toc147848126"/>
      <w:r>
        <w:rPr>
          <w:rFonts w:ascii="Times New Roman" w:hAnsi="Times New Roman" w:cs="Times New Roman" w:eastAsiaTheme="minorEastAsia"/>
        </w:rPr>
        <w:t>9.2 总量指标确定</w:t>
      </w:r>
      <w:bookmarkEnd w:id="588"/>
      <w:bookmarkEnd w:id="589"/>
      <w:bookmarkEnd w:id="590"/>
    </w:p>
    <w:p>
      <w:pPr>
        <w:pStyle w:val="83"/>
        <w:spacing w:line="360" w:lineRule="auto"/>
        <w:ind w:left="-104" w:firstLine="480"/>
        <w:jc w:val="left"/>
        <w:rPr>
          <w:rFonts w:eastAsiaTheme="minorEastAsia"/>
        </w:rPr>
        <w:sectPr>
          <w:pgSz w:w="11907" w:h="16840"/>
          <w:pgMar w:top="1440" w:right="1797" w:bottom="1440" w:left="1797" w:header="964" w:footer="851" w:gutter="0"/>
          <w:cols w:space="720" w:num="1"/>
          <w:docGrid w:linePitch="297" w:charSpace="200"/>
        </w:sectPr>
      </w:pPr>
      <w:r>
        <w:rPr>
          <w:rFonts w:eastAsiaTheme="minorEastAsia"/>
        </w:rPr>
        <w:t>根据上表9.1-1~表9.1-2可知，本项目建成后，全厂</w:t>
      </w:r>
      <w:r>
        <w:rPr>
          <w:rFonts w:hint="eastAsia" w:eastAsiaTheme="minorEastAsia"/>
        </w:rPr>
        <w:t>需购买</w:t>
      </w:r>
      <w:r>
        <w:rPr>
          <w:rFonts w:eastAsiaTheme="minorEastAsia"/>
        </w:rPr>
        <w:t>总量指标为SO</w:t>
      </w:r>
      <w:r>
        <w:rPr>
          <w:rFonts w:eastAsiaTheme="minorEastAsia"/>
          <w:vertAlign w:val="subscript"/>
        </w:rPr>
        <w:t>2</w:t>
      </w:r>
      <w:r>
        <w:rPr>
          <w:rFonts w:eastAsiaTheme="minorEastAsia"/>
        </w:rPr>
        <w:t>：</w:t>
      </w:r>
      <w:r>
        <w:rPr>
          <w:rFonts w:eastAsiaTheme="minorEastAsia"/>
          <w:color w:val="000000"/>
        </w:rPr>
        <w:t>1.06</w:t>
      </w:r>
      <w:r>
        <w:rPr>
          <w:rFonts w:eastAsiaTheme="minorEastAsia"/>
        </w:rPr>
        <w:t>t/a；NOx：</w:t>
      </w:r>
      <w:r>
        <w:rPr>
          <w:rFonts w:eastAsiaTheme="minorEastAsia"/>
          <w:color w:val="000000"/>
        </w:rPr>
        <w:t>14.47</w:t>
      </w:r>
      <w:r>
        <w:rPr>
          <w:rFonts w:eastAsiaTheme="minorEastAsia"/>
        </w:rPr>
        <w:t>t/a；COD：</w:t>
      </w:r>
      <w:r>
        <w:rPr>
          <w:rFonts w:hint="eastAsia" w:eastAsiaTheme="minorEastAsia"/>
        </w:rPr>
        <w:t>1.84</w:t>
      </w:r>
      <w:r>
        <w:rPr>
          <w:rFonts w:eastAsiaTheme="minorEastAsia"/>
        </w:rPr>
        <w:t>t/a；氨氮：0.</w:t>
      </w:r>
      <w:r>
        <w:rPr>
          <w:rFonts w:hint="eastAsia" w:eastAsiaTheme="minorEastAsia"/>
        </w:rPr>
        <w:t>30</w:t>
      </w:r>
      <w:r>
        <w:rPr>
          <w:rFonts w:eastAsiaTheme="minorEastAsia"/>
        </w:rPr>
        <w:t>t/a。</w:t>
      </w:r>
    </w:p>
    <w:p>
      <w:pPr>
        <w:pStyle w:val="2"/>
        <w:spacing w:before="120" w:after="120"/>
        <w:rPr>
          <w:rFonts w:ascii="Times New Roman" w:hAnsi="Times New Roman" w:cs="Times New Roman"/>
        </w:rPr>
      </w:pPr>
      <w:bookmarkStart w:id="591" w:name="_Toc144236879"/>
      <w:bookmarkStart w:id="592" w:name="_Toc144277009"/>
      <w:bookmarkStart w:id="593" w:name="_Toc147848127"/>
      <w:r>
        <w:rPr>
          <w:rFonts w:ascii="Times New Roman" w:hAnsi="Times New Roman" w:cs="Times New Roman"/>
        </w:rPr>
        <w:t>第10章 环境影响经济损益分析</w:t>
      </w:r>
      <w:bookmarkEnd w:id="505"/>
      <w:bookmarkEnd w:id="591"/>
      <w:bookmarkEnd w:id="592"/>
      <w:bookmarkEnd w:id="593"/>
    </w:p>
    <w:p>
      <w:pPr>
        <w:spacing w:line="360" w:lineRule="auto"/>
        <w:ind w:firstLine="480" w:firstLineChars="200"/>
        <w:rPr>
          <w:rFonts w:ascii="Times New Roman" w:hAnsi="Times New Roman" w:cs="Times New Roman"/>
        </w:rPr>
      </w:pPr>
      <w:bookmarkStart w:id="594" w:name="_Toc488866529"/>
      <w:bookmarkStart w:id="595" w:name="_Toc493031127"/>
      <w:r>
        <w:rPr>
          <w:rFonts w:ascii="Times New Roman" w:hAnsi="Times New Roman" w:cs="Times New Roman"/>
        </w:rPr>
        <w:t>环境经济损益分析是环境影响评价的一项重要工作内容，是衡量建设项目需要投入的环保治理资金及所收到的环境保护效果。因此，在环境经济损益分析中，除需计算用于控制污染所需的费用外，还需要计算进行的环境保护活动所产生的实际效益。但项目建设的环境经济损益分析较为复杂，有短期与长期、直接与间接的收益与损失，在污染领域也存在极大的不确定性，因此，建设项目的环境经济损益分析包含了货币与非货币两种形式的衡量。本章旨在采用市场价值法与半定量的货币形式，对本工程投入的环保设施所产生的环境经济效益与损失进行简要分析，旨在体现本项目投产后的环境经济损益趋势。</w:t>
      </w:r>
    </w:p>
    <w:p>
      <w:pPr>
        <w:spacing w:line="360" w:lineRule="auto"/>
        <w:ind w:firstLine="480" w:firstLineChars="200"/>
        <w:rPr>
          <w:rFonts w:ascii="Times New Roman" w:hAnsi="Times New Roman" w:cs="Times New Roman"/>
        </w:rPr>
      </w:pPr>
      <w:r>
        <w:rPr>
          <w:rFonts w:ascii="Times New Roman" w:hAnsi="Times New Roman" w:cs="Times New Roman"/>
        </w:rPr>
        <w:t>环境经济损益分析除了需计算用于治理、控制污染所需的投资和费用外，还要同时核算可能收到的环境经济效益、社会环境效益和环境污染损失。本评价采用指标计算法，通过费用与效益比较，用环境年净效益及环境效益与污染控制费用比来进行分析。</w:t>
      </w:r>
    </w:p>
    <w:bookmarkEnd w:id="594"/>
    <w:bookmarkEnd w:id="595"/>
    <w:p>
      <w:pPr>
        <w:pStyle w:val="3"/>
        <w:rPr>
          <w:rFonts w:ascii="Times New Roman" w:hAnsi="Times New Roman" w:cs="Times New Roman" w:eastAsiaTheme="minorEastAsia"/>
        </w:rPr>
      </w:pPr>
      <w:bookmarkStart w:id="596" w:name="_Toc144236880"/>
      <w:bookmarkStart w:id="597" w:name="_Toc102658243"/>
      <w:bookmarkStart w:id="598" w:name="_Toc144277010"/>
      <w:bookmarkStart w:id="599" w:name="_Toc51688838"/>
      <w:bookmarkStart w:id="600" w:name="_Toc147848128"/>
      <w:r>
        <w:rPr>
          <w:rFonts w:ascii="Times New Roman" w:hAnsi="Times New Roman" w:cs="Times New Roman" w:eastAsiaTheme="minorEastAsia"/>
        </w:rPr>
        <w:t>10.1 社会效益分析</w:t>
      </w:r>
      <w:bookmarkEnd w:id="596"/>
      <w:bookmarkEnd w:id="597"/>
      <w:bookmarkEnd w:id="598"/>
      <w:bookmarkEnd w:id="599"/>
      <w:bookmarkEnd w:id="600"/>
    </w:p>
    <w:p>
      <w:pPr>
        <w:spacing w:line="360" w:lineRule="auto"/>
        <w:ind w:firstLine="480" w:firstLineChars="200"/>
        <w:rPr>
          <w:rFonts w:ascii="Times New Roman" w:hAnsi="Times New Roman" w:cs="Times New Roman"/>
        </w:rPr>
      </w:pPr>
      <w:bookmarkStart w:id="601" w:name="_Toc174693433"/>
      <w:bookmarkStart w:id="602" w:name="_Toc174693092"/>
      <w:r>
        <w:rPr>
          <w:rFonts w:ascii="Times New Roman" w:hAnsi="Times New Roman" w:cs="Times New Roman"/>
        </w:rPr>
        <w:t>项目建设符合国家产业政策和相关规划，项目的实施对当地社会环境、社会经济等都将产生积极影响。项目社会效益主要体现在对当地社会经济的正面影响，以及对市场和国家经济的贡献。本项目建成后的社会效益主要体现在以下几个方面：</w:t>
      </w:r>
    </w:p>
    <w:p>
      <w:pPr>
        <w:spacing w:line="360" w:lineRule="auto"/>
        <w:ind w:firstLine="480" w:firstLineChars="200"/>
        <w:rPr>
          <w:rFonts w:ascii="Times New Roman" w:hAnsi="Times New Roman" w:cs="Times New Roman"/>
        </w:rPr>
      </w:pPr>
      <w:r>
        <w:rPr>
          <w:rFonts w:ascii="Times New Roman" w:hAnsi="Times New Roman" w:cs="Times New Roman"/>
        </w:rPr>
        <w:t>（1）本项目回收锂离子电池并处理其中的有害物质，从中回收利用有价金属资源，不仅可以解决废电池的污染问题，还可以有效地减少原生矿的开采，缓解资源稀缺带来的压力，促进有色金属资源的循环利用，具有良好的社会效益。</w:t>
      </w:r>
    </w:p>
    <w:p>
      <w:pPr>
        <w:spacing w:line="360" w:lineRule="auto"/>
        <w:ind w:firstLine="480" w:firstLineChars="200"/>
        <w:rPr>
          <w:rFonts w:ascii="Times New Roman" w:hAnsi="Times New Roman" w:cs="Times New Roman"/>
        </w:rPr>
      </w:pPr>
      <w:r>
        <w:rPr>
          <w:rFonts w:ascii="Times New Roman" w:hAnsi="Times New Roman" w:cs="Times New Roman"/>
        </w:rPr>
        <w:t>（2）项目实施后，上缴利税增加地方财政收入，有利于区域经济的发展，对当地经济建设的稳定快速发展起到一定作用，对促进地方文化、教育等公益项目的发展等产生积极影响。</w:t>
      </w:r>
    </w:p>
    <w:p>
      <w:pPr>
        <w:spacing w:line="360" w:lineRule="auto"/>
        <w:ind w:firstLine="480" w:firstLineChars="200"/>
        <w:rPr>
          <w:rFonts w:ascii="Times New Roman" w:hAnsi="Times New Roman" w:cs="Times New Roman"/>
        </w:rPr>
      </w:pPr>
      <w:r>
        <w:rPr>
          <w:rFonts w:ascii="Times New Roman" w:hAnsi="Times New Roman" w:cs="Times New Roman"/>
        </w:rPr>
        <w:t>（3）项目实施后带动当地科学技术平衡发展，有利于新技术的发展和应用，从而推动当地科技发展进步，提高地区科技水平。因此，本项目对于促进地区经济发展和社会稳定等方面能够起到推动作用，对社会产生积极的影响。</w:t>
      </w:r>
    </w:p>
    <w:p>
      <w:pPr>
        <w:spacing w:line="360" w:lineRule="auto"/>
        <w:ind w:firstLine="480" w:firstLineChars="200"/>
        <w:rPr>
          <w:rFonts w:ascii="Times New Roman" w:hAnsi="Times New Roman" w:cs="Times New Roman"/>
        </w:rPr>
      </w:pPr>
      <w:r>
        <w:rPr>
          <w:rFonts w:ascii="Times New Roman" w:hAnsi="Times New Roman" w:cs="Times New Roman"/>
        </w:rPr>
        <w:t>（4）项目实施后可以增加区域市场对废旧锂电池回收的积极性，促进上游废电池回收产业的繁荣； 项目所产的镍钴锰氢氧化物用作生产电池材料的原料，为下游的电池生产提供资源。</w:t>
      </w:r>
    </w:p>
    <w:bookmarkEnd w:id="601"/>
    <w:bookmarkEnd w:id="602"/>
    <w:p>
      <w:pPr>
        <w:pStyle w:val="3"/>
        <w:rPr>
          <w:rFonts w:ascii="Times New Roman" w:hAnsi="Times New Roman" w:cs="Times New Roman" w:eastAsiaTheme="minorEastAsia"/>
        </w:rPr>
      </w:pPr>
      <w:bookmarkStart w:id="603" w:name="_Toc144277011"/>
      <w:bookmarkStart w:id="604" w:name="_Toc144236881"/>
      <w:bookmarkStart w:id="605" w:name="_Toc51688839"/>
      <w:bookmarkStart w:id="606" w:name="_Toc102658244"/>
      <w:bookmarkStart w:id="607" w:name="_Toc147848129"/>
      <w:r>
        <w:rPr>
          <w:rFonts w:ascii="Times New Roman" w:hAnsi="Times New Roman" w:cs="Times New Roman" w:eastAsiaTheme="minorEastAsia"/>
        </w:rPr>
        <w:t>10.2 经济效益分析</w:t>
      </w:r>
      <w:bookmarkEnd w:id="603"/>
      <w:bookmarkEnd w:id="604"/>
      <w:bookmarkEnd w:id="605"/>
      <w:bookmarkEnd w:id="606"/>
      <w:bookmarkEnd w:id="607"/>
    </w:p>
    <w:p>
      <w:pPr>
        <w:spacing w:line="360" w:lineRule="auto"/>
        <w:ind w:firstLine="480" w:firstLineChars="200"/>
        <w:rPr>
          <w:rFonts w:ascii="Times New Roman" w:hAnsi="Times New Roman" w:cs="Times New Roman"/>
        </w:rPr>
      </w:pPr>
      <w:r>
        <w:rPr>
          <w:rFonts w:ascii="Times New Roman" w:hAnsi="Times New Roman" w:cs="Times New Roman"/>
        </w:rPr>
        <w:t>项目总投资58362.23万元，项目建设后，项目利润总额24385.94万元/年，税后利润18289.46万元/年，经济效益显著，投资风险性小。</w:t>
      </w:r>
    </w:p>
    <w:p>
      <w:pPr>
        <w:spacing w:line="360" w:lineRule="auto"/>
        <w:ind w:firstLine="480" w:firstLineChars="200"/>
        <w:rPr>
          <w:rFonts w:ascii="Times New Roman" w:hAnsi="Times New Roman" w:cs="Times New Roman"/>
        </w:rPr>
      </w:pPr>
      <w:r>
        <w:rPr>
          <w:rFonts w:ascii="Times New Roman" w:hAnsi="Times New Roman" w:cs="Times New Roman"/>
        </w:rPr>
        <w:t>本项目的建设能增加当地财政税源，壮大地方经济，具有显著的经济效益。</w:t>
      </w:r>
    </w:p>
    <w:p>
      <w:pPr>
        <w:pStyle w:val="3"/>
        <w:rPr>
          <w:rFonts w:ascii="Times New Roman" w:hAnsi="Times New Roman" w:cs="Times New Roman" w:eastAsiaTheme="minorEastAsia"/>
        </w:rPr>
      </w:pPr>
      <w:bookmarkStart w:id="608" w:name="_Toc144236882"/>
      <w:bookmarkStart w:id="609" w:name="_Toc147848130"/>
      <w:bookmarkStart w:id="610" w:name="_Toc102658245"/>
      <w:bookmarkStart w:id="611" w:name="_Toc144277012"/>
      <w:r>
        <w:rPr>
          <w:rFonts w:ascii="Times New Roman" w:hAnsi="Times New Roman" w:cs="Times New Roman" w:eastAsiaTheme="minorEastAsia"/>
        </w:rPr>
        <w:t>10.3 环境效益分析</w:t>
      </w:r>
      <w:bookmarkEnd w:id="608"/>
      <w:bookmarkEnd w:id="609"/>
      <w:bookmarkEnd w:id="610"/>
      <w:bookmarkEnd w:id="611"/>
    </w:p>
    <w:p>
      <w:pPr>
        <w:spacing w:line="360" w:lineRule="auto"/>
        <w:ind w:firstLine="480" w:firstLineChars="200"/>
        <w:rPr>
          <w:rFonts w:ascii="Times New Roman" w:hAnsi="Times New Roman" w:cs="Times New Roman"/>
        </w:rPr>
      </w:pPr>
      <w:r>
        <w:rPr>
          <w:rFonts w:ascii="Times New Roman" w:hAnsi="Times New Roman" w:cs="Times New Roman"/>
        </w:rPr>
        <w:t>本项目产生的污染物主要是废水、废气、噪声、固体废物，采取治理措施以后均可保证其达到国家相应的环境质量标准要求。</w:t>
      </w:r>
    </w:p>
    <w:p>
      <w:pPr>
        <w:spacing w:line="360" w:lineRule="auto"/>
        <w:ind w:firstLine="480" w:firstLineChars="200"/>
        <w:rPr>
          <w:rFonts w:ascii="Times New Roman" w:hAnsi="Times New Roman" w:cs="Times New Roman"/>
        </w:rPr>
      </w:pPr>
      <w:r>
        <w:rPr>
          <w:rFonts w:ascii="Times New Roman" w:hAnsi="Times New Roman" w:cs="Times New Roman"/>
        </w:rPr>
        <w:t>此外，由于项目的建设和运行而进一步开展的环境检测活动，带动了公众对环境保护的进一步认识，从而促进了当地环境保护工作的深入开展。</w:t>
      </w:r>
    </w:p>
    <w:p>
      <w:pPr>
        <w:spacing w:line="360" w:lineRule="auto"/>
        <w:ind w:firstLine="480" w:firstLineChars="200"/>
        <w:rPr>
          <w:rFonts w:ascii="Times New Roman" w:hAnsi="Times New Roman" w:cs="Times New Roman"/>
        </w:rPr>
      </w:pPr>
      <w:r>
        <w:rPr>
          <w:rFonts w:ascii="Times New Roman" w:hAnsi="Times New Roman" w:cs="Times New Roman"/>
        </w:rPr>
        <w:t>本项目采取有效的环境保护措施，废水、废气、固体废物中的污染物浓度和排放总量均能够得到大幅削减。这些污染物的削减为有力地保证了各种污染物的达标排放以及区域环境质量的改善，项目具有明显的环境效益。</w:t>
      </w:r>
    </w:p>
    <w:p>
      <w:pPr>
        <w:spacing w:line="360" w:lineRule="auto"/>
        <w:ind w:firstLine="480" w:firstLineChars="200"/>
        <w:rPr>
          <w:rFonts w:ascii="Times New Roman" w:hAnsi="Times New Roman" w:cs="Times New Roman"/>
        </w:rPr>
      </w:pPr>
      <w:r>
        <w:rPr>
          <w:rFonts w:ascii="Times New Roman" w:hAnsi="Times New Roman" w:cs="Times New Roman"/>
        </w:rPr>
        <w:t>关于建设项目的环境经济损益分析，国内目前尚无统一标准。此外，本项目所排污染物作用于自然环境而造成的经济损失，其过程和机理是十分复杂的，其中有许多不确定因素。而且，许多因环境污染而造成的经济损失和由于污染防治而带来的环境收益，较难计量或是很难准确以货币形式来表达。为此，本报告在环境损益分析中，对于可计量部分给予定量表达，其它则采用类比分析方法予以估算或者是给予忽略。</w:t>
      </w:r>
    </w:p>
    <w:p>
      <w:pPr>
        <w:pStyle w:val="4"/>
        <w:rPr>
          <w:rFonts w:ascii="Times New Roman" w:hAnsi="Times New Roman" w:cs="Times New Roman"/>
        </w:rPr>
      </w:pPr>
      <w:bookmarkStart w:id="612" w:name="_Toc144236883"/>
      <w:bookmarkStart w:id="613" w:name="_Toc144277013"/>
      <w:bookmarkStart w:id="614" w:name="_Toc147848131"/>
      <w:r>
        <w:rPr>
          <w:rFonts w:ascii="Times New Roman" w:hAnsi="Times New Roman" w:cs="Times New Roman"/>
        </w:rPr>
        <w:t>10.3.1 水环境影响损益分析</w:t>
      </w:r>
      <w:bookmarkEnd w:id="612"/>
      <w:bookmarkEnd w:id="613"/>
      <w:bookmarkEnd w:id="614"/>
    </w:p>
    <w:p>
      <w:pPr>
        <w:spacing w:line="360" w:lineRule="auto"/>
        <w:ind w:firstLine="480" w:firstLineChars="200"/>
        <w:rPr>
          <w:rFonts w:ascii="Times New Roman" w:hAnsi="Times New Roman" w:cs="Times New Roman"/>
        </w:rPr>
      </w:pPr>
      <w:r>
        <w:rPr>
          <w:rFonts w:ascii="Times New Roman" w:hAnsi="Times New Roman" w:cs="Times New Roman"/>
        </w:rPr>
        <w:t>本项目建成后，生产废水在厂区处理后回用，生活污水</w:t>
      </w:r>
      <w:r>
        <w:rPr>
          <w:rFonts w:hint="eastAsia" w:ascii="Times New Roman" w:hAnsi="Times New Roman" w:cs="Times New Roman"/>
        </w:rPr>
        <w:t>、部分冷凝水</w:t>
      </w:r>
      <w:r>
        <w:rPr>
          <w:rFonts w:ascii="Times New Roman" w:hAnsi="Times New Roman" w:cs="Times New Roman"/>
        </w:rPr>
        <w:t>经处理后经政污水管网排入园区污水处理厂。</w:t>
      </w:r>
    </w:p>
    <w:p>
      <w:pPr>
        <w:spacing w:line="360" w:lineRule="auto"/>
        <w:ind w:firstLine="480" w:firstLineChars="200"/>
        <w:rPr>
          <w:rFonts w:ascii="Times New Roman" w:hAnsi="Times New Roman" w:cs="Times New Roman"/>
        </w:rPr>
      </w:pPr>
      <w:r>
        <w:rPr>
          <w:rFonts w:ascii="Times New Roman" w:hAnsi="Times New Roman" w:cs="Times New Roman"/>
        </w:rPr>
        <w:t>项目产生的各类废水均经过合理的处理措施处理后达标排放，不会对地表水体造成明显影响。</w:t>
      </w:r>
    </w:p>
    <w:p>
      <w:pPr>
        <w:pStyle w:val="4"/>
        <w:rPr>
          <w:rFonts w:ascii="Times New Roman" w:hAnsi="Times New Roman" w:cs="Times New Roman"/>
        </w:rPr>
      </w:pPr>
      <w:bookmarkStart w:id="615" w:name="_Toc144236884"/>
      <w:bookmarkStart w:id="616" w:name="_Toc147848132"/>
      <w:bookmarkStart w:id="617" w:name="_Toc144277014"/>
      <w:r>
        <w:rPr>
          <w:rFonts w:ascii="Times New Roman" w:hAnsi="Times New Roman" w:cs="Times New Roman"/>
        </w:rPr>
        <w:t>10.3.2 大气环境影响损益分析</w:t>
      </w:r>
      <w:bookmarkEnd w:id="615"/>
      <w:bookmarkEnd w:id="616"/>
      <w:bookmarkEnd w:id="617"/>
    </w:p>
    <w:p>
      <w:pPr>
        <w:spacing w:line="360" w:lineRule="auto"/>
        <w:ind w:firstLine="480" w:firstLineChars="200"/>
        <w:rPr>
          <w:rFonts w:ascii="Times New Roman" w:hAnsi="Times New Roman" w:cs="Times New Roman"/>
        </w:rPr>
      </w:pPr>
      <w:r>
        <w:rPr>
          <w:rFonts w:ascii="Times New Roman" w:hAnsi="Times New Roman" w:cs="Times New Roman"/>
        </w:rPr>
        <w:t>根据环境影响预测结果，废气对周围大气环境的影响较小。故本项目的建设不会改变项目所在地的环境质量现状。</w:t>
      </w:r>
    </w:p>
    <w:p>
      <w:pPr>
        <w:pStyle w:val="4"/>
        <w:rPr>
          <w:rFonts w:ascii="Times New Roman" w:hAnsi="Times New Roman" w:cs="Times New Roman"/>
        </w:rPr>
      </w:pPr>
      <w:bookmarkStart w:id="618" w:name="_Toc144236885"/>
      <w:bookmarkStart w:id="619" w:name="_Toc144277015"/>
      <w:bookmarkStart w:id="620" w:name="_Toc147848133"/>
      <w:r>
        <w:rPr>
          <w:rFonts w:ascii="Times New Roman" w:hAnsi="Times New Roman" w:cs="Times New Roman"/>
        </w:rPr>
        <w:t>10.3.3 声环境影响损益分析</w:t>
      </w:r>
      <w:bookmarkEnd w:id="618"/>
      <w:bookmarkEnd w:id="619"/>
      <w:bookmarkEnd w:id="620"/>
    </w:p>
    <w:p>
      <w:pPr>
        <w:spacing w:line="360" w:lineRule="auto"/>
        <w:ind w:firstLine="480" w:firstLineChars="200"/>
        <w:rPr>
          <w:rFonts w:ascii="Times New Roman" w:hAnsi="Times New Roman" w:cs="Times New Roman"/>
        </w:rPr>
      </w:pPr>
      <w:r>
        <w:rPr>
          <w:rFonts w:ascii="Times New Roman" w:hAnsi="Times New Roman" w:cs="Times New Roman"/>
        </w:rPr>
        <w:t>本项目营运期噪声经厂房隔音后将大为降低，着重控制厂界处的区域环境噪声强度，保护项目办公和周围区域声环境质量，再经厂界围墙的阻隔作用，所造成的环境影响不显著，故本项目造成的声环境损益较小，不会改变项目所在地的声环境功能区划。</w:t>
      </w:r>
    </w:p>
    <w:p>
      <w:pPr>
        <w:pStyle w:val="4"/>
        <w:rPr>
          <w:rFonts w:ascii="Times New Roman" w:hAnsi="Times New Roman" w:cs="Times New Roman"/>
        </w:rPr>
      </w:pPr>
      <w:bookmarkStart w:id="621" w:name="_Toc147848134"/>
      <w:bookmarkStart w:id="622" w:name="_Toc144277016"/>
      <w:bookmarkStart w:id="623" w:name="_Toc144236886"/>
      <w:r>
        <w:rPr>
          <w:rFonts w:ascii="Times New Roman" w:hAnsi="Times New Roman" w:cs="Times New Roman"/>
        </w:rPr>
        <w:t>10.3.4 固体废物环境影响损益分析</w:t>
      </w:r>
      <w:bookmarkEnd w:id="621"/>
      <w:bookmarkEnd w:id="622"/>
      <w:bookmarkEnd w:id="623"/>
    </w:p>
    <w:p>
      <w:pPr>
        <w:spacing w:line="360" w:lineRule="auto"/>
        <w:ind w:firstLine="480" w:firstLineChars="200"/>
        <w:rPr>
          <w:rFonts w:ascii="Times New Roman" w:hAnsi="Times New Roman" w:cs="Times New Roman"/>
        </w:rPr>
      </w:pPr>
      <w:r>
        <w:rPr>
          <w:rFonts w:ascii="Times New Roman" w:hAnsi="Times New Roman" w:cs="Times New Roman"/>
        </w:rPr>
        <w:t>本项目产生的固体废物经过收集、处理处置后对项目附近的环境质量的影响较小。</w:t>
      </w:r>
    </w:p>
    <w:p>
      <w:pPr>
        <w:pStyle w:val="3"/>
        <w:rPr>
          <w:rFonts w:ascii="Times New Roman" w:hAnsi="Times New Roman" w:cs="Times New Roman" w:eastAsiaTheme="minorEastAsia"/>
        </w:rPr>
      </w:pPr>
      <w:bookmarkStart w:id="624" w:name="_Toc144236887"/>
      <w:bookmarkStart w:id="625" w:name="_Toc144277017"/>
      <w:bookmarkStart w:id="626" w:name="_Toc102658246"/>
      <w:bookmarkStart w:id="627" w:name="_Toc147848135"/>
      <w:r>
        <w:rPr>
          <w:rFonts w:ascii="Times New Roman" w:hAnsi="Times New Roman" w:cs="Times New Roman" w:eastAsiaTheme="minorEastAsia"/>
        </w:rPr>
        <w:t>10.4 环保投资</w:t>
      </w:r>
      <w:bookmarkEnd w:id="624"/>
      <w:bookmarkEnd w:id="625"/>
      <w:bookmarkEnd w:id="626"/>
      <w:bookmarkEnd w:id="627"/>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项目总投资58362.23万元，环保投资3000万元，占本项目总投资的5.14%。本项目完成后，要实施的环保措施及投资估算见下表。</w:t>
      </w:r>
    </w:p>
    <w:p>
      <w:pPr>
        <w:pStyle w:val="6"/>
        <w:rPr>
          <w:rFonts w:ascii="Times New Roman" w:hAnsi="Times New Roman" w:cs="Times New Roman"/>
          <w:u w:val="single"/>
        </w:rPr>
      </w:pPr>
      <w:r>
        <w:rPr>
          <w:rFonts w:ascii="Times New Roman" w:hAnsi="Times New Roman" w:cs="Times New Roman"/>
          <w:u w:val="single"/>
        </w:rPr>
        <w:t>表10.4-1  环保投资估算</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81"/>
        <w:gridCol w:w="2352"/>
        <w:gridCol w:w="1955"/>
        <w:gridCol w:w="1957"/>
        <w:gridCol w:w="16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1719" w:type="pct"/>
            <w:gridSpan w:val="2"/>
            <w:vAlign w:val="center"/>
          </w:tcPr>
          <w:p>
            <w:pPr>
              <w:pStyle w:val="63"/>
              <w:rPr>
                <w:u w:val="single"/>
              </w:rPr>
            </w:pPr>
            <w:r>
              <w:rPr>
                <w:u w:val="single"/>
              </w:rPr>
              <w:t>污染源</w:t>
            </w:r>
          </w:p>
        </w:tc>
        <w:tc>
          <w:tcPr>
            <w:tcW w:w="2293" w:type="pct"/>
            <w:gridSpan w:val="2"/>
            <w:vAlign w:val="center"/>
          </w:tcPr>
          <w:p>
            <w:pPr>
              <w:pStyle w:val="63"/>
              <w:rPr>
                <w:u w:val="single"/>
              </w:rPr>
            </w:pPr>
            <w:r>
              <w:rPr>
                <w:u w:val="single"/>
              </w:rPr>
              <w:t>治理措施</w:t>
            </w:r>
          </w:p>
        </w:tc>
        <w:tc>
          <w:tcPr>
            <w:tcW w:w="987" w:type="pct"/>
            <w:vAlign w:val="center"/>
          </w:tcPr>
          <w:p>
            <w:pPr>
              <w:pStyle w:val="63"/>
              <w:rPr>
                <w:u w:val="single"/>
              </w:rPr>
            </w:pPr>
            <w:r>
              <w:rPr>
                <w:u w:val="single"/>
              </w:rPr>
              <w:t>投资（万元）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 w:type="pct"/>
            <w:vMerge w:val="restart"/>
            <w:vAlign w:val="center"/>
          </w:tcPr>
          <w:p>
            <w:pPr>
              <w:pStyle w:val="63"/>
              <w:rPr>
                <w:u w:val="single"/>
              </w:rPr>
            </w:pPr>
            <w:r>
              <w:rPr>
                <w:u w:val="single"/>
              </w:rPr>
              <w:t>废气</w:t>
            </w:r>
          </w:p>
        </w:tc>
        <w:tc>
          <w:tcPr>
            <w:tcW w:w="1379" w:type="pct"/>
            <w:vAlign w:val="center"/>
          </w:tcPr>
          <w:p>
            <w:pPr>
              <w:pStyle w:val="63"/>
              <w:rPr>
                <w:u w:val="single"/>
              </w:rPr>
            </w:pPr>
            <w:r>
              <w:rPr>
                <w:u w:val="single"/>
              </w:rPr>
              <w:t>预处理车间</w:t>
            </w:r>
          </w:p>
        </w:tc>
        <w:tc>
          <w:tcPr>
            <w:tcW w:w="2293" w:type="pct"/>
            <w:gridSpan w:val="2"/>
            <w:vAlign w:val="center"/>
          </w:tcPr>
          <w:p>
            <w:pPr>
              <w:pStyle w:val="63"/>
              <w:rPr>
                <w:u w:val="single"/>
              </w:rPr>
            </w:pPr>
            <w:r>
              <w:rPr>
                <w:u w:val="single"/>
              </w:rPr>
              <w:t>废气焚烧炉+急冷+布袋除尘+三级水洗+碱液喷淋+30m排气筒（P1）</w:t>
            </w:r>
          </w:p>
        </w:tc>
        <w:tc>
          <w:tcPr>
            <w:tcW w:w="987" w:type="pct"/>
            <w:vAlign w:val="center"/>
          </w:tcPr>
          <w:p>
            <w:pPr>
              <w:pStyle w:val="63"/>
              <w:rPr>
                <w:u w:val="single"/>
              </w:rPr>
            </w:pPr>
            <w:r>
              <w:rPr>
                <w:rFonts w:hint="eastAsia"/>
                <w:color w:val="000000"/>
                <w:szCs w:val="21"/>
                <w:u w:val="single"/>
              </w:rPr>
              <w:t>60</w:t>
            </w:r>
            <w:r>
              <w:rPr>
                <w:color w:val="000000"/>
                <w:szCs w:val="21"/>
                <w:u w:val="single"/>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341" w:type="pct"/>
            <w:vMerge w:val="continue"/>
            <w:vAlign w:val="center"/>
          </w:tcPr>
          <w:p>
            <w:pPr>
              <w:pStyle w:val="63"/>
              <w:rPr>
                <w:u w:val="single"/>
              </w:rPr>
            </w:pPr>
          </w:p>
        </w:tc>
        <w:tc>
          <w:tcPr>
            <w:tcW w:w="1379" w:type="pct"/>
            <w:vAlign w:val="center"/>
          </w:tcPr>
          <w:p>
            <w:pPr>
              <w:pStyle w:val="63"/>
              <w:rPr>
                <w:u w:val="single"/>
              </w:rPr>
            </w:pPr>
            <w:r>
              <w:rPr>
                <w:u w:val="single"/>
              </w:rPr>
              <w:t>浸出车间</w:t>
            </w:r>
          </w:p>
        </w:tc>
        <w:tc>
          <w:tcPr>
            <w:tcW w:w="2293" w:type="pct"/>
            <w:gridSpan w:val="2"/>
            <w:vAlign w:val="center"/>
          </w:tcPr>
          <w:p>
            <w:pPr>
              <w:pStyle w:val="63"/>
              <w:rPr>
                <w:u w:val="single"/>
              </w:rPr>
            </w:pPr>
            <w:r>
              <w:rPr>
                <w:u w:val="single"/>
              </w:rPr>
              <w:t>碱液喷淋+15m排气筒（P2）</w:t>
            </w:r>
          </w:p>
        </w:tc>
        <w:tc>
          <w:tcPr>
            <w:tcW w:w="987" w:type="pct"/>
            <w:vAlign w:val="center"/>
          </w:tcPr>
          <w:p>
            <w:pPr>
              <w:pStyle w:val="63"/>
              <w:rPr>
                <w:u w:val="single"/>
              </w:rPr>
            </w:pPr>
            <w:r>
              <w:rPr>
                <w:color w:val="000000"/>
                <w:szCs w:val="21"/>
                <w:u w:val="single"/>
              </w:rPr>
              <w:t>5</w:t>
            </w:r>
            <w:r>
              <w:rPr>
                <w:rFonts w:hint="eastAsia"/>
                <w:color w:val="000000"/>
                <w:szCs w:val="21"/>
                <w:u w:val="single"/>
              </w:rPr>
              <w:t>0</w:t>
            </w:r>
            <w:r>
              <w:rPr>
                <w:color w:val="000000"/>
                <w:szCs w:val="21"/>
                <w:u w:val="single"/>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 w:type="pct"/>
            <w:vMerge w:val="continue"/>
            <w:vAlign w:val="center"/>
          </w:tcPr>
          <w:p>
            <w:pPr>
              <w:pStyle w:val="63"/>
              <w:rPr>
                <w:u w:val="single"/>
              </w:rPr>
            </w:pPr>
          </w:p>
        </w:tc>
        <w:tc>
          <w:tcPr>
            <w:tcW w:w="1379" w:type="pct"/>
            <w:vAlign w:val="center"/>
          </w:tcPr>
          <w:p>
            <w:pPr>
              <w:pStyle w:val="63"/>
              <w:rPr>
                <w:u w:val="single"/>
              </w:rPr>
            </w:pPr>
            <w:r>
              <w:rPr>
                <w:u w:val="single"/>
              </w:rPr>
              <w:t>萃取车间</w:t>
            </w:r>
          </w:p>
        </w:tc>
        <w:tc>
          <w:tcPr>
            <w:tcW w:w="2293" w:type="pct"/>
            <w:gridSpan w:val="2"/>
            <w:vAlign w:val="center"/>
          </w:tcPr>
          <w:p>
            <w:pPr>
              <w:pStyle w:val="63"/>
              <w:rPr>
                <w:u w:val="single"/>
              </w:rPr>
            </w:pPr>
            <w:r>
              <w:rPr>
                <w:u w:val="single"/>
              </w:rPr>
              <w:t>碱液喷淋+过滤棉+活性炭吸附+15m排气筒（P3）</w:t>
            </w:r>
          </w:p>
        </w:tc>
        <w:tc>
          <w:tcPr>
            <w:tcW w:w="987" w:type="pct"/>
            <w:vAlign w:val="center"/>
          </w:tcPr>
          <w:p>
            <w:pPr>
              <w:pStyle w:val="63"/>
              <w:rPr>
                <w:u w:val="single"/>
              </w:rPr>
            </w:pPr>
            <w:r>
              <w:rPr>
                <w:color w:val="000000"/>
                <w:szCs w:val="21"/>
                <w:u w:val="single"/>
              </w:rPr>
              <w:t>550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 w:type="pct"/>
            <w:vMerge w:val="continue"/>
            <w:vAlign w:val="center"/>
          </w:tcPr>
          <w:p>
            <w:pPr>
              <w:pStyle w:val="63"/>
              <w:rPr>
                <w:u w:val="single"/>
              </w:rPr>
            </w:pPr>
          </w:p>
        </w:tc>
        <w:tc>
          <w:tcPr>
            <w:tcW w:w="1379" w:type="pct"/>
            <w:vAlign w:val="center"/>
          </w:tcPr>
          <w:p>
            <w:pPr>
              <w:pStyle w:val="63"/>
              <w:rPr>
                <w:u w:val="single"/>
              </w:rPr>
            </w:pPr>
            <w:r>
              <w:rPr>
                <w:u w:val="single"/>
              </w:rPr>
              <w:t>锅炉废气</w:t>
            </w:r>
          </w:p>
        </w:tc>
        <w:tc>
          <w:tcPr>
            <w:tcW w:w="2293" w:type="pct"/>
            <w:gridSpan w:val="2"/>
            <w:vAlign w:val="center"/>
          </w:tcPr>
          <w:p>
            <w:pPr>
              <w:pStyle w:val="63"/>
              <w:rPr>
                <w:u w:val="single"/>
              </w:rPr>
            </w:pPr>
            <w:r>
              <w:rPr>
                <w:snapToGrid w:val="0"/>
                <w:kern w:val="0"/>
                <w:u w:val="single"/>
              </w:rPr>
              <w:t>低氮燃烧+40m烟囱</w:t>
            </w:r>
            <w:r>
              <w:rPr>
                <w:u w:val="single"/>
              </w:rPr>
              <w:t>（P4）</w:t>
            </w:r>
          </w:p>
        </w:tc>
        <w:tc>
          <w:tcPr>
            <w:tcW w:w="987" w:type="pct"/>
            <w:vAlign w:val="center"/>
          </w:tcPr>
          <w:p>
            <w:pPr>
              <w:pStyle w:val="63"/>
              <w:rPr>
                <w:u w:val="single"/>
              </w:rPr>
            </w:pPr>
            <w:r>
              <w:rPr>
                <w:color w:val="000000"/>
                <w:szCs w:val="21"/>
                <w:u w:val="single"/>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 w:type="pct"/>
            <w:vMerge w:val="continue"/>
            <w:vAlign w:val="center"/>
          </w:tcPr>
          <w:p>
            <w:pPr>
              <w:pStyle w:val="63"/>
              <w:rPr>
                <w:u w:val="single"/>
              </w:rPr>
            </w:pPr>
          </w:p>
        </w:tc>
        <w:tc>
          <w:tcPr>
            <w:tcW w:w="1379" w:type="pct"/>
            <w:vAlign w:val="center"/>
          </w:tcPr>
          <w:p>
            <w:pPr>
              <w:pStyle w:val="63"/>
              <w:rPr>
                <w:u w:val="single"/>
              </w:rPr>
            </w:pPr>
            <w:r>
              <w:rPr>
                <w:u w:val="single"/>
              </w:rPr>
              <w:t>食堂油烟</w:t>
            </w:r>
          </w:p>
        </w:tc>
        <w:tc>
          <w:tcPr>
            <w:tcW w:w="2293" w:type="pct"/>
            <w:gridSpan w:val="2"/>
            <w:vAlign w:val="center"/>
          </w:tcPr>
          <w:p>
            <w:pPr>
              <w:pStyle w:val="63"/>
              <w:rPr>
                <w:u w:val="single"/>
              </w:rPr>
            </w:pPr>
            <w:r>
              <w:rPr>
                <w:u w:val="single"/>
              </w:rPr>
              <w:t>油烟净化器</w:t>
            </w:r>
          </w:p>
        </w:tc>
        <w:tc>
          <w:tcPr>
            <w:tcW w:w="987" w:type="pct"/>
            <w:vAlign w:val="center"/>
          </w:tcPr>
          <w:p>
            <w:pPr>
              <w:pStyle w:val="63"/>
              <w:rPr>
                <w:u w:val="single"/>
              </w:rPr>
            </w:pPr>
            <w:r>
              <w:rPr>
                <w:u w:val="single"/>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341" w:type="pct"/>
            <w:vMerge w:val="restart"/>
            <w:vAlign w:val="center"/>
          </w:tcPr>
          <w:p>
            <w:pPr>
              <w:pStyle w:val="63"/>
              <w:rPr>
                <w:u w:val="single"/>
              </w:rPr>
            </w:pPr>
            <w:r>
              <w:rPr>
                <w:u w:val="single"/>
              </w:rPr>
              <w:t>废水</w:t>
            </w:r>
          </w:p>
        </w:tc>
        <w:tc>
          <w:tcPr>
            <w:tcW w:w="1379" w:type="pct"/>
            <w:vAlign w:val="center"/>
          </w:tcPr>
          <w:p>
            <w:pPr>
              <w:pStyle w:val="63"/>
              <w:rPr>
                <w:u w:val="single"/>
              </w:rPr>
            </w:pPr>
            <w:r>
              <w:rPr>
                <w:u w:val="single"/>
              </w:rPr>
              <w:t>三级水喷淋废水、碱液喷淋废水</w:t>
            </w:r>
          </w:p>
        </w:tc>
        <w:tc>
          <w:tcPr>
            <w:tcW w:w="2293" w:type="pct"/>
            <w:gridSpan w:val="2"/>
            <w:vAlign w:val="center"/>
          </w:tcPr>
          <w:p>
            <w:pPr>
              <w:pStyle w:val="63"/>
              <w:rPr>
                <w:u w:val="single"/>
              </w:rPr>
            </w:pPr>
            <w:r>
              <w:rPr>
                <w:u w:val="single"/>
              </w:rPr>
              <w:t>加石灰除氟+絮凝沉淀+板框压滤</w:t>
            </w:r>
          </w:p>
        </w:tc>
        <w:tc>
          <w:tcPr>
            <w:tcW w:w="987" w:type="pct"/>
            <w:vAlign w:val="center"/>
          </w:tcPr>
          <w:p>
            <w:pPr>
              <w:pStyle w:val="63"/>
              <w:rPr>
                <w:u w:val="single"/>
              </w:rPr>
            </w:pPr>
            <w:r>
              <w:rPr>
                <w:u w:val="single"/>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 w:type="pct"/>
            <w:vMerge w:val="continue"/>
            <w:vAlign w:val="center"/>
          </w:tcPr>
          <w:p>
            <w:pPr>
              <w:pStyle w:val="63"/>
              <w:rPr>
                <w:u w:val="single"/>
              </w:rPr>
            </w:pPr>
          </w:p>
        </w:tc>
        <w:tc>
          <w:tcPr>
            <w:tcW w:w="1379" w:type="pct"/>
            <w:vAlign w:val="center"/>
          </w:tcPr>
          <w:p>
            <w:pPr>
              <w:pStyle w:val="63"/>
              <w:rPr>
                <w:u w:val="single"/>
              </w:rPr>
            </w:pPr>
            <w:r>
              <w:rPr>
                <w:u w:val="single"/>
              </w:rPr>
              <w:t>蒸发结晶离心分离废水</w:t>
            </w:r>
          </w:p>
        </w:tc>
        <w:tc>
          <w:tcPr>
            <w:tcW w:w="1146" w:type="pct"/>
            <w:vMerge w:val="restart"/>
            <w:vAlign w:val="center"/>
          </w:tcPr>
          <w:p>
            <w:pPr>
              <w:pStyle w:val="63"/>
              <w:rPr>
                <w:u w:val="single"/>
              </w:rPr>
            </w:pPr>
            <w:r>
              <w:rPr>
                <w:u w:val="single"/>
              </w:rPr>
              <w:t>化学沉淀+絮凝沉淀+板框压滤+后续</w:t>
            </w:r>
          </w:p>
        </w:tc>
        <w:tc>
          <w:tcPr>
            <w:tcW w:w="1147" w:type="pct"/>
            <w:vMerge w:val="restart"/>
            <w:vAlign w:val="center"/>
          </w:tcPr>
          <w:p>
            <w:pPr>
              <w:pStyle w:val="63"/>
              <w:rPr>
                <w:u w:val="single"/>
              </w:rPr>
            </w:pPr>
            <w:r>
              <w:rPr>
                <w:u w:val="single"/>
              </w:rPr>
              <w:t>机械过滤+自清洗过滤+超滤+三级反渗透（浓水采用MVR）</w:t>
            </w:r>
          </w:p>
        </w:tc>
        <w:tc>
          <w:tcPr>
            <w:tcW w:w="987" w:type="pct"/>
            <w:vMerge w:val="restart"/>
            <w:vAlign w:val="center"/>
          </w:tcPr>
          <w:p>
            <w:pPr>
              <w:pStyle w:val="63"/>
              <w:rPr>
                <w:u w:val="single"/>
              </w:rPr>
            </w:pPr>
            <w:r>
              <w:rPr>
                <w:u w:val="single"/>
              </w:rPr>
              <w:t>900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341" w:type="pct"/>
            <w:vMerge w:val="continue"/>
            <w:vAlign w:val="center"/>
          </w:tcPr>
          <w:p>
            <w:pPr>
              <w:pStyle w:val="63"/>
              <w:rPr>
                <w:u w:val="single"/>
              </w:rPr>
            </w:pPr>
          </w:p>
        </w:tc>
        <w:tc>
          <w:tcPr>
            <w:tcW w:w="1379" w:type="pct"/>
            <w:vAlign w:val="center"/>
          </w:tcPr>
          <w:p>
            <w:pPr>
              <w:pStyle w:val="63"/>
              <w:rPr>
                <w:u w:val="single"/>
              </w:rPr>
            </w:pPr>
            <w:r>
              <w:rPr>
                <w:u w:val="single"/>
              </w:rPr>
              <w:t>地面冲洗废水</w:t>
            </w:r>
          </w:p>
        </w:tc>
        <w:tc>
          <w:tcPr>
            <w:tcW w:w="1146" w:type="pct"/>
            <w:vMerge w:val="continue"/>
            <w:vAlign w:val="center"/>
          </w:tcPr>
          <w:p>
            <w:pPr>
              <w:pStyle w:val="63"/>
              <w:rPr>
                <w:u w:val="single"/>
              </w:rPr>
            </w:pPr>
          </w:p>
        </w:tc>
        <w:tc>
          <w:tcPr>
            <w:tcW w:w="1147" w:type="pct"/>
            <w:vMerge w:val="continue"/>
            <w:vAlign w:val="center"/>
          </w:tcPr>
          <w:p>
            <w:pPr>
              <w:pStyle w:val="63"/>
              <w:rPr>
                <w:u w:val="single"/>
              </w:rPr>
            </w:pPr>
          </w:p>
        </w:tc>
        <w:tc>
          <w:tcPr>
            <w:tcW w:w="987" w:type="pct"/>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341" w:type="pct"/>
            <w:vMerge w:val="continue"/>
            <w:vAlign w:val="center"/>
          </w:tcPr>
          <w:p>
            <w:pPr>
              <w:pStyle w:val="63"/>
              <w:rPr>
                <w:u w:val="single"/>
              </w:rPr>
            </w:pPr>
          </w:p>
        </w:tc>
        <w:tc>
          <w:tcPr>
            <w:tcW w:w="1379" w:type="pct"/>
            <w:vAlign w:val="center"/>
          </w:tcPr>
          <w:p>
            <w:pPr>
              <w:pStyle w:val="63"/>
              <w:rPr>
                <w:u w:val="single"/>
              </w:rPr>
            </w:pPr>
            <w:r>
              <w:rPr>
                <w:u w:val="single"/>
              </w:rPr>
              <w:t>纯水制备浓水、锅炉排污水、酸雾洗涤废水</w:t>
            </w:r>
          </w:p>
        </w:tc>
        <w:tc>
          <w:tcPr>
            <w:tcW w:w="1146" w:type="pct"/>
            <w:vAlign w:val="center"/>
          </w:tcPr>
          <w:p>
            <w:pPr>
              <w:pStyle w:val="63"/>
              <w:rPr>
                <w:u w:val="single"/>
              </w:rPr>
            </w:pPr>
            <w:r>
              <w:rPr>
                <w:u w:val="single"/>
              </w:rPr>
              <w:t>/</w:t>
            </w:r>
          </w:p>
        </w:tc>
        <w:tc>
          <w:tcPr>
            <w:tcW w:w="1147" w:type="pct"/>
            <w:vMerge w:val="continue"/>
            <w:vAlign w:val="center"/>
          </w:tcPr>
          <w:p>
            <w:pPr>
              <w:pStyle w:val="63"/>
              <w:rPr>
                <w:u w:val="single"/>
              </w:rPr>
            </w:pPr>
          </w:p>
        </w:tc>
        <w:tc>
          <w:tcPr>
            <w:tcW w:w="987" w:type="pct"/>
            <w:vMerge w:val="continue"/>
            <w:vAlign w:val="center"/>
          </w:tcPr>
          <w:p>
            <w:pPr>
              <w:pStyle w:val="63"/>
              <w:rPr>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 w:type="pct"/>
            <w:vMerge w:val="continue"/>
            <w:vAlign w:val="center"/>
          </w:tcPr>
          <w:p>
            <w:pPr>
              <w:pStyle w:val="63"/>
              <w:rPr>
                <w:u w:val="single"/>
              </w:rPr>
            </w:pPr>
          </w:p>
        </w:tc>
        <w:tc>
          <w:tcPr>
            <w:tcW w:w="1379" w:type="pct"/>
            <w:vAlign w:val="center"/>
          </w:tcPr>
          <w:p>
            <w:pPr>
              <w:pStyle w:val="63"/>
              <w:rPr>
                <w:u w:val="single"/>
              </w:rPr>
            </w:pPr>
            <w:r>
              <w:rPr>
                <w:u w:val="single"/>
              </w:rPr>
              <w:t>生活污水</w:t>
            </w:r>
          </w:p>
        </w:tc>
        <w:tc>
          <w:tcPr>
            <w:tcW w:w="2293" w:type="pct"/>
            <w:gridSpan w:val="2"/>
            <w:vAlign w:val="center"/>
          </w:tcPr>
          <w:p>
            <w:pPr>
              <w:pStyle w:val="63"/>
              <w:rPr>
                <w:u w:val="single"/>
              </w:rPr>
            </w:pPr>
            <w:r>
              <w:rPr>
                <w:u w:val="single"/>
              </w:rPr>
              <w:t>化粪池</w:t>
            </w:r>
          </w:p>
        </w:tc>
        <w:tc>
          <w:tcPr>
            <w:tcW w:w="987" w:type="pct"/>
            <w:vAlign w:val="center"/>
          </w:tcPr>
          <w:p>
            <w:pPr>
              <w:pStyle w:val="63"/>
              <w:rPr>
                <w:u w:val="single"/>
              </w:rPr>
            </w:pPr>
            <w:r>
              <w:rPr>
                <w:u w:val="single"/>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 w:type="pct"/>
            <w:vMerge w:val="continue"/>
            <w:vAlign w:val="center"/>
          </w:tcPr>
          <w:p>
            <w:pPr>
              <w:pStyle w:val="63"/>
              <w:rPr>
                <w:u w:val="single"/>
              </w:rPr>
            </w:pPr>
          </w:p>
        </w:tc>
        <w:tc>
          <w:tcPr>
            <w:tcW w:w="1379" w:type="pct"/>
            <w:vAlign w:val="center"/>
          </w:tcPr>
          <w:p>
            <w:pPr>
              <w:pStyle w:val="63"/>
              <w:rPr>
                <w:u w:val="single"/>
              </w:rPr>
            </w:pPr>
            <w:r>
              <w:rPr>
                <w:u w:val="single"/>
              </w:rPr>
              <w:t>初期雨水</w:t>
            </w:r>
          </w:p>
        </w:tc>
        <w:tc>
          <w:tcPr>
            <w:tcW w:w="2293" w:type="pct"/>
            <w:gridSpan w:val="2"/>
            <w:vAlign w:val="center"/>
          </w:tcPr>
          <w:p>
            <w:pPr>
              <w:pStyle w:val="63"/>
              <w:rPr>
                <w:u w:val="single"/>
              </w:rPr>
            </w:pPr>
            <w:r>
              <w:rPr>
                <w:u w:val="single"/>
              </w:rPr>
              <w:t>初期雨水池</w:t>
            </w:r>
          </w:p>
        </w:tc>
        <w:tc>
          <w:tcPr>
            <w:tcW w:w="987" w:type="pct"/>
            <w:vAlign w:val="center"/>
          </w:tcPr>
          <w:p>
            <w:pPr>
              <w:pStyle w:val="63"/>
              <w:rPr>
                <w:u w:val="single"/>
              </w:rPr>
            </w:pPr>
            <w:r>
              <w:rPr>
                <w:u w:val="single"/>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9" w:type="pct"/>
            <w:gridSpan w:val="2"/>
            <w:vAlign w:val="center"/>
          </w:tcPr>
          <w:p>
            <w:pPr>
              <w:pStyle w:val="63"/>
              <w:rPr>
                <w:u w:val="single"/>
              </w:rPr>
            </w:pPr>
            <w:r>
              <w:rPr>
                <w:u w:val="single"/>
              </w:rPr>
              <w:t>噪声</w:t>
            </w:r>
          </w:p>
        </w:tc>
        <w:tc>
          <w:tcPr>
            <w:tcW w:w="2293" w:type="pct"/>
            <w:gridSpan w:val="2"/>
            <w:vAlign w:val="center"/>
          </w:tcPr>
          <w:p>
            <w:pPr>
              <w:pStyle w:val="63"/>
              <w:rPr>
                <w:u w:val="single"/>
              </w:rPr>
            </w:pPr>
            <w:r>
              <w:rPr>
                <w:u w:val="single"/>
              </w:rPr>
              <w:t>选用低噪声设备，对高噪声设备进行减震、消声、隔声</w:t>
            </w:r>
          </w:p>
        </w:tc>
        <w:tc>
          <w:tcPr>
            <w:tcW w:w="987" w:type="pct"/>
            <w:vAlign w:val="center"/>
          </w:tcPr>
          <w:p>
            <w:pPr>
              <w:pStyle w:val="63"/>
              <w:rPr>
                <w:u w:val="single"/>
              </w:rPr>
            </w:pPr>
            <w:r>
              <w:rPr>
                <w:u w:val="single"/>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1719" w:type="pct"/>
            <w:gridSpan w:val="2"/>
            <w:vMerge w:val="restart"/>
            <w:vAlign w:val="center"/>
          </w:tcPr>
          <w:p>
            <w:pPr>
              <w:pStyle w:val="63"/>
              <w:rPr>
                <w:u w:val="single"/>
              </w:rPr>
            </w:pPr>
            <w:r>
              <w:rPr>
                <w:u w:val="single"/>
              </w:rPr>
              <w:t>固废</w:t>
            </w:r>
          </w:p>
        </w:tc>
        <w:tc>
          <w:tcPr>
            <w:tcW w:w="2293" w:type="pct"/>
            <w:gridSpan w:val="2"/>
            <w:vAlign w:val="center"/>
          </w:tcPr>
          <w:p>
            <w:pPr>
              <w:pStyle w:val="63"/>
              <w:rPr>
                <w:u w:val="single"/>
              </w:rPr>
            </w:pPr>
            <w:r>
              <w:rPr>
                <w:u w:val="single"/>
              </w:rPr>
              <w:t>一般固废间（200m</w:t>
            </w:r>
            <w:r>
              <w:rPr>
                <w:u w:val="single"/>
                <w:vertAlign w:val="superscript"/>
              </w:rPr>
              <w:t>2</w:t>
            </w:r>
            <w:r>
              <w:rPr>
                <w:u w:val="single"/>
              </w:rPr>
              <w:t>，自有厂区）</w:t>
            </w:r>
          </w:p>
        </w:tc>
        <w:tc>
          <w:tcPr>
            <w:tcW w:w="987" w:type="pct"/>
            <w:vAlign w:val="center"/>
          </w:tcPr>
          <w:p>
            <w:pPr>
              <w:pStyle w:val="63"/>
              <w:rPr>
                <w:u w:val="single"/>
              </w:rPr>
            </w:pPr>
            <w:r>
              <w:rPr>
                <w:u w:val="single"/>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9" w:type="pct"/>
            <w:gridSpan w:val="2"/>
            <w:vMerge w:val="continue"/>
            <w:vAlign w:val="center"/>
          </w:tcPr>
          <w:p>
            <w:pPr>
              <w:pStyle w:val="63"/>
              <w:rPr>
                <w:u w:val="single"/>
              </w:rPr>
            </w:pPr>
          </w:p>
        </w:tc>
        <w:tc>
          <w:tcPr>
            <w:tcW w:w="2293" w:type="pct"/>
            <w:gridSpan w:val="2"/>
            <w:vAlign w:val="center"/>
          </w:tcPr>
          <w:p>
            <w:pPr>
              <w:pStyle w:val="63"/>
              <w:rPr>
                <w:u w:val="single"/>
              </w:rPr>
            </w:pPr>
            <w:r>
              <w:rPr>
                <w:u w:val="single"/>
              </w:rPr>
              <w:t>一般固废间（30m</w:t>
            </w:r>
            <w:r>
              <w:rPr>
                <w:u w:val="single"/>
                <w:vertAlign w:val="superscript"/>
              </w:rPr>
              <w:t>2</w:t>
            </w:r>
            <w:r>
              <w:rPr>
                <w:u w:val="single"/>
              </w:rPr>
              <w:t>，梯次利用车间）</w:t>
            </w:r>
          </w:p>
        </w:tc>
        <w:tc>
          <w:tcPr>
            <w:tcW w:w="987" w:type="pct"/>
            <w:vAlign w:val="center"/>
          </w:tcPr>
          <w:p>
            <w:pPr>
              <w:pStyle w:val="63"/>
              <w:rPr>
                <w:u w:val="single"/>
              </w:rPr>
            </w:pPr>
            <w:r>
              <w:rPr>
                <w:u w:val="single"/>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9" w:type="pct"/>
            <w:gridSpan w:val="2"/>
            <w:vMerge w:val="continue"/>
            <w:vAlign w:val="center"/>
          </w:tcPr>
          <w:p>
            <w:pPr>
              <w:pStyle w:val="63"/>
              <w:rPr>
                <w:u w:val="single"/>
              </w:rPr>
            </w:pPr>
          </w:p>
        </w:tc>
        <w:tc>
          <w:tcPr>
            <w:tcW w:w="2293" w:type="pct"/>
            <w:gridSpan w:val="2"/>
            <w:vAlign w:val="center"/>
          </w:tcPr>
          <w:p>
            <w:pPr>
              <w:pStyle w:val="63"/>
              <w:rPr>
                <w:u w:val="single"/>
              </w:rPr>
            </w:pPr>
            <w:r>
              <w:rPr>
                <w:u w:val="single"/>
              </w:rPr>
              <w:t>危废暂存间（150m</w:t>
            </w:r>
            <w:r>
              <w:rPr>
                <w:u w:val="single"/>
                <w:vertAlign w:val="superscript"/>
              </w:rPr>
              <w:t>2</w:t>
            </w:r>
            <w:r>
              <w:rPr>
                <w:u w:val="single"/>
              </w:rPr>
              <w:t>，自有厂区）</w:t>
            </w:r>
          </w:p>
        </w:tc>
        <w:tc>
          <w:tcPr>
            <w:tcW w:w="987" w:type="pct"/>
            <w:vAlign w:val="center"/>
          </w:tcPr>
          <w:p>
            <w:pPr>
              <w:pStyle w:val="63"/>
              <w:rPr>
                <w:u w:val="single"/>
              </w:rPr>
            </w:pPr>
            <w:r>
              <w:rPr>
                <w:u w:val="single"/>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1719" w:type="pct"/>
            <w:gridSpan w:val="2"/>
            <w:vMerge w:val="continue"/>
            <w:vAlign w:val="center"/>
          </w:tcPr>
          <w:p>
            <w:pPr>
              <w:pStyle w:val="63"/>
              <w:rPr>
                <w:u w:val="single"/>
              </w:rPr>
            </w:pPr>
          </w:p>
        </w:tc>
        <w:tc>
          <w:tcPr>
            <w:tcW w:w="2293" w:type="pct"/>
            <w:gridSpan w:val="2"/>
            <w:vAlign w:val="center"/>
          </w:tcPr>
          <w:p>
            <w:pPr>
              <w:pStyle w:val="63"/>
              <w:rPr>
                <w:u w:val="single"/>
              </w:rPr>
            </w:pPr>
            <w:r>
              <w:rPr>
                <w:u w:val="single"/>
              </w:rPr>
              <w:t>危废暂存间（20m</w:t>
            </w:r>
            <w:r>
              <w:rPr>
                <w:u w:val="single"/>
                <w:vertAlign w:val="superscript"/>
              </w:rPr>
              <w:t>2</w:t>
            </w:r>
            <w:r>
              <w:rPr>
                <w:u w:val="single"/>
              </w:rPr>
              <w:t>，梯次利用车间）</w:t>
            </w:r>
          </w:p>
        </w:tc>
        <w:tc>
          <w:tcPr>
            <w:tcW w:w="987" w:type="pct"/>
            <w:vAlign w:val="center"/>
          </w:tcPr>
          <w:p>
            <w:pPr>
              <w:pStyle w:val="63"/>
              <w:rPr>
                <w:u w:val="single"/>
              </w:rPr>
            </w:pPr>
            <w:r>
              <w:rPr>
                <w:u w:val="single"/>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9" w:type="pct"/>
            <w:gridSpan w:val="2"/>
            <w:vMerge w:val="restart"/>
            <w:vAlign w:val="center"/>
          </w:tcPr>
          <w:p>
            <w:pPr>
              <w:pStyle w:val="63"/>
              <w:rPr>
                <w:u w:val="single"/>
              </w:rPr>
            </w:pPr>
            <w:r>
              <w:rPr>
                <w:u w:val="single"/>
              </w:rPr>
              <w:t>风险</w:t>
            </w:r>
          </w:p>
        </w:tc>
        <w:tc>
          <w:tcPr>
            <w:tcW w:w="2293" w:type="pct"/>
            <w:gridSpan w:val="2"/>
            <w:vAlign w:val="center"/>
          </w:tcPr>
          <w:p>
            <w:pPr>
              <w:pStyle w:val="63"/>
              <w:rPr>
                <w:u w:val="single"/>
              </w:rPr>
            </w:pPr>
            <w:r>
              <w:rPr>
                <w:u w:val="single"/>
              </w:rPr>
              <w:t>地面防渗</w:t>
            </w:r>
          </w:p>
        </w:tc>
        <w:tc>
          <w:tcPr>
            <w:tcW w:w="987" w:type="pct"/>
            <w:vAlign w:val="center"/>
          </w:tcPr>
          <w:p>
            <w:pPr>
              <w:pStyle w:val="63"/>
              <w:rPr>
                <w:u w:val="single"/>
              </w:rPr>
            </w:pPr>
            <w:r>
              <w:rPr>
                <w:u w:val="single"/>
              </w:rPr>
              <w:t>150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9" w:type="pct"/>
            <w:gridSpan w:val="2"/>
            <w:vMerge w:val="continue"/>
            <w:vAlign w:val="center"/>
          </w:tcPr>
          <w:p>
            <w:pPr>
              <w:pStyle w:val="63"/>
              <w:rPr>
                <w:u w:val="single"/>
              </w:rPr>
            </w:pPr>
          </w:p>
        </w:tc>
        <w:tc>
          <w:tcPr>
            <w:tcW w:w="2293" w:type="pct"/>
            <w:gridSpan w:val="2"/>
            <w:vAlign w:val="center"/>
          </w:tcPr>
          <w:p>
            <w:pPr>
              <w:pStyle w:val="63"/>
              <w:rPr>
                <w:u w:val="single"/>
              </w:rPr>
            </w:pPr>
            <w:r>
              <w:rPr>
                <w:u w:val="single"/>
              </w:rPr>
              <w:t>事故池</w:t>
            </w:r>
          </w:p>
        </w:tc>
        <w:tc>
          <w:tcPr>
            <w:tcW w:w="987" w:type="pct"/>
            <w:vAlign w:val="center"/>
          </w:tcPr>
          <w:p>
            <w:pPr>
              <w:pStyle w:val="63"/>
              <w:rPr>
                <w:u w:val="single"/>
              </w:rPr>
            </w:pPr>
            <w:r>
              <w:rPr>
                <w:u w:val="single"/>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13" w:type="pct"/>
            <w:gridSpan w:val="4"/>
            <w:vAlign w:val="center"/>
          </w:tcPr>
          <w:p>
            <w:pPr>
              <w:pStyle w:val="63"/>
              <w:rPr>
                <w:u w:val="single"/>
              </w:rPr>
            </w:pPr>
            <w:r>
              <w:rPr>
                <w:u w:val="single"/>
              </w:rPr>
              <w:t>合计</w:t>
            </w:r>
          </w:p>
        </w:tc>
        <w:tc>
          <w:tcPr>
            <w:tcW w:w="987" w:type="pct"/>
            <w:vAlign w:val="center"/>
          </w:tcPr>
          <w:p>
            <w:pPr>
              <w:pStyle w:val="63"/>
              <w:rPr>
                <w:u w:val="single"/>
              </w:rPr>
            </w:pPr>
            <w:r>
              <w:rPr>
                <w:u w:val="single"/>
              </w:rPr>
              <w:t>3000</w:t>
            </w:r>
          </w:p>
        </w:tc>
      </w:tr>
    </w:tbl>
    <w:p>
      <w:pPr>
        <w:pStyle w:val="3"/>
        <w:rPr>
          <w:rFonts w:ascii="Times New Roman" w:hAnsi="Times New Roman" w:cs="Times New Roman" w:eastAsiaTheme="minorEastAsia"/>
        </w:rPr>
      </w:pPr>
      <w:bookmarkStart w:id="628" w:name="_Toc144277018"/>
      <w:bookmarkStart w:id="629" w:name="_Toc144236888"/>
      <w:bookmarkStart w:id="630" w:name="_Toc147848136"/>
      <w:bookmarkStart w:id="631" w:name="_Toc102658247"/>
      <w:r>
        <w:rPr>
          <w:rFonts w:ascii="Times New Roman" w:hAnsi="Times New Roman" w:cs="Times New Roman" w:eastAsiaTheme="minorEastAsia"/>
        </w:rPr>
        <w:t>10.5 环境影响经济损益分析结论</w:t>
      </w:r>
      <w:bookmarkEnd w:id="628"/>
      <w:bookmarkEnd w:id="629"/>
      <w:bookmarkEnd w:id="630"/>
      <w:bookmarkEnd w:id="631"/>
    </w:p>
    <w:p>
      <w:pPr>
        <w:spacing w:line="360" w:lineRule="auto"/>
        <w:ind w:firstLine="480" w:firstLineChars="200"/>
        <w:rPr>
          <w:rFonts w:ascii="Times New Roman" w:hAnsi="Times New Roman" w:cs="Times New Roman"/>
        </w:rPr>
        <w:sectPr>
          <w:pgSz w:w="11907" w:h="16840"/>
          <w:pgMar w:top="1440" w:right="1797" w:bottom="1440" w:left="1797" w:header="964" w:footer="851" w:gutter="0"/>
          <w:cols w:space="720" w:num="1"/>
          <w:docGrid w:linePitch="297" w:charSpace="200"/>
        </w:sectPr>
      </w:pPr>
      <w:bookmarkStart w:id="632" w:name="_Hlk101448574"/>
      <w:r>
        <w:rPr>
          <w:rFonts w:ascii="Times New Roman" w:hAnsi="Times New Roman" w:cs="Times New Roman"/>
        </w:rPr>
        <w:t>综上所述，本项目的建设具有显著的经济效益和良好的社会效益。项目投入使用后虽然对周围的水、大气、声环境等造成一定的影响，但建设单位从源头控制污染物，并采取一系列环保措施后对环境的污染可得到有效控制。项目的建设对社会与环境的可持续发展具有积极的意义。从环境经济的角度来说，本项目的建设是可行的。</w:t>
      </w:r>
      <w:bookmarkEnd w:id="632"/>
    </w:p>
    <w:bookmarkEnd w:id="506"/>
    <w:p>
      <w:pPr>
        <w:pStyle w:val="2"/>
        <w:spacing w:before="120" w:after="120"/>
        <w:rPr>
          <w:rFonts w:ascii="Times New Roman" w:hAnsi="Times New Roman" w:cs="Times New Roman"/>
        </w:rPr>
      </w:pPr>
      <w:bookmarkStart w:id="633" w:name="_Toc144277019"/>
      <w:bookmarkStart w:id="634" w:name="_Toc144236889"/>
      <w:bookmarkStart w:id="635" w:name="_Toc147848137"/>
      <w:bookmarkStart w:id="636" w:name="_Toc22115865"/>
      <w:bookmarkStart w:id="637" w:name="_Toc102658259"/>
      <w:r>
        <w:rPr>
          <w:rFonts w:ascii="Times New Roman" w:hAnsi="Times New Roman" w:cs="Times New Roman"/>
        </w:rPr>
        <w:t>第11章 项目政策符合性分析</w:t>
      </w:r>
      <w:bookmarkEnd w:id="633"/>
      <w:bookmarkEnd w:id="634"/>
      <w:bookmarkEnd w:id="635"/>
    </w:p>
    <w:p>
      <w:pPr>
        <w:pStyle w:val="3"/>
        <w:spacing w:before="120" w:after="120"/>
        <w:rPr>
          <w:rFonts w:ascii="Times New Roman" w:hAnsi="Times New Roman" w:cs="Times New Roman" w:eastAsiaTheme="minorEastAsia"/>
        </w:rPr>
      </w:pPr>
      <w:bookmarkStart w:id="638" w:name="_Toc144277020"/>
      <w:bookmarkStart w:id="639" w:name="_Toc102658249"/>
      <w:bookmarkStart w:id="640" w:name="_Toc147848138"/>
      <w:bookmarkStart w:id="641" w:name="_Toc144236890"/>
      <w:r>
        <w:rPr>
          <w:rFonts w:ascii="Times New Roman" w:hAnsi="Times New Roman" w:cs="Times New Roman" w:eastAsiaTheme="minorEastAsia"/>
        </w:rPr>
        <w:t>11.1 产业政策的相符性分析</w:t>
      </w:r>
      <w:bookmarkEnd w:id="638"/>
      <w:bookmarkEnd w:id="639"/>
      <w:bookmarkEnd w:id="640"/>
      <w:bookmarkEnd w:id="641"/>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对照《产业结构调整指导目录（</w:t>
      </w:r>
      <w:r>
        <w:rPr>
          <w:rFonts w:hint="eastAsia" w:ascii="Times New Roman" w:hAnsi="Times New Roman" w:cs="Times New Roman"/>
          <w:u w:val="single"/>
        </w:rPr>
        <w:t>2024年本</w:t>
      </w:r>
      <w:r>
        <w:rPr>
          <w:rFonts w:ascii="Times New Roman" w:hAnsi="Times New Roman" w:cs="Times New Roman"/>
          <w:u w:val="single"/>
        </w:rPr>
        <w:t>）》，本项目属于回收废旧锂离子电池项目；项目属于鼓励类中的“四十</w:t>
      </w:r>
      <w:r>
        <w:rPr>
          <w:rFonts w:hint="eastAsia" w:ascii="Times New Roman" w:hAnsi="Times New Roman" w:cs="Times New Roman"/>
          <w:u w:val="single"/>
        </w:rPr>
        <w:t>二</w:t>
      </w:r>
      <w:r>
        <w:rPr>
          <w:rFonts w:ascii="Times New Roman" w:hAnsi="Times New Roman" w:cs="Times New Roman"/>
          <w:u w:val="single"/>
        </w:rPr>
        <w:t>、环境保护与资源节约综合利用”中“</w:t>
      </w:r>
      <w:r>
        <w:rPr>
          <w:rFonts w:hint="eastAsia" w:ascii="Times New Roman" w:hAnsi="Times New Roman" w:cs="Times New Roman"/>
          <w:u w:val="single"/>
        </w:rPr>
        <w:t>8</w:t>
      </w:r>
      <w:r>
        <w:rPr>
          <w:rFonts w:ascii="Times New Roman" w:hAnsi="Times New Roman" w:cs="Times New Roman"/>
          <w:u w:val="single"/>
        </w:rPr>
        <w:t>、</w:t>
      </w:r>
      <w:r>
        <w:rPr>
          <w:rFonts w:hint="eastAsia" w:ascii="Times New Roman" w:hAnsi="Times New Roman" w:cs="Times New Roman"/>
          <w:u w:val="single"/>
        </w:rPr>
        <w:t>废弃物循环利用</w:t>
      </w:r>
      <w:r>
        <w:rPr>
          <w:rFonts w:ascii="Times New Roman" w:hAnsi="Times New Roman" w:cs="Times New Roman"/>
          <w:u w:val="single"/>
        </w:rPr>
        <w:t>”，</w:t>
      </w:r>
      <w:r>
        <w:rPr>
          <w:rFonts w:hint="eastAsia" w:ascii="Times New Roman" w:hAnsi="Times New Roman" w:cs="Times New Roman"/>
          <w:u w:val="single"/>
        </w:rPr>
        <w:t xml:space="preserve"> 三元锂电池包</w:t>
      </w:r>
      <w:r>
        <w:rPr>
          <w:rFonts w:ascii="Times New Roman" w:hAnsi="Times New Roman" w:cs="Times New Roman"/>
          <w:u w:val="single"/>
        </w:rPr>
        <w:t>生产线处理能力为</w:t>
      </w:r>
      <w:r>
        <w:rPr>
          <w:rFonts w:hint="eastAsia" w:ascii="Times New Roman" w:hAnsi="Times New Roman" w:cs="Times New Roman"/>
          <w:u w:val="single"/>
        </w:rPr>
        <w:t>10000t/a，磷酸铁锂电池包</w:t>
      </w:r>
      <w:r>
        <w:rPr>
          <w:rFonts w:ascii="Times New Roman" w:hAnsi="Times New Roman" w:cs="Times New Roman"/>
          <w:u w:val="single"/>
        </w:rPr>
        <w:t>生产线处理能力为</w:t>
      </w:r>
      <w:r>
        <w:rPr>
          <w:rFonts w:hint="eastAsia" w:ascii="Times New Roman" w:hAnsi="Times New Roman" w:cs="Times New Roman"/>
          <w:u w:val="single"/>
        </w:rPr>
        <w:t>30000t/a（包含梯次利用工序不可利用的电池包），均大于5000吨，不属于限制类和淘汰类。</w:t>
      </w:r>
    </w:p>
    <w:p>
      <w:pPr>
        <w:spacing w:line="360" w:lineRule="auto"/>
        <w:ind w:firstLine="480" w:firstLineChars="200"/>
        <w:rPr>
          <w:rFonts w:ascii="Times New Roman" w:hAnsi="Times New Roman" w:cs="Times New Roman"/>
        </w:rPr>
      </w:pPr>
      <w:r>
        <w:rPr>
          <w:rFonts w:ascii="Times New Roman" w:hAnsi="Times New Roman" w:cs="Times New Roman"/>
        </w:rPr>
        <w:t>对照《限制用地项目目录（2012年本）》和《禁止用地项目目录（2016年本）》，本项目不属于限制和禁止用地目录。厂址位于湖南衡东经济开发区，用地性质为工业用地，用地布局符合湖南衡东经济开发区规划的相关要求。</w:t>
      </w:r>
    </w:p>
    <w:p>
      <w:pPr>
        <w:spacing w:line="360" w:lineRule="auto"/>
        <w:ind w:firstLine="480" w:firstLineChars="200"/>
        <w:rPr>
          <w:rFonts w:ascii="Times New Roman" w:hAnsi="Times New Roman" w:cs="Times New Roman"/>
        </w:rPr>
      </w:pPr>
      <w:r>
        <w:rPr>
          <w:rFonts w:ascii="Times New Roman" w:hAnsi="Times New Roman" w:cs="Times New Roman"/>
        </w:rPr>
        <w:t>对照《湖南省“两高”项目管理目录》，本项目不属于“两高”项目；对照《关于加强重点行业建设项目区域削减措施监督管理的通知》（环办环评〔2020〕36号），本项目也不属于其中的重点行业。</w:t>
      </w:r>
    </w:p>
    <w:p>
      <w:pPr>
        <w:spacing w:line="360" w:lineRule="auto"/>
        <w:ind w:firstLine="480" w:firstLineChars="200"/>
        <w:rPr>
          <w:rFonts w:ascii="Times New Roman" w:hAnsi="Times New Roman" w:cs="Times New Roman"/>
        </w:rPr>
      </w:pPr>
      <w:r>
        <w:rPr>
          <w:rFonts w:ascii="Times New Roman" w:hAnsi="Times New Roman" w:cs="Times New Roman"/>
        </w:rPr>
        <w:t>综上，本项目的建设符合国家产业政策。</w:t>
      </w:r>
    </w:p>
    <w:p>
      <w:pPr>
        <w:pStyle w:val="3"/>
        <w:spacing w:before="120" w:after="120"/>
        <w:rPr>
          <w:rFonts w:ascii="Times New Roman" w:hAnsi="Times New Roman" w:cs="Times New Roman" w:eastAsiaTheme="minorEastAsia"/>
        </w:rPr>
      </w:pPr>
      <w:bookmarkStart w:id="642" w:name="_Toc144236891"/>
      <w:bookmarkStart w:id="643" w:name="_Toc144277021"/>
      <w:bookmarkStart w:id="644" w:name="_Toc147848139"/>
      <w:bookmarkStart w:id="645" w:name="_Toc102658250"/>
      <w:r>
        <w:rPr>
          <w:rFonts w:ascii="Times New Roman" w:hAnsi="Times New Roman" w:cs="Times New Roman" w:eastAsiaTheme="minorEastAsia"/>
        </w:rPr>
        <w:t>11.2 与相关规划符合性分析</w:t>
      </w:r>
      <w:bookmarkEnd w:id="642"/>
      <w:bookmarkEnd w:id="643"/>
      <w:bookmarkEnd w:id="644"/>
      <w:bookmarkEnd w:id="645"/>
    </w:p>
    <w:p>
      <w:pPr>
        <w:pStyle w:val="4"/>
        <w:rPr>
          <w:rFonts w:ascii="Times New Roman" w:hAnsi="Times New Roman" w:cs="Times New Roman"/>
        </w:rPr>
      </w:pPr>
      <w:bookmarkStart w:id="646" w:name="_Toc144236892"/>
      <w:bookmarkStart w:id="647" w:name="_Toc144277022"/>
      <w:bookmarkStart w:id="648" w:name="_Toc147848140"/>
      <w:r>
        <w:rPr>
          <w:rFonts w:ascii="Times New Roman" w:hAnsi="Times New Roman" w:cs="Times New Roman"/>
        </w:rPr>
        <w:t>11.2.1 与《衡东县国土空间总体规划（2021—2035）》符合性分析</w:t>
      </w:r>
      <w:bookmarkEnd w:id="646"/>
      <w:bookmarkEnd w:id="647"/>
      <w:bookmarkEnd w:id="648"/>
    </w:p>
    <w:p>
      <w:pPr>
        <w:spacing w:line="360" w:lineRule="auto"/>
        <w:ind w:firstLine="480" w:firstLineChars="200"/>
        <w:rPr>
          <w:rFonts w:ascii="Times New Roman" w:hAnsi="Times New Roman" w:cs="Times New Roman"/>
        </w:rPr>
      </w:pPr>
      <w:r>
        <w:rPr>
          <w:rFonts w:ascii="Times New Roman" w:hAnsi="Times New Roman" w:cs="Times New Roman"/>
        </w:rPr>
        <w:t>（1）规划内容：</w:t>
      </w:r>
    </w:p>
    <w:p>
      <w:pPr>
        <w:spacing w:line="360" w:lineRule="auto"/>
        <w:ind w:firstLine="480" w:firstLineChars="200"/>
        <w:rPr>
          <w:rFonts w:ascii="Times New Roman" w:hAnsi="Times New Roman" w:cs="Times New Roman"/>
        </w:rPr>
      </w:pPr>
      <w:r>
        <w:rPr>
          <w:rFonts w:ascii="Times New Roman" w:hAnsi="Times New Roman" w:cs="Times New Roman"/>
        </w:rPr>
        <w:t>规划形成“主中心—副中心—重点镇—一般镇”四级城镇体系。</w:t>
      </w:r>
    </w:p>
    <w:p>
      <w:pPr>
        <w:spacing w:line="360" w:lineRule="auto"/>
        <w:ind w:firstLine="480" w:firstLineChars="200"/>
        <w:rPr>
          <w:rFonts w:ascii="Times New Roman" w:hAnsi="Times New Roman" w:cs="Times New Roman"/>
        </w:rPr>
      </w:pPr>
      <w:r>
        <w:rPr>
          <w:rFonts w:ascii="Times New Roman" w:hAnsi="Times New Roman" w:cs="Times New Roman"/>
        </w:rPr>
        <w:t>主中心：中心城区，人口规模15-25万人。副中心：大浦镇、新塘镇，人口规模2-5万人。重点镇：石湾镇、荣桓镇、杨林镇、高湖镇，人口规模1-2万人。一般镇：其他乡镇。</w:t>
      </w:r>
    </w:p>
    <w:p>
      <w:pPr>
        <w:spacing w:line="360" w:lineRule="auto"/>
        <w:ind w:firstLine="480" w:firstLineChars="200"/>
        <w:rPr>
          <w:rFonts w:ascii="Times New Roman" w:hAnsi="Times New Roman" w:cs="Times New Roman"/>
        </w:rPr>
      </w:pPr>
      <w:r>
        <w:rPr>
          <w:rFonts w:ascii="Times New Roman" w:hAnsi="Times New Roman" w:cs="Times New Roman"/>
        </w:rPr>
        <w:t>重点培育大浦镇以化学原料及化学制品、医药机械制造、新材料等现代工业为主的城镇职能利用特色产业优势，推进镇区与园区协同发展推动传统产业升级。打造一区三园的制造业空间布局，一区：发挥衡东经济开发区的核心作用，融合衡阳市产业体系，联动县域制造业链条，引导制造业向产业园区集中。三园：以大浦工业园结合中心城区泵业智造产业园、印章文化产业园，建设制造业发展平台。</w:t>
      </w:r>
    </w:p>
    <w:p>
      <w:pPr>
        <w:spacing w:line="360" w:lineRule="auto"/>
        <w:ind w:firstLine="480" w:firstLineChars="200"/>
        <w:rPr>
          <w:rFonts w:ascii="Times New Roman" w:hAnsi="Times New Roman" w:cs="Times New Roman"/>
        </w:rPr>
      </w:pPr>
      <w:r>
        <w:rPr>
          <w:rFonts w:ascii="Times New Roman" w:hAnsi="Times New Roman" w:cs="Times New Roman"/>
        </w:rPr>
        <w:t>拟建项目选址位于衡东经济开发区内的三类工业用地上，与《衡东县国土空间总体规划（2021—2035）》符合。</w:t>
      </w:r>
    </w:p>
    <w:p>
      <w:pPr>
        <w:pStyle w:val="4"/>
        <w:rPr>
          <w:rFonts w:ascii="Times New Roman" w:hAnsi="Times New Roman" w:cs="Times New Roman"/>
        </w:rPr>
      </w:pPr>
      <w:bookmarkStart w:id="649" w:name="_Toc144236893"/>
      <w:bookmarkStart w:id="650" w:name="_Toc144277023"/>
      <w:bookmarkStart w:id="651" w:name="_Toc147848141"/>
      <w:r>
        <w:rPr>
          <w:rFonts w:ascii="Times New Roman" w:hAnsi="Times New Roman" w:cs="Times New Roman"/>
        </w:rPr>
        <w:t>11.2.2 与园区规划环评及审查意见符合性分析</w:t>
      </w:r>
      <w:bookmarkEnd w:id="649"/>
      <w:bookmarkEnd w:id="650"/>
      <w:bookmarkEnd w:id="651"/>
    </w:p>
    <w:p>
      <w:pPr>
        <w:spacing w:line="360" w:lineRule="auto"/>
        <w:ind w:firstLine="480" w:firstLineChars="200"/>
        <w:rPr>
          <w:rFonts w:ascii="Times New Roman" w:hAnsi="Times New Roman" w:cs="Times New Roman"/>
        </w:rPr>
      </w:pPr>
      <w:r>
        <w:rPr>
          <w:rFonts w:ascii="Times New Roman" w:hAnsi="Times New Roman" w:cs="Times New Roman"/>
        </w:rPr>
        <w:t>2022年5月24日，湖南省生态环境厅出具了关于《湖南衡东经济开发区调区扩区规划环境影响报告书》（湘环评函[2022]19号）审查意见的函，项目与湘环评函[2022]19号有关要求对照情况见下表。</w:t>
      </w:r>
    </w:p>
    <w:p>
      <w:pPr>
        <w:pStyle w:val="6"/>
        <w:rPr>
          <w:rFonts w:ascii="Times New Roman" w:hAnsi="Times New Roman" w:cs="Times New Roman"/>
        </w:rPr>
      </w:pPr>
      <w:r>
        <w:rPr>
          <w:rFonts w:ascii="Times New Roman" w:hAnsi="Times New Roman" w:cs="Times New Roman"/>
        </w:rPr>
        <w:t>表11.2-1  项目与园区规划环评要求对照表</w:t>
      </w:r>
    </w:p>
    <w:tbl>
      <w:tblPr>
        <w:tblStyle w:val="35"/>
        <w:tblW w:w="8317"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105"/>
        <w:gridCol w:w="2410"/>
        <w:gridCol w:w="80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05" w:type="dxa"/>
            <w:shd w:val="clear" w:color="auto" w:fill="auto"/>
            <w:vAlign w:val="center"/>
          </w:tcPr>
          <w:p>
            <w:pPr>
              <w:jc w:val="center"/>
              <w:rPr>
                <w:rFonts w:ascii="Times New Roman" w:hAnsi="Times New Roman" w:cs="Times New Roman"/>
                <w:sz w:val="18"/>
                <w:szCs w:val="18"/>
              </w:rPr>
            </w:pPr>
            <w:r>
              <w:rPr>
                <w:rFonts w:ascii="Times New Roman" w:hAnsi="Times New Roman" w:cs="Times New Roman"/>
                <w:sz w:val="18"/>
                <w:szCs w:val="18"/>
              </w:rPr>
              <w:t>规划环评要求</w:t>
            </w:r>
          </w:p>
        </w:tc>
        <w:tc>
          <w:tcPr>
            <w:tcW w:w="2410" w:type="dxa"/>
            <w:shd w:val="clear" w:color="auto" w:fill="auto"/>
            <w:vAlign w:val="center"/>
          </w:tcPr>
          <w:p>
            <w:pPr>
              <w:jc w:val="center"/>
              <w:rPr>
                <w:rFonts w:ascii="Times New Roman" w:hAnsi="Times New Roman" w:cs="Times New Roman"/>
                <w:sz w:val="18"/>
                <w:szCs w:val="18"/>
              </w:rPr>
            </w:pPr>
            <w:r>
              <w:rPr>
                <w:rFonts w:ascii="Times New Roman" w:hAnsi="Times New Roman" w:cs="Times New Roman"/>
                <w:sz w:val="18"/>
                <w:szCs w:val="18"/>
              </w:rPr>
              <w:t>本项目内容</w:t>
            </w:r>
          </w:p>
        </w:tc>
        <w:tc>
          <w:tcPr>
            <w:tcW w:w="802" w:type="dxa"/>
            <w:shd w:val="clear" w:color="auto" w:fill="auto"/>
            <w:vAlign w:val="center"/>
          </w:tcPr>
          <w:p>
            <w:pPr>
              <w:jc w:val="center"/>
              <w:rPr>
                <w:rFonts w:ascii="Times New Roman" w:hAnsi="Times New Roman" w:cs="Times New Roman"/>
                <w:sz w:val="18"/>
                <w:szCs w:val="18"/>
              </w:rPr>
            </w:pPr>
            <w:r>
              <w:rPr>
                <w:rFonts w:ascii="Times New Roman" w:hAnsi="Times New Roman" w:cs="Times New Roman"/>
                <w:sz w:val="18"/>
                <w:szCs w:val="18"/>
              </w:rPr>
              <w:t>相符性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05" w:type="dxa"/>
            <w:shd w:val="clear" w:color="auto" w:fill="auto"/>
            <w:vAlign w:val="center"/>
          </w:tcPr>
          <w:p>
            <w:pPr>
              <w:rPr>
                <w:rFonts w:ascii="Times New Roman" w:hAnsi="Times New Roman" w:cs="Times New Roman"/>
                <w:sz w:val="18"/>
                <w:szCs w:val="18"/>
              </w:rPr>
            </w:pPr>
            <w:r>
              <w:rPr>
                <w:rFonts w:ascii="Times New Roman" w:hAnsi="Times New Roman" w:cs="Times New Roman"/>
                <w:sz w:val="18"/>
                <w:szCs w:val="18"/>
              </w:rPr>
              <w:t>严格依规开发，优化空间功能布局。园区应做好空间功能布局规划，将环境影响较大的工业项目尽可能远离集镇、安置小区布局。园区应按照经核准的规划范围开展建设，化工片区应对照《化工园区建设标准和认定管理办法（试行）》《湖南省化工图区认定评估导则》及《化工园区综合评价导则》高标准建设，化工片区南侧边界外设置二类工业用地以缓冲环境影响。</w:t>
            </w:r>
          </w:p>
        </w:tc>
        <w:tc>
          <w:tcPr>
            <w:tcW w:w="2410" w:type="dxa"/>
            <w:shd w:val="clear" w:color="auto" w:fill="auto"/>
            <w:vAlign w:val="center"/>
          </w:tcPr>
          <w:p>
            <w:pPr>
              <w:rPr>
                <w:rFonts w:ascii="Times New Roman" w:hAnsi="Times New Roman" w:cs="Times New Roman"/>
                <w:sz w:val="18"/>
                <w:szCs w:val="18"/>
              </w:rPr>
            </w:pPr>
            <w:r>
              <w:rPr>
                <w:rFonts w:hint="eastAsia" w:ascii="Times New Roman" w:hAnsi="Times New Roman" w:cs="Times New Roman"/>
                <w:sz w:val="18"/>
                <w:szCs w:val="18"/>
              </w:rPr>
              <w:t>综合利用车间</w:t>
            </w:r>
            <w:r>
              <w:rPr>
                <w:rFonts w:ascii="Times New Roman" w:hAnsi="Times New Roman" w:cs="Times New Roman"/>
                <w:sz w:val="18"/>
                <w:szCs w:val="18"/>
              </w:rPr>
              <w:t>位于三类工业用地范围内，</w:t>
            </w:r>
            <w:r>
              <w:rPr>
                <w:rFonts w:hint="eastAsia" w:ascii="Times New Roman" w:hAnsi="Times New Roman" w:cs="Times New Roman"/>
                <w:sz w:val="18"/>
                <w:szCs w:val="18"/>
              </w:rPr>
              <w:t>梯次利用车间位于二类工业用地，</w:t>
            </w:r>
            <w:r>
              <w:rPr>
                <w:rFonts w:ascii="Times New Roman" w:hAnsi="Times New Roman" w:cs="Times New Roman"/>
                <w:sz w:val="18"/>
                <w:szCs w:val="18"/>
              </w:rPr>
              <w:t>符合相关要求</w:t>
            </w:r>
          </w:p>
        </w:tc>
        <w:tc>
          <w:tcPr>
            <w:tcW w:w="802" w:type="dxa"/>
            <w:shd w:val="clear" w:color="auto" w:fill="auto"/>
            <w:vAlign w:val="center"/>
          </w:tcPr>
          <w:p>
            <w:pPr>
              <w:jc w:val="center"/>
              <w:rPr>
                <w:rFonts w:ascii="Times New Roman" w:hAnsi="Times New Roman" w:cs="Times New Roman"/>
                <w:sz w:val="18"/>
                <w:szCs w:val="18"/>
              </w:rPr>
            </w:pPr>
            <w:r>
              <w:rPr>
                <w:rFonts w:ascii="Times New Roman" w:hAnsi="Times New Roman" w:cs="Times New Roman"/>
                <w:sz w:val="18"/>
                <w:szCs w:val="18"/>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5105" w:type="dxa"/>
            <w:shd w:val="clear" w:color="auto" w:fill="auto"/>
            <w:vAlign w:val="center"/>
          </w:tcPr>
          <w:p>
            <w:pPr>
              <w:rPr>
                <w:rFonts w:ascii="Times New Roman" w:hAnsi="Times New Roman" w:cs="Times New Roman"/>
                <w:sz w:val="18"/>
                <w:szCs w:val="18"/>
              </w:rPr>
            </w:pPr>
            <w:r>
              <w:rPr>
                <w:rFonts w:ascii="Times New Roman" w:hAnsi="Times New Roman" w:cs="Times New Roman"/>
                <w:sz w:val="18"/>
                <w:szCs w:val="18"/>
              </w:rPr>
              <w:t>严格环境准入，优化园区产业结构。园区产业引进应严格遵循《长江保护法》、《长江经济带发展负面清单指南》、《湘江保护条例》等法律法规及相关政策的要求，落实园区"三线一单"及《报告书》提出的准入条件、生态环境管控清单、产业负面清单等要求，产业的布局落地应符合相关地块的功能性质。不得在核准的化工片区以外新引进化工项目（有新的具体政策要求的除外），不得在一、二类工业用地上新建设初级冶炼项目。</w:t>
            </w:r>
          </w:p>
        </w:tc>
        <w:tc>
          <w:tcPr>
            <w:tcW w:w="2410" w:type="dxa"/>
            <w:shd w:val="clear" w:color="auto" w:fill="auto"/>
            <w:vAlign w:val="center"/>
          </w:tcPr>
          <w:p>
            <w:pPr>
              <w:rPr>
                <w:rFonts w:ascii="Times New Roman" w:hAnsi="Times New Roman" w:cs="Times New Roman"/>
                <w:sz w:val="18"/>
                <w:szCs w:val="18"/>
              </w:rPr>
            </w:pPr>
            <w:r>
              <w:rPr>
                <w:rFonts w:hint="eastAsia" w:ascii="Times New Roman" w:hAnsi="Times New Roman" w:cs="Times New Roman"/>
                <w:sz w:val="18"/>
                <w:szCs w:val="18"/>
              </w:rPr>
              <w:t>综合利用车间</w:t>
            </w:r>
            <w:r>
              <w:rPr>
                <w:rFonts w:ascii="Times New Roman" w:hAnsi="Times New Roman" w:cs="Times New Roman"/>
                <w:sz w:val="18"/>
                <w:szCs w:val="18"/>
              </w:rPr>
              <w:t>位于三类工业用地范围内，</w:t>
            </w:r>
            <w:r>
              <w:rPr>
                <w:rFonts w:hint="eastAsia" w:ascii="Times New Roman" w:hAnsi="Times New Roman" w:cs="Times New Roman"/>
                <w:sz w:val="18"/>
                <w:szCs w:val="18"/>
              </w:rPr>
              <w:t>梯次利用车间位于二类工业用地，</w:t>
            </w:r>
            <w:r>
              <w:rPr>
                <w:rFonts w:ascii="Times New Roman" w:hAnsi="Times New Roman" w:cs="Times New Roman"/>
                <w:sz w:val="18"/>
                <w:szCs w:val="18"/>
              </w:rPr>
              <w:t>符合相关要求</w:t>
            </w:r>
          </w:p>
        </w:tc>
        <w:tc>
          <w:tcPr>
            <w:tcW w:w="802" w:type="dxa"/>
            <w:shd w:val="clear" w:color="auto" w:fill="auto"/>
            <w:vAlign w:val="center"/>
          </w:tcPr>
          <w:p>
            <w:pPr>
              <w:jc w:val="center"/>
              <w:rPr>
                <w:rFonts w:ascii="Times New Roman" w:hAnsi="Times New Roman" w:cs="Times New Roman"/>
                <w:sz w:val="18"/>
                <w:szCs w:val="18"/>
              </w:rPr>
            </w:pPr>
            <w:r>
              <w:rPr>
                <w:rFonts w:ascii="Times New Roman" w:hAnsi="Times New Roman" w:cs="Times New Roman"/>
                <w:sz w:val="18"/>
                <w:szCs w:val="18"/>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05" w:type="dxa"/>
            <w:shd w:val="clear" w:color="auto" w:fill="auto"/>
            <w:vAlign w:val="center"/>
          </w:tcPr>
          <w:p>
            <w:pPr>
              <w:rPr>
                <w:rFonts w:ascii="Times New Roman" w:hAnsi="Times New Roman" w:cs="Times New Roman"/>
                <w:sz w:val="18"/>
                <w:szCs w:val="18"/>
              </w:rPr>
            </w:pPr>
            <w:r>
              <w:rPr>
                <w:rFonts w:ascii="Times New Roman" w:hAnsi="Times New Roman" w:cs="Times New Roman"/>
                <w:sz w:val="18"/>
                <w:szCs w:val="18"/>
              </w:rPr>
              <w:t>落实管控措施，加强园区排污管理。完善园区污水管网及集中处理设施建设，实行雨污分流，确保园区生产生活废水应收尽收，集中纳入污水处理厂处理。园区不得超过污水处理厂的处理能力和排污口审批所规定的废水排放量引进项目。落实水产种质资源论证的相关要求，做好园区污水处理厂人工湿地的建设和日常运行维护，后续污水处理厂的扩容应合规开展，并逐步推动园区入河排污口的整合。园区应加强大气污染防治，采取有效措施减少污染物排放总量，严格控制无组织排放，在位于大浦镇主城区常年上风向的区域应严格限制新引进以恶臭、异味等废气排放为主的建设项目并强化对已有气型污染项目的治理。建立园区固废规范化管理体系，做好工业固体废物和生活垃圾的分类收集、转运、综合利用和无害化处理。对危险废物应严格按照国家有关规定综合利用或妥善处置，对危险废物产生企业和经营单位，应强化日常环境监管。园区须严格落实排污许可制度和污染物排放总量控制，督促入园企业及时完成竣工环境保护验收工作，推动入园企业开展清洁生产审核。园区应落实第三方环境治理工作相关政策要求，强化对化工片区及重点产排污企业的监管与服务</w:t>
            </w:r>
          </w:p>
        </w:tc>
        <w:tc>
          <w:tcPr>
            <w:tcW w:w="2410" w:type="dxa"/>
            <w:shd w:val="clear" w:color="auto" w:fill="auto"/>
            <w:vAlign w:val="center"/>
          </w:tcPr>
          <w:p>
            <w:pPr>
              <w:rPr>
                <w:rFonts w:ascii="Times New Roman" w:hAnsi="Times New Roman" w:cs="Times New Roman"/>
                <w:sz w:val="18"/>
                <w:szCs w:val="18"/>
              </w:rPr>
            </w:pPr>
            <w:r>
              <w:rPr>
                <w:rFonts w:ascii="Times New Roman" w:hAnsi="Times New Roman" w:cs="Times New Roman"/>
                <w:sz w:val="18"/>
                <w:szCs w:val="18"/>
              </w:rPr>
              <w:t>本项目周边园区管网完善，企业生产废水全部回用，生活污水经处理后排入园区污水处理厂进行出处理，污水处理厂尚有较多容量，可以满足企业污水处理要求；项目废气得到有效的处置，做到达标排放；企业一般固废的、危险废物均能得到有效处置。</w:t>
            </w:r>
          </w:p>
        </w:tc>
        <w:tc>
          <w:tcPr>
            <w:tcW w:w="802" w:type="dxa"/>
            <w:shd w:val="clear" w:color="auto" w:fill="auto"/>
            <w:vAlign w:val="center"/>
          </w:tcPr>
          <w:p>
            <w:pPr>
              <w:jc w:val="center"/>
              <w:rPr>
                <w:rFonts w:ascii="Times New Roman" w:hAnsi="Times New Roman" w:cs="Times New Roman"/>
                <w:sz w:val="18"/>
                <w:szCs w:val="18"/>
              </w:rPr>
            </w:pPr>
            <w:r>
              <w:rPr>
                <w:rFonts w:ascii="Times New Roman" w:hAnsi="Times New Roman" w:cs="Times New Roman"/>
                <w:sz w:val="18"/>
                <w:szCs w:val="18"/>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05" w:type="dxa"/>
            <w:shd w:val="clear" w:color="auto" w:fill="auto"/>
            <w:vAlign w:val="center"/>
          </w:tcPr>
          <w:p>
            <w:pPr>
              <w:rPr>
                <w:rFonts w:ascii="Times New Roman" w:hAnsi="Times New Roman" w:cs="Times New Roman"/>
                <w:sz w:val="18"/>
                <w:szCs w:val="18"/>
              </w:rPr>
            </w:pPr>
            <w:r>
              <w:rPr>
                <w:rFonts w:ascii="Times New Roman" w:hAnsi="Times New Roman" w:cs="Times New Roman"/>
                <w:sz w:val="18"/>
                <w:szCs w:val="18"/>
              </w:rPr>
              <w:t>完善监测体系，监控环境质量变化状况。结合园区规划的功能分区、产业布局、重点企业分布、特征污染物的排放种类和状况、环境敏感目标分布等，建立健全环境空气、地表水、地下水、土壤等环境要素的监控体系。加强对园区周边空气、土壤环境质量的跟踪监测，重点关注化工片区与大浦镇区之间的区域大气环境质量变化，及园区涉重企业周边土壤重金属浓度的变化情况。加强对园区重点排放企业的监督性监测，防止其污染物偷排漏排。合理布局大气小微站，涵盖相关特征污染物监测。</w:t>
            </w:r>
          </w:p>
        </w:tc>
        <w:tc>
          <w:tcPr>
            <w:tcW w:w="2410" w:type="dxa"/>
            <w:shd w:val="clear" w:color="auto" w:fill="auto"/>
            <w:vAlign w:val="center"/>
          </w:tcPr>
          <w:p>
            <w:pPr>
              <w:rPr>
                <w:rFonts w:ascii="Times New Roman" w:hAnsi="Times New Roman" w:cs="Times New Roman"/>
                <w:sz w:val="18"/>
                <w:szCs w:val="18"/>
              </w:rPr>
            </w:pPr>
            <w:r>
              <w:rPr>
                <w:rFonts w:ascii="Times New Roman" w:hAnsi="Times New Roman" w:cs="Times New Roman"/>
                <w:sz w:val="18"/>
                <w:szCs w:val="18"/>
              </w:rPr>
              <w:t>企业制定污染源及周边环境质量监测计划，满足园区相关要求</w:t>
            </w:r>
          </w:p>
        </w:tc>
        <w:tc>
          <w:tcPr>
            <w:tcW w:w="802" w:type="dxa"/>
            <w:shd w:val="clear" w:color="auto" w:fill="auto"/>
            <w:vAlign w:val="center"/>
          </w:tcPr>
          <w:p>
            <w:pPr>
              <w:jc w:val="center"/>
              <w:rPr>
                <w:rFonts w:ascii="Times New Roman" w:hAnsi="Times New Roman" w:cs="Times New Roman"/>
                <w:sz w:val="18"/>
                <w:szCs w:val="18"/>
              </w:rPr>
            </w:pPr>
            <w:r>
              <w:rPr>
                <w:rFonts w:ascii="Times New Roman" w:hAnsi="Times New Roman" w:cs="Times New Roman"/>
                <w:sz w:val="18"/>
                <w:szCs w:val="18"/>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05" w:type="dxa"/>
            <w:shd w:val="clear" w:color="auto" w:fill="auto"/>
            <w:vAlign w:val="center"/>
          </w:tcPr>
          <w:p>
            <w:pPr>
              <w:rPr>
                <w:rFonts w:ascii="Times New Roman" w:hAnsi="Times New Roman" w:cs="Times New Roman"/>
                <w:sz w:val="18"/>
                <w:szCs w:val="18"/>
              </w:rPr>
            </w:pPr>
            <w:r>
              <w:rPr>
                <w:rFonts w:ascii="Times New Roman" w:hAnsi="Times New Roman" w:cs="Times New Roman"/>
                <w:sz w:val="18"/>
                <w:szCs w:val="18"/>
              </w:rPr>
              <w:t>强化风险管控，严防园区环境事故。建立健全园区环境风险管理工作长效机制，加强园区环境风险防控、预警和应急体系建设。落实环境风险防控措施，及时完成园区环境应急预案的修订和备案工作，推动重点污染企业环境应急预案编制和备案工作，全面提升园区环境风险防控和环境事故应急处置能力。化工片区应建设公共的事故水池、应急截流沟等环境风险设施，完善单元-企业-园区"三级"环境风险防范和企业-园区-地方政府"三级"环境风险应急体系管控要求。</w:t>
            </w:r>
          </w:p>
        </w:tc>
        <w:tc>
          <w:tcPr>
            <w:tcW w:w="2410" w:type="dxa"/>
            <w:shd w:val="clear" w:color="auto" w:fill="auto"/>
            <w:vAlign w:val="center"/>
          </w:tcPr>
          <w:p>
            <w:pPr>
              <w:rPr>
                <w:rFonts w:ascii="Times New Roman" w:hAnsi="Times New Roman" w:cs="Times New Roman"/>
                <w:sz w:val="18"/>
                <w:szCs w:val="18"/>
              </w:rPr>
            </w:pPr>
            <w:r>
              <w:rPr>
                <w:rFonts w:ascii="Times New Roman" w:hAnsi="Times New Roman" w:cs="Times New Roman"/>
                <w:sz w:val="18"/>
                <w:szCs w:val="18"/>
              </w:rPr>
              <w:t>企业及时制定应急预案，并与园区应急预案相衔接。</w:t>
            </w:r>
          </w:p>
        </w:tc>
        <w:tc>
          <w:tcPr>
            <w:tcW w:w="802" w:type="dxa"/>
            <w:shd w:val="clear" w:color="auto" w:fill="auto"/>
            <w:vAlign w:val="center"/>
          </w:tcPr>
          <w:p>
            <w:pPr>
              <w:jc w:val="center"/>
              <w:rPr>
                <w:rFonts w:ascii="Times New Roman" w:hAnsi="Times New Roman" w:cs="Times New Roman"/>
                <w:sz w:val="18"/>
                <w:szCs w:val="18"/>
              </w:rPr>
            </w:pPr>
            <w:r>
              <w:rPr>
                <w:rFonts w:ascii="Times New Roman" w:hAnsi="Times New Roman" w:cs="Times New Roman"/>
                <w:sz w:val="18"/>
                <w:szCs w:val="18"/>
              </w:rP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105" w:type="dxa"/>
            <w:shd w:val="clear" w:color="auto" w:fill="auto"/>
            <w:vAlign w:val="center"/>
          </w:tcPr>
          <w:p>
            <w:pPr>
              <w:rPr>
                <w:rFonts w:ascii="Times New Roman" w:hAnsi="Times New Roman" w:cs="Times New Roman"/>
                <w:sz w:val="18"/>
                <w:szCs w:val="18"/>
              </w:rPr>
            </w:pPr>
            <w:r>
              <w:rPr>
                <w:rFonts w:ascii="Times New Roman" w:hAnsi="Times New Roman" w:cs="Times New Roman"/>
                <w:sz w:val="18"/>
                <w:szCs w:val="18"/>
              </w:rPr>
              <w:t>做好园区开发过程中的生态保护。园区开发建设过程中尽可能保留区内西南侧部分山体，及区外生态保护目标评价范围内的林地、农田、山体山塘等生态敏感点。对区内自然山体、水体，施工期对土石方开挖、堆存及回填要实施围挡、护坡等措施，裸露地及时恢复植被，防止水土流失，杜绝施工建设对地表水体的污染。</w:t>
            </w:r>
          </w:p>
        </w:tc>
        <w:tc>
          <w:tcPr>
            <w:tcW w:w="2410" w:type="dxa"/>
            <w:shd w:val="clear" w:color="auto" w:fill="auto"/>
            <w:vAlign w:val="center"/>
          </w:tcPr>
          <w:p>
            <w:pPr>
              <w:rPr>
                <w:rFonts w:ascii="Times New Roman" w:hAnsi="Times New Roman" w:cs="Times New Roman"/>
                <w:sz w:val="18"/>
                <w:szCs w:val="18"/>
              </w:rPr>
            </w:pPr>
            <w:r>
              <w:rPr>
                <w:rFonts w:ascii="Times New Roman" w:hAnsi="Times New Roman" w:cs="Times New Roman"/>
                <w:sz w:val="18"/>
                <w:szCs w:val="18"/>
              </w:rPr>
              <w:t>企业在施工期采取人工降尘、堆存及回填实施围挡、裸露地及时恢复植被，杜绝施工建设对地表水体的污染</w:t>
            </w:r>
          </w:p>
        </w:tc>
        <w:tc>
          <w:tcPr>
            <w:tcW w:w="802" w:type="dxa"/>
            <w:shd w:val="clear" w:color="auto" w:fill="auto"/>
            <w:vAlign w:val="center"/>
          </w:tcPr>
          <w:p>
            <w:pPr>
              <w:jc w:val="center"/>
              <w:rPr>
                <w:rFonts w:ascii="Times New Roman" w:hAnsi="Times New Roman" w:cs="Times New Roman"/>
                <w:sz w:val="18"/>
                <w:szCs w:val="18"/>
              </w:rPr>
            </w:pPr>
            <w:r>
              <w:rPr>
                <w:rFonts w:ascii="Times New Roman" w:hAnsi="Times New Roman" w:cs="Times New Roman"/>
                <w:sz w:val="18"/>
                <w:szCs w:val="18"/>
              </w:rPr>
              <w:t>符合</w:t>
            </w:r>
          </w:p>
        </w:tc>
      </w:tr>
    </w:tbl>
    <w:p>
      <w:pPr>
        <w:pStyle w:val="3"/>
        <w:spacing w:before="120" w:after="120"/>
        <w:rPr>
          <w:rFonts w:ascii="Times New Roman" w:hAnsi="Times New Roman" w:cs="Times New Roman" w:eastAsiaTheme="minorEastAsia"/>
        </w:rPr>
      </w:pPr>
      <w:bookmarkStart w:id="652" w:name="_Toc102658251"/>
      <w:bookmarkStart w:id="653" w:name="_Toc144277024"/>
      <w:bookmarkStart w:id="654" w:name="_Toc147848142"/>
      <w:bookmarkStart w:id="655" w:name="_Toc144236894"/>
      <w:r>
        <w:rPr>
          <w:rFonts w:ascii="Times New Roman" w:hAnsi="Times New Roman" w:cs="Times New Roman" w:eastAsiaTheme="minorEastAsia"/>
        </w:rPr>
        <w:t>11.3与行业技术规范相符性分析</w:t>
      </w:r>
      <w:bookmarkEnd w:id="652"/>
      <w:bookmarkEnd w:id="653"/>
      <w:bookmarkEnd w:id="654"/>
      <w:bookmarkEnd w:id="655"/>
    </w:p>
    <w:p>
      <w:pPr>
        <w:pStyle w:val="4"/>
        <w:rPr>
          <w:rFonts w:ascii="Times New Roman" w:hAnsi="Times New Roman" w:cs="Times New Roman"/>
        </w:rPr>
      </w:pPr>
      <w:bookmarkStart w:id="656" w:name="_Toc144277025"/>
      <w:bookmarkStart w:id="657" w:name="_Toc144236895"/>
      <w:bookmarkStart w:id="658" w:name="_Toc147848143"/>
      <w:r>
        <w:rPr>
          <w:rFonts w:ascii="Times New Roman" w:hAnsi="Times New Roman" w:cs="Times New Roman"/>
        </w:rPr>
        <w:t>11.3.1与废电池污染防治技术政策的相符性分析</w:t>
      </w:r>
      <w:bookmarkEnd w:id="656"/>
      <w:bookmarkEnd w:id="657"/>
      <w:bookmarkEnd w:id="658"/>
    </w:p>
    <w:p>
      <w:pPr>
        <w:spacing w:line="360" w:lineRule="auto"/>
        <w:ind w:firstLine="480" w:firstLineChars="200"/>
        <w:rPr>
          <w:rFonts w:ascii="Times New Roman" w:hAnsi="Times New Roman" w:cs="Times New Roman"/>
        </w:rPr>
      </w:pPr>
      <w:r>
        <w:rPr>
          <w:rFonts w:ascii="Times New Roman" w:hAnsi="Times New Roman" w:cs="Times New Roman"/>
        </w:rPr>
        <w:t>本项目主要处置废锂电池，根据查阅《国家危险废物名录》（2016年版），参考《关于政协十二届全国委员会第四次会议第3914号（资源环境类251号）提案答复的函》（环提函〔2016〕45号），铅蓄电池广泛应用于交通、通讯、电力等领域，在国民经济发展中起到重要作用。但由于废铅蓄电池含大量重金属铅、铅化合物和硫酸等化学物质，属于危险废物，在收集和再生过程中若处理不当，容易引发环境污染。废锂电池一般不含有毒有害成分，环境危害性较小，因此不属于危险废物。本项目与废电池污染防治技术政策的相符性分析如下。</w:t>
      </w:r>
    </w:p>
    <w:p>
      <w:pPr>
        <w:pStyle w:val="6"/>
        <w:rPr>
          <w:rFonts w:ascii="Times New Roman" w:hAnsi="Times New Roman" w:cs="Times New Roman"/>
        </w:rPr>
      </w:pPr>
      <w:r>
        <w:rPr>
          <w:rFonts w:ascii="Times New Roman" w:hAnsi="Times New Roman" w:cs="Times New Roman"/>
        </w:rPr>
        <w:t>表11.3-1  与废电池污染防治技术政策的相符性分析</w:t>
      </w:r>
    </w:p>
    <w:tbl>
      <w:tblPr>
        <w:tblStyle w:val="35"/>
        <w:tblW w:w="850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2"/>
        <w:gridCol w:w="4781"/>
        <w:gridCol w:w="2410"/>
        <w:gridCol w:w="61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2" w:type="dxa"/>
            <w:vAlign w:val="center"/>
          </w:tcPr>
          <w:p>
            <w:pPr>
              <w:pStyle w:val="63"/>
            </w:pPr>
            <w:r>
              <w:t>处置阶段</w:t>
            </w:r>
          </w:p>
        </w:tc>
        <w:tc>
          <w:tcPr>
            <w:tcW w:w="4781" w:type="dxa"/>
            <w:vAlign w:val="center"/>
          </w:tcPr>
          <w:p>
            <w:pPr>
              <w:pStyle w:val="63"/>
            </w:pPr>
            <w:r>
              <w:t>政策要求</w:t>
            </w:r>
          </w:p>
        </w:tc>
        <w:tc>
          <w:tcPr>
            <w:tcW w:w="2410" w:type="dxa"/>
            <w:vAlign w:val="center"/>
          </w:tcPr>
          <w:p>
            <w:pPr>
              <w:pStyle w:val="63"/>
            </w:pPr>
            <w:r>
              <w:t>本项目实际情况</w:t>
            </w:r>
          </w:p>
        </w:tc>
        <w:tc>
          <w:tcPr>
            <w:tcW w:w="612" w:type="dxa"/>
            <w:vAlign w:val="center"/>
          </w:tcPr>
          <w:p>
            <w:pPr>
              <w:pStyle w:val="63"/>
            </w:pPr>
            <w:r>
              <w:t>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2" w:type="dxa"/>
            <w:vAlign w:val="center"/>
          </w:tcPr>
          <w:p>
            <w:pPr>
              <w:pStyle w:val="63"/>
            </w:pPr>
            <w:r>
              <w:t>收集</w:t>
            </w:r>
          </w:p>
        </w:tc>
        <w:tc>
          <w:tcPr>
            <w:tcW w:w="4781" w:type="dxa"/>
            <w:vAlign w:val="center"/>
          </w:tcPr>
          <w:p>
            <w:pPr>
              <w:pStyle w:val="63"/>
            </w:pPr>
            <w:r>
              <w:fldChar w:fldCharType="begin"/>
            </w:r>
            <w:r>
              <w:instrText xml:space="preserve"> = 1 \* GB3 </w:instrText>
            </w:r>
            <w:r>
              <w:fldChar w:fldCharType="separate"/>
            </w:r>
            <w:r>
              <w:rPr>
                <w:rFonts w:hint="eastAsia" w:ascii="宋体" w:hAnsi="宋体" w:eastAsia="宋体" w:cs="宋体"/>
              </w:rPr>
              <w:t>①</w:t>
            </w:r>
            <w:r>
              <w:fldChar w:fldCharType="end"/>
            </w:r>
            <w:r>
              <w:t>在具备资源化利用条件的地区，鼓励分类收集废原电池。</w:t>
            </w:r>
            <w:r>
              <w:fldChar w:fldCharType="begin"/>
            </w:r>
            <w:r>
              <w:instrText xml:space="preserve"> = 2 \* GB3 </w:instrText>
            </w:r>
            <w:r>
              <w:fldChar w:fldCharType="separate"/>
            </w:r>
            <w:r>
              <w:rPr>
                <w:rFonts w:hint="eastAsia" w:ascii="宋体" w:hAnsi="宋体" w:eastAsia="宋体" w:cs="宋体"/>
              </w:rPr>
              <w:t>②</w:t>
            </w:r>
            <w:r>
              <w:fldChar w:fldCharType="end"/>
            </w:r>
            <w:r>
              <w:t>鼓励电池生产企业、废电池收集企业及利用企业等建设废电池收集体系。鼓励电池生产企业履行生产者延伸责任。</w:t>
            </w:r>
            <w:r>
              <w:fldChar w:fldCharType="begin"/>
            </w:r>
            <w:r>
              <w:instrText xml:space="preserve"> = 3 \* GB3 </w:instrText>
            </w:r>
            <w:r>
              <w:fldChar w:fldCharType="separate"/>
            </w:r>
            <w:r>
              <w:rPr>
                <w:rFonts w:hint="eastAsia" w:ascii="宋体" w:hAnsi="宋体" w:eastAsia="宋体" w:cs="宋体"/>
              </w:rPr>
              <w:t>③</w:t>
            </w:r>
            <w:r>
              <w:fldChar w:fldCharType="end"/>
            </w:r>
            <w:r>
              <w:t>鼓励废电池收集企业应用"物联网+"等信息化技术建立废电池收集体系，并通过信息公开等手段促进废电池的高效回收。</w:t>
            </w:r>
            <w:r>
              <w:fldChar w:fldCharType="begin"/>
            </w:r>
            <w:r>
              <w:instrText xml:space="preserve"> = 4 \* GB3 </w:instrText>
            </w:r>
            <w:r>
              <w:fldChar w:fldCharType="separate"/>
            </w:r>
            <w:r>
              <w:rPr>
                <w:rFonts w:hint="eastAsia" w:ascii="宋体" w:hAnsi="宋体" w:eastAsia="宋体" w:cs="宋体"/>
              </w:rPr>
              <w:t>④</w:t>
            </w:r>
            <w:r>
              <w:fldChar w:fldCharType="end"/>
            </w:r>
            <w:r>
              <w:t>废电池收集企业应设立具有显著标识的废电池分类收集设施。鼓励消费者将废电池送到相应的废电池收集网点装置中。</w:t>
            </w:r>
            <w:r>
              <w:fldChar w:fldCharType="begin"/>
            </w:r>
            <w:r>
              <w:instrText xml:space="preserve"> = 5 \* GB3 </w:instrText>
            </w:r>
            <w:r>
              <w:fldChar w:fldCharType="separate"/>
            </w:r>
            <w:r>
              <w:rPr>
                <w:rFonts w:hint="eastAsia" w:ascii="宋体" w:hAnsi="宋体" w:eastAsia="宋体" w:cs="宋体"/>
              </w:rPr>
              <w:t>⑤</w:t>
            </w:r>
            <w:r>
              <w:fldChar w:fldCharType="end"/>
            </w:r>
            <w:r>
              <w:t>收集过程中应保持废电池的结构和外形完整，严禁私自破损废电池，已破损的废电池应单独存放。</w:t>
            </w:r>
          </w:p>
        </w:tc>
        <w:tc>
          <w:tcPr>
            <w:tcW w:w="2410" w:type="dxa"/>
            <w:vAlign w:val="center"/>
          </w:tcPr>
          <w:p>
            <w:pPr>
              <w:pStyle w:val="63"/>
            </w:pPr>
            <w:r>
              <w:t>本项目已建设了废旧电池收集体系，项目分类收集废旧的锂电池；电池原料堆放区域，要求设置显著的分类标识；本项目设立了单独的封闭式存放间，用于存放破损的废电池。</w:t>
            </w:r>
          </w:p>
        </w:tc>
        <w:tc>
          <w:tcPr>
            <w:tcW w:w="612" w:type="dxa"/>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2" w:type="dxa"/>
            <w:vAlign w:val="center"/>
          </w:tcPr>
          <w:p>
            <w:pPr>
              <w:pStyle w:val="63"/>
            </w:pPr>
            <w:r>
              <w:t>运输</w:t>
            </w:r>
          </w:p>
        </w:tc>
        <w:tc>
          <w:tcPr>
            <w:tcW w:w="4781" w:type="dxa"/>
            <w:vAlign w:val="center"/>
          </w:tcPr>
          <w:p>
            <w:pPr>
              <w:pStyle w:val="63"/>
            </w:pPr>
            <w:r>
              <w:fldChar w:fldCharType="begin"/>
            </w:r>
            <w:r>
              <w:instrText xml:space="preserve"> = 1 \* GB3 </w:instrText>
            </w:r>
            <w:r>
              <w:fldChar w:fldCharType="separate"/>
            </w:r>
            <w:r>
              <w:rPr>
                <w:rFonts w:hint="eastAsia" w:ascii="宋体" w:hAnsi="宋体" w:eastAsia="宋体" w:cs="宋体"/>
              </w:rPr>
              <w:t>①</w:t>
            </w:r>
            <w:r>
              <w:fldChar w:fldCharType="end"/>
            </w:r>
            <w:r>
              <w:t>废电池应采取有效的包装措施，防止运输过程中有毒有害物质泄漏造成污染；</w:t>
            </w:r>
            <w:r>
              <w:fldChar w:fldCharType="begin"/>
            </w:r>
            <w:r>
              <w:instrText xml:space="preserve"> = 2 \* GB3 </w:instrText>
            </w:r>
            <w:r>
              <w:fldChar w:fldCharType="separate"/>
            </w:r>
            <w:r>
              <w:rPr>
                <w:rFonts w:hint="eastAsia" w:ascii="宋体" w:hAnsi="宋体" w:eastAsia="宋体" w:cs="宋体"/>
              </w:rPr>
              <w:t>②</w:t>
            </w:r>
            <w:r>
              <w:fldChar w:fldCharType="end"/>
            </w:r>
            <w:r>
              <w:t>废锂离子电池运输前应采取预放电、独立包装等措施，防止因撞击或短路发生爆炸等引起的环境风险；</w:t>
            </w:r>
            <w:r>
              <w:fldChar w:fldCharType="begin"/>
            </w:r>
            <w:r>
              <w:instrText xml:space="preserve"> = 3 \* GB3 </w:instrText>
            </w:r>
            <w:r>
              <w:fldChar w:fldCharType="separate"/>
            </w:r>
            <w:r>
              <w:rPr>
                <w:rFonts w:hint="eastAsia" w:ascii="宋体" w:hAnsi="宋体" w:eastAsia="宋体" w:cs="宋体"/>
              </w:rPr>
              <w:t>③</w:t>
            </w:r>
            <w:r>
              <w:fldChar w:fldCharType="end"/>
            </w:r>
            <w:r>
              <w:t>禁止在运输过程中擅自倾倒和丢弃废电池。</w:t>
            </w:r>
          </w:p>
        </w:tc>
        <w:tc>
          <w:tcPr>
            <w:tcW w:w="2410" w:type="dxa"/>
            <w:vAlign w:val="center"/>
          </w:tcPr>
          <w:p>
            <w:pPr>
              <w:pStyle w:val="63"/>
            </w:pPr>
            <w:r>
              <w:t>本项目所用原料锂电池不属于危险废物。运输过程中采取有效的包装措施。</w:t>
            </w:r>
          </w:p>
        </w:tc>
        <w:tc>
          <w:tcPr>
            <w:tcW w:w="612" w:type="dxa"/>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702" w:type="dxa"/>
            <w:vAlign w:val="center"/>
          </w:tcPr>
          <w:p>
            <w:pPr>
              <w:pStyle w:val="63"/>
            </w:pPr>
            <w:r>
              <w:t>贮存</w:t>
            </w:r>
          </w:p>
        </w:tc>
        <w:tc>
          <w:tcPr>
            <w:tcW w:w="4781" w:type="dxa"/>
            <w:vAlign w:val="center"/>
          </w:tcPr>
          <w:p>
            <w:pPr>
              <w:pStyle w:val="63"/>
            </w:pPr>
            <w:r>
              <w:fldChar w:fldCharType="begin"/>
            </w:r>
            <w:r>
              <w:instrText xml:space="preserve"> = 1 \* GB3 </w:instrText>
            </w:r>
            <w:r>
              <w:fldChar w:fldCharType="separate"/>
            </w:r>
            <w:r>
              <w:rPr>
                <w:rFonts w:hint="eastAsia" w:ascii="宋体" w:hAnsi="宋体" w:eastAsia="宋体" w:cs="宋体"/>
              </w:rPr>
              <w:t>①</w:t>
            </w:r>
            <w:r>
              <w:fldChar w:fldCharType="end"/>
            </w:r>
            <w:r>
              <w:t>废电池应分类贮存，禁止露天堆放。破损的废电池应单独贮存。贮存场所应定期清理、清运；</w:t>
            </w:r>
            <w:r>
              <w:fldChar w:fldCharType="begin"/>
            </w:r>
            <w:r>
              <w:instrText xml:space="preserve"> = 2 \* GB3 </w:instrText>
            </w:r>
            <w:r>
              <w:fldChar w:fldCharType="separate"/>
            </w:r>
            <w:r>
              <w:rPr>
                <w:rFonts w:hint="eastAsia" w:ascii="宋体" w:hAnsi="宋体" w:eastAsia="宋体" w:cs="宋体"/>
              </w:rPr>
              <w:t>②</w:t>
            </w:r>
            <w:r>
              <w:fldChar w:fldCharType="end"/>
            </w:r>
            <w:r>
              <w:t>废铅蓄电池的贮存场所应防止电解液泄漏。废铅蓄电池的贮存应避免遭受雨淋水浸；</w:t>
            </w:r>
            <w:r>
              <w:fldChar w:fldCharType="begin"/>
            </w:r>
            <w:r>
              <w:instrText xml:space="preserve"> = 3 \* GB3 </w:instrText>
            </w:r>
            <w:r>
              <w:fldChar w:fldCharType="separate"/>
            </w:r>
            <w:r>
              <w:rPr>
                <w:rFonts w:hint="eastAsia" w:ascii="宋体" w:hAnsi="宋体" w:eastAsia="宋体" w:cs="宋体"/>
              </w:rPr>
              <w:t>③</w:t>
            </w:r>
            <w:r>
              <w:fldChar w:fldCharType="end"/>
            </w:r>
            <w:r>
              <w:t>废锂离子电池贮存前应进行安全性检测，避光贮存，应控制贮存场所的环境温度，避免因高温自燃等引起的环境风险。</w:t>
            </w:r>
          </w:p>
        </w:tc>
        <w:tc>
          <w:tcPr>
            <w:tcW w:w="2410" w:type="dxa"/>
            <w:vAlign w:val="center"/>
          </w:tcPr>
          <w:p>
            <w:pPr>
              <w:pStyle w:val="63"/>
            </w:pPr>
            <w:r>
              <w:fldChar w:fldCharType="begin"/>
            </w:r>
            <w:r>
              <w:instrText xml:space="preserve"> = 1 \* GB3 </w:instrText>
            </w:r>
            <w:r>
              <w:fldChar w:fldCharType="separate"/>
            </w:r>
            <w:r>
              <w:rPr>
                <w:rFonts w:hint="eastAsia" w:ascii="宋体" w:hAnsi="宋体" w:eastAsia="宋体" w:cs="宋体"/>
              </w:rPr>
              <w:t>①</w:t>
            </w:r>
            <w:r>
              <w:fldChar w:fldCharType="end"/>
            </w:r>
            <w:r>
              <w:t>废锂电池原料堆放于室内，禁止露天堆放。</w:t>
            </w:r>
            <w:r>
              <w:fldChar w:fldCharType="begin"/>
            </w:r>
            <w:r>
              <w:instrText xml:space="preserve"> = 2 \* GB3 </w:instrText>
            </w:r>
            <w:r>
              <w:fldChar w:fldCharType="separate"/>
            </w:r>
            <w:r>
              <w:rPr>
                <w:rFonts w:hint="eastAsia" w:ascii="宋体" w:hAnsi="宋体" w:eastAsia="宋体" w:cs="宋体"/>
              </w:rPr>
              <w:t>②</w:t>
            </w:r>
            <w:r>
              <w:fldChar w:fldCharType="end"/>
            </w:r>
            <w:r>
              <w:t>本项目锂电池进厂前已有电池提供单位进行安全性检测，电池堆放区域避光，并设置禁火标识。</w:t>
            </w:r>
          </w:p>
        </w:tc>
        <w:tc>
          <w:tcPr>
            <w:tcW w:w="612" w:type="dxa"/>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702" w:type="dxa"/>
            <w:vAlign w:val="center"/>
          </w:tcPr>
          <w:p>
            <w:pPr>
              <w:pStyle w:val="63"/>
            </w:pPr>
            <w:r>
              <w:t>利用</w:t>
            </w:r>
          </w:p>
        </w:tc>
        <w:tc>
          <w:tcPr>
            <w:tcW w:w="4781" w:type="dxa"/>
            <w:vAlign w:val="center"/>
          </w:tcPr>
          <w:p>
            <w:pPr>
              <w:pStyle w:val="63"/>
            </w:pPr>
            <w:r>
              <w:fldChar w:fldCharType="begin"/>
            </w:r>
            <w:r>
              <w:instrText xml:space="preserve"> = 1 \* GB3 </w:instrText>
            </w:r>
            <w:r>
              <w:fldChar w:fldCharType="separate"/>
            </w:r>
            <w:r>
              <w:rPr>
                <w:rFonts w:hint="eastAsia" w:ascii="宋体" w:hAnsi="宋体" w:eastAsia="宋体" w:cs="宋体"/>
              </w:rPr>
              <w:t>①</w:t>
            </w:r>
            <w:r>
              <w:fldChar w:fldCharType="end"/>
            </w:r>
            <w:r>
              <w:t>禁止人工、露天拆解和破碎废电池；</w:t>
            </w:r>
            <w:r>
              <w:fldChar w:fldCharType="begin"/>
            </w:r>
            <w:r>
              <w:instrText xml:space="preserve"> = 2 \* GB3 </w:instrText>
            </w:r>
            <w:r>
              <w:fldChar w:fldCharType="separate"/>
            </w:r>
            <w:r>
              <w:rPr>
                <w:rFonts w:hint="eastAsia" w:ascii="宋体" w:hAnsi="宋体" w:eastAsia="宋体" w:cs="宋体"/>
              </w:rPr>
              <w:t>②</w:t>
            </w:r>
            <w:r>
              <w:fldChar w:fldCharType="end"/>
            </w:r>
            <w:r>
              <w:t>应根据废电池特性选择干法冶炼、湿法冶金等技术利用废电池。干法冶炼应在负压设施中进行，严格控制处理工序中的废气无组织排放；</w:t>
            </w:r>
            <w:r>
              <w:fldChar w:fldCharType="begin"/>
            </w:r>
            <w:r>
              <w:instrText xml:space="preserve"> = 3 \* GB3 </w:instrText>
            </w:r>
            <w:r>
              <w:fldChar w:fldCharType="separate"/>
            </w:r>
            <w:r>
              <w:rPr>
                <w:rFonts w:hint="eastAsia" w:ascii="宋体" w:hAnsi="宋体" w:eastAsia="宋体" w:cs="宋体"/>
              </w:rPr>
              <w:t>③</w:t>
            </w:r>
            <w:r>
              <w:fldChar w:fldCharType="end"/>
            </w:r>
            <w:r>
              <w:t>废锂离子电池利用前应进行放电处理，宜在低温条件下拆解以防止电解液挥发。鼓励采用酸碱溶解-沉淀、高效萃取、分步沉淀等技术回收有价金属。对利用过程中产生的高浓度氨氮废水，鼓励采用精馏、膜处理等技术处理并回用；</w:t>
            </w:r>
            <w:r>
              <w:fldChar w:fldCharType="begin"/>
            </w:r>
            <w:r>
              <w:instrText xml:space="preserve"> = 4 \* GB3 </w:instrText>
            </w:r>
            <w:r>
              <w:fldChar w:fldCharType="separate"/>
            </w:r>
            <w:r>
              <w:rPr>
                <w:rFonts w:hint="eastAsia" w:ascii="宋体" w:hAnsi="宋体" w:eastAsia="宋体" w:cs="宋体"/>
              </w:rPr>
              <w:t>④</w:t>
            </w:r>
            <w:r>
              <w:fldChar w:fldCharType="end"/>
            </w:r>
            <w:r>
              <w:t>废含汞电池利用时，鼓励采用分段控制的真空蒸馏等技术回收汞；</w:t>
            </w:r>
            <w:r>
              <w:fldChar w:fldCharType="begin"/>
            </w:r>
            <w:r>
              <w:instrText xml:space="preserve"> = 5 \* GB3 </w:instrText>
            </w:r>
            <w:r>
              <w:fldChar w:fldCharType="separate"/>
            </w:r>
            <w:r>
              <w:rPr>
                <w:rFonts w:hint="eastAsia" w:ascii="宋体" w:hAnsi="宋体" w:eastAsia="宋体" w:cs="宋体"/>
              </w:rPr>
              <w:t>⑤</w:t>
            </w:r>
            <w:r>
              <w:fldChar w:fldCharType="end"/>
            </w:r>
            <w:r>
              <w:t>废锌锰电池和废镉镍电池应在密闭装置中破碎；</w:t>
            </w:r>
            <w:r>
              <w:fldChar w:fldCharType="begin"/>
            </w:r>
            <w:r>
              <w:instrText xml:space="preserve"> = 6 \* GB3 </w:instrText>
            </w:r>
            <w:r>
              <w:fldChar w:fldCharType="separate"/>
            </w:r>
            <w:r>
              <w:rPr>
                <w:rFonts w:hint="eastAsia" w:ascii="宋体" w:hAnsi="宋体" w:eastAsia="宋体" w:cs="宋体"/>
              </w:rPr>
              <w:t>⑥</w:t>
            </w:r>
            <w:r>
              <w:fldChar w:fldCharType="end"/>
            </w:r>
            <w:r>
              <w:t>干法冶炼应采用吸附、布袋除尘等技术处理废气；</w:t>
            </w:r>
            <w:r>
              <w:fldChar w:fldCharType="begin"/>
            </w:r>
            <w:r>
              <w:instrText xml:space="preserve"> = 7 \* GB3 </w:instrText>
            </w:r>
            <w:r>
              <w:fldChar w:fldCharType="separate"/>
            </w:r>
            <w:r>
              <w:rPr>
                <w:rFonts w:hint="eastAsia" w:ascii="宋体" w:hAnsi="宋体" w:eastAsia="宋体" w:cs="宋体"/>
              </w:rPr>
              <w:t>⑦</w:t>
            </w:r>
            <w:r>
              <w:fldChar w:fldCharType="end"/>
            </w:r>
            <w:r>
              <w:t>湿法冶金提取有价金属产生的废水宜采用膜分离法、功能材料吸附法等处理技术；</w:t>
            </w:r>
            <w:r>
              <w:fldChar w:fldCharType="begin"/>
            </w:r>
            <w:r>
              <w:instrText xml:space="preserve"> = 8 \* GB3 </w:instrText>
            </w:r>
            <w:r>
              <w:fldChar w:fldCharType="separate"/>
            </w:r>
            <w:r>
              <w:rPr>
                <w:rFonts w:hint="eastAsia" w:ascii="宋体" w:hAnsi="宋体" w:eastAsia="宋体" w:cs="宋体"/>
              </w:rPr>
              <w:t>⑧</w:t>
            </w:r>
            <w:r>
              <w:fldChar w:fldCharType="end"/>
            </w:r>
            <w:r>
              <w:t>废铅蓄电池利用企业的废水、废气排放应执行《再生铜、铝、铅、锌工业污染物排放标准》（GB 31574）。其他废电池干法利用企业的废气排放应参照执行《危险废物焚烧污染控制标准》（GB18484），废水排放应当满足《污水综合排放标准》（GB8978）和其他相应标准的要求；</w:t>
            </w:r>
            <w:r>
              <w:fldChar w:fldCharType="begin"/>
            </w:r>
            <w:r>
              <w:instrText xml:space="preserve"> = 9 \* GB3 </w:instrText>
            </w:r>
            <w:r>
              <w:fldChar w:fldCharType="separate"/>
            </w:r>
            <w:r>
              <w:rPr>
                <w:rFonts w:hint="eastAsia" w:ascii="宋体" w:hAnsi="宋体" w:eastAsia="宋体" w:cs="宋体"/>
              </w:rPr>
              <w:t>⑨</w:t>
            </w:r>
            <w:r>
              <w:fldChar w:fldCharType="end"/>
            </w:r>
            <w:r>
              <w:t>废铅蓄电池利用的污染防治技术政策由《铅蓄电池生产及再生污染防治技术政策》规定。</w:t>
            </w:r>
          </w:p>
        </w:tc>
        <w:tc>
          <w:tcPr>
            <w:tcW w:w="2410" w:type="dxa"/>
            <w:vAlign w:val="center"/>
          </w:tcPr>
          <w:p>
            <w:pPr>
              <w:pStyle w:val="63"/>
            </w:pPr>
            <w:r>
              <w:fldChar w:fldCharType="begin"/>
            </w:r>
            <w:r>
              <w:instrText xml:space="preserve"> = 1 \* GB3 </w:instrText>
            </w:r>
            <w:r>
              <w:fldChar w:fldCharType="separate"/>
            </w:r>
            <w:r>
              <w:rPr>
                <w:rFonts w:hint="eastAsia" w:ascii="宋体" w:hAnsi="宋体" w:eastAsia="宋体" w:cs="宋体"/>
              </w:rPr>
              <w:t>①</w:t>
            </w:r>
            <w:r>
              <w:fldChar w:fldCharType="end"/>
            </w:r>
            <w:r>
              <w:t>本项目电池拆解采用自动拆解线，位于预处理车间。</w:t>
            </w:r>
            <w:r>
              <w:fldChar w:fldCharType="begin"/>
            </w:r>
            <w:r>
              <w:instrText xml:space="preserve"> = 2 \* GB3 </w:instrText>
            </w:r>
            <w:r>
              <w:fldChar w:fldCharType="separate"/>
            </w:r>
            <w:r>
              <w:rPr>
                <w:rFonts w:hint="eastAsia" w:ascii="宋体" w:hAnsi="宋体" w:eastAsia="宋体" w:cs="宋体"/>
              </w:rPr>
              <w:t>②</w:t>
            </w:r>
            <w:r>
              <w:fldChar w:fldCharType="end"/>
            </w:r>
            <w:r>
              <w:t>本项目电池回收主要采用干法+湿法，其中干法部分在负压设施中完成。</w:t>
            </w:r>
            <w:r>
              <w:fldChar w:fldCharType="begin"/>
            </w:r>
            <w:r>
              <w:instrText xml:space="preserve"> = 3 \* GB3 </w:instrText>
            </w:r>
            <w:r>
              <w:fldChar w:fldCharType="separate"/>
            </w:r>
            <w:r>
              <w:rPr>
                <w:rFonts w:hint="eastAsia" w:ascii="宋体" w:hAnsi="宋体" w:eastAsia="宋体" w:cs="宋体"/>
              </w:rPr>
              <w:t>③</w:t>
            </w:r>
            <w:r>
              <w:fldChar w:fldCharType="end"/>
            </w:r>
            <w:r>
              <w:t>本项目废电池利用前已进行放电。</w:t>
            </w:r>
            <w:r>
              <w:fldChar w:fldCharType="begin"/>
            </w:r>
            <w:r>
              <w:instrText xml:space="preserve"> = 4 \* GB3 </w:instrText>
            </w:r>
            <w:r>
              <w:fldChar w:fldCharType="separate"/>
            </w:r>
            <w:r>
              <w:rPr>
                <w:rFonts w:hint="eastAsia" w:ascii="宋体" w:hAnsi="宋体" w:eastAsia="宋体" w:cs="宋体"/>
              </w:rPr>
              <w:t>④</w:t>
            </w:r>
            <w:r>
              <w:fldChar w:fldCharType="end"/>
            </w:r>
            <w:r>
              <w:t>项目废气采用相应的废气处理装置进行处理。</w:t>
            </w:r>
            <w:r>
              <w:fldChar w:fldCharType="begin"/>
            </w:r>
            <w:r>
              <w:instrText xml:space="preserve"> = 5 \* GB3 </w:instrText>
            </w:r>
            <w:r>
              <w:fldChar w:fldCharType="separate"/>
            </w:r>
            <w:r>
              <w:rPr>
                <w:rFonts w:hint="eastAsia" w:ascii="宋体" w:hAnsi="宋体" w:eastAsia="宋体" w:cs="宋体"/>
              </w:rPr>
              <w:t>⑤</w:t>
            </w:r>
            <w:r>
              <w:fldChar w:fldCharType="end"/>
            </w:r>
            <w:r>
              <w:t>本项目生产废水经处理后全部回用，不外排。</w:t>
            </w:r>
          </w:p>
        </w:tc>
        <w:tc>
          <w:tcPr>
            <w:tcW w:w="612" w:type="dxa"/>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702" w:type="dxa"/>
            <w:vAlign w:val="center"/>
          </w:tcPr>
          <w:p>
            <w:pPr>
              <w:pStyle w:val="63"/>
            </w:pPr>
            <w:r>
              <w:t>处置</w:t>
            </w:r>
          </w:p>
        </w:tc>
        <w:tc>
          <w:tcPr>
            <w:tcW w:w="4781" w:type="dxa"/>
            <w:vAlign w:val="center"/>
          </w:tcPr>
          <w:p>
            <w:pPr>
              <w:pStyle w:val="63"/>
            </w:pPr>
            <w:r>
              <w:fldChar w:fldCharType="begin"/>
            </w:r>
            <w:r>
              <w:instrText xml:space="preserve"> = 1 \* GB3 </w:instrText>
            </w:r>
            <w:r>
              <w:fldChar w:fldCharType="separate"/>
            </w:r>
            <w:r>
              <w:rPr>
                <w:rFonts w:hint="eastAsia" w:ascii="宋体" w:hAnsi="宋体" w:eastAsia="宋体" w:cs="宋体"/>
              </w:rPr>
              <w:t>①</w:t>
            </w:r>
            <w:r>
              <w:fldChar w:fldCharType="end"/>
            </w:r>
            <w:r>
              <w:t>应避免废电池进入生活垃圾焚烧装置或堆肥发酵装置；</w:t>
            </w:r>
            <w:r>
              <w:fldChar w:fldCharType="begin"/>
            </w:r>
            <w:r>
              <w:instrText xml:space="preserve"> = 2 \* GB3 </w:instrText>
            </w:r>
            <w:r>
              <w:fldChar w:fldCharType="separate"/>
            </w:r>
            <w:r>
              <w:rPr>
                <w:rFonts w:hint="eastAsia" w:ascii="宋体" w:hAnsi="宋体" w:eastAsia="宋体" w:cs="宋体"/>
              </w:rPr>
              <w:t>②</w:t>
            </w:r>
            <w:r>
              <w:fldChar w:fldCharType="end"/>
            </w:r>
            <w:r>
              <w:t>对于已经收集的、目前还没有经济有效手段进行利用的废电池，宜分区分类填埋，以便于将来利用。</w:t>
            </w:r>
            <w:r>
              <w:fldChar w:fldCharType="begin"/>
            </w:r>
            <w:r>
              <w:instrText xml:space="preserve"> = 3 \* GB3 </w:instrText>
            </w:r>
            <w:r>
              <w:fldChar w:fldCharType="separate"/>
            </w:r>
            <w:r>
              <w:rPr>
                <w:rFonts w:hint="eastAsia" w:ascii="宋体" w:hAnsi="宋体" w:eastAsia="宋体" w:cs="宋体"/>
              </w:rPr>
              <w:t>③</w:t>
            </w:r>
            <w:r>
              <w:fldChar w:fldCharType="end"/>
            </w:r>
            <w:r>
              <w:t>在对废电池进行填埋处置前和处置过程中，不应将废电池进行拆解、碾压及其他破碎操作，保证废电池的外壳完整，减少并防止有害物质渗出。</w:t>
            </w:r>
          </w:p>
        </w:tc>
        <w:tc>
          <w:tcPr>
            <w:tcW w:w="2410" w:type="dxa"/>
            <w:vAlign w:val="center"/>
          </w:tcPr>
          <w:p>
            <w:pPr>
              <w:pStyle w:val="63"/>
            </w:pPr>
            <w:r>
              <w:t>本项目主要是对废锂电池进行再生利用，不涉及填埋处置。</w:t>
            </w:r>
          </w:p>
        </w:tc>
        <w:tc>
          <w:tcPr>
            <w:tcW w:w="612" w:type="dxa"/>
            <w:vAlign w:val="center"/>
          </w:tcPr>
          <w:p>
            <w:pPr>
              <w:pStyle w:val="63"/>
            </w:pPr>
            <w:r>
              <w:t>符合</w:t>
            </w:r>
          </w:p>
        </w:tc>
      </w:tr>
    </w:tbl>
    <w:p>
      <w:pPr>
        <w:spacing w:line="360" w:lineRule="auto"/>
        <w:ind w:firstLine="480" w:firstLineChars="200"/>
        <w:rPr>
          <w:rFonts w:ascii="Times New Roman" w:hAnsi="Times New Roman" w:cs="Times New Roman"/>
        </w:rPr>
      </w:pPr>
      <w:r>
        <w:rPr>
          <w:rFonts w:ascii="Times New Roman" w:hAnsi="Times New Roman" w:cs="Times New Roman"/>
        </w:rPr>
        <w:t>根据上表可知，本项目与《废电池污染防治技术政策》相符。</w:t>
      </w:r>
    </w:p>
    <w:p>
      <w:pPr>
        <w:pStyle w:val="4"/>
        <w:rPr>
          <w:rFonts w:ascii="Times New Roman" w:hAnsi="Times New Roman" w:cs="Times New Roman"/>
        </w:rPr>
      </w:pPr>
      <w:bookmarkStart w:id="659" w:name="_Toc147848144"/>
      <w:bookmarkStart w:id="660" w:name="_Toc144236896"/>
      <w:bookmarkStart w:id="661" w:name="_Toc144277026"/>
      <w:r>
        <w:rPr>
          <w:rFonts w:ascii="Times New Roman" w:hAnsi="Times New Roman" w:cs="Times New Roman"/>
        </w:rPr>
        <w:t>11.3.2与废弃电器电子产品处理污染控制技术规范的符合性分析</w:t>
      </w:r>
      <w:bookmarkEnd w:id="659"/>
      <w:bookmarkEnd w:id="660"/>
      <w:bookmarkEnd w:id="661"/>
    </w:p>
    <w:p>
      <w:pPr>
        <w:spacing w:line="360" w:lineRule="auto"/>
        <w:ind w:firstLine="480" w:firstLineChars="200"/>
        <w:rPr>
          <w:rFonts w:ascii="Times New Roman" w:hAnsi="Times New Roman" w:cs="Times New Roman"/>
        </w:rPr>
      </w:pPr>
      <w:r>
        <w:rPr>
          <w:rFonts w:ascii="Times New Roman" w:hAnsi="Times New Roman" w:cs="Times New Roman"/>
        </w:rPr>
        <w:t>本项目所采用的综合利用工艺与《废弃电器电子产品处理污染控制技术规范》（HJ527-2010）比较情况如下表所示。</w:t>
      </w:r>
    </w:p>
    <w:p>
      <w:pPr>
        <w:pStyle w:val="6"/>
        <w:rPr>
          <w:rFonts w:ascii="Times New Roman" w:hAnsi="Times New Roman" w:cs="Times New Roman"/>
        </w:rPr>
      </w:pPr>
      <w:r>
        <w:rPr>
          <w:rFonts w:ascii="Times New Roman" w:hAnsi="Times New Roman" w:cs="Times New Roman"/>
        </w:rPr>
        <w:t>表11.3-2 与废弃电器电子产品处理污染控制技术规范的相符性分析</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59"/>
        <w:gridCol w:w="967"/>
        <w:gridCol w:w="3685"/>
        <w:gridCol w:w="2695"/>
        <w:gridCol w:w="62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shd w:val="clear" w:color="auto" w:fill="auto"/>
            <w:vAlign w:val="center"/>
          </w:tcPr>
          <w:p>
            <w:pPr>
              <w:pStyle w:val="63"/>
            </w:pPr>
            <w:r>
              <w:t>序号</w:t>
            </w:r>
          </w:p>
        </w:tc>
        <w:tc>
          <w:tcPr>
            <w:tcW w:w="567" w:type="pct"/>
            <w:shd w:val="clear" w:color="auto" w:fill="auto"/>
            <w:vAlign w:val="center"/>
          </w:tcPr>
          <w:p>
            <w:pPr>
              <w:pStyle w:val="63"/>
            </w:pPr>
            <w:r>
              <w:t>名称</w:t>
            </w:r>
          </w:p>
        </w:tc>
        <w:tc>
          <w:tcPr>
            <w:tcW w:w="2160" w:type="pct"/>
            <w:shd w:val="clear" w:color="auto" w:fill="auto"/>
            <w:vAlign w:val="center"/>
          </w:tcPr>
          <w:p>
            <w:pPr>
              <w:pStyle w:val="63"/>
            </w:pPr>
            <w:r>
              <w:t>技术规范要求</w:t>
            </w:r>
          </w:p>
        </w:tc>
        <w:tc>
          <w:tcPr>
            <w:tcW w:w="1580" w:type="pct"/>
            <w:shd w:val="clear" w:color="auto" w:fill="auto"/>
            <w:vAlign w:val="center"/>
          </w:tcPr>
          <w:p>
            <w:pPr>
              <w:pStyle w:val="63"/>
            </w:pPr>
            <w:r>
              <w:t>本项目实际情况</w:t>
            </w:r>
          </w:p>
        </w:tc>
        <w:tc>
          <w:tcPr>
            <w:tcW w:w="365" w:type="pct"/>
            <w:shd w:val="clear" w:color="auto" w:fill="auto"/>
            <w:vAlign w:val="center"/>
          </w:tcPr>
          <w:p>
            <w:pPr>
              <w:pStyle w:val="63"/>
            </w:pPr>
            <w:r>
              <w:t>结论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restart"/>
            <w:shd w:val="clear" w:color="auto" w:fill="auto"/>
            <w:vAlign w:val="center"/>
          </w:tcPr>
          <w:p>
            <w:pPr>
              <w:pStyle w:val="63"/>
            </w:pPr>
            <w:r>
              <w:t>1</w:t>
            </w:r>
          </w:p>
        </w:tc>
        <w:tc>
          <w:tcPr>
            <w:tcW w:w="567" w:type="pct"/>
            <w:vMerge w:val="restart"/>
            <w:shd w:val="clear" w:color="auto" w:fill="auto"/>
            <w:vAlign w:val="center"/>
          </w:tcPr>
          <w:p>
            <w:pPr>
              <w:pStyle w:val="63"/>
            </w:pPr>
            <w:r>
              <w:t>总体要求</w:t>
            </w:r>
          </w:p>
        </w:tc>
        <w:tc>
          <w:tcPr>
            <w:tcW w:w="2160" w:type="pct"/>
            <w:shd w:val="clear" w:color="auto" w:fill="auto"/>
            <w:vAlign w:val="center"/>
          </w:tcPr>
          <w:p>
            <w:pPr>
              <w:pStyle w:val="63"/>
            </w:pPr>
            <w:r>
              <w:t>废弃电器电子产品处理建设项目的选址和建设应符合当地城市规划的要求</w:t>
            </w:r>
          </w:p>
        </w:tc>
        <w:tc>
          <w:tcPr>
            <w:tcW w:w="1580" w:type="pct"/>
            <w:shd w:val="clear" w:color="auto" w:fill="auto"/>
            <w:vAlign w:val="center"/>
          </w:tcPr>
          <w:p>
            <w:pPr>
              <w:pStyle w:val="63"/>
            </w:pPr>
            <w:r>
              <w:t>本项目符合衡东县国土空间总体规划</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continue"/>
            <w:shd w:val="clear" w:color="auto" w:fill="auto"/>
            <w:vAlign w:val="center"/>
          </w:tcPr>
          <w:p>
            <w:pPr>
              <w:pStyle w:val="63"/>
            </w:pPr>
          </w:p>
        </w:tc>
        <w:tc>
          <w:tcPr>
            <w:tcW w:w="567" w:type="pct"/>
            <w:vMerge w:val="continue"/>
            <w:shd w:val="clear" w:color="auto" w:fill="auto"/>
            <w:vAlign w:val="center"/>
          </w:tcPr>
          <w:p>
            <w:pPr>
              <w:pStyle w:val="63"/>
            </w:pPr>
          </w:p>
        </w:tc>
        <w:tc>
          <w:tcPr>
            <w:tcW w:w="2160" w:type="pct"/>
            <w:shd w:val="clear" w:color="auto" w:fill="auto"/>
            <w:vAlign w:val="center"/>
          </w:tcPr>
          <w:p>
            <w:pPr>
              <w:pStyle w:val="63"/>
            </w:pPr>
            <w:r>
              <w:t>应优先实现废弃电器电子产品及其零（部）件的再使用</w:t>
            </w:r>
          </w:p>
        </w:tc>
        <w:tc>
          <w:tcPr>
            <w:tcW w:w="1580" w:type="pct"/>
            <w:shd w:val="clear" w:color="auto" w:fill="auto"/>
            <w:vAlign w:val="center"/>
          </w:tcPr>
          <w:p>
            <w:pPr>
              <w:pStyle w:val="63"/>
            </w:pPr>
            <w:r>
              <w:t>拆解产物优先回收利用</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continue"/>
            <w:shd w:val="clear" w:color="auto" w:fill="auto"/>
            <w:vAlign w:val="center"/>
          </w:tcPr>
          <w:p>
            <w:pPr>
              <w:pStyle w:val="63"/>
            </w:pPr>
          </w:p>
        </w:tc>
        <w:tc>
          <w:tcPr>
            <w:tcW w:w="567" w:type="pct"/>
            <w:vMerge w:val="continue"/>
            <w:shd w:val="clear" w:color="auto" w:fill="auto"/>
            <w:vAlign w:val="center"/>
          </w:tcPr>
          <w:p>
            <w:pPr>
              <w:pStyle w:val="63"/>
            </w:pPr>
          </w:p>
        </w:tc>
        <w:tc>
          <w:tcPr>
            <w:tcW w:w="2160" w:type="pct"/>
            <w:shd w:val="clear" w:color="auto" w:fill="auto"/>
            <w:vAlign w:val="center"/>
          </w:tcPr>
          <w:p>
            <w:pPr>
              <w:pStyle w:val="63"/>
            </w:pPr>
            <w:r>
              <w:t>应对所有进出企业的废弃电器电子产品及其产生物分类，建立台账，并对其重量和/或数量进行登记</w:t>
            </w:r>
          </w:p>
        </w:tc>
        <w:tc>
          <w:tcPr>
            <w:tcW w:w="1580" w:type="pct"/>
            <w:shd w:val="clear" w:color="auto" w:fill="auto"/>
            <w:vAlign w:val="center"/>
          </w:tcPr>
          <w:p>
            <w:pPr>
              <w:pStyle w:val="63"/>
            </w:pPr>
            <w:r>
              <w:t>本项目对进出企业的废弃电器电子产品及其产生物分类，建立台账，并对其重量和/或数量进行登记</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continue"/>
            <w:shd w:val="clear" w:color="auto" w:fill="auto"/>
            <w:vAlign w:val="center"/>
          </w:tcPr>
          <w:p>
            <w:pPr>
              <w:pStyle w:val="63"/>
            </w:pPr>
          </w:p>
        </w:tc>
        <w:tc>
          <w:tcPr>
            <w:tcW w:w="567" w:type="pct"/>
            <w:vMerge w:val="continue"/>
            <w:shd w:val="clear" w:color="auto" w:fill="auto"/>
            <w:vAlign w:val="center"/>
          </w:tcPr>
          <w:p>
            <w:pPr>
              <w:pStyle w:val="63"/>
            </w:pPr>
          </w:p>
        </w:tc>
        <w:tc>
          <w:tcPr>
            <w:tcW w:w="2160" w:type="pct"/>
            <w:shd w:val="clear" w:color="auto" w:fill="auto"/>
            <w:vAlign w:val="center"/>
          </w:tcPr>
          <w:p>
            <w:pPr>
              <w:pStyle w:val="63"/>
            </w:pPr>
            <w:r>
              <w:t>禁止将废弃电器电子产品直接填埋</w:t>
            </w:r>
          </w:p>
        </w:tc>
        <w:tc>
          <w:tcPr>
            <w:tcW w:w="1580" w:type="pct"/>
            <w:shd w:val="clear" w:color="auto" w:fill="auto"/>
            <w:vAlign w:val="center"/>
          </w:tcPr>
          <w:p>
            <w:pPr>
              <w:pStyle w:val="63"/>
            </w:pPr>
            <w:r>
              <w:t>本项目不涉及废弃电器电子产品的填埋</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continue"/>
            <w:shd w:val="clear" w:color="auto" w:fill="auto"/>
            <w:vAlign w:val="center"/>
          </w:tcPr>
          <w:p>
            <w:pPr>
              <w:pStyle w:val="63"/>
            </w:pPr>
          </w:p>
        </w:tc>
        <w:tc>
          <w:tcPr>
            <w:tcW w:w="567" w:type="pct"/>
            <w:vMerge w:val="continue"/>
            <w:shd w:val="clear" w:color="auto" w:fill="auto"/>
            <w:vAlign w:val="center"/>
          </w:tcPr>
          <w:p>
            <w:pPr>
              <w:pStyle w:val="63"/>
            </w:pPr>
          </w:p>
        </w:tc>
        <w:tc>
          <w:tcPr>
            <w:tcW w:w="2160" w:type="pct"/>
            <w:shd w:val="clear" w:color="auto" w:fill="auto"/>
            <w:vAlign w:val="center"/>
          </w:tcPr>
          <w:p>
            <w:pPr>
              <w:pStyle w:val="63"/>
            </w:pPr>
            <w:r>
              <w:t>禁止露天焚烧废弃电器电子产品，禁止使用冲天炉、简易反射炉等设备和简易酸浸工艺处理废弃电器电子产品</w:t>
            </w:r>
          </w:p>
        </w:tc>
        <w:tc>
          <w:tcPr>
            <w:tcW w:w="1580" w:type="pct"/>
            <w:shd w:val="clear" w:color="auto" w:fill="auto"/>
            <w:vAlign w:val="center"/>
          </w:tcPr>
          <w:p>
            <w:pPr>
              <w:pStyle w:val="63"/>
            </w:pPr>
            <w:r>
              <w:t>本项目不涉及焚烧废弃电器电子产品，项目未使用冲天炉、简易反射炉等设备和简易酸浸工艺</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restart"/>
            <w:shd w:val="clear" w:color="auto" w:fill="auto"/>
            <w:vAlign w:val="center"/>
          </w:tcPr>
          <w:p>
            <w:pPr>
              <w:pStyle w:val="63"/>
            </w:pPr>
            <w:r>
              <w:t>2</w:t>
            </w:r>
          </w:p>
        </w:tc>
        <w:tc>
          <w:tcPr>
            <w:tcW w:w="567" w:type="pct"/>
            <w:vMerge w:val="restart"/>
            <w:shd w:val="clear" w:color="auto" w:fill="auto"/>
            <w:vAlign w:val="center"/>
          </w:tcPr>
          <w:p>
            <w:pPr>
              <w:pStyle w:val="63"/>
            </w:pPr>
            <w:r>
              <w:t>收集、运输污染控制技术要求</w:t>
            </w:r>
          </w:p>
        </w:tc>
        <w:tc>
          <w:tcPr>
            <w:tcW w:w="2160" w:type="pct"/>
            <w:shd w:val="clear" w:color="auto" w:fill="auto"/>
            <w:vAlign w:val="center"/>
          </w:tcPr>
          <w:p>
            <w:pPr>
              <w:pStyle w:val="63"/>
            </w:pPr>
            <w:r>
              <w:t>废弃电器电子产品应分类收集，不应将废弃电器电子产品混入生活垃圾或其他工业固体废物中，收集的废弃电器电子产品不得随意堆放、丢弃或拆解。</w:t>
            </w:r>
          </w:p>
        </w:tc>
        <w:tc>
          <w:tcPr>
            <w:tcW w:w="1580" w:type="pct"/>
            <w:shd w:val="clear" w:color="auto" w:fill="auto"/>
            <w:vAlign w:val="center"/>
          </w:tcPr>
          <w:p>
            <w:pPr>
              <w:pStyle w:val="63"/>
            </w:pPr>
            <w:r>
              <w:t>本项目分类收集，拆解产物根据性质分类收集</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continue"/>
            <w:shd w:val="clear" w:color="auto" w:fill="auto"/>
            <w:vAlign w:val="center"/>
          </w:tcPr>
          <w:p>
            <w:pPr>
              <w:pStyle w:val="63"/>
            </w:pPr>
          </w:p>
        </w:tc>
        <w:tc>
          <w:tcPr>
            <w:tcW w:w="567" w:type="pct"/>
            <w:vMerge w:val="continue"/>
            <w:shd w:val="clear" w:color="auto" w:fill="auto"/>
            <w:vAlign w:val="center"/>
          </w:tcPr>
          <w:p>
            <w:pPr>
              <w:pStyle w:val="63"/>
            </w:pPr>
          </w:p>
        </w:tc>
        <w:tc>
          <w:tcPr>
            <w:tcW w:w="2160" w:type="pct"/>
            <w:shd w:val="clear" w:color="auto" w:fill="auto"/>
            <w:vAlign w:val="center"/>
          </w:tcPr>
          <w:p>
            <w:pPr>
              <w:pStyle w:val="63"/>
            </w:pPr>
            <w:r>
              <w:t>当收集含有毒有害物质的零（部）件时、应将其单独存放，并应采取避免逸散、泄漏、污染环境或危害人体健康的措施。</w:t>
            </w:r>
          </w:p>
        </w:tc>
        <w:tc>
          <w:tcPr>
            <w:tcW w:w="1580" w:type="pct"/>
            <w:shd w:val="clear" w:color="auto" w:fill="auto"/>
            <w:vAlign w:val="center"/>
          </w:tcPr>
          <w:p>
            <w:pPr>
              <w:pStyle w:val="63"/>
            </w:pPr>
            <w:r>
              <w:t>原料单独存放，并采取防渗措施</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restart"/>
            <w:shd w:val="clear" w:color="auto" w:fill="auto"/>
            <w:vAlign w:val="center"/>
          </w:tcPr>
          <w:p>
            <w:pPr>
              <w:pStyle w:val="63"/>
            </w:pPr>
            <w:r>
              <w:t>3</w:t>
            </w:r>
          </w:p>
        </w:tc>
        <w:tc>
          <w:tcPr>
            <w:tcW w:w="567" w:type="pct"/>
            <w:vMerge w:val="restart"/>
            <w:shd w:val="clear" w:color="auto" w:fill="auto"/>
            <w:vAlign w:val="center"/>
          </w:tcPr>
          <w:p>
            <w:pPr>
              <w:pStyle w:val="63"/>
            </w:pPr>
            <w:r>
              <w:t>贮存污染控制技术要求</w:t>
            </w:r>
          </w:p>
        </w:tc>
        <w:tc>
          <w:tcPr>
            <w:tcW w:w="2160" w:type="pct"/>
            <w:shd w:val="clear" w:color="auto" w:fill="auto"/>
            <w:vAlign w:val="center"/>
          </w:tcPr>
          <w:p>
            <w:pPr>
              <w:pStyle w:val="63"/>
            </w:pPr>
            <w:r>
              <w:t>各种废弃电器电子产品应分类存放，并在显著位置设置有标识。</w:t>
            </w:r>
          </w:p>
        </w:tc>
        <w:tc>
          <w:tcPr>
            <w:tcW w:w="1580" w:type="pct"/>
            <w:shd w:val="clear" w:color="auto" w:fill="auto"/>
            <w:vAlign w:val="center"/>
          </w:tcPr>
          <w:p>
            <w:pPr>
              <w:pStyle w:val="63"/>
            </w:pPr>
            <w:r>
              <w:t>分类存放，设置标识</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continue"/>
            <w:shd w:val="clear" w:color="auto" w:fill="auto"/>
            <w:vAlign w:val="center"/>
          </w:tcPr>
          <w:p>
            <w:pPr>
              <w:pStyle w:val="63"/>
            </w:pPr>
          </w:p>
        </w:tc>
        <w:tc>
          <w:tcPr>
            <w:tcW w:w="567" w:type="pct"/>
            <w:vMerge w:val="continue"/>
            <w:shd w:val="clear" w:color="auto" w:fill="auto"/>
            <w:vAlign w:val="center"/>
          </w:tcPr>
          <w:p>
            <w:pPr>
              <w:pStyle w:val="63"/>
            </w:pPr>
          </w:p>
        </w:tc>
        <w:tc>
          <w:tcPr>
            <w:tcW w:w="2160" w:type="pct"/>
            <w:shd w:val="clear" w:color="auto" w:fill="auto"/>
            <w:vAlign w:val="center"/>
          </w:tcPr>
          <w:p>
            <w:pPr>
              <w:pStyle w:val="63"/>
            </w:pPr>
            <w:r>
              <w:t>对于属于危险废物的废弃电器电子产品的零（部）件和处理废弃电器电子产品后得到的物品鉴别属于危险废物时，其贮存场地应符合GB18597的相关规定</w:t>
            </w:r>
          </w:p>
        </w:tc>
        <w:tc>
          <w:tcPr>
            <w:tcW w:w="1580" w:type="pct"/>
            <w:shd w:val="clear" w:color="auto" w:fill="auto"/>
            <w:vAlign w:val="center"/>
          </w:tcPr>
          <w:p>
            <w:pPr>
              <w:pStyle w:val="63"/>
            </w:pPr>
            <w:r>
              <w:t>危险废物暂存于危险废物暂存间，地面进行防渗，符合GB18597的规定</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continue"/>
            <w:shd w:val="clear" w:color="auto" w:fill="auto"/>
            <w:vAlign w:val="center"/>
          </w:tcPr>
          <w:p>
            <w:pPr>
              <w:pStyle w:val="63"/>
            </w:pPr>
          </w:p>
        </w:tc>
        <w:tc>
          <w:tcPr>
            <w:tcW w:w="567" w:type="pct"/>
            <w:vMerge w:val="continue"/>
            <w:shd w:val="clear" w:color="auto" w:fill="auto"/>
            <w:vAlign w:val="center"/>
          </w:tcPr>
          <w:p>
            <w:pPr>
              <w:pStyle w:val="63"/>
            </w:pPr>
          </w:p>
        </w:tc>
        <w:tc>
          <w:tcPr>
            <w:tcW w:w="2160" w:type="pct"/>
            <w:shd w:val="clear" w:color="auto" w:fill="auto"/>
            <w:vAlign w:val="center"/>
          </w:tcPr>
          <w:p>
            <w:pPr>
              <w:pStyle w:val="63"/>
            </w:pPr>
            <w:r>
              <w:t>露天贮存场地的地面应硬化、防渗漏，贮存场周边应设置导流设施</w:t>
            </w:r>
          </w:p>
        </w:tc>
        <w:tc>
          <w:tcPr>
            <w:tcW w:w="1580" w:type="pct"/>
            <w:shd w:val="clear" w:color="auto" w:fill="auto"/>
            <w:vAlign w:val="center"/>
          </w:tcPr>
          <w:p>
            <w:pPr>
              <w:pStyle w:val="63"/>
            </w:pPr>
            <w:r>
              <w:t>无露天贮存场地</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continue"/>
            <w:shd w:val="clear" w:color="auto" w:fill="auto"/>
            <w:vAlign w:val="center"/>
          </w:tcPr>
          <w:p>
            <w:pPr>
              <w:pStyle w:val="63"/>
            </w:pPr>
          </w:p>
        </w:tc>
        <w:tc>
          <w:tcPr>
            <w:tcW w:w="567" w:type="pct"/>
            <w:vMerge w:val="continue"/>
            <w:shd w:val="clear" w:color="auto" w:fill="auto"/>
            <w:vAlign w:val="center"/>
          </w:tcPr>
          <w:p>
            <w:pPr>
              <w:pStyle w:val="63"/>
            </w:pPr>
          </w:p>
        </w:tc>
        <w:tc>
          <w:tcPr>
            <w:tcW w:w="2160" w:type="pct"/>
            <w:shd w:val="clear" w:color="auto" w:fill="auto"/>
            <w:vAlign w:val="center"/>
          </w:tcPr>
          <w:p>
            <w:pPr>
              <w:pStyle w:val="63"/>
            </w:pPr>
            <w:r>
              <w:t>废弃电器电子产品贮存场地不得有明火或热源，并应采取适当的措施避免引起火灾</w:t>
            </w:r>
          </w:p>
        </w:tc>
        <w:tc>
          <w:tcPr>
            <w:tcW w:w="1580" w:type="pct"/>
            <w:shd w:val="clear" w:color="auto" w:fill="auto"/>
            <w:vAlign w:val="center"/>
          </w:tcPr>
          <w:p>
            <w:pPr>
              <w:pStyle w:val="63"/>
            </w:pPr>
            <w:r>
              <w:t>无明火或热源，采取防火措施</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continue"/>
            <w:shd w:val="clear" w:color="auto" w:fill="auto"/>
            <w:vAlign w:val="center"/>
          </w:tcPr>
          <w:p>
            <w:pPr>
              <w:pStyle w:val="63"/>
            </w:pPr>
          </w:p>
        </w:tc>
        <w:tc>
          <w:tcPr>
            <w:tcW w:w="567" w:type="pct"/>
            <w:vMerge w:val="continue"/>
            <w:shd w:val="clear" w:color="auto" w:fill="auto"/>
            <w:vAlign w:val="center"/>
          </w:tcPr>
          <w:p>
            <w:pPr>
              <w:pStyle w:val="63"/>
            </w:pPr>
          </w:p>
        </w:tc>
        <w:tc>
          <w:tcPr>
            <w:tcW w:w="2160" w:type="pct"/>
            <w:shd w:val="clear" w:color="auto" w:fill="auto"/>
            <w:vAlign w:val="center"/>
          </w:tcPr>
          <w:p>
            <w:pPr>
              <w:pStyle w:val="63"/>
            </w:pPr>
            <w:r>
              <w:t>处理后的粉状物质应封装贮存</w:t>
            </w:r>
          </w:p>
        </w:tc>
        <w:tc>
          <w:tcPr>
            <w:tcW w:w="1580" w:type="pct"/>
            <w:shd w:val="clear" w:color="auto" w:fill="auto"/>
            <w:vAlign w:val="center"/>
          </w:tcPr>
          <w:p>
            <w:pPr>
              <w:pStyle w:val="63"/>
            </w:pPr>
            <w:r>
              <w:t>黑粉（正负极粉）封装贮存</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restart"/>
            <w:shd w:val="clear" w:color="auto" w:fill="auto"/>
            <w:vAlign w:val="center"/>
          </w:tcPr>
          <w:p>
            <w:pPr>
              <w:pStyle w:val="63"/>
            </w:pPr>
            <w:r>
              <w:t>4</w:t>
            </w:r>
          </w:p>
        </w:tc>
        <w:tc>
          <w:tcPr>
            <w:tcW w:w="567" w:type="pct"/>
            <w:vMerge w:val="restart"/>
            <w:shd w:val="clear" w:color="auto" w:fill="auto"/>
            <w:vAlign w:val="center"/>
          </w:tcPr>
          <w:p>
            <w:pPr>
              <w:pStyle w:val="63"/>
            </w:pPr>
            <w:r>
              <w:t>拆解污染控制技术要求一般规定</w:t>
            </w:r>
          </w:p>
        </w:tc>
        <w:tc>
          <w:tcPr>
            <w:tcW w:w="2160" w:type="pct"/>
            <w:shd w:val="clear" w:color="auto" w:fill="auto"/>
            <w:vAlign w:val="center"/>
          </w:tcPr>
          <w:p>
            <w:pPr>
              <w:pStyle w:val="63"/>
            </w:pPr>
            <w:r>
              <w:t>拆解设施应放置在混凝土地面上，该地面能防止地面水、雨水及油类混入或渗透。</w:t>
            </w:r>
          </w:p>
        </w:tc>
        <w:tc>
          <w:tcPr>
            <w:tcW w:w="1580" w:type="pct"/>
            <w:shd w:val="clear" w:color="auto" w:fill="auto"/>
            <w:vAlign w:val="center"/>
          </w:tcPr>
          <w:p>
            <w:pPr>
              <w:pStyle w:val="63"/>
            </w:pPr>
            <w:r>
              <w:t>项目厂房为混凝土地面，并做防渗处理。</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continue"/>
            <w:shd w:val="clear" w:color="auto" w:fill="auto"/>
            <w:vAlign w:val="center"/>
          </w:tcPr>
          <w:p>
            <w:pPr>
              <w:pStyle w:val="63"/>
            </w:pPr>
          </w:p>
        </w:tc>
        <w:tc>
          <w:tcPr>
            <w:tcW w:w="567" w:type="pct"/>
            <w:vMerge w:val="continue"/>
            <w:shd w:val="clear" w:color="auto" w:fill="auto"/>
            <w:vAlign w:val="center"/>
          </w:tcPr>
          <w:p>
            <w:pPr>
              <w:pStyle w:val="63"/>
            </w:pPr>
          </w:p>
        </w:tc>
        <w:tc>
          <w:tcPr>
            <w:tcW w:w="2160" w:type="pct"/>
            <w:shd w:val="clear" w:color="auto" w:fill="auto"/>
            <w:vAlign w:val="center"/>
          </w:tcPr>
          <w:p>
            <w:pPr>
              <w:pStyle w:val="63"/>
            </w:pPr>
            <w:r>
              <w:t>各种废弃电器电子产品应分类拆解</w:t>
            </w:r>
          </w:p>
        </w:tc>
        <w:tc>
          <w:tcPr>
            <w:tcW w:w="1580" w:type="pct"/>
            <w:shd w:val="clear" w:color="auto" w:fill="auto"/>
            <w:vAlign w:val="center"/>
          </w:tcPr>
          <w:p>
            <w:pPr>
              <w:pStyle w:val="63"/>
            </w:pPr>
            <w:r>
              <w:t>本项目只进行锂电池的拆解</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continue"/>
            <w:shd w:val="clear" w:color="auto" w:fill="auto"/>
            <w:vAlign w:val="center"/>
          </w:tcPr>
          <w:p>
            <w:pPr>
              <w:pStyle w:val="63"/>
            </w:pPr>
          </w:p>
        </w:tc>
        <w:tc>
          <w:tcPr>
            <w:tcW w:w="567" w:type="pct"/>
            <w:vMerge w:val="continue"/>
            <w:shd w:val="clear" w:color="auto" w:fill="auto"/>
            <w:vAlign w:val="center"/>
          </w:tcPr>
          <w:p>
            <w:pPr>
              <w:pStyle w:val="63"/>
            </w:pPr>
          </w:p>
        </w:tc>
        <w:tc>
          <w:tcPr>
            <w:tcW w:w="2160" w:type="pct"/>
            <w:shd w:val="clear" w:color="auto" w:fill="auto"/>
            <w:vAlign w:val="center"/>
          </w:tcPr>
          <w:p>
            <w:pPr>
              <w:pStyle w:val="63"/>
            </w:pPr>
            <w:r>
              <w:t>禁止丢弃预先取出的所有零（部）件、元（器）件及材料，应按规定进行处理或处置。</w:t>
            </w:r>
          </w:p>
        </w:tc>
        <w:tc>
          <w:tcPr>
            <w:tcW w:w="1580" w:type="pct"/>
            <w:shd w:val="clear" w:color="auto" w:fill="auto"/>
            <w:vAlign w:val="center"/>
          </w:tcPr>
          <w:p>
            <w:pPr>
              <w:pStyle w:val="63"/>
            </w:pPr>
            <w:r>
              <w:t>按照规定处理</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restart"/>
            <w:shd w:val="clear" w:color="auto" w:fill="auto"/>
            <w:vAlign w:val="center"/>
          </w:tcPr>
          <w:p>
            <w:pPr>
              <w:pStyle w:val="63"/>
            </w:pPr>
            <w:r>
              <w:t>5</w:t>
            </w:r>
          </w:p>
        </w:tc>
        <w:tc>
          <w:tcPr>
            <w:tcW w:w="567" w:type="pct"/>
            <w:vMerge w:val="restart"/>
            <w:shd w:val="clear" w:color="auto" w:fill="auto"/>
            <w:vAlign w:val="center"/>
          </w:tcPr>
          <w:p>
            <w:pPr>
              <w:pStyle w:val="63"/>
            </w:pPr>
            <w:r>
              <w:t>处理污染控制技术要求</w:t>
            </w:r>
          </w:p>
        </w:tc>
        <w:tc>
          <w:tcPr>
            <w:tcW w:w="2160" w:type="pct"/>
            <w:shd w:val="clear" w:color="auto" w:fill="auto"/>
            <w:vAlign w:val="center"/>
          </w:tcPr>
          <w:p>
            <w:pPr>
              <w:pStyle w:val="63"/>
            </w:pPr>
            <w:r>
              <w:t>处理废弃电器电子产品应在厂房内进行，处理设施应放置在能防止地面水、油类等液体渗透的混凝土地面上，且周围应有对油类、液体的截流、收集设施。</w:t>
            </w:r>
          </w:p>
        </w:tc>
        <w:tc>
          <w:tcPr>
            <w:tcW w:w="1580" w:type="pct"/>
            <w:shd w:val="clear" w:color="auto" w:fill="auto"/>
            <w:vAlign w:val="center"/>
          </w:tcPr>
          <w:p>
            <w:pPr>
              <w:pStyle w:val="63"/>
            </w:pPr>
            <w:r>
              <w:t>拆解在厂房内进行，厂房内采取防渗设施。</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continue"/>
            <w:shd w:val="clear" w:color="auto" w:fill="auto"/>
            <w:vAlign w:val="center"/>
          </w:tcPr>
          <w:p>
            <w:pPr>
              <w:pStyle w:val="63"/>
            </w:pPr>
          </w:p>
        </w:tc>
        <w:tc>
          <w:tcPr>
            <w:tcW w:w="567" w:type="pct"/>
            <w:vMerge w:val="continue"/>
            <w:shd w:val="clear" w:color="auto" w:fill="auto"/>
            <w:vAlign w:val="center"/>
          </w:tcPr>
          <w:p>
            <w:pPr>
              <w:pStyle w:val="63"/>
            </w:pPr>
          </w:p>
        </w:tc>
        <w:tc>
          <w:tcPr>
            <w:tcW w:w="2160" w:type="pct"/>
            <w:shd w:val="clear" w:color="auto" w:fill="auto"/>
            <w:vAlign w:val="center"/>
          </w:tcPr>
          <w:p>
            <w:pPr>
              <w:pStyle w:val="63"/>
            </w:pPr>
            <w:r>
              <w:t>废弃电器电子产品处理企业应具备相应的环保设施，包括：废水处理、废气处理、粉尘处理、防止或降低噪声等装置，各项污染物排放应符合国家或地方污染物排放标准有关规定。</w:t>
            </w:r>
          </w:p>
        </w:tc>
        <w:tc>
          <w:tcPr>
            <w:tcW w:w="1580" w:type="pct"/>
            <w:shd w:val="clear" w:color="auto" w:fill="auto"/>
            <w:vAlign w:val="center"/>
          </w:tcPr>
          <w:p>
            <w:pPr>
              <w:pStyle w:val="63"/>
            </w:pPr>
            <w:r>
              <w:t>设置有废水处理、废气处理、粉尘处理、防止或降低噪声等装置，并能实现达标排放。</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continue"/>
            <w:shd w:val="clear" w:color="auto" w:fill="auto"/>
            <w:vAlign w:val="center"/>
          </w:tcPr>
          <w:p>
            <w:pPr>
              <w:pStyle w:val="63"/>
            </w:pPr>
          </w:p>
        </w:tc>
        <w:tc>
          <w:tcPr>
            <w:tcW w:w="567" w:type="pct"/>
            <w:vMerge w:val="continue"/>
            <w:shd w:val="clear" w:color="auto" w:fill="auto"/>
            <w:vAlign w:val="center"/>
          </w:tcPr>
          <w:p>
            <w:pPr>
              <w:pStyle w:val="63"/>
            </w:pPr>
          </w:p>
        </w:tc>
        <w:tc>
          <w:tcPr>
            <w:tcW w:w="2160" w:type="pct"/>
            <w:shd w:val="clear" w:color="auto" w:fill="auto"/>
            <w:vAlign w:val="center"/>
          </w:tcPr>
          <w:p>
            <w:pPr>
              <w:pStyle w:val="63"/>
            </w:pPr>
            <w:r>
              <w:t>采用物理粉碎分选方法处理废弃电器电子产品应设置除尘装置，并采取降低噪声措施。</w:t>
            </w:r>
          </w:p>
        </w:tc>
        <w:tc>
          <w:tcPr>
            <w:tcW w:w="1580" w:type="pct"/>
            <w:shd w:val="clear" w:color="auto" w:fill="auto"/>
            <w:vAlign w:val="center"/>
          </w:tcPr>
          <w:p>
            <w:pPr>
              <w:pStyle w:val="63"/>
            </w:pPr>
            <w:r>
              <w:t>项目设置了布袋除尘装置，并采取降噪措施。</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continue"/>
            <w:shd w:val="clear" w:color="auto" w:fill="auto"/>
            <w:vAlign w:val="center"/>
          </w:tcPr>
          <w:p>
            <w:pPr>
              <w:pStyle w:val="63"/>
            </w:pPr>
          </w:p>
        </w:tc>
        <w:tc>
          <w:tcPr>
            <w:tcW w:w="567" w:type="pct"/>
            <w:vMerge w:val="continue"/>
            <w:shd w:val="clear" w:color="auto" w:fill="auto"/>
            <w:vAlign w:val="center"/>
          </w:tcPr>
          <w:p>
            <w:pPr>
              <w:pStyle w:val="63"/>
            </w:pPr>
          </w:p>
        </w:tc>
        <w:tc>
          <w:tcPr>
            <w:tcW w:w="2160" w:type="pct"/>
            <w:shd w:val="clear" w:color="auto" w:fill="auto"/>
            <w:vAlign w:val="center"/>
          </w:tcPr>
          <w:p>
            <w:pPr>
              <w:pStyle w:val="63"/>
            </w:pPr>
            <w:r>
              <w:t>采用化学方法处理废弃电器电子产品应设置废气处理系统、化学药液回收装置和废水处理系统。</w:t>
            </w:r>
          </w:p>
        </w:tc>
        <w:tc>
          <w:tcPr>
            <w:tcW w:w="1580" w:type="pct"/>
            <w:shd w:val="clear" w:color="auto" w:fill="auto"/>
            <w:vAlign w:val="center"/>
          </w:tcPr>
          <w:p>
            <w:pPr>
              <w:pStyle w:val="63"/>
            </w:pPr>
            <w:r>
              <w:t>本项目设置废气处理系统、废水处理系统。</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vMerge w:val="continue"/>
            <w:shd w:val="clear" w:color="auto" w:fill="auto"/>
            <w:vAlign w:val="center"/>
          </w:tcPr>
          <w:p>
            <w:pPr>
              <w:pStyle w:val="63"/>
            </w:pPr>
          </w:p>
        </w:tc>
        <w:tc>
          <w:tcPr>
            <w:tcW w:w="567" w:type="pct"/>
            <w:vMerge w:val="continue"/>
            <w:shd w:val="clear" w:color="auto" w:fill="auto"/>
            <w:vAlign w:val="center"/>
          </w:tcPr>
          <w:p>
            <w:pPr>
              <w:pStyle w:val="63"/>
            </w:pPr>
          </w:p>
        </w:tc>
        <w:tc>
          <w:tcPr>
            <w:tcW w:w="2160" w:type="pct"/>
            <w:shd w:val="clear" w:color="auto" w:fill="auto"/>
            <w:vAlign w:val="center"/>
          </w:tcPr>
          <w:p>
            <w:pPr>
              <w:pStyle w:val="63"/>
            </w:pPr>
            <w:r>
              <w:t>对废弃电器电子产品处理中产生的本企业不能处理的固体废物，应交给有相关资质的企业进行回收利用或处置。</w:t>
            </w:r>
          </w:p>
        </w:tc>
        <w:tc>
          <w:tcPr>
            <w:tcW w:w="1580" w:type="pct"/>
            <w:shd w:val="clear" w:color="auto" w:fill="auto"/>
            <w:vAlign w:val="center"/>
          </w:tcPr>
          <w:p>
            <w:pPr>
              <w:pStyle w:val="63"/>
            </w:pPr>
            <w:r>
              <w:t>交给有相关资质的企业进行回收利用或处置。</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8" w:type="pct"/>
            <w:shd w:val="clear" w:color="auto" w:fill="auto"/>
            <w:vAlign w:val="center"/>
          </w:tcPr>
          <w:p>
            <w:pPr>
              <w:pStyle w:val="63"/>
            </w:pPr>
            <w:r>
              <w:t>6</w:t>
            </w:r>
          </w:p>
        </w:tc>
        <w:tc>
          <w:tcPr>
            <w:tcW w:w="567" w:type="pct"/>
            <w:shd w:val="clear" w:color="auto" w:fill="auto"/>
            <w:vAlign w:val="center"/>
          </w:tcPr>
          <w:p>
            <w:pPr>
              <w:pStyle w:val="63"/>
            </w:pPr>
            <w:r>
              <w:t>待处置废物污染控制技术要求</w:t>
            </w:r>
          </w:p>
        </w:tc>
        <w:tc>
          <w:tcPr>
            <w:tcW w:w="2160" w:type="pct"/>
            <w:shd w:val="clear" w:color="auto" w:fill="auto"/>
            <w:vAlign w:val="center"/>
          </w:tcPr>
          <w:p>
            <w:pPr>
              <w:pStyle w:val="63"/>
            </w:pPr>
            <w:r>
              <w:t>对附录B要求取出的、不能再生利用的物质及处理过程中产生的不能利用的粉尘、废液、污泥和废渣等应分别处置。</w:t>
            </w:r>
          </w:p>
        </w:tc>
        <w:tc>
          <w:tcPr>
            <w:tcW w:w="1580" w:type="pct"/>
            <w:shd w:val="clear" w:color="auto" w:fill="auto"/>
            <w:vAlign w:val="center"/>
          </w:tcPr>
          <w:p>
            <w:pPr>
              <w:pStyle w:val="63"/>
            </w:pPr>
            <w:r>
              <w:t>分别处置，不能处置的交由相关资质单位进行处理</w:t>
            </w:r>
          </w:p>
        </w:tc>
        <w:tc>
          <w:tcPr>
            <w:tcW w:w="365" w:type="pct"/>
            <w:shd w:val="clear" w:color="auto" w:fill="auto"/>
            <w:vAlign w:val="center"/>
          </w:tcPr>
          <w:p>
            <w:pPr>
              <w:pStyle w:val="63"/>
            </w:pPr>
            <w:r>
              <w:t>符合</w:t>
            </w:r>
          </w:p>
        </w:tc>
      </w:tr>
    </w:tbl>
    <w:p>
      <w:pPr>
        <w:spacing w:line="360" w:lineRule="auto"/>
        <w:ind w:firstLine="480" w:firstLineChars="200"/>
        <w:rPr>
          <w:rFonts w:ascii="Times New Roman" w:hAnsi="Times New Roman" w:cs="Times New Roman"/>
        </w:rPr>
      </w:pPr>
      <w:r>
        <w:rPr>
          <w:rFonts w:ascii="Times New Roman" w:hAnsi="Times New Roman" w:cs="Times New Roman"/>
        </w:rPr>
        <w:t>根据上表可知，本项目与《废弃电器电子产品处理污染控制技术规范》（HJ527-2010）的相关要求相符。</w:t>
      </w:r>
    </w:p>
    <w:p>
      <w:pPr>
        <w:pStyle w:val="4"/>
        <w:rPr>
          <w:rFonts w:ascii="Times New Roman" w:hAnsi="Times New Roman" w:cs="Times New Roman"/>
        </w:rPr>
      </w:pPr>
      <w:bookmarkStart w:id="662" w:name="_Toc147848145"/>
      <w:bookmarkStart w:id="663" w:name="_Toc144277027"/>
      <w:bookmarkStart w:id="664" w:name="_Toc144236897"/>
      <w:r>
        <w:rPr>
          <w:rFonts w:ascii="Times New Roman" w:hAnsi="Times New Roman" w:cs="Times New Roman"/>
        </w:rPr>
        <w:t>11.3.3与电子废物污染环境防治管理办法的相符性分析</w:t>
      </w:r>
      <w:bookmarkEnd w:id="662"/>
      <w:bookmarkEnd w:id="663"/>
      <w:bookmarkEnd w:id="664"/>
    </w:p>
    <w:p>
      <w:pPr>
        <w:spacing w:line="360" w:lineRule="auto"/>
        <w:ind w:firstLine="480" w:firstLineChars="200"/>
        <w:rPr>
          <w:rFonts w:ascii="Times New Roman" w:hAnsi="Times New Roman" w:cs="Times New Roman"/>
        </w:rPr>
      </w:pPr>
      <w:r>
        <w:rPr>
          <w:rFonts w:ascii="Times New Roman" w:hAnsi="Times New Roman" w:cs="Times New Roman"/>
        </w:rPr>
        <w:t>本项目所采用的综合利用工艺与《电子废物污染环境防治管理办法》比较情况如下表所示。</w:t>
      </w:r>
    </w:p>
    <w:p>
      <w:pPr>
        <w:pStyle w:val="6"/>
        <w:rPr>
          <w:rFonts w:ascii="Times New Roman" w:hAnsi="Times New Roman" w:cs="Times New Roman"/>
        </w:rPr>
      </w:pPr>
      <w:r>
        <w:rPr>
          <w:rFonts w:ascii="Times New Roman" w:hAnsi="Times New Roman" w:cs="Times New Roman"/>
        </w:rPr>
        <w:t>表11.3-3 与电子废物污染环境防治管理办法的相符性分析</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76"/>
        <w:gridCol w:w="3685"/>
        <w:gridCol w:w="3545"/>
        <w:gridCol w:w="6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shd w:val="clear" w:color="auto" w:fill="auto"/>
            <w:vAlign w:val="center"/>
          </w:tcPr>
          <w:p>
            <w:pPr>
              <w:pStyle w:val="63"/>
            </w:pPr>
            <w:r>
              <w:t>序号</w:t>
            </w:r>
          </w:p>
        </w:tc>
        <w:tc>
          <w:tcPr>
            <w:tcW w:w="2160" w:type="pct"/>
            <w:shd w:val="clear" w:color="auto" w:fill="auto"/>
            <w:vAlign w:val="center"/>
          </w:tcPr>
          <w:p>
            <w:pPr>
              <w:pStyle w:val="63"/>
            </w:pPr>
            <w:r>
              <w:t>管理办法要求</w:t>
            </w:r>
          </w:p>
        </w:tc>
        <w:tc>
          <w:tcPr>
            <w:tcW w:w="2078" w:type="pct"/>
            <w:shd w:val="clear" w:color="auto" w:fill="auto"/>
            <w:vAlign w:val="center"/>
          </w:tcPr>
          <w:p>
            <w:pPr>
              <w:pStyle w:val="63"/>
            </w:pPr>
            <w:r>
              <w:t>本项目实际情况</w:t>
            </w:r>
          </w:p>
        </w:tc>
        <w:tc>
          <w:tcPr>
            <w:tcW w:w="365" w:type="pct"/>
            <w:shd w:val="clear" w:color="auto" w:fill="auto"/>
            <w:vAlign w:val="center"/>
          </w:tcPr>
          <w:p>
            <w:pPr>
              <w:pStyle w:val="63"/>
            </w:pPr>
            <w:r>
              <w:t>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shd w:val="clear" w:color="auto" w:fill="auto"/>
            <w:vAlign w:val="center"/>
          </w:tcPr>
          <w:p>
            <w:pPr>
              <w:pStyle w:val="63"/>
            </w:pPr>
            <w:r>
              <w:t>1</w:t>
            </w:r>
          </w:p>
        </w:tc>
        <w:tc>
          <w:tcPr>
            <w:tcW w:w="2160" w:type="pct"/>
            <w:shd w:val="clear" w:color="auto" w:fill="auto"/>
            <w:vAlign w:val="center"/>
          </w:tcPr>
          <w:p>
            <w:pPr>
              <w:pStyle w:val="63"/>
            </w:pPr>
            <w:r>
              <w:t>建设电子废物集中拆解利用处置区的，应该严格规划，符合国家环境保护总局制定的有关技术规范的要求。</w:t>
            </w:r>
          </w:p>
        </w:tc>
        <w:tc>
          <w:tcPr>
            <w:tcW w:w="2078" w:type="pct"/>
            <w:shd w:val="clear" w:color="auto" w:fill="auto"/>
            <w:vAlign w:val="center"/>
          </w:tcPr>
          <w:p>
            <w:pPr>
              <w:pStyle w:val="63"/>
            </w:pPr>
            <w:r>
              <w:t>项目建设严格按照《废弃电器电子产品处理污染控制技术规范》所规定的要求实施建设。</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shd w:val="clear" w:color="auto" w:fill="auto"/>
            <w:vAlign w:val="center"/>
          </w:tcPr>
          <w:p>
            <w:pPr>
              <w:pStyle w:val="63"/>
            </w:pPr>
            <w:r>
              <w:t>2</w:t>
            </w:r>
          </w:p>
        </w:tc>
        <w:tc>
          <w:tcPr>
            <w:tcW w:w="2160" w:type="pct"/>
            <w:shd w:val="clear" w:color="auto" w:fill="auto"/>
            <w:vAlign w:val="center"/>
          </w:tcPr>
          <w:p>
            <w:pPr>
              <w:pStyle w:val="63"/>
            </w:pPr>
            <w:r>
              <w:t>从事拆解、利用、处置电子废物活动的单位（包括个体工商户）应当按照电子废物经营情况记录薄制度的规定，如实记载每批电子废物的来源、类型、重量或者数量，收集（接收）、拆解、利用、贮存、处置的时间；运输者的名称和地址；未完全拆解、利用或者处置的电子废物以及固体废物或液态废物的种类、重量或者数量及去向等。监测报告及经营情况记录薄应当保存三年。</w:t>
            </w:r>
          </w:p>
        </w:tc>
        <w:tc>
          <w:tcPr>
            <w:tcW w:w="2078" w:type="pct"/>
            <w:shd w:val="clear" w:color="auto" w:fill="auto"/>
            <w:vAlign w:val="center"/>
          </w:tcPr>
          <w:p>
            <w:pPr>
              <w:pStyle w:val="63"/>
            </w:pPr>
            <w:r>
              <w:t>企业严格按照《废弃电器电子产品处理污染控制技术规范》中管理要求进行记录、登记和备案。建立废弃电器电子产品处理的数据信息管理系统，并配合主管部门监督检查。</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shd w:val="clear" w:color="auto" w:fill="auto"/>
            <w:vAlign w:val="center"/>
          </w:tcPr>
          <w:p>
            <w:pPr>
              <w:pStyle w:val="63"/>
            </w:pPr>
            <w:r>
              <w:t>3</w:t>
            </w:r>
          </w:p>
        </w:tc>
        <w:tc>
          <w:tcPr>
            <w:tcW w:w="2160" w:type="pct"/>
            <w:shd w:val="clear" w:color="auto" w:fill="auto"/>
            <w:vAlign w:val="center"/>
          </w:tcPr>
          <w:p>
            <w:pPr>
              <w:pStyle w:val="63"/>
            </w:pPr>
            <w:r>
              <w:t>拆解、利用和处置电子废物，应当符合国家环境保护总局制定的有关电子废物污染防治的相关标准、技术规范和技术政策的要求。</w:t>
            </w:r>
          </w:p>
        </w:tc>
        <w:tc>
          <w:tcPr>
            <w:tcW w:w="2078" w:type="pct"/>
            <w:shd w:val="clear" w:color="auto" w:fill="auto"/>
            <w:vAlign w:val="center"/>
          </w:tcPr>
          <w:p>
            <w:pPr>
              <w:pStyle w:val="63"/>
            </w:pPr>
            <w:r>
              <w:t>项目建设及污染物排放符合《废弃电器电子产品处理污染控制技术规范》中的规范和相关环境、质量标准和要求。</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shd w:val="clear" w:color="auto" w:fill="auto"/>
            <w:vAlign w:val="center"/>
          </w:tcPr>
          <w:p>
            <w:pPr>
              <w:pStyle w:val="63"/>
            </w:pPr>
            <w:r>
              <w:t>4</w:t>
            </w:r>
          </w:p>
        </w:tc>
        <w:tc>
          <w:tcPr>
            <w:tcW w:w="2160" w:type="pct"/>
            <w:shd w:val="clear" w:color="auto" w:fill="auto"/>
            <w:vAlign w:val="center"/>
          </w:tcPr>
          <w:p>
            <w:pPr>
              <w:pStyle w:val="63"/>
            </w:pPr>
            <w:r>
              <w:t>禁止使用落后的技术、工艺和设备拆解、利用和处置电子废物。禁止露天焚烧电子废物；禁止使用冲天炉、简易反射炉等设备和简易酸浸工艺利用、处置电子废物；禁止以直接填埋的方式处置电子废物。</w:t>
            </w:r>
          </w:p>
        </w:tc>
        <w:tc>
          <w:tcPr>
            <w:tcW w:w="2078" w:type="pct"/>
            <w:shd w:val="clear" w:color="auto" w:fill="auto"/>
            <w:vAlign w:val="center"/>
          </w:tcPr>
          <w:p>
            <w:pPr>
              <w:pStyle w:val="63"/>
            </w:pPr>
            <w:r>
              <w:t>本项目未使用落后的技术、工艺和设备拆解、利用和处置电子废物。不涉及露天焚烧、填埋技术，不涉冲天炉、简易反射炉等设备和简易酸浸工艺。</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shd w:val="clear" w:color="auto" w:fill="auto"/>
            <w:vAlign w:val="center"/>
          </w:tcPr>
          <w:p>
            <w:pPr>
              <w:pStyle w:val="63"/>
            </w:pPr>
            <w:r>
              <w:t>5</w:t>
            </w:r>
          </w:p>
        </w:tc>
        <w:tc>
          <w:tcPr>
            <w:tcW w:w="2160" w:type="pct"/>
            <w:shd w:val="clear" w:color="auto" w:fill="auto"/>
            <w:vAlign w:val="center"/>
          </w:tcPr>
          <w:p>
            <w:pPr>
              <w:pStyle w:val="63"/>
            </w:pPr>
            <w:r>
              <w:t>拆解、利用、处置电子废物应当在专门作业场所进行。作业场所应当采取防雨、防地面渗漏的措施，并有收集泄漏液体的设施。</w:t>
            </w:r>
          </w:p>
        </w:tc>
        <w:tc>
          <w:tcPr>
            <w:tcW w:w="2078" w:type="pct"/>
            <w:shd w:val="clear" w:color="auto" w:fill="auto"/>
            <w:vAlign w:val="center"/>
          </w:tcPr>
          <w:p>
            <w:pPr>
              <w:pStyle w:val="63"/>
            </w:pPr>
            <w:r>
              <w:t>项目拆解电子废物在生产车间内进行，生产车间为</w:t>
            </w:r>
            <w:r>
              <w:rPr>
                <w:rFonts w:hint="eastAsia"/>
                <w:lang w:eastAsia="zh-CN"/>
              </w:rPr>
              <w:t>混凝土浇筑</w:t>
            </w:r>
            <w:r>
              <w:t>地面防渗，采取防雨措施，并有收集泄漏液体的设施。</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shd w:val="clear" w:color="auto" w:fill="auto"/>
            <w:vAlign w:val="center"/>
          </w:tcPr>
          <w:p>
            <w:pPr>
              <w:pStyle w:val="63"/>
            </w:pPr>
            <w:r>
              <w:t>6</w:t>
            </w:r>
          </w:p>
        </w:tc>
        <w:tc>
          <w:tcPr>
            <w:tcW w:w="2160" w:type="pct"/>
            <w:shd w:val="clear" w:color="auto" w:fill="auto"/>
            <w:vAlign w:val="center"/>
          </w:tcPr>
          <w:p>
            <w:pPr>
              <w:pStyle w:val="63"/>
            </w:pPr>
            <w:r>
              <w:t>拆解电子废物，应当首先将铅酸电池、镉镍电池、汞开关、阴极射线管、多氯联苯电容器、制冷剂等去除并分类收集、贮存、利用、处置。</w:t>
            </w:r>
          </w:p>
        </w:tc>
        <w:tc>
          <w:tcPr>
            <w:tcW w:w="2078" w:type="pct"/>
            <w:shd w:val="clear" w:color="auto" w:fill="auto"/>
            <w:vAlign w:val="center"/>
          </w:tcPr>
          <w:p>
            <w:pPr>
              <w:pStyle w:val="63"/>
            </w:pPr>
            <w:r>
              <w:t>本项目主要利用锂电池，不涉及铅酸电池、镉镍电池、汞开关、阴极射线管、多氯联苯电容器、制冷剂等。</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shd w:val="clear" w:color="auto" w:fill="auto"/>
            <w:vAlign w:val="center"/>
          </w:tcPr>
          <w:p>
            <w:pPr>
              <w:pStyle w:val="63"/>
            </w:pPr>
            <w:r>
              <w:t>7</w:t>
            </w:r>
          </w:p>
        </w:tc>
        <w:tc>
          <w:tcPr>
            <w:tcW w:w="2160" w:type="pct"/>
            <w:shd w:val="clear" w:color="auto" w:fill="auto"/>
            <w:vAlign w:val="center"/>
          </w:tcPr>
          <w:p>
            <w:pPr>
              <w:pStyle w:val="63"/>
            </w:pPr>
            <w:r>
              <w:t>贮存电子废物，应当采取防止因破碎或者其他原因导致电子废物中有毒有害物质泄漏的措施。</w:t>
            </w:r>
          </w:p>
        </w:tc>
        <w:tc>
          <w:tcPr>
            <w:tcW w:w="2078" w:type="pct"/>
            <w:shd w:val="clear" w:color="auto" w:fill="auto"/>
            <w:vAlign w:val="center"/>
          </w:tcPr>
          <w:p>
            <w:pPr>
              <w:pStyle w:val="63"/>
            </w:pPr>
            <w:r>
              <w:t>项目生产车间为</w:t>
            </w:r>
            <w:r>
              <w:rPr>
                <w:rFonts w:hint="eastAsia"/>
                <w:lang w:eastAsia="zh-CN"/>
              </w:rPr>
              <w:t>混凝土浇筑</w:t>
            </w:r>
            <w:r>
              <w:t>地面，电子废物和拆解产物采用专用容器存放，可防止因破碎或者其他原因导致电子废物中有毒有害物质泄漏。</w:t>
            </w:r>
          </w:p>
        </w:tc>
        <w:tc>
          <w:tcPr>
            <w:tcW w:w="365" w:type="pct"/>
            <w:shd w:val="clear" w:color="auto" w:fill="auto"/>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shd w:val="clear" w:color="auto" w:fill="auto"/>
            <w:vAlign w:val="center"/>
          </w:tcPr>
          <w:p>
            <w:pPr>
              <w:pStyle w:val="63"/>
            </w:pPr>
            <w:r>
              <w:t>8</w:t>
            </w:r>
          </w:p>
        </w:tc>
        <w:tc>
          <w:tcPr>
            <w:tcW w:w="2160" w:type="pct"/>
            <w:shd w:val="clear" w:color="auto" w:fill="auto"/>
            <w:vAlign w:val="center"/>
          </w:tcPr>
          <w:p>
            <w:pPr>
              <w:pStyle w:val="63"/>
            </w:pPr>
            <w:r>
              <w:t>电子废物贮存期限不得超过一年。</w:t>
            </w:r>
          </w:p>
        </w:tc>
        <w:tc>
          <w:tcPr>
            <w:tcW w:w="2078" w:type="pct"/>
            <w:shd w:val="clear" w:color="auto" w:fill="auto"/>
            <w:vAlign w:val="center"/>
          </w:tcPr>
          <w:p>
            <w:pPr>
              <w:pStyle w:val="63"/>
            </w:pPr>
            <w:r>
              <w:t>项目回收废旧电池贮存期限不超过一年。</w:t>
            </w:r>
          </w:p>
        </w:tc>
        <w:tc>
          <w:tcPr>
            <w:tcW w:w="365" w:type="pct"/>
            <w:shd w:val="clear" w:color="auto" w:fill="auto"/>
            <w:vAlign w:val="center"/>
          </w:tcPr>
          <w:p>
            <w:pPr>
              <w:pStyle w:val="63"/>
            </w:pPr>
            <w:r>
              <w:t>符合</w:t>
            </w:r>
          </w:p>
        </w:tc>
      </w:tr>
    </w:tbl>
    <w:p>
      <w:pPr>
        <w:spacing w:line="360" w:lineRule="auto"/>
        <w:ind w:firstLine="480" w:firstLineChars="200"/>
        <w:rPr>
          <w:rFonts w:ascii="Times New Roman" w:hAnsi="Times New Roman" w:cs="Times New Roman"/>
        </w:rPr>
      </w:pPr>
      <w:r>
        <w:rPr>
          <w:rFonts w:ascii="Times New Roman" w:hAnsi="Times New Roman" w:cs="Times New Roman"/>
        </w:rPr>
        <w:t>根据上表可知，本项目与《电子废物污染环境防治管理办法》（HJ527-2010）的相关要求相符。</w:t>
      </w:r>
    </w:p>
    <w:p>
      <w:pPr>
        <w:pStyle w:val="4"/>
        <w:rPr>
          <w:rFonts w:ascii="Times New Roman" w:hAnsi="Times New Roman" w:cs="Times New Roman"/>
        </w:rPr>
      </w:pPr>
      <w:bookmarkStart w:id="665" w:name="_Toc144236898"/>
      <w:bookmarkStart w:id="666" w:name="_Toc144277028"/>
      <w:bookmarkStart w:id="667" w:name="_Toc147848146"/>
      <w:r>
        <w:rPr>
          <w:rFonts w:ascii="Times New Roman" w:hAnsi="Times New Roman" w:cs="Times New Roman"/>
        </w:rPr>
        <w:t>11.3.4与《废旧电池破碎分选回收技术规范》（YS/T1174-2017）相符性分析</w:t>
      </w:r>
      <w:bookmarkEnd w:id="665"/>
      <w:bookmarkEnd w:id="666"/>
      <w:bookmarkEnd w:id="667"/>
    </w:p>
    <w:p>
      <w:pPr>
        <w:spacing w:line="360" w:lineRule="auto"/>
        <w:ind w:firstLine="480" w:firstLineChars="200"/>
        <w:rPr>
          <w:rFonts w:ascii="Times New Roman" w:hAnsi="Times New Roman" w:cs="Times New Roman"/>
        </w:rPr>
      </w:pPr>
      <w:r>
        <w:rPr>
          <w:rFonts w:ascii="Times New Roman" w:hAnsi="Times New Roman" w:cs="Times New Roman"/>
        </w:rPr>
        <w:t>本项目所采用的综合利用工艺与《废旧电池破碎分选回收技术规范》（YS/T 1174-2017）比较情况如下表所示。</w:t>
      </w:r>
    </w:p>
    <w:p>
      <w:pPr>
        <w:pStyle w:val="6"/>
        <w:rPr>
          <w:rFonts w:ascii="Times New Roman" w:hAnsi="Times New Roman" w:cs="Times New Roman"/>
        </w:rPr>
      </w:pPr>
      <w:r>
        <w:rPr>
          <w:rFonts w:ascii="Times New Roman" w:hAnsi="Times New Roman" w:cs="Times New Roman"/>
        </w:rPr>
        <w:t>表 11.3-4</w:t>
      </w:r>
      <w:r>
        <w:rPr>
          <w:rFonts w:ascii="Times New Roman" w:hAnsi="Times New Roman" w:cs="Times New Roman"/>
        </w:rPr>
        <w:tab/>
      </w:r>
      <w:r>
        <w:rPr>
          <w:rFonts w:ascii="Times New Roman" w:hAnsi="Times New Roman" w:cs="Times New Roman"/>
        </w:rPr>
        <w:t>与《废旧电池破碎分选回收技术规范》相符性分析一览表</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77"/>
        <w:gridCol w:w="4070"/>
        <w:gridCol w:w="3217"/>
        <w:gridCol w:w="57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86" w:type="pct"/>
            <w:shd w:val="clear" w:color="auto" w:fill="auto"/>
            <w:vAlign w:val="center"/>
          </w:tcPr>
          <w:p>
            <w:pPr>
              <w:pStyle w:val="63"/>
            </w:pPr>
            <w:r>
              <w:t>序号</w:t>
            </w:r>
          </w:p>
        </w:tc>
        <w:tc>
          <w:tcPr>
            <w:tcW w:w="2439" w:type="pct"/>
            <w:shd w:val="clear" w:color="auto" w:fill="auto"/>
            <w:vAlign w:val="center"/>
          </w:tcPr>
          <w:p>
            <w:pPr>
              <w:pStyle w:val="63"/>
            </w:pPr>
            <w:r>
              <w:t>相关要求</w:t>
            </w:r>
          </w:p>
        </w:tc>
        <w:tc>
          <w:tcPr>
            <w:tcW w:w="1928" w:type="pct"/>
            <w:shd w:val="clear" w:color="auto" w:fill="auto"/>
            <w:vAlign w:val="center"/>
          </w:tcPr>
          <w:p>
            <w:pPr>
              <w:pStyle w:val="63"/>
            </w:pPr>
            <w:r>
              <w:t>符合性分析</w:t>
            </w:r>
          </w:p>
        </w:tc>
        <w:tc>
          <w:tcPr>
            <w:tcW w:w="347" w:type="pct"/>
            <w:shd w:val="clear" w:color="auto" w:fill="auto"/>
            <w:vAlign w:val="center"/>
          </w:tcPr>
          <w:p>
            <w:pPr>
              <w:pStyle w:val="63"/>
            </w:pPr>
            <w:r>
              <w:t>相符性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86" w:type="pct"/>
            <w:shd w:val="clear" w:color="auto" w:fill="auto"/>
            <w:vAlign w:val="center"/>
          </w:tcPr>
          <w:p>
            <w:pPr>
              <w:pStyle w:val="63"/>
            </w:pPr>
            <w:r>
              <w:t>1</w:t>
            </w:r>
          </w:p>
        </w:tc>
        <w:tc>
          <w:tcPr>
            <w:tcW w:w="2439" w:type="pct"/>
            <w:shd w:val="clear" w:color="auto" w:fill="auto"/>
            <w:vAlign w:val="center"/>
          </w:tcPr>
          <w:p>
            <w:pPr>
              <w:pStyle w:val="63"/>
            </w:pPr>
            <w:r>
              <w:t>废旧电池的破碎分选应按照放电、热解、破碎、分选的作业流程。</w:t>
            </w:r>
          </w:p>
        </w:tc>
        <w:tc>
          <w:tcPr>
            <w:tcW w:w="1928" w:type="pct"/>
            <w:shd w:val="clear" w:color="auto" w:fill="auto"/>
            <w:vAlign w:val="center"/>
          </w:tcPr>
          <w:p>
            <w:pPr>
              <w:pStyle w:val="63"/>
            </w:pPr>
            <w:r>
              <w:t>本项目原料前端企业已进行了分类，企业收集能够梯次利用的废旧的电池进行梯次利用，预处理工序包含充放电、拆解、破碎、热解、分选。</w:t>
            </w:r>
          </w:p>
        </w:tc>
        <w:tc>
          <w:tcPr>
            <w:tcW w:w="347"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86" w:type="pct"/>
            <w:shd w:val="clear" w:color="auto" w:fill="auto"/>
            <w:vAlign w:val="center"/>
          </w:tcPr>
          <w:p>
            <w:pPr>
              <w:pStyle w:val="63"/>
            </w:pPr>
            <w:r>
              <w:t>2</w:t>
            </w:r>
          </w:p>
        </w:tc>
        <w:tc>
          <w:tcPr>
            <w:tcW w:w="2439" w:type="pct"/>
            <w:shd w:val="clear" w:color="auto" w:fill="auto"/>
            <w:vAlign w:val="center"/>
          </w:tcPr>
          <w:p>
            <w:pPr>
              <w:pStyle w:val="63"/>
            </w:pPr>
            <w:r>
              <w:t>破碎：废旧电池宜采用干法进行破碎、破碎前应进行放电、热解处理；废旧小型电池宜直接破碎，废旧动力蓄电池和蓄电池模块应拆解为单体后根据类型进行破碎，软包单体电池和圆柱形单体电池宜直接破碎，矩形单体电池应拆解为电芯后再破碎；应采用粗破、细破方式进行逐级破碎，破碎粒径应不大于 2cm。</w:t>
            </w:r>
          </w:p>
        </w:tc>
        <w:tc>
          <w:tcPr>
            <w:tcW w:w="1928" w:type="pct"/>
            <w:shd w:val="clear" w:color="auto" w:fill="auto"/>
            <w:vAlign w:val="center"/>
          </w:tcPr>
          <w:p>
            <w:pPr>
              <w:pStyle w:val="63"/>
            </w:pPr>
            <w:r>
              <w:t>本项目采用干法破碎，本项目收集的锂电池已在前端企业进行分类收集，破碎前采取放电处理，本项目收集废旧电池包在厂区内进行拆分为电池模块，进一步拆解为电池单体后根据类型进行破碎。</w:t>
            </w:r>
          </w:p>
        </w:tc>
        <w:tc>
          <w:tcPr>
            <w:tcW w:w="347"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86" w:type="pct"/>
            <w:shd w:val="clear" w:color="auto" w:fill="auto"/>
            <w:vAlign w:val="center"/>
          </w:tcPr>
          <w:p>
            <w:pPr>
              <w:pStyle w:val="63"/>
            </w:pPr>
            <w:r>
              <w:t>3</w:t>
            </w:r>
          </w:p>
        </w:tc>
        <w:tc>
          <w:tcPr>
            <w:tcW w:w="2439" w:type="pct"/>
            <w:shd w:val="clear" w:color="auto" w:fill="auto"/>
            <w:vAlign w:val="center"/>
          </w:tcPr>
          <w:p>
            <w:pPr>
              <w:pStyle w:val="63"/>
            </w:pPr>
            <w:r>
              <w:t>分选：宜采用筛分、风选、磁选、重选、浮选等技术组合进行分选；锂离子电池分选后应分别得到铜粒、铝粒、铁粉和电极材料粉，电级材料粉中含有镍、钴、锰中一种或多种元素；镍、钴、锰金属元素的破碎分选回收率应不低于 98.5%；电级材料粉粒度应小于 1mm。</w:t>
            </w:r>
          </w:p>
        </w:tc>
        <w:tc>
          <w:tcPr>
            <w:tcW w:w="1928" w:type="pct"/>
            <w:shd w:val="clear" w:color="auto" w:fill="auto"/>
            <w:vAlign w:val="center"/>
          </w:tcPr>
          <w:p>
            <w:pPr>
              <w:pStyle w:val="63"/>
            </w:pPr>
            <w:r>
              <w:t>本项目分选采用筛分、重选技术组合进行分选；预处理工序分选后分别得到铜箔、铝箔和电级材料粉；预处理工序镍、钴、锰的回收率大于98.5%，满足要求；分选后电级材料粉粒径小于1mm。</w:t>
            </w:r>
          </w:p>
        </w:tc>
        <w:tc>
          <w:tcPr>
            <w:tcW w:w="347" w:type="pct"/>
            <w:shd w:val="clear" w:color="auto" w:fill="auto"/>
            <w:vAlign w:val="center"/>
          </w:tcPr>
          <w:p>
            <w:pPr>
              <w:pStyle w:val="63"/>
            </w:pPr>
            <w:r>
              <w:t>符合</w:t>
            </w:r>
          </w:p>
        </w:tc>
      </w:tr>
    </w:tbl>
    <w:p>
      <w:pPr>
        <w:spacing w:line="360" w:lineRule="auto"/>
        <w:ind w:firstLine="480" w:firstLineChars="200"/>
        <w:rPr>
          <w:rFonts w:ascii="Times New Roman" w:hAnsi="Times New Roman" w:cs="Times New Roman"/>
        </w:rPr>
      </w:pPr>
      <w:r>
        <w:rPr>
          <w:rFonts w:ascii="Times New Roman" w:hAnsi="Times New Roman" w:cs="Times New Roman"/>
        </w:rPr>
        <w:t>根据上表可知，本项目与《废旧电池破碎分选回收技术规范》（YS/T 1174-2017）的相关要求相符。</w:t>
      </w:r>
    </w:p>
    <w:p>
      <w:pPr>
        <w:pStyle w:val="4"/>
        <w:rPr>
          <w:rFonts w:ascii="Times New Roman" w:hAnsi="Times New Roman" w:cs="Times New Roman"/>
        </w:rPr>
      </w:pPr>
      <w:bookmarkStart w:id="668" w:name="_Toc144236899"/>
      <w:bookmarkStart w:id="669" w:name="_Toc144277029"/>
      <w:bookmarkStart w:id="670" w:name="_Toc147848147"/>
      <w:r>
        <w:rPr>
          <w:rFonts w:ascii="Times New Roman" w:hAnsi="Times New Roman" w:cs="Times New Roman"/>
        </w:rPr>
        <w:t>11.3.5与《新能源汽车废旧动力蓄电池综合利用行业规范条件》（2019 年本）相符性分析</w:t>
      </w:r>
      <w:bookmarkEnd w:id="668"/>
      <w:bookmarkEnd w:id="669"/>
      <w:bookmarkEnd w:id="670"/>
    </w:p>
    <w:p>
      <w:pPr>
        <w:spacing w:line="360" w:lineRule="auto"/>
        <w:ind w:firstLine="480" w:firstLineChars="200"/>
        <w:rPr>
          <w:rFonts w:ascii="Times New Roman" w:hAnsi="Times New Roman" w:cs="Times New Roman"/>
        </w:rPr>
      </w:pPr>
      <w:r>
        <w:rPr>
          <w:rFonts w:ascii="Times New Roman" w:hAnsi="Times New Roman" w:cs="Times New Roman"/>
        </w:rPr>
        <w:t>本项目与《新能源汽车废旧动力蓄电池综合利用行业规范条件》（2019 年本）相符性分析见下表11.3-5。</w:t>
      </w:r>
    </w:p>
    <w:p>
      <w:pPr>
        <w:pStyle w:val="4"/>
        <w:rPr>
          <w:rFonts w:ascii="Times New Roman" w:hAnsi="Times New Roman" w:cs="Times New Roman"/>
        </w:rPr>
      </w:pPr>
      <w:bookmarkStart w:id="671" w:name="_Toc144277030"/>
      <w:bookmarkStart w:id="672" w:name="_Toc147848148"/>
      <w:bookmarkStart w:id="673" w:name="_Toc144236900"/>
      <w:r>
        <w:rPr>
          <w:rFonts w:ascii="Times New Roman" w:hAnsi="Times New Roman" w:cs="Times New Roman"/>
        </w:rPr>
        <w:t>11.3.6与《电动汽车动力蓄电池回收利用技术政策》（2015 年版）相符性分析</w:t>
      </w:r>
      <w:bookmarkEnd w:id="671"/>
      <w:bookmarkEnd w:id="672"/>
      <w:bookmarkEnd w:id="673"/>
    </w:p>
    <w:p>
      <w:pPr>
        <w:spacing w:line="360" w:lineRule="auto"/>
        <w:ind w:firstLine="480" w:firstLineChars="200"/>
        <w:rPr>
          <w:rFonts w:ascii="Times New Roman" w:hAnsi="Times New Roman" w:cs="Times New Roman"/>
        </w:rPr>
      </w:pPr>
      <w:r>
        <w:rPr>
          <w:rFonts w:ascii="Times New Roman" w:hAnsi="Times New Roman" w:cs="Times New Roman"/>
        </w:rPr>
        <w:t>本项目与《电动汽车动力蓄电池回收利用技术政策》（2015 年版）相符性分析见下表11.3-6。</w:t>
      </w:r>
    </w:p>
    <w:p>
      <w:pPr>
        <w:spacing w:line="360" w:lineRule="auto"/>
        <w:ind w:firstLine="480" w:firstLineChars="200"/>
        <w:rPr>
          <w:rFonts w:ascii="Times New Roman" w:hAnsi="Times New Roman" w:cs="Times New Roman"/>
        </w:rPr>
      </w:pPr>
    </w:p>
    <w:p>
      <w:pPr>
        <w:spacing w:line="360" w:lineRule="auto"/>
        <w:ind w:firstLine="480" w:firstLineChars="200"/>
        <w:rPr>
          <w:rFonts w:ascii="Times New Roman" w:hAnsi="Times New Roman" w:cs="Times New Roman"/>
        </w:rPr>
        <w:sectPr>
          <w:pgSz w:w="11907" w:h="16840"/>
          <w:pgMar w:top="1440" w:right="1797" w:bottom="1440" w:left="1797" w:header="964" w:footer="851" w:gutter="0"/>
          <w:cols w:space="720" w:num="1"/>
          <w:docGrid w:linePitch="297" w:charSpace="200"/>
        </w:sectPr>
      </w:pPr>
    </w:p>
    <w:p>
      <w:pPr>
        <w:pStyle w:val="6"/>
        <w:rPr>
          <w:rFonts w:ascii="Times New Roman" w:hAnsi="Times New Roman" w:cs="Times New Roman"/>
        </w:rPr>
      </w:pPr>
      <w:r>
        <w:rPr>
          <w:rFonts w:ascii="Times New Roman" w:hAnsi="Times New Roman" w:cs="Times New Roman"/>
        </w:rPr>
        <w:t>表 11.3-5</w:t>
      </w:r>
      <w:r>
        <w:rPr>
          <w:rFonts w:ascii="Times New Roman" w:hAnsi="Times New Roman" w:cs="Times New Roman"/>
        </w:rPr>
        <w:tab/>
      </w:r>
      <w:r>
        <w:rPr>
          <w:rFonts w:ascii="Times New Roman" w:hAnsi="Times New Roman" w:cs="Times New Roman"/>
        </w:rPr>
        <w:t>与《新能源汽车废旧动力蓄电池综合利用行业规范条件》相符性分析一览表</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555"/>
        <w:gridCol w:w="7540"/>
        <w:gridCol w:w="6063"/>
        <w:gridCol w:w="44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0" w:type="pct"/>
            <w:shd w:val="clear" w:color="auto" w:fill="auto"/>
            <w:vAlign w:val="center"/>
          </w:tcPr>
          <w:p>
            <w:pPr>
              <w:pStyle w:val="63"/>
            </w:pPr>
            <w:r>
              <w:t>序号</w:t>
            </w:r>
          </w:p>
        </w:tc>
        <w:tc>
          <w:tcPr>
            <w:tcW w:w="2582" w:type="pct"/>
            <w:shd w:val="clear" w:color="auto" w:fill="auto"/>
            <w:vAlign w:val="center"/>
          </w:tcPr>
          <w:p>
            <w:pPr>
              <w:pStyle w:val="63"/>
            </w:pPr>
            <w:r>
              <w:t>相关要求</w:t>
            </w:r>
          </w:p>
        </w:tc>
        <w:tc>
          <w:tcPr>
            <w:tcW w:w="2076" w:type="pct"/>
            <w:shd w:val="clear" w:color="auto" w:fill="auto"/>
            <w:vAlign w:val="center"/>
          </w:tcPr>
          <w:p>
            <w:pPr>
              <w:pStyle w:val="63"/>
            </w:pPr>
            <w:r>
              <w:t>符合性分析</w:t>
            </w:r>
          </w:p>
        </w:tc>
        <w:tc>
          <w:tcPr>
            <w:tcW w:w="152" w:type="pct"/>
            <w:shd w:val="clear" w:color="auto" w:fill="auto"/>
            <w:vAlign w:val="center"/>
          </w:tcPr>
          <w:p>
            <w:pPr>
              <w:pStyle w:val="63"/>
            </w:pPr>
            <w:r>
              <w:t>相符性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0" w:type="pct"/>
            <w:shd w:val="clear" w:color="auto" w:fill="auto"/>
            <w:vAlign w:val="center"/>
          </w:tcPr>
          <w:p>
            <w:pPr>
              <w:pStyle w:val="63"/>
            </w:pPr>
            <w:r>
              <w:t>1</w:t>
            </w:r>
          </w:p>
        </w:tc>
        <w:tc>
          <w:tcPr>
            <w:tcW w:w="2582" w:type="pct"/>
            <w:shd w:val="clear" w:color="auto" w:fill="auto"/>
            <w:vAlign w:val="center"/>
          </w:tcPr>
          <w:p>
            <w:pPr>
              <w:pStyle w:val="63"/>
            </w:pPr>
            <w:r>
              <w:t>企业布局与项目建设条件址：</w:t>
            </w:r>
            <w:r>
              <w:rPr>
                <w:rFonts w:hint="eastAsia" w:ascii="宋体" w:hAnsi="宋体" w:eastAsia="宋体" w:cs="宋体"/>
              </w:rPr>
              <w:t>①</w:t>
            </w:r>
            <w:r>
              <w:t>企业必须符合国家产业政策和所在地区城乡建设规划、生态环境规划、土地利用总体规划、主体功能区规划、环境保护和污染防治规划等要求，其施工建设应有规范化设计要求</w:t>
            </w:r>
            <w:r>
              <w:rPr>
                <w:rFonts w:hint="eastAsia" w:ascii="宋体" w:hAnsi="宋体" w:eastAsia="宋体" w:cs="宋体"/>
              </w:rPr>
              <w:t>②</w:t>
            </w:r>
            <w:r>
              <w:t>在自然保护区、生态功能保护区、风景名胜区、饮用水水源保护区、基本农田保护区和其他需要特别保护的区域内（如居民集聚区、易燃易爆单位等），按照法律、法规规定禁止建设工业企业的区域不得新建废旧动力蓄电池综合利用企业。</w:t>
            </w:r>
          </w:p>
        </w:tc>
        <w:tc>
          <w:tcPr>
            <w:tcW w:w="2076" w:type="pct"/>
            <w:shd w:val="clear" w:color="auto" w:fill="auto"/>
            <w:vAlign w:val="center"/>
          </w:tcPr>
          <w:p>
            <w:pPr>
              <w:pStyle w:val="63"/>
            </w:pPr>
            <w:r>
              <w:t>本项目纳入衡东开发区范围管理，用地符合城市总体规划，项目选址所在地为三类工业用地；本项目选址不涉及自然保护区、生态功能保护区、风景名胜区、饮用水水源保护区、基本农田保护区和其他需要特别保护的区域内。</w:t>
            </w:r>
          </w:p>
        </w:tc>
        <w:tc>
          <w:tcPr>
            <w:tcW w:w="152"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0" w:type="pct"/>
            <w:shd w:val="clear" w:color="auto" w:fill="auto"/>
            <w:vAlign w:val="center"/>
          </w:tcPr>
          <w:p>
            <w:pPr>
              <w:pStyle w:val="63"/>
            </w:pPr>
            <w:r>
              <w:t>2</w:t>
            </w:r>
          </w:p>
        </w:tc>
        <w:tc>
          <w:tcPr>
            <w:tcW w:w="2582" w:type="pct"/>
            <w:shd w:val="clear" w:color="auto" w:fill="auto"/>
            <w:vAlign w:val="center"/>
          </w:tcPr>
          <w:p>
            <w:pPr>
              <w:pStyle w:val="63"/>
            </w:pPr>
            <w:r>
              <w:t>技术、装备和工艺（总体要求）：</w:t>
            </w:r>
            <w:r>
              <w:rPr>
                <w:rFonts w:hint="eastAsia" w:ascii="宋体" w:hAnsi="宋体" w:eastAsia="宋体" w:cs="宋体"/>
              </w:rPr>
              <w:t>①</w:t>
            </w:r>
            <w:r>
              <w:t>新建、改扩建废旧动力蓄电池综合利用企业年综合利用能力应达到适度规模，土地使用手续合法（租用合同不少于 15 年），厂区面积、作业场地面积应与企业综合利用能力相适应</w:t>
            </w:r>
            <w:r>
              <w:rPr>
                <w:rFonts w:hint="eastAsia" w:ascii="宋体" w:hAnsi="宋体" w:eastAsia="宋体" w:cs="宋体"/>
              </w:rPr>
              <w:t>②</w:t>
            </w:r>
            <w:r>
              <w:t>应选择生产自动化效率高、能耗指标先进、环保达标和资源综合利用高的生产设备设施。具备满足耐腐、坚固、防火、绝缘特性的生产设备设施。具备满足耐腐蚀、坚固、防火、绝缘特性的专门分类收集储存设施；具有安全防护工具、余能检测、放点、机械化或自动化拆解、粉碎筛分、冶炼等综合利用设备；并具备有毒有害气体、废水废渣处理等环境保护设施，以及必备的安全消防设备等。以上设施设备须符合国家、行业相关规定要求，禁止使用高能耗、低效率的设施设备。</w:t>
            </w:r>
            <w:r>
              <w:rPr>
                <w:rFonts w:hint="eastAsia" w:ascii="宋体" w:hAnsi="宋体" w:eastAsia="宋体" w:cs="宋体"/>
              </w:rPr>
              <w:t>③</w:t>
            </w:r>
            <w:r>
              <w:t>企业应采用节能、环保、清洁、高效的新技术、新工艺，淘汰能耗高、污染重的技术及工艺。鼓励综合使用物理法和化学法，探索生物冶金法。</w:t>
            </w:r>
          </w:p>
        </w:tc>
        <w:tc>
          <w:tcPr>
            <w:tcW w:w="2076" w:type="pct"/>
            <w:shd w:val="clear" w:color="auto" w:fill="auto"/>
            <w:vAlign w:val="center"/>
          </w:tcPr>
          <w:p>
            <w:pPr>
              <w:pStyle w:val="63"/>
            </w:pPr>
            <w:r>
              <w:t>本项目土地使用手续合法；本项目选择了自动化效率高、能耗指标先进、环保达标和资源综合利用高的生产设备设施；企业采用了节能、环保、清洁、高效的新技术、新工艺，淘汰能耗高、污染重的技术及工艺。本项目使用物理法和化学法进行废旧锂电池的回收和综合利用。</w:t>
            </w:r>
          </w:p>
        </w:tc>
        <w:tc>
          <w:tcPr>
            <w:tcW w:w="152"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0" w:type="pct"/>
            <w:shd w:val="clear" w:color="auto" w:fill="auto"/>
            <w:vAlign w:val="center"/>
          </w:tcPr>
          <w:p>
            <w:pPr>
              <w:pStyle w:val="63"/>
            </w:pPr>
            <w:r>
              <w:t>3</w:t>
            </w:r>
          </w:p>
        </w:tc>
        <w:tc>
          <w:tcPr>
            <w:tcW w:w="2582" w:type="pct"/>
            <w:shd w:val="clear" w:color="auto" w:fill="auto"/>
            <w:vAlign w:val="center"/>
          </w:tcPr>
          <w:p>
            <w:pPr>
              <w:pStyle w:val="63"/>
            </w:pPr>
            <w:r>
              <w:t>技术、装备和工艺（梯次利用要求）：具备国家有关标准规定的废旧动力蓄电池剩余容量、一致性、循环寿命等主要性能指标和安全性的检测技术及设备，以及明确的可梯次利用性判断方法，可对不同类型废旧动力蓄电池进行检测、分类、拆分、电池修复或重组为梯次产品；具备废旧动力蓄电池机械化或自动化拆分设备，以及无损化拆分工艺。具有梯次产品质量、安全等性能检验技术设备和工艺，具备梯次产品生产一致性、安全可靠性的保证能力。</w:t>
            </w:r>
          </w:p>
        </w:tc>
        <w:tc>
          <w:tcPr>
            <w:tcW w:w="2076" w:type="pct"/>
            <w:shd w:val="clear" w:color="auto" w:fill="auto"/>
            <w:vAlign w:val="center"/>
          </w:tcPr>
          <w:p>
            <w:pPr>
              <w:pStyle w:val="63"/>
            </w:pPr>
            <w:r>
              <w:t>本项目配套废旧动力蓄电池剩余容量、一致性、循环寿命等主要性能指标和安全性的检测技术及设备对电芯检测、分类、拆分等；配备废旧动力蓄电池机械化或自动化拆分设备，配备以及无损化拆分工艺。具有梯次产品质量、安全等性能检验技术设备和工艺，具备梯次产品生产一致性、安全可靠性的保证能力。</w:t>
            </w:r>
          </w:p>
        </w:tc>
        <w:tc>
          <w:tcPr>
            <w:tcW w:w="152"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0" w:type="pct"/>
            <w:shd w:val="clear" w:color="auto" w:fill="auto"/>
            <w:vAlign w:val="center"/>
          </w:tcPr>
          <w:p>
            <w:pPr>
              <w:pStyle w:val="63"/>
            </w:pPr>
            <w:r>
              <w:t>4</w:t>
            </w:r>
          </w:p>
        </w:tc>
        <w:tc>
          <w:tcPr>
            <w:tcW w:w="2582" w:type="pct"/>
            <w:shd w:val="clear" w:color="auto" w:fill="auto"/>
            <w:vAlign w:val="center"/>
          </w:tcPr>
          <w:p>
            <w:pPr>
              <w:pStyle w:val="63"/>
            </w:pPr>
            <w:r>
              <w:t>技术、装备和工艺（再生利用要求）：具有废旧动力蓄电池安全拆解与再生利用机械化作业平台及工艺，包含动力蓄电池单体自动化破碎、分选等设备；具备产业化应用的湿法、火法或材料修复等工艺，可实现材料修复或元素提取，对电子元器件、金属、石墨、塑料、橡胶、隔膜、电解液等零部件和材料均可合理回收和规范处理，具有相应的污染控制措施，以及对不可利用残余物的规范处置方案。鼓励使用环保效益好、回收效率高的再生利用技术及工艺。</w:t>
            </w:r>
          </w:p>
        </w:tc>
        <w:tc>
          <w:tcPr>
            <w:tcW w:w="2076" w:type="pct"/>
            <w:shd w:val="clear" w:color="auto" w:fill="auto"/>
            <w:vAlign w:val="center"/>
          </w:tcPr>
          <w:p>
            <w:pPr>
              <w:pStyle w:val="63"/>
            </w:pPr>
            <w:r>
              <w:t>本项目配套蓄电池单体自动化破碎、分选等整套设备；本项目采用湿法工艺实现有价金属的提取，且产生的废气均能达标排放。</w:t>
            </w:r>
          </w:p>
        </w:tc>
        <w:tc>
          <w:tcPr>
            <w:tcW w:w="152"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0" w:type="pct"/>
            <w:shd w:val="clear" w:color="auto" w:fill="auto"/>
            <w:vAlign w:val="center"/>
          </w:tcPr>
          <w:p>
            <w:pPr>
              <w:pStyle w:val="63"/>
            </w:pPr>
            <w:r>
              <w:t>5</w:t>
            </w:r>
          </w:p>
        </w:tc>
        <w:tc>
          <w:tcPr>
            <w:tcW w:w="2582" w:type="pct"/>
            <w:shd w:val="clear" w:color="auto" w:fill="auto"/>
            <w:vAlign w:val="center"/>
          </w:tcPr>
          <w:p>
            <w:pPr>
              <w:pStyle w:val="63"/>
            </w:pPr>
            <w:r>
              <w:t>资源综合利用及能耗（资源综合利用）：企业应严格按照相关国家、行业标准进行废旧动力蓄电池储存、梯次利用和再生利用等，并积极参与废旧动力蓄电池回收利用标准体系的研究制定和实施工作；从事再生利用的企业，应积极开展针对正负极材料、隔膜、电解液等再生利用技术、设备、工艺的研发和应用，努力提高废旧动力蓄电池再生利用水平，通过冶炼或材料修复等方式保障主要有价金属得到有效回收。其中，镍、钴、锰的综合回收率应不低于98%，锂的回收率不低于85%，稀土等其他主要有价金属综合回收率不低于97%。采用材料修复工艺的，材料回收率应不低于90%。工艺废水循环利用率应达90%以上；综合利用过程中产生的电子元器件、金属、石墨、塑料、橡胶、隔膜、电解液等零部件和材料均应采取相应措施实现合理回收和规范处理。无相应处置能力的，应按国家有关要求交有相关资质的企业进行集中处理，同时应做好跟踪管理，保障不可利用残余物的环保处置，不得将其擅自丢弃、倾倒、焚烧或填埋。</w:t>
            </w:r>
          </w:p>
        </w:tc>
        <w:tc>
          <w:tcPr>
            <w:tcW w:w="2076" w:type="pct"/>
            <w:shd w:val="clear" w:color="auto" w:fill="auto"/>
            <w:vAlign w:val="center"/>
          </w:tcPr>
          <w:p>
            <w:pPr>
              <w:pStyle w:val="63"/>
            </w:pPr>
            <w:r>
              <w:t>企业严格按照相关国家、行业标准进行废旧动力蓄电池储存、梯次利用和再生利用等；本项目镍的回收率大于</w:t>
            </w:r>
            <w:r>
              <w:rPr>
                <w:rFonts w:hint="eastAsia"/>
              </w:rPr>
              <w:t>98</w:t>
            </w:r>
            <w:r>
              <w:t>%、钴元素回收率大于9</w:t>
            </w:r>
            <w:r>
              <w:rPr>
                <w:rFonts w:hint="eastAsia"/>
              </w:rPr>
              <w:t>6</w:t>
            </w:r>
            <w:r>
              <w:t>%、锰的回收率为大9</w:t>
            </w:r>
            <w:r>
              <w:rPr>
                <w:rFonts w:hint="eastAsia"/>
              </w:rPr>
              <w:t>6</w:t>
            </w:r>
            <w:r>
              <w:t>%、锂元素回收率大于</w:t>
            </w:r>
            <w:r>
              <w:rPr>
                <w:rFonts w:hint="eastAsia"/>
              </w:rPr>
              <w:t>8</w:t>
            </w:r>
            <w:r>
              <w:t>5%；</w:t>
            </w:r>
            <w:r>
              <w:rPr>
                <w:rFonts w:hint="eastAsia"/>
              </w:rPr>
              <w:t>基本</w:t>
            </w:r>
            <w:r>
              <w:t>满足回收要求；企业生产废水经厂区污水处理站处理后回用于生产过程；生活污水经化粪池处理后排入园区污水处理厂；项目产生的一般固废均由物资公司回收、危险废物由有资质单位处置，无法确定危害性的固体废物，运行后进行鉴定，根据鉴定结果进行管理和处置。</w:t>
            </w:r>
          </w:p>
        </w:tc>
        <w:tc>
          <w:tcPr>
            <w:tcW w:w="152"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0" w:type="pct"/>
            <w:shd w:val="clear" w:color="auto" w:fill="auto"/>
            <w:vAlign w:val="center"/>
          </w:tcPr>
          <w:p>
            <w:pPr>
              <w:pStyle w:val="63"/>
            </w:pPr>
            <w:r>
              <w:t>6</w:t>
            </w:r>
          </w:p>
        </w:tc>
        <w:tc>
          <w:tcPr>
            <w:tcW w:w="2582" w:type="pct"/>
            <w:shd w:val="clear" w:color="auto" w:fill="auto"/>
            <w:vAlign w:val="center"/>
          </w:tcPr>
          <w:p>
            <w:pPr>
              <w:pStyle w:val="63"/>
            </w:pPr>
            <w:r>
              <w:t>资源综合利用及能耗（能源消耗）：企业应建立用能考核制度，配备必要的能源（水、电、天然气等）计量器具。加强对运输、拆卸、储存、拆解、检测、利用等各环节的能耗管控，降低综合能耗，提高能源利用效率。鼓励企业采用先进适用的节能技术、工艺及装备。</w:t>
            </w:r>
          </w:p>
        </w:tc>
        <w:tc>
          <w:tcPr>
            <w:tcW w:w="2076" w:type="pct"/>
            <w:shd w:val="clear" w:color="auto" w:fill="auto"/>
            <w:vAlign w:val="center"/>
          </w:tcPr>
          <w:p>
            <w:pPr>
              <w:pStyle w:val="63"/>
            </w:pPr>
            <w:r>
              <w:t>项目建成后建立用能考核制度，配备必要的能源（水、电、天然气等）计量器具。拟加强对运输、拆卸、储存、拆解、检测、利用等各环节的能耗管控，降低综合能耗，提高能源利用效率。</w:t>
            </w:r>
          </w:p>
        </w:tc>
        <w:tc>
          <w:tcPr>
            <w:tcW w:w="152"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0" w:type="pct"/>
            <w:shd w:val="clear" w:color="auto" w:fill="auto"/>
            <w:vAlign w:val="center"/>
          </w:tcPr>
          <w:p>
            <w:pPr>
              <w:pStyle w:val="63"/>
            </w:pPr>
            <w:r>
              <w:t>7</w:t>
            </w:r>
          </w:p>
        </w:tc>
        <w:tc>
          <w:tcPr>
            <w:tcW w:w="2582" w:type="pct"/>
            <w:shd w:val="clear" w:color="auto" w:fill="auto"/>
            <w:vAlign w:val="center"/>
          </w:tcPr>
          <w:p>
            <w:pPr>
              <w:pStyle w:val="63"/>
            </w:pPr>
            <w:r>
              <w:t>环境保护要求：企业应严格执行环境影响评价制度。按照环境保护“三同时”要求建设配套的环境保护设施，并在建设项目竣工后组织竣工环境保护验收，验收通过后方可投入生产。纳入固定污染源排污许可分类管理名录的建设项目，按照《排污许可证申请与核发技术规范废弃资源加工工业》等国家排污许可有关管理规定要求申请排污许可证；贮存设施的建设、管理应根据废物的危险特性满足《一般工业固体废物贮存、处置污染控制标准》和《危险废物贮存污染控制标准》等要求；在综合利用过程中产生的在常温常压下易燃易爆及排出有毒气体的残余物，必须进行预处理，使之稳定后贮存，否则按易燃易爆危险品贮存；综合利用过程中产生废水、废气、工业固废的，应具备环保收集与处理设施设备，符合国家标准要求并保证其正常使用。企业应按照《污染源自动监控管理办法》《排污单位自行监测技术指南 总则》等有关要求实施废水及废气的在线监测；企业污染物排放应符合国家、地方或行业标准要求，并具备土壤及地下水的污染防治措施；噪声应符合《工业企业厂界环境噪声排放标准》要求，具体标准应根据当地人民政府划定的区域类别执行；综合利用过程中产生的工业固体废物应当按照国家有关规定进行管理，属于危险废物的按照危险废物进行管理；从事再生利用的企业应按照《中华人民共和国清洁生产促进法》定期开展清洁生产审核，并通过评估验收；企业应设有专职环保管理人员和完善的安全环保制度，建立环境保护监测制度，具有突发环境事件或污染事件应急设施和处理预案。</w:t>
            </w:r>
          </w:p>
        </w:tc>
        <w:tc>
          <w:tcPr>
            <w:tcW w:w="2076" w:type="pct"/>
            <w:shd w:val="clear" w:color="auto" w:fill="auto"/>
            <w:vAlign w:val="center"/>
          </w:tcPr>
          <w:p>
            <w:pPr>
              <w:pStyle w:val="63"/>
            </w:pPr>
            <w:r>
              <w:t>本次评价要求企业严格按照环境保护“三同时”要求建设配套的环境保护设施，并在建设项目竣工后组织竣工环境保护验收，验收通过后方可投入生产。项目建成后按照《排污许可证申请与核发技术规范废弃资源加工工业》等国家排污许可有关管理规定要求申请排污许可证；项目设置一般固废暂存场和危险废物暂存场，均满足《一般工业固体废物贮存、处置场污染控制标准》和《危险废物贮存污染控制标准》的要求；产生的在常温常压下易燃易爆及排出有毒气体的残余物，进行预处理；项目生产废水经处理后全部回用，不外排；项目针对地下水和土壤已设置相应的污染防治措施；企业采取降噪措施，噪声符合《工业企业厂界环境噪声排放标准》3类标准要求；工业固体废物按照国家有关规定进行管理，属于危险废物的按照危险废物进行管理；项目建成后，按照《中华人民共和国清洁生产促进法》的要求定期开展清洁生产审核；企业设置专职环保管理人员和完善的安全环保制度，建立环境保护监测制度；验收前编制突发环境事件应急预案，配置应急物质等。</w:t>
            </w:r>
          </w:p>
        </w:tc>
        <w:tc>
          <w:tcPr>
            <w:tcW w:w="152" w:type="pct"/>
            <w:shd w:val="clear" w:color="auto" w:fill="auto"/>
            <w:vAlign w:val="center"/>
          </w:tcPr>
          <w:p>
            <w:pPr>
              <w:pStyle w:val="63"/>
            </w:pPr>
            <w:r>
              <w:t>符合</w:t>
            </w:r>
          </w:p>
        </w:tc>
      </w:tr>
    </w:tbl>
    <w:p>
      <w:pPr>
        <w:spacing w:line="360" w:lineRule="auto"/>
        <w:ind w:firstLine="480" w:firstLineChars="200"/>
        <w:rPr>
          <w:rFonts w:ascii="Times New Roman" w:hAnsi="Times New Roman" w:cs="Times New Roman"/>
        </w:rPr>
      </w:pPr>
    </w:p>
    <w:p>
      <w:pPr>
        <w:spacing w:line="360" w:lineRule="auto"/>
        <w:ind w:firstLine="480" w:firstLineChars="200"/>
        <w:rPr>
          <w:rFonts w:ascii="Times New Roman" w:hAnsi="Times New Roman" w:cs="Times New Roman"/>
        </w:rPr>
      </w:pPr>
    </w:p>
    <w:p>
      <w:pPr>
        <w:pStyle w:val="6"/>
        <w:rPr>
          <w:rFonts w:ascii="Times New Roman" w:hAnsi="Times New Roman" w:cs="Times New Roman"/>
        </w:rPr>
      </w:pPr>
      <w:r>
        <w:rPr>
          <w:rFonts w:ascii="Times New Roman" w:hAnsi="Times New Roman" w:cs="Times New Roman"/>
        </w:rPr>
        <w:t>表 11.3-6  与《动力蓄电池回收利用技术政策》（2015 年版）相符性分析一览表</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555"/>
        <w:gridCol w:w="7114"/>
        <w:gridCol w:w="6238"/>
        <w:gridCol w:w="69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0" w:type="pct"/>
            <w:shd w:val="clear" w:color="auto" w:fill="auto"/>
            <w:vAlign w:val="center"/>
          </w:tcPr>
          <w:p>
            <w:pPr>
              <w:pStyle w:val="63"/>
            </w:pPr>
            <w:r>
              <w:t>序号</w:t>
            </w:r>
          </w:p>
        </w:tc>
        <w:tc>
          <w:tcPr>
            <w:tcW w:w="2436" w:type="pct"/>
            <w:shd w:val="clear" w:color="auto" w:fill="auto"/>
            <w:vAlign w:val="center"/>
          </w:tcPr>
          <w:p>
            <w:pPr>
              <w:pStyle w:val="63"/>
            </w:pPr>
            <w:r>
              <w:t>相关要求</w:t>
            </w:r>
          </w:p>
        </w:tc>
        <w:tc>
          <w:tcPr>
            <w:tcW w:w="2136" w:type="pct"/>
            <w:shd w:val="clear" w:color="auto" w:fill="auto"/>
            <w:vAlign w:val="center"/>
          </w:tcPr>
          <w:p>
            <w:pPr>
              <w:pStyle w:val="63"/>
            </w:pPr>
            <w:r>
              <w:t>符合性分析</w:t>
            </w:r>
          </w:p>
        </w:tc>
        <w:tc>
          <w:tcPr>
            <w:tcW w:w="238" w:type="pct"/>
            <w:shd w:val="clear" w:color="auto" w:fill="auto"/>
            <w:vAlign w:val="center"/>
          </w:tcPr>
          <w:p>
            <w:pPr>
              <w:pStyle w:val="63"/>
            </w:pPr>
            <w:r>
              <w:t>相符性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0" w:type="pct"/>
            <w:shd w:val="clear" w:color="auto" w:fill="auto"/>
            <w:vAlign w:val="center"/>
          </w:tcPr>
          <w:p>
            <w:pPr>
              <w:pStyle w:val="63"/>
            </w:pPr>
            <w:r>
              <w:t>1</w:t>
            </w:r>
          </w:p>
        </w:tc>
        <w:tc>
          <w:tcPr>
            <w:tcW w:w="2436" w:type="pct"/>
            <w:shd w:val="clear" w:color="auto" w:fill="auto"/>
            <w:vAlign w:val="center"/>
          </w:tcPr>
          <w:p>
            <w:pPr>
              <w:pStyle w:val="63"/>
            </w:pPr>
            <w:r>
              <w:t>废旧动力蓄电池贮存应有专门的场所，贮存场所应符合法律法规要求及当地消防、环保、安全部门的有关规定，并设有警示标志，且应设在易燃、易爆等危险品仓库及高压输电线路防护区域以外。废旧动力蓄电池贮存应避免高温、潮湿，保证通风良好，正负极触头应采取绝缘防护。废旧动力蓄电池多层贮存宜采取框架结构并确保承重安全，且能够合理装卸。</w:t>
            </w:r>
          </w:p>
        </w:tc>
        <w:tc>
          <w:tcPr>
            <w:tcW w:w="2136" w:type="pct"/>
            <w:shd w:val="clear" w:color="auto" w:fill="auto"/>
            <w:vAlign w:val="center"/>
          </w:tcPr>
          <w:p>
            <w:pPr>
              <w:pStyle w:val="63"/>
            </w:pPr>
            <w:r>
              <w:t>本项目废旧锂电池均储存在专门的仓库中，仓库门口按要求设置警示标志，仓库通风良好，符合技术政策要求；破损电池设置专门的贮存区。</w:t>
            </w:r>
          </w:p>
        </w:tc>
        <w:tc>
          <w:tcPr>
            <w:tcW w:w="238"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190" w:type="pct"/>
            <w:shd w:val="clear" w:color="auto" w:fill="auto"/>
            <w:vAlign w:val="center"/>
          </w:tcPr>
          <w:p>
            <w:pPr>
              <w:pStyle w:val="63"/>
            </w:pPr>
            <w:r>
              <w:t>2</w:t>
            </w:r>
          </w:p>
        </w:tc>
        <w:tc>
          <w:tcPr>
            <w:tcW w:w="2436" w:type="pct"/>
            <w:shd w:val="clear" w:color="auto" w:fill="auto"/>
            <w:vAlign w:val="center"/>
          </w:tcPr>
          <w:p>
            <w:pPr>
              <w:pStyle w:val="63"/>
            </w:pPr>
            <w:r>
              <w:t>废旧动力蓄电池放电可采取物理和化学两种放电方式。对外壳完好的动力蓄电池宜采取物理放电，物理放电应采用专业放电器或自动放电系统，应对热能散发环境做好隔热、导热或热转换措施。对受损严重、无法连接放电器的废旧动力电池采取化学放电，化学放电应采用吊装设备将废旧动力蓄电池搬运入放电液中，同时应收集放电液进行环保无害化处理或交由相关环保处理企业。</w:t>
            </w:r>
          </w:p>
        </w:tc>
        <w:tc>
          <w:tcPr>
            <w:tcW w:w="2136" w:type="pct"/>
            <w:shd w:val="clear" w:color="auto" w:fill="auto"/>
            <w:vAlign w:val="center"/>
          </w:tcPr>
          <w:p>
            <w:pPr>
              <w:pStyle w:val="63"/>
            </w:pPr>
            <w:r>
              <w:t>本项目回收的废旧锂电池外壳基本完好，主要采取物理放电方式进行放电，放电过程中不涉及废气及废液等污染物产生，对环境影响小；对受损严重、无法连接放电器的废旧动力电池采取先进的带电破碎工艺进行预处理。</w:t>
            </w:r>
          </w:p>
        </w:tc>
        <w:tc>
          <w:tcPr>
            <w:tcW w:w="238"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0" w:type="pct"/>
            <w:shd w:val="clear" w:color="auto" w:fill="auto"/>
            <w:vAlign w:val="center"/>
          </w:tcPr>
          <w:p>
            <w:pPr>
              <w:pStyle w:val="63"/>
            </w:pPr>
            <w:r>
              <w:t>3</w:t>
            </w:r>
          </w:p>
        </w:tc>
        <w:tc>
          <w:tcPr>
            <w:tcW w:w="2436" w:type="pct"/>
            <w:shd w:val="clear" w:color="auto" w:fill="auto"/>
            <w:vAlign w:val="center"/>
          </w:tcPr>
          <w:p>
            <w:pPr>
              <w:pStyle w:val="63"/>
            </w:pPr>
            <w:r>
              <w:t>国家支持动力蓄电池生产企业或具备相应技术条件的再生利用企业开展废旧动力蓄电池梯级利用。梯级利用企业应根据废旧动力蓄电池的容量、充放电特性、使用安全性等实际情况判断可否进行梯级利用，要对符合梯级利用条件的废旧动力蓄电池进行必要的检测、分类、拆解和重组，贴自有商标以明示该电池产品为梯级利用电池。</w:t>
            </w:r>
          </w:p>
        </w:tc>
        <w:tc>
          <w:tcPr>
            <w:tcW w:w="2136" w:type="pct"/>
            <w:shd w:val="clear" w:color="auto" w:fill="auto"/>
            <w:vAlign w:val="center"/>
          </w:tcPr>
          <w:p>
            <w:pPr>
              <w:pStyle w:val="63"/>
            </w:pPr>
            <w:r>
              <w:t>本项目原料前端企业已对废旧锂电池进行了分类，项目收集25000吨/年的能够梯次利用的废旧锂电池进行梯次利用，收集40000t/a的废旧锂电池进行综合利用。</w:t>
            </w:r>
          </w:p>
        </w:tc>
        <w:tc>
          <w:tcPr>
            <w:tcW w:w="238"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0" w:type="pct"/>
            <w:shd w:val="clear" w:color="auto" w:fill="auto"/>
            <w:vAlign w:val="center"/>
          </w:tcPr>
          <w:p>
            <w:pPr>
              <w:pStyle w:val="63"/>
            </w:pPr>
            <w:r>
              <w:t>4</w:t>
            </w:r>
          </w:p>
        </w:tc>
        <w:tc>
          <w:tcPr>
            <w:tcW w:w="2436" w:type="pct"/>
            <w:shd w:val="clear" w:color="auto" w:fill="auto"/>
            <w:vAlign w:val="center"/>
          </w:tcPr>
          <w:p>
            <w:pPr>
              <w:pStyle w:val="63"/>
            </w:pPr>
            <w:r>
              <w:t>经判断不能进行梯级利用的废旧动力蓄电池应按有关要求进行再生利用，回收其中有价值的资源。再生利用的作业流程一般可按拆解、热解、破碎分选、冶炼等步骤进行。</w:t>
            </w:r>
          </w:p>
        </w:tc>
        <w:tc>
          <w:tcPr>
            <w:tcW w:w="2136" w:type="pct"/>
            <w:shd w:val="clear" w:color="auto" w:fill="auto"/>
            <w:vAlign w:val="center"/>
          </w:tcPr>
          <w:p>
            <w:pPr>
              <w:pStyle w:val="63"/>
            </w:pPr>
            <w:r>
              <w:t>本项目对在原料前端企业收集的不能梯次利用的废旧锂电池以及经梯次利用产生的废电芯进行综合利用。本项目主要生产工艺为拆解、破碎分选、热解、湿法提取、蒸发结晶等，经上述工艺后回收废旧锂电池中锂、镍、钴等有价值的资源。</w:t>
            </w:r>
          </w:p>
        </w:tc>
        <w:tc>
          <w:tcPr>
            <w:tcW w:w="238"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0" w:type="pct"/>
            <w:shd w:val="clear" w:color="auto" w:fill="auto"/>
            <w:vAlign w:val="center"/>
          </w:tcPr>
          <w:p>
            <w:pPr>
              <w:pStyle w:val="63"/>
            </w:pPr>
            <w:r>
              <w:t>5</w:t>
            </w:r>
          </w:p>
        </w:tc>
        <w:tc>
          <w:tcPr>
            <w:tcW w:w="2436" w:type="pct"/>
            <w:shd w:val="clear" w:color="auto" w:fill="auto"/>
            <w:vAlign w:val="center"/>
          </w:tcPr>
          <w:p>
            <w:pPr>
              <w:pStyle w:val="63"/>
            </w:pPr>
            <w:r>
              <w:t>废旧动力蓄电池拆解应使用专用拆解场地，配备安全防护装备和防护罩，由专业人员严格按照动力蓄电池生产企业所提供的拆解信息，使用自动化的拆解设备、专用起吊工具、绝缘工具等进行。拆解过程应配备电工资质人员进行作业。废旧动力蓄电池应进行放电处理后再拆解。</w:t>
            </w:r>
          </w:p>
        </w:tc>
        <w:tc>
          <w:tcPr>
            <w:tcW w:w="2136" w:type="pct"/>
            <w:shd w:val="clear" w:color="auto" w:fill="auto"/>
            <w:vAlign w:val="center"/>
          </w:tcPr>
          <w:p>
            <w:pPr>
              <w:pStyle w:val="63"/>
            </w:pPr>
            <w:r>
              <w:t>本项目废旧锂电池经放电处理后进行拆解破碎，拆解破碎工段位于生产车间内部，设备均为自动化设备，拆解破碎设备密闭性好。</w:t>
            </w:r>
          </w:p>
        </w:tc>
        <w:tc>
          <w:tcPr>
            <w:tcW w:w="238"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0" w:type="pct"/>
            <w:shd w:val="clear" w:color="auto" w:fill="auto"/>
            <w:vAlign w:val="center"/>
          </w:tcPr>
          <w:p>
            <w:pPr>
              <w:pStyle w:val="63"/>
            </w:pPr>
            <w:r>
              <w:t>6</w:t>
            </w:r>
          </w:p>
        </w:tc>
        <w:tc>
          <w:tcPr>
            <w:tcW w:w="2436" w:type="pct"/>
            <w:shd w:val="clear" w:color="auto" w:fill="auto"/>
            <w:vAlign w:val="center"/>
          </w:tcPr>
          <w:p>
            <w:pPr>
              <w:pStyle w:val="63"/>
            </w:pPr>
            <w:r>
              <w:t>废旧动力蓄电池热解工艺过程应在封闭式反应系统中进行，并配置废气处理系统。不得在露天环境下焚烧废旧动力蓄电池。</w:t>
            </w:r>
          </w:p>
        </w:tc>
        <w:tc>
          <w:tcPr>
            <w:tcW w:w="2136" w:type="pct"/>
            <w:shd w:val="clear" w:color="auto" w:fill="auto"/>
            <w:vAlign w:val="center"/>
          </w:tcPr>
          <w:p>
            <w:pPr>
              <w:pStyle w:val="63"/>
            </w:pPr>
            <w:r>
              <w:t>废旧动力蓄电池热解工艺过程在厂房内的封闭式反应系统中进行，并配置“焚烧+急冷+布袋除尘+三级水喷淋+二级碱液喷淋”的废气处理系统。</w:t>
            </w:r>
          </w:p>
        </w:tc>
        <w:tc>
          <w:tcPr>
            <w:tcW w:w="238"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0" w:type="pct"/>
            <w:shd w:val="clear" w:color="auto" w:fill="auto"/>
            <w:vAlign w:val="center"/>
          </w:tcPr>
          <w:p>
            <w:pPr>
              <w:pStyle w:val="63"/>
            </w:pPr>
            <w:r>
              <w:t>7</w:t>
            </w:r>
          </w:p>
        </w:tc>
        <w:tc>
          <w:tcPr>
            <w:tcW w:w="2436" w:type="pct"/>
            <w:shd w:val="clear" w:color="auto" w:fill="auto"/>
            <w:vAlign w:val="center"/>
          </w:tcPr>
          <w:p>
            <w:pPr>
              <w:pStyle w:val="63"/>
            </w:pPr>
            <w:r>
              <w:t>废旧动力蓄电池破碎分选工艺过程应在封闭式构筑物中进行，破碎分选系统要设立分级，将外壳、集流体、正负极材料在分选系统中独立回收。不得对废旧动力蓄电池进行人工破碎和在露天环境下进行破碎作业。</w:t>
            </w:r>
          </w:p>
        </w:tc>
        <w:tc>
          <w:tcPr>
            <w:tcW w:w="2136" w:type="pct"/>
            <w:shd w:val="clear" w:color="auto" w:fill="auto"/>
            <w:vAlign w:val="center"/>
          </w:tcPr>
          <w:p>
            <w:pPr>
              <w:pStyle w:val="63"/>
            </w:pPr>
            <w:r>
              <w:t>本项目废旧锂电池拆解破碎生产线均位于车间内部，拆解破碎设备均为密闭设备，外壳、集流体、正负极材料在分选系统中均可实现独立回收；项目拆解破碎不涉及人工破碎，所用设备均为自动化拆解破碎设备。</w:t>
            </w:r>
          </w:p>
        </w:tc>
        <w:tc>
          <w:tcPr>
            <w:tcW w:w="238"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0" w:type="pct"/>
            <w:shd w:val="clear" w:color="auto" w:fill="auto"/>
            <w:vAlign w:val="center"/>
          </w:tcPr>
          <w:p>
            <w:pPr>
              <w:pStyle w:val="63"/>
            </w:pPr>
            <w:r>
              <w:t>8</w:t>
            </w:r>
          </w:p>
        </w:tc>
        <w:tc>
          <w:tcPr>
            <w:tcW w:w="2436" w:type="pct"/>
            <w:shd w:val="clear" w:color="auto" w:fill="auto"/>
            <w:vAlign w:val="center"/>
          </w:tcPr>
          <w:p>
            <w:pPr>
              <w:pStyle w:val="63"/>
            </w:pPr>
            <w:r>
              <w:t>废旧动力蓄电池的冶炼要遵循国家再生金属标准及有色金属冶炼企业安全生产标准等有关要求，选择先进、环保的冶炼方法。湿法冶炼过程应安装废水在线监测系统保证废水处理达标排放，镍、钴、锰的综合回收率应不低于 98%；火法冶炼系统应安装废气在线监测系统保证废气处理达标排放。冶炼过程产生的固体废物应按照环境保护要求进行处理处置。</w:t>
            </w:r>
          </w:p>
        </w:tc>
        <w:tc>
          <w:tcPr>
            <w:tcW w:w="2136" w:type="pct"/>
            <w:shd w:val="clear" w:color="auto" w:fill="auto"/>
            <w:vAlign w:val="center"/>
          </w:tcPr>
          <w:p>
            <w:pPr>
              <w:pStyle w:val="63"/>
            </w:pPr>
            <w:r>
              <w:t>本项目生产废水经处理后全部回用，不外排；本项目镍、钴、锰的综合回收率均不低于98%，且项目生产过程产生的固体废弃物均可得到有效处置，不会对环境产生不利影响。</w:t>
            </w:r>
          </w:p>
        </w:tc>
        <w:tc>
          <w:tcPr>
            <w:tcW w:w="238" w:type="pct"/>
            <w:shd w:val="clear" w:color="auto" w:fill="auto"/>
            <w:vAlign w:val="center"/>
          </w:tcPr>
          <w:p>
            <w:pPr>
              <w:pStyle w:val="63"/>
            </w:pPr>
            <w:r>
              <w:t>符合</w:t>
            </w:r>
          </w:p>
        </w:tc>
      </w:tr>
    </w:tbl>
    <w:p>
      <w:pPr>
        <w:spacing w:line="360" w:lineRule="auto"/>
        <w:ind w:firstLine="480" w:firstLineChars="200"/>
        <w:rPr>
          <w:rFonts w:ascii="Times New Roman" w:hAnsi="Times New Roman" w:cs="Times New Roman"/>
        </w:rPr>
        <w:sectPr>
          <w:pgSz w:w="16840" w:h="11907" w:orient="landscape"/>
          <w:pgMar w:top="1134" w:right="1134" w:bottom="1134" w:left="1134" w:header="964" w:footer="851" w:gutter="0"/>
          <w:cols w:space="720" w:num="1"/>
          <w:docGrid w:linePitch="297" w:charSpace="200"/>
        </w:sectPr>
      </w:pPr>
    </w:p>
    <w:p>
      <w:pPr>
        <w:pStyle w:val="4"/>
        <w:rPr>
          <w:rFonts w:ascii="Times New Roman" w:hAnsi="Times New Roman" w:cs="Times New Roman"/>
        </w:rPr>
      </w:pPr>
      <w:bookmarkStart w:id="674" w:name="_Toc144236901"/>
      <w:bookmarkStart w:id="675" w:name="_Toc144277031"/>
      <w:bookmarkStart w:id="676" w:name="_Toc147848149"/>
      <w:r>
        <w:rPr>
          <w:rFonts w:ascii="Times New Roman" w:hAnsi="Times New Roman" w:cs="Times New Roman"/>
        </w:rPr>
        <w:t>11.3.7与《“十三五”挥发性有机物污染防治工作方案》环大气[2017]121 号相符性分析</w:t>
      </w:r>
      <w:bookmarkEnd w:id="674"/>
      <w:bookmarkEnd w:id="675"/>
      <w:bookmarkEnd w:id="676"/>
    </w:p>
    <w:p>
      <w:pPr>
        <w:spacing w:line="360" w:lineRule="auto"/>
        <w:ind w:firstLine="480" w:firstLineChars="200"/>
        <w:rPr>
          <w:rFonts w:ascii="Times New Roman" w:hAnsi="Times New Roman" w:cs="Times New Roman"/>
        </w:rPr>
      </w:pPr>
      <w:r>
        <w:rPr>
          <w:rFonts w:ascii="Times New Roman" w:hAnsi="Times New Roman" w:cs="Times New Roman"/>
        </w:rPr>
        <w:t>本项目与《“十三五”挥发性有机物污染防治工作方案》环大气[2017]121 号相符性分析见下表。</w:t>
      </w:r>
    </w:p>
    <w:p>
      <w:pPr>
        <w:pStyle w:val="6"/>
        <w:rPr>
          <w:rFonts w:ascii="Times New Roman" w:hAnsi="Times New Roman" w:cs="Times New Roman"/>
        </w:rPr>
      </w:pPr>
      <w:r>
        <w:rPr>
          <w:rFonts w:ascii="Times New Roman" w:hAnsi="Times New Roman" w:cs="Times New Roman"/>
        </w:rPr>
        <w:t>表 11.3-7  与《“十三五”挥发性有机物污染防治工作方案》相符性分析</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92"/>
        <w:gridCol w:w="4589"/>
        <w:gridCol w:w="2513"/>
        <w:gridCol w:w="74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95" w:type="pct"/>
            <w:shd w:val="clear" w:color="auto" w:fill="auto"/>
            <w:vAlign w:val="center"/>
          </w:tcPr>
          <w:p>
            <w:pPr>
              <w:pStyle w:val="63"/>
            </w:pPr>
            <w:r>
              <w:t>序号</w:t>
            </w:r>
          </w:p>
        </w:tc>
        <w:tc>
          <w:tcPr>
            <w:tcW w:w="2750" w:type="pct"/>
            <w:shd w:val="clear" w:color="auto" w:fill="auto"/>
            <w:vAlign w:val="center"/>
          </w:tcPr>
          <w:p>
            <w:pPr>
              <w:pStyle w:val="63"/>
            </w:pPr>
            <w:r>
              <w:t>相关要求</w:t>
            </w:r>
          </w:p>
        </w:tc>
        <w:tc>
          <w:tcPr>
            <w:tcW w:w="1506" w:type="pct"/>
            <w:shd w:val="clear" w:color="auto" w:fill="auto"/>
            <w:vAlign w:val="center"/>
          </w:tcPr>
          <w:p>
            <w:pPr>
              <w:pStyle w:val="63"/>
            </w:pPr>
            <w:r>
              <w:t>符合性分析</w:t>
            </w:r>
          </w:p>
        </w:tc>
        <w:tc>
          <w:tcPr>
            <w:tcW w:w="449" w:type="pct"/>
            <w:shd w:val="clear" w:color="auto" w:fill="auto"/>
            <w:vAlign w:val="center"/>
          </w:tcPr>
          <w:p>
            <w:pPr>
              <w:pStyle w:val="63"/>
            </w:pPr>
            <w:r>
              <w:t>符合性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95" w:type="pct"/>
            <w:vMerge w:val="restart"/>
            <w:shd w:val="clear" w:color="auto" w:fill="auto"/>
            <w:vAlign w:val="center"/>
          </w:tcPr>
          <w:p>
            <w:pPr>
              <w:pStyle w:val="63"/>
            </w:pPr>
            <w:r>
              <w:t>1</w:t>
            </w:r>
          </w:p>
        </w:tc>
        <w:tc>
          <w:tcPr>
            <w:tcW w:w="2750" w:type="pct"/>
            <w:shd w:val="clear" w:color="auto" w:fill="auto"/>
            <w:vAlign w:val="center"/>
          </w:tcPr>
          <w:p>
            <w:pPr>
              <w:pStyle w:val="63"/>
            </w:pPr>
            <w:r>
              <w:t>（1）严格建设项目环境准入。提高 VOCs 排放重点行业环保准入门槛，严格控制新增污染物排放量。重点地区要严格限制石化、化工、包装印刷、工业涂装等高 VOCs 排放建设项目。严格涉 VOCs 建设项目环境影响评价，实行区域内 VOCs 排放等量或倍量削减替代，并将替代方案落实到企业排污许可证中，纳入环境执法管理。新、改、扩建涉VOCs 排放项目，应从源头加强控制，使用低（无）VOCs 含量的原辅材料，加强废气收集，安装高效治理设施。</w:t>
            </w:r>
          </w:p>
        </w:tc>
        <w:tc>
          <w:tcPr>
            <w:tcW w:w="1506" w:type="pct"/>
            <w:vMerge w:val="restart"/>
            <w:shd w:val="clear" w:color="auto" w:fill="auto"/>
            <w:vAlign w:val="center"/>
          </w:tcPr>
          <w:p>
            <w:pPr>
              <w:pStyle w:val="63"/>
            </w:pPr>
            <w:r>
              <w:t>湖南省不属于“方案”中确定的16个重点地区之一，本项目位于湖南衡东经济开发区。废旧锂离子电池回收预处理过程中产生的破碎、热解、筛分废气产生的有机废气进入焚烧炉高温焚烧后排放；萃取工序过程中产生的有机废气经可再生活性炭吸附系统处理后达标排放。</w:t>
            </w:r>
          </w:p>
        </w:tc>
        <w:tc>
          <w:tcPr>
            <w:tcW w:w="449"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295" w:type="pct"/>
            <w:vMerge w:val="continue"/>
            <w:shd w:val="clear" w:color="auto" w:fill="auto"/>
            <w:vAlign w:val="center"/>
          </w:tcPr>
          <w:p>
            <w:pPr>
              <w:pStyle w:val="63"/>
            </w:pPr>
          </w:p>
        </w:tc>
        <w:tc>
          <w:tcPr>
            <w:tcW w:w="2750" w:type="pct"/>
            <w:shd w:val="clear" w:color="auto" w:fill="auto"/>
            <w:vAlign w:val="center"/>
          </w:tcPr>
          <w:p>
            <w:pPr>
              <w:pStyle w:val="63"/>
            </w:pPr>
            <w:r>
              <w:t>（2）因地制宜推进其他工业行业 VOCs 综合治理。各地应结合本地产业结构特征和VOCs 治理重点，因地制宜选择其他工业行业开展 VOCs 治理。</w:t>
            </w:r>
          </w:p>
        </w:tc>
        <w:tc>
          <w:tcPr>
            <w:tcW w:w="1506" w:type="pct"/>
            <w:vMerge w:val="continue"/>
            <w:shd w:val="clear" w:color="auto" w:fill="auto"/>
            <w:vAlign w:val="center"/>
          </w:tcPr>
          <w:p>
            <w:pPr>
              <w:pStyle w:val="63"/>
            </w:pPr>
          </w:p>
        </w:tc>
        <w:tc>
          <w:tcPr>
            <w:tcW w:w="449" w:type="pct"/>
            <w:shd w:val="clear" w:color="auto" w:fill="auto"/>
            <w:vAlign w:val="center"/>
          </w:tcPr>
          <w:p>
            <w:pPr>
              <w:pStyle w:val="63"/>
            </w:pPr>
            <w:r>
              <w:t>符合</w:t>
            </w:r>
          </w:p>
        </w:tc>
      </w:tr>
    </w:tbl>
    <w:p>
      <w:pPr>
        <w:pStyle w:val="4"/>
        <w:rPr>
          <w:rFonts w:ascii="Times New Roman" w:hAnsi="Times New Roman" w:cs="Times New Roman"/>
        </w:rPr>
      </w:pPr>
      <w:bookmarkStart w:id="677" w:name="_Toc144277032"/>
      <w:bookmarkStart w:id="678" w:name="_Toc147848150"/>
      <w:bookmarkStart w:id="679" w:name="_Toc144236902"/>
      <w:r>
        <w:rPr>
          <w:rFonts w:ascii="Times New Roman" w:hAnsi="Times New Roman" w:cs="Times New Roman"/>
        </w:rPr>
        <w:t>11.3.8与《工业炉窑大气污染综合治理方案》环大气[2019]56 号相符性分析</w:t>
      </w:r>
      <w:bookmarkEnd w:id="677"/>
      <w:bookmarkEnd w:id="678"/>
      <w:bookmarkEnd w:id="679"/>
    </w:p>
    <w:p>
      <w:pPr>
        <w:spacing w:line="360" w:lineRule="auto"/>
        <w:ind w:firstLine="480" w:firstLineChars="200"/>
        <w:rPr>
          <w:rFonts w:ascii="Times New Roman" w:hAnsi="Times New Roman" w:cs="Times New Roman"/>
        </w:rPr>
      </w:pPr>
      <w:r>
        <w:rPr>
          <w:rFonts w:ascii="Times New Roman" w:hAnsi="Times New Roman" w:cs="Times New Roman"/>
        </w:rPr>
        <w:t>本项目与《工业炉窑大气污染综合治理方案》环大气[2019]56 号相符性分析见下表。</w:t>
      </w:r>
    </w:p>
    <w:p>
      <w:pPr>
        <w:pStyle w:val="6"/>
        <w:rPr>
          <w:rFonts w:ascii="Times New Roman" w:hAnsi="Times New Roman" w:cs="Times New Roman"/>
        </w:rPr>
      </w:pPr>
      <w:r>
        <w:rPr>
          <w:rFonts w:ascii="Times New Roman" w:hAnsi="Times New Roman" w:cs="Times New Roman"/>
        </w:rPr>
        <w:t>表 11.3-8  与《工业炉窑大气污染综合治理方案》相符性分析</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80"/>
        <w:gridCol w:w="4397"/>
        <w:gridCol w:w="2695"/>
        <w:gridCol w:w="67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8" w:type="pct"/>
            <w:shd w:val="clear" w:color="auto" w:fill="auto"/>
            <w:vAlign w:val="center"/>
          </w:tcPr>
          <w:p>
            <w:pPr>
              <w:pStyle w:val="63"/>
            </w:pPr>
            <w:r>
              <w:t>序号</w:t>
            </w:r>
          </w:p>
        </w:tc>
        <w:tc>
          <w:tcPr>
            <w:tcW w:w="2635" w:type="pct"/>
            <w:shd w:val="clear" w:color="auto" w:fill="auto"/>
            <w:vAlign w:val="center"/>
          </w:tcPr>
          <w:p>
            <w:pPr>
              <w:pStyle w:val="63"/>
            </w:pPr>
            <w:r>
              <w:t>相关要求</w:t>
            </w:r>
          </w:p>
        </w:tc>
        <w:tc>
          <w:tcPr>
            <w:tcW w:w="1615" w:type="pct"/>
            <w:shd w:val="clear" w:color="auto" w:fill="auto"/>
            <w:vAlign w:val="center"/>
          </w:tcPr>
          <w:p>
            <w:pPr>
              <w:pStyle w:val="63"/>
            </w:pPr>
            <w:r>
              <w:t>符合性分析</w:t>
            </w:r>
          </w:p>
        </w:tc>
        <w:tc>
          <w:tcPr>
            <w:tcW w:w="402" w:type="pct"/>
            <w:shd w:val="clear" w:color="auto" w:fill="auto"/>
            <w:vAlign w:val="center"/>
          </w:tcPr>
          <w:p>
            <w:pPr>
              <w:pStyle w:val="63"/>
            </w:pPr>
            <w:r>
              <w:t>符合性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8" w:type="pct"/>
            <w:shd w:val="clear" w:color="auto" w:fill="auto"/>
            <w:vAlign w:val="center"/>
          </w:tcPr>
          <w:p>
            <w:pPr>
              <w:pStyle w:val="63"/>
            </w:pPr>
            <w:r>
              <w:t>1</w:t>
            </w:r>
          </w:p>
        </w:tc>
        <w:tc>
          <w:tcPr>
            <w:tcW w:w="2635" w:type="pct"/>
            <w:shd w:val="clear" w:color="auto" w:fill="auto"/>
            <w:vAlign w:val="center"/>
          </w:tcPr>
          <w:p>
            <w:pPr>
              <w:pStyle w:val="63"/>
            </w:pPr>
            <w:r>
              <w:t>加大产业结构调整力度。严格建设项目环境准入。新建涉工业炉窑的建设项目，原则上要入园区，配套建设高效环保治理设施。重点区域严格控制涉工业炉窑建设项目，严禁新增钢铁、焦化、电解铝、铸造、水泥和平板玻璃等产能；严格执行钢铁、水泥、平板玻璃等行业产能置换实施办法；原则上禁止新建燃料类煤气发生炉</w:t>
            </w:r>
          </w:p>
        </w:tc>
        <w:tc>
          <w:tcPr>
            <w:tcW w:w="1615" w:type="pct"/>
            <w:shd w:val="clear" w:color="auto" w:fill="auto"/>
            <w:vAlign w:val="center"/>
          </w:tcPr>
          <w:p>
            <w:pPr>
              <w:pStyle w:val="63"/>
            </w:pPr>
            <w:r>
              <w:t>本项目位于湖南衡东经济开发区。项目为废旧锂电池回收项目，不属于钢铁、水泥、平板玻璃等产能过剩行业。</w:t>
            </w:r>
          </w:p>
        </w:tc>
        <w:tc>
          <w:tcPr>
            <w:tcW w:w="402"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8" w:type="pct"/>
            <w:shd w:val="clear" w:color="auto" w:fill="auto"/>
            <w:vAlign w:val="center"/>
          </w:tcPr>
          <w:p>
            <w:pPr>
              <w:pStyle w:val="63"/>
            </w:pPr>
          </w:p>
        </w:tc>
        <w:tc>
          <w:tcPr>
            <w:tcW w:w="2635" w:type="pct"/>
            <w:shd w:val="clear" w:color="auto" w:fill="auto"/>
            <w:vAlign w:val="center"/>
          </w:tcPr>
          <w:p>
            <w:pPr>
              <w:pStyle w:val="63"/>
            </w:pPr>
            <w:r>
              <w:t>加快燃料清洁低碳化替代。对以煤、石油焦、渣油、重油等为燃料的工业炉窑，加快使用清洁低碳能源以及利用工厂余热、电厂热力等进行替代。重点区域禁止掺烧高硫石油焦（硫含量大于 3%）。玻璃行业全面禁止掺烧高硫石油焦。加大煤气发生炉淘汰力度。2020 年年底前，重点区域淘汰炉膛直径 3 米以下燃料类煤气发生炉；集中使用煤气发生炉的工业园区，暂不具备改用天然气条件的，原则上应建设统一的清洁煤制气中心。加快淘汰燃煤工业炉窑。重点区域取缔燃煤热风炉，基本淘汰热电联产供热管网覆盖范围内的燃煤加热、烘干炉（窑）。加快推动铸造（10 吨/小时及以下）、岩棉等行业冲天炉改为电炉。</w:t>
            </w:r>
          </w:p>
        </w:tc>
        <w:tc>
          <w:tcPr>
            <w:tcW w:w="1615" w:type="pct"/>
            <w:vMerge w:val="restart"/>
            <w:shd w:val="clear" w:color="auto" w:fill="auto"/>
            <w:vAlign w:val="center"/>
          </w:tcPr>
          <w:p>
            <w:pPr>
              <w:pStyle w:val="63"/>
            </w:pPr>
            <w:r>
              <w:t>本项目热解炉不属于涉及以煤、石油焦、渣油、重油等为燃料的工业炉窑。热解炉产生的颗粒物、二氧化硫和氮氧化物可满足《工业炉窑大气污染综合治理方案》（环大气〔2019〕56 ）中颗粒物、二氧化硫、氮氧化物排放限值分别不高于 30、200、300 毫克/立方米的标准要求。</w:t>
            </w:r>
          </w:p>
        </w:tc>
        <w:tc>
          <w:tcPr>
            <w:tcW w:w="402"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8" w:type="pct"/>
            <w:shd w:val="clear" w:color="auto" w:fill="auto"/>
            <w:vAlign w:val="center"/>
          </w:tcPr>
          <w:p>
            <w:pPr>
              <w:pStyle w:val="63"/>
            </w:pPr>
          </w:p>
        </w:tc>
        <w:tc>
          <w:tcPr>
            <w:tcW w:w="2635" w:type="pct"/>
            <w:shd w:val="clear" w:color="auto" w:fill="auto"/>
            <w:vAlign w:val="center"/>
          </w:tcPr>
          <w:p>
            <w:pPr>
              <w:pStyle w:val="63"/>
            </w:pPr>
            <w:r>
              <w:t>实施污染深度治理。推进工业炉窑全面达标排放。已有行业排放标准的工业炉窑），严格执行行业排放标准相关规定，配套建设高效脱硫脱硝除尘设施，确保稳定达标排放。已制定更严格地方排放标准的，按地方标准执行。重点区域钢铁、水泥、焦化、石化、化工、有色等行业，二氧化硫、氮氧化物、颗粒物、挥发性有机物（VOCs）排放全面执行大气污染物特别排放限值。已核发排污许可证的，应严格执行许可要求</w:t>
            </w:r>
          </w:p>
        </w:tc>
        <w:tc>
          <w:tcPr>
            <w:tcW w:w="1615" w:type="pct"/>
            <w:vMerge w:val="continue"/>
            <w:shd w:val="clear" w:color="auto" w:fill="auto"/>
            <w:vAlign w:val="center"/>
          </w:tcPr>
          <w:p>
            <w:pPr>
              <w:pStyle w:val="63"/>
            </w:pPr>
          </w:p>
        </w:tc>
        <w:tc>
          <w:tcPr>
            <w:tcW w:w="402"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48" w:type="pct"/>
            <w:shd w:val="clear" w:color="auto" w:fill="auto"/>
            <w:vAlign w:val="center"/>
          </w:tcPr>
          <w:p>
            <w:pPr>
              <w:pStyle w:val="63"/>
            </w:pPr>
          </w:p>
        </w:tc>
        <w:tc>
          <w:tcPr>
            <w:tcW w:w="2635" w:type="pct"/>
            <w:shd w:val="clear" w:color="auto" w:fill="auto"/>
            <w:vAlign w:val="center"/>
          </w:tcPr>
          <w:p>
            <w:pPr>
              <w:pStyle w:val="63"/>
            </w:pPr>
            <w:r>
              <w:t>全面加强无组织排放管理。严格控制工业炉窑生产工艺过程及相关物料储存、输送等无组织排放，在保障生产安全的前提下，采取密闭、封闭等有效措施，有效提高废气收集率，产尘点及车间不得有可见烟粉尘外逸。生产工艺产尘点（装置）应采取密闭、封闭或设置集气罩等措施。煤粉、粉煤灰、石灰、除尘灰、脱硫灰等粉状物料应密闭或封闭储存，采用密闭皮带、封闭通廊、管状带式输送机或密闭车厢、真空罐车、气力输送等方式输送。粒状、块状物料应采用入棚入仓或建设防风抑尘网等方式进行储存，粒状物料采用密闭、封闭等方式输送。物料输送过程中产尘点应采取有效抑尘措施</w:t>
            </w:r>
          </w:p>
        </w:tc>
        <w:tc>
          <w:tcPr>
            <w:tcW w:w="1615" w:type="pct"/>
            <w:shd w:val="clear" w:color="auto" w:fill="auto"/>
            <w:vAlign w:val="center"/>
          </w:tcPr>
          <w:p>
            <w:pPr>
              <w:pStyle w:val="63"/>
            </w:pPr>
            <w:r>
              <w:t>本项目热解炉物料由密闭管道进行输送</w:t>
            </w:r>
          </w:p>
        </w:tc>
        <w:tc>
          <w:tcPr>
            <w:tcW w:w="402" w:type="pct"/>
            <w:shd w:val="clear" w:color="auto" w:fill="auto"/>
            <w:vAlign w:val="center"/>
          </w:tcPr>
          <w:p>
            <w:pPr>
              <w:pStyle w:val="63"/>
            </w:pPr>
            <w:r>
              <w:t>符合</w:t>
            </w:r>
          </w:p>
        </w:tc>
      </w:tr>
    </w:tbl>
    <w:p>
      <w:pPr>
        <w:pStyle w:val="4"/>
        <w:rPr>
          <w:rFonts w:ascii="Times New Roman" w:hAnsi="Times New Roman" w:cs="Times New Roman"/>
        </w:rPr>
      </w:pPr>
      <w:bookmarkStart w:id="680" w:name="_Toc147848151"/>
      <w:bookmarkStart w:id="681" w:name="_Toc144236903"/>
      <w:bookmarkStart w:id="682" w:name="_Toc144277033"/>
      <w:r>
        <w:rPr>
          <w:rFonts w:ascii="Times New Roman" w:hAnsi="Times New Roman" w:cs="Times New Roman"/>
        </w:rPr>
        <w:t>11.3.9与</w:t>
      </w:r>
      <w:r>
        <w:rPr>
          <w:rFonts w:ascii="Times New Roman" w:hAnsi="Times New Roman" w:cs="Times New Roman"/>
          <w:lang w:bidi="en-US"/>
        </w:rPr>
        <w:t>《车用动力电池回收利用拆解规范》</w:t>
      </w:r>
      <w:r>
        <w:rPr>
          <w:rFonts w:ascii="Times New Roman" w:hAnsi="Times New Roman" w:cs="Times New Roman"/>
        </w:rPr>
        <w:t>相符性相符性分析</w:t>
      </w:r>
      <w:bookmarkEnd w:id="680"/>
      <w:bookmarkEnd w:id="681"/>
      <w:bookmarkEnd w:id="682"/>
    </w:p>
    <w:p>
      <w:pPr>
        <w:spacing w:line="360" w:lineRule="auto"/>
        <w:ind w:firstLine="480" w:firstLineChars="200"/>
        <w:rPr>
          <w:rFonts w:ascii="Times New Roman" w:hAnsi="Times New Roman" w:cs="Times New Roman"/>
        </w:rPr>
      </w:pPr>
      <w:r>
        <w:rPr>
          <w:rFonts w:ascii="Times New Roman" w:hAnsi="Times New Roman" w:cs="Times New Roman"/>
        </w:rPr>
        <w:t>本项目与《车用动力电池回收利用拆解规范》（GB/T33598-2017）符合性分析详见下表。</w:t>
      </w:r>
    </w:p>
    <w:p>
      <w:pPr>
        <w:pStyle w:val="6"/>
        <w:rPr>
          <w:rFonts w:ascii="Times New Roman" w:hAnsi="Times New Roman" w:cs="Times New Roman"/>
        </w:rPr>
      </w:pPr>
      <w:r>
        <w:rPr>
          <w:rFonts w:ascii="Times New Roman" w:hAnsi="Times New Roman" w:cs="Times New Roman"/>
        </w:rPr>
        <w:t>表11.3-9  《车用动力电池回收利用拆解规范》符合性分析</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3579"/>
        <w:gridCol w:w="3625"/>
        <w:gridCol w:w="6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 w:type="pct"/>
            <w:shd w:val="clear" w:color="auto" w:fill="auto"/>
            <w:vAlign w:val="center"/>
          </w:tcPr>
          <w:p>
            <w:pPr>
              <w:pStyle w:val="63"/>
              <w:rPr>
                <w:lang w:bidi="en-US"/>
              </w:rPr>
            </w:pPr>
            <w:r>
              <w:rPr>
                <w:lang w:bidi="en-US"/>
              </w:rPr>
              <w:t>序号</w:t>
            </w:r>
          </w:p>
        </w:tc>
        <w:tc>
          <w:tcPr>
            <w:tcW w:w="2098" w:type="pct"/>
            <w:shd w:val="clear" w:color="auto" w:fill="auto"/>
            <w:vAlign w:val="center"/>
          </w:tcPr>
          <w:p>
            <w:pPr>
              <w:pStyle w:val="63"/>
              <w:rPr>
                <w:lang w:bidi="en-US"/>
              </w:rPr>
            </w:pPr>
            <w:r>
              <w:rPr>
                <w:lang w:bidi="en-US"/>
              </w:rPr>
              <w:t>行业规范要求</w:t>
            </w:r>
          </w:p>
        </w:tc>
        <w:tc>
          <w:tcPr>
            <w:tcW w:w="2125" w:type="pct"/>
            <w:shd w:val="clear" w:color="auto" w:fill="auto"/>
            <w:vAlign w:val="center"/>
          </w:tcPr>
          <w:p>
            <w:pPr>
              <w:pStyle w:val="63"/>
              <w:rPr>
                <w:lang w:bidi="en-US"/>
              </w:rPr>
            </w:pPr>
            <w:r>
              <w:rPr>
                <w:lang w:bidi="en-US"/>
              </w:rPr>
              <w:t>本项目</w:t>
            </w:r>
          </w:p>
        </w:tc>
        <w:tc>
          <w:tcPr>
            <w:tcW w:w="398" w:type="pct"/>
            <w:shd w:val="clear" w:color="auto" w:fill="auto"/>
            <w:vAlign w:val="center"/>
          </w:tcPr>
          <w:p>
            <w:pPr>
              <w:pStyle w:val="63"/>
              <w:rPr>
                <w:lang w:bidi="en-US"/>
              </w:rPr>
            </w:pPr>
            <w:r>
              <w:rPr>
                <w:lang w:bidi="en-US"/>
              </w:rPr>
              <w:t>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2" w:type="pct"/>
            <w:gridSpan w:val="3"/>
            <w:shd w:val="clear" w:color="auto" w:fill="auto"/>
            <w:vAlign w:val="center"/>
          </w:tcPr>
          <w:p>
            <w:pPr>
              <w:pStyle w:val="63"/>
              <w:rPr>
                <w:lang w:bidi="en-US"/>
              </w:rPr>
            </w:pPr>
            <w:r>
              <w:rPr>
                <w:lang w:bidi="en-US"/>
              </w:rPr>
              <w:t>一、一般要求</w:t>
            </w:r>
          </w:p>
        </w:tc>
        <w:tc>
          <w:tcPr>
            <w:tcW w:w="398" w:type="pct"/>
            <w:shd w:val="clear" w:color="auto" w:fill="auto"/>
            <w:vAlign w:val="center"/>
          </w:tcPr>
          <w:p>
            <w:pPr>
              <w:pStyle w:val="63"/>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 w:type="pct"/>
            <w:shd w:val="clear" w:color="auto" w:fill="auto"/>
            <w:vAlign w:val="center"/>
          </w:tcPr>
          <w:p>
            <w:pPr>
              <w:pStyle w:val="63"/>
              <w:rPr>
                <w:lang w:bidi="en-US"/>
              </w:rPr>
            </w:pPr>
            <w:r>
              <w:rPr>
                <w:lang w:bidi="en-US"/>
              </w:rPr>
              <w:t>1</w:t>
            </w:r>
          </w:p>
        </w:tc>
        <w:tc>
          <w:tcPr>
            <w:tcW w:w="2098" w:type="pct"/>
            <w:shd w:val="clear" w:color="auto" w:fill="auto"/>
            <w:vAlign w:val="center"/>
          </w:tcPr>
          <w:p>
            <w:pPr>
              <w:pStyle w:val="63"/>
              <w:rPr>
                <w:lang w:bidi="en-US"/>
              </w:rPr>
            </w:pPr>
            <w:r>
              <w:rPr>
                <w:lang w:bidi="en-US"/>
              </w:rPr>
              <w:t>回收、拆解企业应具有国家法律法规规定的相关资质，应按照生产企业提供的拆解信息或拆解手册，制定拆解作业程序或拆解作业指导书，进行安全拆解</w:t>
            </w:r>
          </w:p>
        </w:tc>
        <w:tc>
          <w:tcPr>
            <w:tcW w:w="2125" w:type="pct"/>
            <w:shd w:val="clear" w:color="auto" w:fill="auto"/>
            <w:vAlign w:val="center"/>
          </w:tcPr>
          <w:p>
            <w:pPr>
              <w:pStyle w:val="63"/>
              <w:rPr>
                <w:lang w:bidi="en-US"/>
              </w:rPr>
            </w:pPr>
            <w:r>
              <w:rPr>
                <w:lang w:bidi="en-US"/>
              </w:rPr>
              <w:t>建设单位为专业从事废旧锂电池回收利用的企业，具有相应的资质，项目建成后将制定电池包（模组）拆解作业程序，进行安全拆解</w:t>
            </w:r>
          </w:p>
        </w:tc>
        <w:tc>
          <w:tcPr>
            <w:tcW w:w="398" w:type="pct"/>
            <w:shd w:val="clear" w:color="auto" w:fill="auto"/>
            <w:vAlign w:val="center"/>
          </w:tcPr>
          <w:p>
            <w:pPr>
              <w:pStyle w:val="63"/>
              <w:rPr>
                <w:lang w:bidi="en-US"/>
              </w:rPr>
            </w:pPr>
            <w:r>
              <w:rPr>
                <w:lang w:bidi="en-US"/>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 w:type="pct"/>
            <w:shd w:val="clear" w:color="auto" w:fill="auto"/>
            <w:vAlign w:val="center"/>
          </w:tcPr>
          <w:p>
            <w:pPr>
              <w:pStyle w:val="63"/>
              <w:rPr>
                <w:lang w:bidi="en-US"/>
              </w:rPr>
            </w:pPr>
            <w:r>
              <w:rPr>
                <w:lang w:bidi="en-US"/>
              </w:rPr>
              <w:t>2</w:t>
            </w:r>
          </w:p>
        </w:tc>
        <w:tc>
          <w:tcPr>
            <w:tcW w:w="2098" w:type="pct"/>
            <w:shd w:val="clear" w:color="auto" w:fill="auto"/>
            <w:vAlign w:val="center"/>
          </w:tcPr>
          <w:p>
            <w:pPr>
              <w:pStyle w:val="63"/>
              <w:rPr>
                <w:lang w:bidi="en-US"/>
              </w:rPr>
            </w:pPr>
            <w:r>
              <w:rPr>
                <w:lang w:bidi="en-US"/>
              </w:rPr>
              <w:t>拆解企业宜采用机械或自动化拆解方式，以提高拆解效率及安全性</w:t>
            </w:r>
          </w:p>
        </w:tc>
        <w:tc>
          <w:tcPr>
            <w:tcW w:w="2125" w:type="pct"/>
            <w:shd w:val="clear" w:color="auto" w:fill="auto"/>
            <w:vAlign w:val="center"/>
          </w:tcPr>
          <w:p>
            <w:pPr>
              <w:pStyle w:val="63"/>
              <w:rPr>
                <w:lang w:bidi="en-US"/>
              </w:rPr>
            </w:pPr>
            <w:r>
              <w:rPr>
                <w:lang w:bidi="en-US"/>
              </w:rPr>
              <w:t>本项目废旧动力电池包（模组）的拆解采用自动化结合人工方式拆解</w:t>
            </w:r>
          </w:p>
        </w:tc>
        <w:tc>
          <w:tcPr>
            <w:tcW w:w="398" w:type="pct"/>
            <w:shd w:val="clear" w:color="auto" w:fill="auto"/>
            <w:vAlign w:val="center"/>
          </w:tcPr>
          <w:p>
            <w:pPr>
              <w:pStyle w:val="63"/>
              <w:rPr>
                <w:lang w:bidi="en-US"/>
              </w:rPr>
            </w:pPr>
            <w:r>
              <w:rPr>
                <w:lang w:bidi="en-US"/>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 w:type="pct"/>
            <w:shd w:val="clear" w:color="auto" w:fill="auto"/>
            <w:vAlign w:val="center"/>
          </w:tcPr>
          <w:p>
            <w:pPr>
              <w:pStyle w:val="63"/>
              <w:rPr>
                <w:lang w:bidi="en-US"/>
              </w:rPr>
            </w:pPr>
            <w:r>
              <w:rPr>
                <w:lang w:bidi="en-US"/>
              </w:rPr>
              <w:t>3</w:t>
            </w:r>
          </w:p>
        </w:tc>
        <w:tc>
          <w:tcPr>
            <w:tcW w:w="2098" w:type="pct"/>
            <w:shd w:val="clear" w:color="auto" w:fill="auto"/>
            <w:vAlign w:val="center"/>
          </w:tcPr>
          <w:p>
            <w:pPr>
              <w:pStyle w:val="63"/>
              <w:rPr>
                <w:lang w:bidi="en-US"/>
              </w:rPr>
            </w:pPr>
            <w:r>
              <w:rPr>
                <w:lang w:bidi="en-US"/>
              </w:rPr>
              <w:t>拆解作业人员中，需持有相应的职业资格证书，如电工证等。</w:t>
            </w:r>
          </w:p>
        </w:tc>
        <w:tc>
          <w:tcPr>
            <w:tcW w:w="2125" w:type="pct"/>
            <w:shd w:val="clear" w:color="auto" w:fill="auto"/>
            <w:vAlign w:val="center"/>
          </w:tcPr>
          <w:p>
            <w:pPr>
              <w:pStyle w:val="63"/>
              <w:rPr>
                <w:lang w:bidi="en-US"/>
              </w:rPr>
            </w:pPr>
            <w:r>
              <w:rPr>
                <w:lang w:bidi="en-US"/>
              </w:rPr>
              <w:t>项目建成后相关拆解作业人员经内部专业培训考核后持证上岗</w:t>
            </w:r>
          </w:p>
        </w:tc>
        <w:tc>
          <w:tcPr>
            <w:tcW w:w="398" w:type="pct"/>
            <w:shd w:val="clear" w:color="auto" w:fill="auto"/>
            <w:vAlign w:val="center"/>
          </w:tcPr>
          <w:p>
            <w:pPr>
              <w:pStyle w:val="63"/>
              <w:rPr>
                <w:lang w:bidi="en-US"/>
              </w:rPr>
            </w:pPr>
            <w:r>
              <w:rPr>
                <w:lang w:bidi="en-US"/>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02" w:type="pct"/>
            <w:gridSpan w:val="3"/>
            <w:shd w:val="clear" w:color="auto" w:fill="auto"/>
            <w:vAlign w:val="center"/>
          </w:tcPr>
          <w:p>
            <w:pPr>
              <w:pStyle w:val="63"/>
              <w:rPr>
                <w:lang w:bidi="en-US"/>
              </w:rPr>
            </w:pPr>
            <w:r>
              <w:rPr>
                <w:lang w:bidi="en-US"/>
              </w:rPr>
              <w:t>二、装备要求</w:t>
            </w:r>
          </w:p>
        </w:tc>
        <w:tc>
          <w:tcPr>
            <w:tcW w:w="398" w:type="pct"/>
            <w:shd w:val="clear" w:color="auto" w:fill="auto"/>
            <w:vAlign w:val="center"/>
          </w:tcPr>
          <w:p>
            <w:pPr>
              <w:pStyle w:val="63"/>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 w:type="pct"/>
            <w:shd w:val="clear" w:color="auto" w:fill="auto"/>
            <w:vAlign w:val="center"/>
          </w:tcPr>
          <w:p>
            <w:pPr>
              <w:pStyle w:val="63"/>
              <w:rPr>
                <w:lang w:bidi="en-US"/>
              </w:rPr>
            </w:pPr>
            <w:r>
              <w:rPr>
                <w:lang w:bidi="en-US"/>
              </w:rPr>
              <w:t>1</w:t>
            </w:r>
          </w:p>
        </w:tc>
        <w:tc>
          <w:tcPr>
            <w:tcW w:w="2098" w:type="pct"/>
            <w:shd w:val="clear" w:color="auto" w:fill="auto"/>
            <w:vAlign w:val="center"/>
          </w:tcPr>
          <w:p>
            <w:pPr>
              <w:pStyle w:val="63"/>
              <w:rPr>
                <w:lang w:bidi="en-US"/>
              </w:rPr>
            </w:pPr>
            <w:r>
              <w:rPr>
                <w:lang w:bidi="en-US"/>
              </w:rPr>
              <w:t>应具备绝缘手套、防机械伤害手套、安全帽、绝缘鞋、防护面罩、防触电绝缘救援钩等安全防护装备</w:t>
            </w:r>
          </w:p>
        </w:tc>
        <w:tc>
          <w:tcPr>
            <w:tcW w:w="2125" w:type="pct"/>
            <w:shd w:val="clear" w:color="auto" w:fill="auto"/>
            <w:vAlign w:val="center"/>
          </w:tcPr>
          <w:p>
            <w:pPr>
              <w:pStyle w:val="63"/>
              <w:rPr>
                <w:lang w:bidi="en-US"/>
              </w:rPr>
            </w:pPr>
            <w:r>
              <w:rPr>
                <w:lang w:bidi="en-US"/>
              </w:rPr>
              <w:t>本项目配备了足够的绝缘手套、安全帽、绝缘鞋、防护面罩等安全防护装备</w:t>
            </w:r>
          </w:p>
        </w:tc>
        <w:tc>
          <w:tcPr>
            <w:tcW w:w="398" w:type="pct"/>
            <w:shd w:val="clear" w:color="auto" w:fill="auto"/>
            <w:vAlign w:val="center"/>
          </w:tcPr>
          <w:p>
            <w:pPr>
              <w:pStyle w:val="63"/>
              <w:rPr>
                <w:lang w:bidi="en-US"/>
              </w:rPr>
            </w:pPr>
            <w:r>
              <w:rPr>
                <w:lang w:bidi="en-US"/>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 w:type="pct"/>
            <w:shd w:val="clear" w:color="auto" w:fill="auto"/>
            <w:vAlign w:val="center"/>
          </w:tcPr>
          <w:p>
            <w:pPr>
              <w:pStyle w:val="63"/>
              <w:rPr>
                <w:lang w:bidi="en-US"/>
              </w:rPr>
            </w:pPr>
            <w:r>
              <w:rPr>
                <w:lang w:bidi="en-US"/>
              </w:rPr>
              <w:t>2</w:t>
            </w:r>
          </w:p>
        </w:tc>
        <w:tc>
          <w:tcPr>
            <w:tcW w:w="2098" w:type="pct"/>
            <w:shd w:val="clear" w:color="auto" w:fill="auto"/>
            <w:vAlign w:val="center"/>
          </w:tcPr>
          <w:p>
            <w:pPr>
              <w:pStyle w:val="63"/>
              <w:rPr>
                <w:lang w:bidi="en-US"/>
              </w:rPr>
            </w:pPr>
            <w:r>
              <w:rPr>
                <w:lang w:bidi="en-US"/>
              </w:rPr>
              <w:t>应配备专业防护罩、专用起吊工具、起吊设备、专用拆解工装台、专用抽排系统、专用取模器、专用模块拆解设备、绝缘套装工具等</w:t>
            </w:r>
          </w:p>
        </w:tc>
        <w:tc>
          <w:tcPr>
            <w:tcW w:w="2125" w:type="pct"/>
            <w:shd w:val="clear" w:color="auto" w:fill="auto"/>
            <w:vAlign w:val="center"/>
          </w:tcPr>
          <w:p>
            <w:pPr>
              <w:pStyle w:val="63"/>
              <w:rPr>
                <w:lang w:bidi="en-US"/>
              </w:rPr>
            </w:pPr>
            <w:r>
              <w:rPr>
                <w:lang w:bidi="en-US"/>
              </w:rPr>
              <w:t>本项目配备了专用防护罩、专用起吊设备、拆解平台、专用模块拆解设备等</w:t>
            </w:r>
          </w:p>
        </w:tc>
        <w:tc>
          <w:tcPr>
            <w:tcW w:w="398" w:type="pct"/>
            <w:shd w:val="clear" w:color="auto" w:fill="auto"/>
            <w:vAlign w:val="center"/>
          </w:tcPr>
          <w:p>
            <w:pPr>
              <w:pStyle w:val="63"/>
              <w:rPr>
                <w:lang w:bidi="en-US"/>
              </w:rPr>
            </w:pPr>
            <w:r>
              <w:rPr>
                <w:lang w:bidi="en-US"/>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379" w:type="pct"/>
            <w:shd w:val="clear" w:color="auto" w:fill="auto"/>
            <w:vAlign w:val="center"/>
          </w:tcPr>
          <w:p>
            <w:pPr>
              <w:pStyle w:val="63"/>
              <w:rPr>
                <w:lang w:bidi="en-US"/>
              </w:rPr>
            </w:pPr>
            <w:r>
              <w:rPr>
                <w:lang w:bidi="en-US"/>
              </w:rPr>
              <w:t>3</w:t>
            </w:r>
          </w:p>
        </w:tc>
        <w:tc>
          <w:tcPr>
            <w:tcW w:w="2098" w:type="pct"/>
            <w:shd w:val="clear" w:color="auto" w:fill="auto"/>
            <w:vAlign w:val="center"/>
          </w:tcPr>
          <w:p>
            <w:pPr>
              <w:pStyle w:val="63"/>
              <w:rPr>
                <w:lang w:bidi="en-US"/>
              </w:rPr>
            </w:pPr>
            <w:r>
              <w:rPr>
                <w:lang w:bidi="en-US"/>
              </w:rPr>
              <w:t>应具备绝缘检测设备，如绝缘电阻测试仪等</w:t>
            </w:r>
          </w:p>
        </w:tc>
        <w:tc>
          <w:tcPr>
            <w:tcW w:w="2125" w:type="pct"/>
            <w:shd w:val="clear" w:color="auto" w:fill="auto"/>
            <w:vAlign w:val="center"/>
          </w:tcPr>
          <w:p>
            <w:pPr>
              <w:pStyle w:val="63"/>
              <w:rPr>
                <w:lang w:bidi="en-US"/>
              </w:rPr>
            </w:pPr>
            <w:r>
              <w:rPr>
                <w:lang w:bidi="en-US"/>
              </w:rPr>
              <w:t>本项目配备了绝缘电阻测试仪等绝缘检测设备</w:t>
            </w:r>
          </w:p>
        </w:tc>
        <w:tc>
          <w:tcPr>
            <w:tcW w:w="398" w:type="pct"/>
            <w:shd w:val="clear" w:color="auto" w:fill="auto"/>
            <w:vAlign w:val="center"/>
          </w:tcPr>
          <w:p>
            <w:pPr>
              <w:pStyle w:val="63"/>
              <w:rPr>
                <w:lang w:bidi="en-US"/>
              </w:rPr>
            </w:pPr>
            <w:r>
              <w:rPr>
                <w:lang w:bidi="en-US"/>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 w:type="pct"/>
            <w:gridSpan w:val="3"/>
            <w:shd w:val="clear" w:color="auto" w:fill="auto"/>
            <w:vAlign w:val="center"/>
          </w:tcPr>
          <w:p>
            <w:pPr>
              <w:pStyle w:val="63"/>
              <w:rPr>
                <w:lang w:bidi="en-US"/>
              </w:rPr>
            </w:pPr>
            <w:r>
              <w:rPr>
                <w:lang w:bidi="en-US"/>
              </w:rPr>
              <w:t>三、场地要求</w:t>
            </w:r>
          </w:p>
        </w:tc>
        <w:tc>
          <w:tcPr>
            <w:tcW w:w="398" w:type="pct"/>
            <w:shd w:val="clear" w:color="auto" w:fill="auto"/>
            <w:vAlign w:val="center"/>
          </w:tcPr>
          <w:p>
            <w:pPr>
              <w:pStyle w:val="63"/>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 w:type="pct"/>
            <w:shd w:val="clear" w:color="auto" w:fill="auto"/>
            <w:vAlign w:val="center"/>
          </w:tcPr>
          <w:p>
            <w:pPr>
              <w:pStyle w:val="63"/>
              <w:rPr>
                <w:lang w:bidi="en-US"/>
              </w:rPr>
            </w:pPr>
            <w:r>
              <w:rPr>
                <w:lang w:bidi="en-US"/>
              </w:rPr>
              <w:t>1</w:t>
            </w:r>
          </w:p>
        </w:tc>
        <w:tc>
          <w:tcPr>
            <w:tcW w:w="2098" w:type="pct"/>
            <w:shd w:val="clear" w:color="auto" w:fill="auto"/>
            <w:vAlign w:val="center"/>
          </w:tcPr>
          <w:p>
            <w:pPr>
              <w:pStyle w:val="63"/>
              <w:rPr>
                <w:lang w:bidi="en-US"/>
              </w:rPr>
            </w:pPr>
            <w:r>
              <w:rPr>
                <w:lang w:bidi="en-US"/>
              </w:rPr>
              <w:t>拆解、存储场地应具备安全防范设施，如消防设施、应急设施等</w:t>
            </w:r>
          </w:p>
        </w:tc>
        <w:tc>
          <w:tcPr>
            <w:tcW w:w="2125" w:type="pct"/>
            <w:shd w:val="clear" w:color="auto" w:fill="auto"/>
            <w:vAlign w:val="center"/>
          </w:tcPr>
          <w:p>
            <w:pPr>
              <w:pStyle w:val="63"/>
              <w:rPr>
                <w:lang w:bidi="en-US"/>
              </w:rPr>
            </w:pPr>
            <w:r>
              <w:rPr>
                <w:lang w:bidi="en-US"/>
              </w:rPr>
              <w:t>项目拆解车间、仓库设计布设了消防栓、灭火器等，厂区设置有应急事故池</w:t>
            </w:r>
          </w:p>
        </w:tc>
        <w:tc>
          <w:tcPr>
            <w:tcW w:w="398" w:type="pct"/>
            <w:shd w:val="clear" w:color="auto" w:fill="auto"/>
            <w:vAlign w:val="center"/>
          </w:tcPr>
          <w:p>
            <w:pPr>
              <w:pStyle w:val="63"/>
              <w:rPr>
                <w:lang w:bidi="en-US"/>
              </w:rPr>
            </w:pPr>
            <w:r>
              <w:rPr>
                <w:lang w:bidi="en-US"/>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 w:type="pct"/>
            <w:shd w:val="clear" w:color="auto" w:fill="auto"/>
            <w:vAlign w:val="center"/>
          </w:tcPr>
          <w:p>
            <w:pPr>
              <w:pStyle w:val="63"/>
              <w:rPr>
                <w:lang w:bidi="en-US"/>
              </w:rPr>
            </w:pPr>
            <w:r>
              <w:rPr>
                <w:lang w:bidi="en-US"/>
              </w:rPr>
              <w:t>2</w:t>
            </w:r>
          </w:p>
        </w:tc>
        <w:tc>
          <w:tcPr>
            <w:tcW w:w="2098" w:type="pct"/>
            <w:shd w:val="clear" w:color="auto" w:fill="auto"/>
            <w:vAlign w:val="center"/>
          </w:tcPr>
          <w:p>
            <w:pPr>
              <w:pStyle w:val="63"/>
              <w:rPr>
                <w:lang w:bidi="en-US"/>
              </w:rPr>
            </w:pPr>
            <w:r>
              <w:rPr>
                <w:lang w:bidi="en-US"/>
              </w:rPr>
              <w:t>拆解、存储场地的地面应硬化并防渗漏，具有环保防范设施，如废水处理系统等</w:t>
            </w:r>
          </w:p>
        </w:tc>
        <w:tc>
          <w:tcPr>
            <w:tcW w:w="2125" w:type="pct"/>
            <w:shd w:val="clear" w:color="auto" w:fill="auto"/>
            <w:vAlign w:val="center"/>
          </w:tcPr>
          <w:p>
            <w:pPr>
              <w:pStyle w:val="63"/>
              <w:rPr>
                <w:lang w:bidi="en-US"/>
              </w:rPr>
            </w:pPr>
            <w:r>
              <w:rPr>
                <w:lang w:bidi="en-US"/>
              </w:rPr>
              <w:t>项目各梯次拆解车间、各电池存储仓库均设计采取了水泥硬化的防渗漏设施</w:t>
            </w:r>
          </w:p>
        </w:tc>
        <w:tc>
          <w:tcPr>
            <w:tcW w:w="398" w:type="pct"/>
            <w:shd w:val="clear" w:color="auto" w:fill="auto"/>
            <w:vAlign w:val="center"/>
          </w:tcPr>
          <w:p>
            <w:pPr>
              <w:pStyle w:val="63"/>
              <w:rPr>
                <w:lang w:bidi="en-US"/>
              </w:rPr>
            </w:pPr>
            <w:r>
              <w:rPr>
                <w:lang w:bidi="en-US"/>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 w:type="pct"/>
            <w:shd w:val="clear" w:color="auto" w:fill="auto"/>
            <w:vAlign w:val="center"/>
          </w:tcPr>
          <w:p>
            <w:pPr>
              <w:pStyle w:val="63"/>
              <w:rPr>
                <w:lang w:bidi="en-US"/>
              </w:rPr>
            </w:pPr>
            <w:r>
              <w:rPr>
                <w:lang w:bidi="en-US"/>
              </w:rPr>
              <w:t>3</w:t>
            </w:r>
          </w:p>
        </w:tc>
        <w:tc>
          <w:tcPr>
            <w:tcW w:w="2098" w:type="pct"/>
            <w:shd w:val="clear" w:color="auto" w:fill="auto"/>
            <w:vAlign w:val="center"/>
          </w:tcPr>
          <w:p>
            <w:pPr>
              <w:pStyle w:val="63"/>
              <w:rPr>
                <w:lang w:bidi="en-US"/>
              </w:rPr>
            </w:pPr>
            <w:r>
              <w:rPr>
                <w:lang w:bidi="en-US"/>
              </w:rPr>
              <w:t>拆解、存储场地内应保持通风干燥、光线良好，并远离居民区</w:t>
            </w:r>
          </w:p>
        </w:tc>
        <w:tc>
          <w:tcPr>
            <w:tcW w:w="2125" w:type="pct"/>
            <w:shd w:val="clear" w:color="auto" w:fill="auto"/>
            <w:vAlign w:val="center"/>
          </w:tcPr>
          <w:p>
            <w:pPr>
              <w:pStyle w:val="63"/>
              <w:rPr>
                <w:lang w:bidi="en-US"/>
              </w:rPr>
            </w:pPr>
            <w:r>
              <w:rPr>
                <w:lang w:bidi="en-US"/>
              </w:rPr>
              <w:t>项目各梯次拆解车间、各电池存储仓库设有通风换气设施</w:t>
            </w:r>
          </w:p>
        </w:tc>
        <w:tc>
          <w:tcPr>
            <w:tcW w:w="398" w:type="pct"/>
            <w:shd w:val="clear" w:color="auto" w:fill="auto"/>
            <w:vAlign w:val="center"/>
          </w:tcPr>
          <w:p>
            <w:pPr>
              <w:pStyle w:val="63"/>
              <w:rPr>
                <w:lang w:bidi="en-US"/>
              </w:rPr>
            </w:pPr>
            <w:r>
              <w:rPr>
                <w:lang w:bidi="en-US"/>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shd w:val="clear" w:color="auto" w:fill="auto"/>
            <w:vAlign w:val="center"/>
          </w:tcPr>
          <w:p>
            <w:pPr>
              <w:pStyle w:val="63"/>
              <w:rPr>
                <w:lang w:bidi="en-US"/>
              </w:rPr>
            </w:pPr>
            <w:r>
              <w:rPr>
                <w:lang w:bidi="en-US"/>
              </w:rPr>
              <w:t>四、安全要求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 w:type="pct"/>
            <w:shd w:val="clear" w:color="auto" w:fill="auto"/>
            <w:vAlign w:val="center"/>
          </w:tcPr>
          <w:p>
            <w:pPr>
              <w:pStyle w:val="63"/>
              <w:rPr>
                <w:lang w:bidi="en-US"/>
              </w:rPr>
            </w:pPr>
            <w:r>
              <w:rPr>
                <w:lang w:bidi="en-US"/>
              </w:rPr>
              <w:t>1</w:t>
            </w:r>
          </w:p>
        </w:tc>
        <w:tc>
          <w:tcPr>
            <w:tcW w:w="2098" w:type="pct"/>
            <w:shd w:val="clear" w:color="auto" w:fill="auto"/>
            <w:vAlign w:val="center"/>
          </w:tcPr>
          <w:p>
            <w:pPr>
              <w:pStyle w:val="63"/>
              <w:rPr>
                <w:lang w:bidi="en-US"/>
              </w:rPr>
            </w:pPr>
            <w:r>
              <w:rPr>
                <w:lang w:bidi="en-US"/>
              </w:rPr>
              <w:t>拆解作业前，应穿戴安全防护装备</w:t>
            </w:r>
          </w:p>
        </w:tc>
        <w:tc>
          <w:tcPr>
            <w:tcW w:w="2125" w:type="pct"/>
            <w:shd w:val="clear" w:color="auto" w:fill="auto"/>
            <w:vAlign w:val="center"/>
          </w:tcPr>
          <w:p>
            <w:pPr>
              <w:pStyle w:val="63"/>
              <w:rPr>
                <w:lang w:bidi="en-US"/>
              </w:rPr>
            </w:pPr>
            <w:r>
              <w:rPr>
                <w:lang w:bidi="en-US"/>
              </w:rPr>
              <w:t>生产过程中拆解作业人员穿戴好安全防护装备后进行拆解作业</w:t>
            </w:r>
          </w:p>
        </w:tc>
        <w:tc>
          <w:tcPr>
            <w:tcW w:w="398" w:type="pct"/>
            <w:shd w:val="clear" w:color="auto" w:fill="auto"/>
            <w:vAlign w:val="center"/>
          </w:tcPr>
          <w:p>
            <w:pPr>
              <w:pStyle w:val="63"/>
              <w:rPr>
                <w:lang w:bidi="en-US"/>
              </w:rPr>
            </w:pPr>
            <w:r>
              <w:rPr>
                <w:lang w:bidi="en-US"/>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 w:type="pct"/>
            <w:shd w:val="clear" w:color="auto" w:fill="auto"/>
            <w:vAlign w:val="center"/>
          </w:tcPr>
          <w:p>
            <w:pPr>
              <w:pStyle w:val="63"/>
              <w:rPr>
                <w:lang w:bidi="en-US"/>
              </w:rPr>
            </w:pPr>
            <w:r>
              <w:rPr>
                <w:lang w:bidi="en-US"/>
              </w:rPr>
              <w:t>2</w:t>
            </w:r>
          </w:p>
        </w:tc>
        <w:tc>
          <w:tcPr>
            <w:tcW w:w="2098" w:type="pct"/>
            <w:shd w:val="clear" w:color="auto" w:fill="auto"/>
            <w:vAlign w:val="center"/>
          </w:tcPr>
          <w:p>
            <w:pPr>
              <w:pStyle w:val="63"/>
              <w:rPr>
                <w:lang w:bidi="en-US"/>
              </w:rPr>
            </w:pPr>
            <w:r>
              <w:rPr>
                <w:lang w:bidi="en-US"/>
              </w:rPr>
              <w:t>切割工序中，应先检查切割设备，固定切割件，并做好防护</w:t>
            </w:r>
          </w:p>
        </w:tc>
        <w:tc>
          <w:tcPr>
            <w:tcW w:w="2125" w:type="pct"/>
            <w:shd w:val="clear" w:color="auto" w:fill="auto"/>
            <w:vAlign w:val="center"/>
          </w:tcPr>
          <w:p>
            <w:pPr>
              <w:pStyle w:val="63"/>
              <w:rPr>
                <w:lang w:bidi="en-US"/>
              </w:rPr>
            </w:pPr>
            <w:r>
              <w:rPr>
                <w:lang w:bidi="en-US"/>
              </w:rPr>
              <w:t>切割过程中严格按照规范进行，并做好安全防护措施</w:t>
            </w:r>
          </w:p>
        </w:tc>
        <w:tc>
          <w:tcPr>
            <w:tcW w:w="398" w:type="pct"/>
            <w:shd w:val="clear" w:color="auto" w:fill="auto"/>
            <w:vAlign w:val="center"/>
          </w:tcPr>
          <w:p>
            <w:pPr>
              <w:pStyle w:val="63"/>
              <w:rPr>
                <w:lang w:bidi="en-US"/>
              </w:rPr>
            </w:pPr>
            <w:r>
              <w:rPr>
                <w:lang w:bidi="en-US"/>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 w:type="pct"/>
            <w:shd w:val="clear" w:color="auto" w:fill="auto"/>
            <w:vAlign w:val="center"/>
          </w:tcPr>
          <w:p>
            <w:pPr>
              <w:pStyle w:val="63"/>
              <w:rPr>
                <w:lang w:bidi="en-US"/>
              </w:rPr>
            </w:pPr>
            <w:r>
              <w:rPr>
                <w:lang w:bidi="en-US"/>
              </w:rPr>
              <w:t>3</w:t>
            </w:r>
          </w:p>
        </w:tc>
        <w:tc>
          <w:tcPr>
            <w:tcW w:w="2098" w:type="pct"/>
            <w:shd w:val="clear" w:color="auto" w:fill="auto"/>
            <w:vAlign w:val="center"/>
          </w:tcPr>
          <w:p>
            <w:pPr>
              <w:pStyle w:val="63"/>
              <w:rPr>
                <w:lang w:bidi="en-US"/>
              </w:rPr>
            </w:pPr>
            <w:r>
              <w:rPr>
                <w:lang w:bidi="en-US"/>
              </w:rPr>
              <w:t>拆解后应对废旧动力电池模块、单体进行绝缘处理</w:t>
            </w:r>
          </w:p>
        </w:tc>
        <w:tc>
          <w:tcPr>
            <w:tcW w:w="2125" w:type="pct"/>
            <w:shd w:val="clear" w:color="auto" w:fill="auto"/>
            <w:vAlign w:val="center"/>
          </w:tcPr>
          <w:p>
            <w:pPr>
              <w:pStyle w:val="63"/>
              <w:rPr>
                <w:lang w:bidi="en-US"/>
              </w:rPr>
            </w:pPr>
            <w:r>
              <w:rPr>
                <w:lang w:bidi="en-US"/>
              </w:rPr>
              <w:t>拆解后的电池单体进行放电和绝缘处理</w:t>
            </w:r>
          </w:p>
        </w:tc>
        <w:tc>
          <w:tcPr>
            <w:tcW w:w="398" w:type="pct"/>
            <w:shd w:val="clear" w:color="auto" w:fill="auto"/>
            <w:vAlign w:val="center"/>
          </w:tcPr>
          <w:p>
            <w:pPr>
              <w:pStyle w:val="63"/>
              <w:rPr>
                <w:lang w:bidi="en-US"/>
              </w:rPr>
            </w:pPr>
            <w:r>
              <w:rPr>
                <w:lang w:bidi="en-US"/>
              </w:rPr>
              <w:t>符合</w:t>
            </w:r>
          </w:p>
        </w:tc>
      </w:tr>
    </w:tbl>
    <w:p>
      <w:pPr>
        <w:spacing w:line="360" w:lineRule="auto"/>
        <w:ind w:firstLine="480" w:firstLineChars="200"/>
        <w:rPr>
          <w:rFonts w:ascii="Times New Roman" w:hAnsi="Times New Roman" w:cs="Times New Roman"/>
        </w:rPr>
      </w:pPr>
      <w:r>
        <w:rPr>
          <w:rFonts w:ascii="Times New Roman" w:hAnsi="Times New Roman" w:cs="Times New Roman"/>
        </w:rPr>
        <w:t>根据上表的分析，本项目与《车用动力电池回收利用拆解规范》相符。</w:t>
      </w:r>
    </w:p>
    <w:p>
      <w:pPr>
        <w:pStyle w:val="4"/>
        <w:rPr>
          <w:rFonts w:ascii="Times New Roman" w:hAnsi="Times New Roman" w:cs="Times New Roman"/>
        </w:rPr>
      </w:pPr>
      <w:bookmarkStart w:id="683" w:name="_Toc144236904"/>
      <w:bookmarkStart w:id="684" w:name="_Toc147848152"/>
      <w:bookmarkStart w:id="685" w:name="_Toc144277034"/>
      <w:r>
        <w:rPr>
          <w:rFonts w:ascii="Times New Roman" w:hAnsi="Times New Roman" w:cs="Times New Roman"/>
        </w:rPr>
        <w:t>11.3.10与《车用锂离子动力电池回收利用放电技术规范》相符性分析</w:t>
      </w:r>
      <w:bookmarkEnd w:id="683"/>
      <w:bookmarkEnd w:id="684"/>
      <w:bookmarkEnd w:id="685"/>
    </w:p>
    <w:p>
      <w:pPr>
        <w:spacing w:line="360" w:lineRule="auto"/>
        <w:ind w:firstLine="480" w:firstLineChars="200"/>
        <w:rPr>
          <w:rFonts w:ascii="Times New Roman" w:hAnsi="Times New Roman" w:cs="Times New Roman"/>
        </w:rPr>
      </w:pPr>
      <w:r>
        <w:rPr>
          <w:rFonts w:ascii="Times New Roman" w:hAnsi="Times New Roman" w:cs="Times New Roman"/>
        </w:rPr>
        <w:t>本项目与《车用锂离子动力电池回收利用放电技术规范》相符性分析见下表。</w:t>
      </w:r>
    </w:p>
    <w:p>
      <w:pPr>
        <w:pStyle w:val="6"/>
        <w:rPr>
          <w:rFonts w:ascii="Times New Roman" w:hAnsi="Times New Roman" w:cs="Times New Roman"/>
        </w:rPr>
      </w:pPr>
      <w:r>
        <w:rPr>
          <w:rFonts w:ascii="Times New Roman" w:hAnsi="Times New Roman" w:cs="Times New Roman"/>
        </w:rPr>
        <w:t>表11.3-10 与《车用锂离子动力电池回收利用放电技术规范》相符性分析</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84"/>
        <w:gridCol w:w="3387"/>
        <w:gridCol w:w="2468"/>
        <w:gridCol w:w="180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410" w:type="pct"/>
            <w:shd w:val="clear" w:color="auto" w:fill="auto"/>
            <w:vAlign w:val="center"/>
          </w:tcPr>
          <w:p>
            <w:pPr>
              <w:pStyle w:val="63"/>
            </w:pPr>
            <w:r>
              <w:t>序号</w:t>
            </w:r>
          </w:p>
        </w:tc>
        <w:tc>
          <w:tcPr>
            <w:tcW w:w="2030" w:type="pct"/>
            <w:shd w:val="clear" w:color="auto" w:fill="auto"/>
            <w:vAlign w:val="center"/>
          </w:tcPr>
          <w:p>
            <w:pPr>
              <w:pStyle w:val="63"/>
            </w:pPr>
            <w:r>
              <w:t>技术政策要求</w:t>
            </w:r>
          </w:p>
        </w:tc>
        <w:tc>
          <w:tcPr>
            <w:tcW w:w="1479" w:type="pct"/>
            <w:shd w:val="clear" w:color="auto" w:fill="auto"/>
            <w:vAlign w:val="center"/>
          </w:tcPr>
          <w:p>
            <w:pPr>
              <w:pStyle w:val="63"/>
            </w:pPr>
            <w:r>
              <w:t>拟建项目情况</w:t>
            </w:r>
          </w:p>
        </w:tc>
        <w:tc>
          <w:tcPr>
            <w:tcW w:w="1081" w:type="pct"/>
            <w:shd w:val="clear" w:color="auto" w:fill="auto"/>
            <w:vAlign w:val="center"/>
          </w:tcPr>
          <w:p>
            <w:pPr>
              <w:pStyle w:val="63"/>
            </w:pPr>
            <w:r>
              <w:t>符合性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410" w:type="pct"/>
            <w:shd w:val="clear" w:color="auto" w:fill="auto"/>
            <w:vAlign w:val="center"/>
          </w:tcPr>
          <w:p>
            <w:pPr>
              <w:pStyle w:val="63"/>
            </w:pPr>
            <w:r>
              <w:t>1</w:t>
            </w:r>
          </w:p>
        </w:tc>
        <w:tc>
          <w:tcPr>
            <w:tcW w:w="2030" w:type="pct"/>
            <w:shd w:val="clear" w:color="auto" w:fill="auto"/>
            <w:vAlign w:val="center"/>
          </w:tcPr>
          <w:p>
            <w:pPr>
              <w:pStyle w:val="63"/>
            </w:pPr>
            <w:r>
              <w:t>放电作业应获得整车企业或电池生产企业技术信息支持，并由具备相关资质的电池回收企业执行或授权。</w:t>
            </w:r>
          </w:p>
        </w:tc>
        <w:tc>
          <w:tcPr>
            <w:tcW w:w="1479" w:type="pct"/>
            <w:shd w:val="clear" w:color="auto" w:fill="auto"/>
            <w:vAlign w:val="center"/>
          </w:tcPr>
          <w:p>
            <w:pPr>
              <w:pStyle w:val="63"/>
            </w:pPr>
            <w:r>
              <w:t>项目正在履行环评手续，申请相关资质。</w:t>
            </w:r>
          </w:p>
        </w:tc>
        <w:tc>
          <w:tcPr>
            <w:tcW w:w="1081" w:type="pct"/>
            <w:shd w:val="clear" w:color="auto" w:fill="auto"/>
            <w:vAlign w:val="center"/>
          </w:tcPr>
          <w:p>
            <w:pPr>
              <w:pStyle w:val="63"/>
            </w:pPr>
            <w:r>
              <w:t>具备相应资质后才可以进行废旧锂电池回收业务</w:t>
            </w:r>
          </w:p>
        </w:tc>
      </w:tr>
    </w:tbl>
    <w:p>
      <w:pPr>
        <w:pStyle w:val="4"/>
        <w:rPr>
          <w:rFonts w:ascii="Times New Roman" w:hAnsi="Times New Roman" w:cs="Times New Roman"/>
        </w:rPr>
      </w:pPr>
      <w:bookmarkStart w:id="686" w:name="_Toc144236905"/>
      <w:bookmarkStart w:id="687" w:name="_Toc147848153"/>
      <w:bookmarkStart w:id="688" w:name="_Toc144277035"/>
      <w:r>
        <w:rPr>
          <w:rFonts w:ascii="Times New Roman" w:hAnsi="Times New Roman" w:cs="Times New Roman"/>
        </w:rPr>
        <w:t>11.3.11与《废旧锂离子动力蓄电池单体拆解技术规范》相符性分析</w:t>
      </w:r>
      <w:bookmarkEnd w:id="686"/>
      <w:bookmarkEnd w:id="687"/>
      <w:bookmarkEnd w:id="688"/>
    </w:p>
    <w:p>
      <w:pPr>
        <w:spacing w:line="360" w:lineRule="auto"/>
        <w:ind w:firstLine="480" w:firstLineChars="200"/>
        <w:rPr>
          <w:rFonts w:ascii="Times New Roman" w:hAnsi="Times New Roman" w:cs="Times New Roman"/>
        </w:rPr>
      </w:pPr>
      <w:r>
        <w:rPr>
          <w:rFonts w:ascii="Times New Roman" w:hAnsi="Times New Roman" w:cs="Times New Roman"/>
        </w:rPr>
        <w:t>本项目与《废旧锂离子动力蓄电池单体拆解技术规范》相符性分析见下表。</w:t>
      </w:r>
    </w:p>
    <w:p>
      <w:pPr>
        <w:pStyle w:val="6"/>
        <w:rPr>
          <w:rFonts w:ascii="Times New Roman" w:hAnsi="Times New Roman" w:cs="Times New Roman"/>
        </w:rPr>
      </w:pPr>
      <w:r>
        <w:rPr>
          <w:rFonts w:ascii="Times New Roman" w:hAnsi="Times New Roman" w:cs="Times New Roman"/>
        </w:rPr>
        <w:t>表11.3-11与《废旧锂离子动力蓄电池单体拆解技术规范》相符性分析</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512"/>
        <w:gridCol w:w="3134"/>
        <w:gridCol w:w="3978"/>
        <w:gridCol w:w="71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07" w:type="pct"/>
            <w:shd w:val="clear" w:color="auto" w:fill="auto"/>
            <w:vAlign w:val="center"/>
          </w:tcPr>
          <w:p>
            <w:pPr>
              <w:pStyle w:val="63"/>
            </w:pPr>
            <w:r>
              <w:t>序号</w:t>
            </w:r>
          </w:p>
        </w:tc>
        <w:tc>
          <w:tcPr>
            <w:tcW w:w="1878" w:type="pct"/>
            <w:shd w:val="clear" w:color="auto" w:fill="auto"/>
            <w:vAlign w:val="center"/>
          </w:tcPr>
          <w:p>
            <w:pPr>
              <w:pStyle w:val="63"/>
            </w:pPr>
            <w:r>
              <w:t>技术政策要求</w:t>
            </w:r>
          </w:p>
        </w:tc>
        <w:tc>
          <w:tcPr>
            <w:tcW w:w="2384" w:type="pct"/>
            <w:shd w:val="clear" w:color="auto" w:fill="auto"/>
            <w:vAlign w:val="center"/>
          </w:tcPr>
          <w:p>
            <w:pPr>
              <w:pStyle w:val="63"/>
            </w:pPr>
            <w:r>
              <w:t>拟建项目情况</w:t>
            </w:r>
          </w:p>
        </w:tc>
        <w:tc>
          <w:tcPr>
            <w:tcW w:w="431" w:type="pct"/>
            <w:shd w:val="clear" w:color="auto" w:fill="auto"/>
            <w:vAlign w:val="center"/>
          </w:tcPr>
          <w:p>
            <w:pPr>
              <w:pStyle w:val="63"/>
            </w:pPr>
            <w:r>
              <w:t>符合性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07" w:type="pct"/>
            <w:shd w:val="clear" w:color="auto" w:fill="auto"/>
            <w:vAlign w:val="center"/>
          </w:tcPr>
          <w:p>
            <w:pPr>
              <w:pStyle w:val="63"/>
            </w:pPr>
            <w:r>
              <w:t>1</w:t>
            </w:r>
          </w:p>
        </w:tc>
        <w:tc>
          <w:tcPr>
            <w:tcW w:w="1878" w:type="pct"/>
            <w:shd w:val="clear" w:color="auto" w:fill="auto"/>
            <w:vAlign w:val="center"/>
          </w:tcPr>
          <w:p>
            <w:pPr>
              <w:pStyle w:val="63"/>
            </w:pPr>
            <w:r>
              <w:t>拆解废旧电池单体时，拆解企业应符合环保、安全、节能等要求；</w:t>
            </w:r>
          </w:p>
        </w:tc>
        <w:tc>
          <w:tcPr>
            <w:tcW w:w="2384" w:type="pct"/>
            <w:shd w:val="clear" w:color="auto" w:fill="auto"/>
            <w:vAlign w:val="center"/>
          </w:tcPr>
          <w:p>
            <w:pPr>
              <w:pStyle w:val="63"/>
            </w:pPr>
            <w:r>
              <w:t>项目采用先进的工艺及设备对废旧锂电池单体进行拆解，同时配套建设相应的环保设施，保证废气、废水、固废、噪声满足相关标准要求。</w:t>
            </w:r>
          </w:p>
        </w:tc>
        <w:tc>
          <w:tcPr>
            <w:tcW w:w="431"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307" w:type="pct"/>
            <w:shd w:val="clear" w:color="auto" w:fill="auto"/>
            <w:vAlign w:val="center"/>
          </w:tcPr>
          <w:p>
            <w:pPr>
              <w:pStyle w:val="63"/>
            </w:pPr>
            <w:r>
              <w:t>2</w:t>
            </w:r>
          </w:p>
        </w:tc>
        <w:tc>
          <w:tcPr>
            <w:tcW w:w="1878" w:type="pct"/>
            <w:shd w:val="clear" w:color="auto" w:fill="auto"/>
            <w:vAlign w:val="center"/>
          </w:tcPr>
          <w:p>
            <w:pPr>
              <w:pStyle w:val="63"/>
            </w:pPr>
            <w:r>
              <w:t>根据废旧电池单体不同的结构、外形、尺寸等信息，合理选择拆解技术与设备；</w:t>
            </w:r>
          </w:p>
        </w:tc>
        <w:tc>
          <w:tcPr>
            <w:tcW w:w="2384" w:type="pct"/>
            <w:shd w:val="clear" w:color="auto" w:fill="auto"/>
            <w:vAlign w:val="center"/>
          </w:tcPr>
          <w:p>
            <w:pPr>
              <w:pStyle w:val="63"/>
            </w:pPr>
            <w:r>
              <w:t>项目根据废旧电池单体不同的结构、外形、尺寸等信息，合理选择拆解技术与设备；</w:t>
            </w:r>
          </w:p>
        </w:tc>
        <w:tc>
          <w:tcPr>
            <w:tcW w:w="431" w:type="pct"/>
            <w:shd w:val="clear" w:color="auto" w:fill="auto"/>
            <w:vAlign w:val="center"/>
          </w:tcPr>
          <w:p>
            <w:pPr>
              <w:pStyle w:val="63"/>
            </w:pPr>
          </w:p>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07" w:type="pct"/>
            <w:shd w:val="clear" w:color="auto" w:fill="auto"/>
            <w:vAlign w:val="center"/>
          </w:tcPr>
          <w:p>
            <w:pPr>
              <w:pStyle w:val="63"/>
            </w:pPr>
            <w:r>
              <w:t>3</w:t>
            </w:r>
          </w:p>
        </w:tc>
        <w:tc>
          <w:tcPr>
            <w:tcW w:w="1878" w:type="pct"/>
            <w:shd w:val="clear" w:color="auto" w:fill="auto"/>
            <w:vAlign w:val="center"/>
          </w:tcPr>
          <w:p>
            <w:pPr>
              <w:pStyle w:val="63"/>
            </w:pPr>
            <w:r>
              <w:t>拆解过程中不应导致二次污染，如涉及危险废物，应交由有具备危险废物经营资质的企业；</w:t>
            </w:r>
          </w:p>
        </w:tc>
        <w:tc>
          <w:tcPr>
            <w:tcW w:w="2384" w:type="pct"/>
            <w:shd w:val="clear" w:color="auto" w:fill="auto"/>
            <w:vAlign w:val="center"/>
          </w:tcPr>
          <w:p>
            <w:pPr>
              <w:pStyle w:val="63"/>
            </w:pPr>
            <w:r>
              <w:t>配套建设相应的环保设施，保证拆解过程产生的废气、废水、固废、噪声满足相关标准要求。拆解过程中产生的危险废物交由有具备危险废物经营资质的企业处理；</w:t>
            </w:r>
          </w:p>
        </w:tc>
        <w:tc>
          <w:tcPr>
            <w:tcW w:w="431"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07" w:type="pct"/>
            <w:shd w:val="clear" w:color="auto" w:fill="auto"/>
            <w:vAlign w:val="center"/>
          </w:tcPr>
          <w:p>
            <w:pPr>
              <w:pStyle w:val="63"/>
            </w:pPr>
            <w:r>
              <w:t>4</w:t>
            </w:r>
          </w:p>
        </w:tc>
        <w:tc>
          <w:tcPr>
            <w:tcW w:w="1878" w:type="pct"/>
            <w:shd w:val="clear" w:color="auto" w:fill="auto"/>
            <w:vAlign w:val="center"/>
          </w:tcPr>
          <w:p>
            <w:pPr>
              <w:pStyle w:val="63"/>
            </w:pPr>
            <w:r>
              <w:t>不应将废旧电池单体及部件焚烧、丢弃、倾倒、直接填埋等；</w:t>
            </w:r>
          </w:p>
        </w:tc>
        <w:tc>
          <w:tcPr>
            <w:tcW w:w="2384" w:type="pct"/>
            <w:shd w:val="clear" w:color="auto" w:fill="auto"/>
            <w:vAlign w:val="center"/>
          </w:tcPr>
          <w:p>
            <w:pPr>
              <w:pStyle w:val="63"/>
            </w:pPr>
            <w:r>
              <w:t>拟建项目废旧电池经拆解产生电池单体，电池单体进一步进行破碎分选，然后进行湿法综合利用</w:t>
            </w:r>
          </w:p>
        </w:tc>
        <w:tc>
          <w:tcPr>
            <w:tcW w:w="431"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07" w:type="pct"/>
            <w:shd w:val="clear" w:color="auto" w:fill="auto"/>
            <w:vAlign w:val="center"/>
          </w:tcPr>
          <w:p>
            <w:pPr>
              <w:pStyle w:val="63"/>
            </w:pPr>
            <w:r>
              <w:t>5</w:t>
            </w:r>
          </w:p>
        </w:tc>
        <w:tc>
          <w:tcPr>
            <w:tcW w:w="1878" w:type="pct"/>
            <w:shd w:val="clear" w:color="auto" w:fill="auto"/>
            <w:vAlign w:val="center"/>
          </w:tcPr>
          <w:p>
            <w:pPr>
              <w:pStyle w:val="63"/>
            </w:pPr>
            <w:r>
              <w:t>废旧电池单体宜根据不同材料体系进行分类储存，如磷酸铁锂、镍钴锰酸锂、钛酸锂等。</w:t>
            </w:r>
          </w:p>
        </w:tc>
        <w:tc>
          <w:tcPr>
            <w:tcW w:w="2384" w:type="pct"/>
            <w:shd w:val="clear" w:color="auto" w:fill="auto"/>
            <w:vAlign w:val="center"/>
          </w:tcPr>
          <w:p>
            <w:pPr>
              <w:pStyle w:val="63"/>
            </w:pPr>
            <w:r>
              <w:t>拟建项目外购废旧锂电池包，不外购电池单体，电池包拆解产生电池单体进一步进行破碎分选</w:t>
            </w:r>
          </w:p>
        </w:tc>
        <w:tc>
          <w:tcPr>
            <w:tcW w:w="431"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307" w:type="pct"/>
            <w:shd w:val="clear" w:color="auto" w:fill="auto"/>
            <w:vAlign w:val="center"/>
          </w:tcPr>
          <w:p>
            <w:pPr>
              <w:pStyle w:val="63"/>
            </w:pPr>
            <w:r>
              <w:t>6</w:t>
            </w:r>
          </w:p>
        </w:tc>
        <w:tc>
          <w:tcPr>
            <w:tcW w:w="1878" w:type="pct"/>
            <w:shd w:val="clear" w:color="auto" w:fill="auto"/>
            <w:vAlign w:val="center"/>
          </w:tcPr>
          <w:p>
            <w:pPr>
              <w:pStyle w:val="63"/>
            </w:pPr>
            <w:r>
              <w:t>废旧电池单体储存时，应配备必要的绝缘检测和保护措施。对于漏液或漏电等废旧电池单体应采用具备绝缘、防渗专用容器存储。</w:t>
            </w:r>
          </w:p>
        </w:tc>
        <w:tc>
          <w:tcPr>
            <w:tcW w:w="2384" w:type="pct"/>
            <w:shd w:val="clear" w:color="auto" w:fill="auto"/>
            <w:vAlign w:val="center"/>
          </w:tcPr>
          <w:p>
            <w:pPr>
              <w:pStyle w:val="63"/>
            </w:pPr>
            <w:r>
              <w:t>拟建项目不外购电池单体，电池包拆解产生电池单体进一步进行破碎分选，不进行储存。</w:t>
            </w:r>
          </w:p>
        </w:tc>
        <w:tc>
          <w:tcPr>
            <w:tcW w:w="431"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07" w:type="pct"/>
            <w:shd w:val="clear" w:color="auto" w:fill="auto"/>
            <w:vAlign w:val="center"/>
          </w:tcPr>
          <w:p>
            <w:pPr>
              <w:pStyle w:val="63"/>
            </w:pPr>
            <w:r>
              <w:t>7</w:t>
            </w:r>
          </w:p>
        </w:tc>
        <w:tc>
          <w:tcPr>
            <w:tcW w:w="1878" w:type="pct"/>
            <w:shd w:val="clear" w:color="auto" w:fill="auto"/>
            <w:vAlign w:val="center"/>
          </w:tcPr>
          <w:p>
            <w:pPr>
              <w:pStyle w:val="63"/>
            </w:pPr>
            <w:r>
              <w:t>拆解得到的零部件、电池粉、铜铝金属、隔膜、废弃物应进行标识、分类存储，避免混存、混放。</w:t>
            </w:r>
          </w:p>
        </w:tc>
        <w:tc>
          <w:tcPr>
            <w:tcW w:w="2384" w:type="pct"/>
            <w:shd w:val="clear" w:color="auto" w:fill="auto"/>
            <w:vAlign w:val="center"/>
          </w:tcPr>
          <w:p>
            <w:pPr>
              <w:pStyle w:val="63"/>
            </w:pPr>
            <w:r>
              <w:t>拆解得到的零部件、电池粉、铜铝金属、隔膜、废弃物进行标识、分类存储在一般固废库内。</w:t>
            </w:r>
          </w:p>
        </w:tc>
        <w:tc>
          <w:tcPr>
            <w:tcW w:w="431"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307" w:type="pct"/>
            <w:shd w:val="clear" w:color="auto" w:fill="auto"/>
            <w:vAlign w:val="center"/>
          </w:tcPr>
          <w:p>
            <w:pPr>
              <w:pStyle w:val="63"/>
            </w:pPr>
            <w:r>
              <w:t>8</w:t>
            </w:r>
          </w:p>
        </w:tc>
        <w:tc>
          <w:tcPr>
            <w:tcW w:w="1878" w:type="pct"/>
            <w:shd w:val="clear" w:color="auto" w:fill="auto"/>
            <w:vAlign w:val="center"/>
          </w:tcPr>
          <w:p>
            <w:pPr>
              <w:pStyle w:val="63"/>
            </w:pPr>
            <w:r>
              <w:t>废旧电池单体拆解回收的外壳回收率不应低于 98%，铜铝金属回收率不应低于 95%，正负极材料回收率不应低于 98%</w:t>
            </w:r>
          </w:p>
        </w:tc>
        <w:tc>
          <w:tcPr>
            <w:tcW w:w="2384" w:type="pct"/>
            <w:shd w:val="clear" w:color="auto" w:fill="auto"/>
            <w:vAlign w:val="center"/>
          </w:tcPr>
          <w:p>
            <w:pPr>
              <w:pStyle w:val="63"/>
            </w:pPr>
            <w:r>
              <w:t>废旧电池单体拆解回收的外壳回收率大于99%，铜铝金属回收率大于97%，正负极材料回收率为98%</w:t>
            </w:r>
          </w:p>
        </w:tc>
        <w:tc>
          <w:tcPr>
            <w:tcW w:w="431"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40" w:hRule="atLeast"/>
          <w:jc w:val="center"/>
        </w:trPr>
        <w:tc>
          <w:tcPr>
            <w:tcW w:w="307" w:type="pct"/>
            <w:shd w:val="clear" w:color="auto" w:fill="auto"/>
            <w:vAlign w:val="center"/>
          </w:tcPr>
          <w:p>
            <w:pPr>
              <w:pStyle w:val="63"/>
            </w:pPr>
            <w:r>
              <w:t>9</w:t>
            </w:r>
          </w:p>
        </w:tc>
        <w:tc>
          <w:tcPr>
            <w:tcW w:w="1878" w:type="pct"/>
            <w:shd w:val="clear" w:color="auto" w:fill="auto"/>
            <w:vAlign w:val="center"/>
          </w:tcPr>
          <w:p>
            <w:pPr>
              <w:pStyle w:val="63"/>
            </w:pPr>
            <w:r>
              <w:t>机械分离设备应具备电解液收集和废气处理功能，在密闭状态下，对挥发气体进行收集处理。</w:t>
            </w:r>
          </w:p>
        </w:tc>
        <w:tc>
          <w:tcPr>
            <w:tcW w:w="2384" w:type="pct"/>
            <w:shd w:val="clear" w:color="auto" w:fill="auto"/>
            <w:vAlign w:val="center"/>
          </w:tcPr>
          <w:p>
            <w:pPr>
              <w:pStyle w:val="63"/>
            </w:pPr>
            <w:r>
              <w:t>本项目拆解设备密闭，配套建设电解液收集及废气收集及处理设施，拆解产生的粉尘及有机废气经收集处理后达标排放。</w:t>
            </w:r>
          </w:p>
        </w:tc>
        <w:tc>
          <w:tcPr>
            <w:tcW w:w="431"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07" w:type="pct"/>
            <w:shd w:val="clear" w:color="auto" w:fill="auto"/>
            <w:vAlign w:val="center"/>
          </w:tcPr>
          <w:p>
            <w:pPr>
              <w:pStyle w:val="63"/>
            </w:pPr>
            <w:r>
              <w:t>10</w:t>
            </w:r>
          </w:p>
        </w:tc>
        <w:tc>
          <w:tcPr>
            <w:tcW w:w="1878" w:type="pct"/>
            <w:shd w:val="clear" w:color="auto" w:fill="auto"/>
            <w:vAlign w:val="center"/>
          </w:tcPr>
          <w:p>
            <w:pPr>
              <w:pStyle w:val="63"/>
            </w:pPr>
            <w:r>
              <w:t>破碎分选设备宜采用风选、磁选、重选、筛分等及技术组合，在密闭装置中，实现电极粉、铜铝金属、隔膜等有效分离。</w:t>
            </w:r>
          </w:p>
        </w:tc>
        <w:tc>
          <w:tcPr>
            <w:tcW w:w="2384" w:type="pct"/>
            <w:shd w:val="clear" w:color="auto" w:fill="auto"/>
            <w:vAlign w:val="center"/>
          </w:tcPr>
          <w:p>
            <w:pPr>
              <w:pStyle w:val="63"/>
            </w:pPr>
            <w:r>
              <w:t>本项目破碎分选设施采用风选及筛分组合，设备密闭，保证电极粉、铜铝金属、隔膜等有效分离</w:t>
            </w:r>
          </w:p>
        </w:tc>
        <w:tc>
          <w:tcPr>
            <w:tcW w:w="431" w:type="pc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07" w:type="pct"/>
            <w:shd w:val="clear" w:color="auto" w:fill="auto"/>
            <w:vAlign w:val="center"/>
          </w:tcPr>
          <w:p>
            <w:pPr>
              <w:pStyle w:val="63"/>
            </w:pPr>
            <w:r>
              <w:t>11</w:t>
            </w:r>
          </w:p>
        </w:tc>
        <w:tc>
          <w:tcPr>
            <w:tcW w:w="1878" w:type="pct"/>
            <w:shd w:val="clear" w:color="auto" w:fill="auto"/>
            <w:vAlign w:val="center"/>
          </w:tcPr>
          <w:p>
            <w:pPr>
              <w:pStyle w:val="63"/>
            </w:pPr>
            <w:r>
              <w:t>破碎分选设备应配备高效除尘装置，如旋风分离器、布袋除尘装置等。</w:t>
            </w:r>
          </w:p>
        </w:tc>
        <w:tc>
          <w:tcPr>
            <w:tcW w:w="2384" w:type="pct"/>
            <w:shd w:val="clear" w:color="auto" w:fill="auto"/>
            <w:vAlign w:val="center"/>
          </w:tcPr>
          <w:p>
            <w:pPr>
              <w:pStyle w:val="63"/>
            </w:pPr>
            <w:r>
              <w:t>拟建项目配备布袋式布袋除尘器处理破碎、热解产生的粉尘</w:t>
            </w:r>
          </w:p>
        </w:tc>
        <w:tc>
          <w:tcPr>
            <w:tcW w:w="431" w:type="pct"/>
            <w:shd w:val="clear" w:color="auto" w:fill="auto"/>
            <w:vAlign w:val="center"/>
          </w:tcPr>
          <w:p>
            <w:pPr>
              <w:pStyle w:val="63"/>
            </w:pPr>
            <w:r>
              <w:t>符合</w:t>
            </w:r>
          </w:p>
        </w:tc>
      </w:tr>
    </w:tbl>
    <w:p>
      <w:pPr>
        <w:pStyle w:val="4"/>
        <w:rPr>
          <w:rFonts w:ascii="Times New Roman" w:hAnsi="Times New Roman" w:cs="Times New Roman"/>
        </w:rPr>
      </w:pPr>
      <w:bookmarkStart w:id="689" w:name="_Toc144236906"/>
      <w:bookmarkStart w:id="690" w:name="_Toc144277036"/>
      <w:bookmarkStart w:id="691" w:name="_Toc147848154"/>
      <w:r>
        <w:rPr>
          <w:rFonts w:ascii="Times New Roman" w:hAnsi="Times New Roman" w:cs="Times New Roman"/>
        </w:rPr>
        <w:t>11.3.12与《废锂离子动力蓄电池处理污染控制技术规范（试行）》相符性分析</w:t>
      </w:r>
      <w:bookmarkEnd w:id="689"/>
      <w:bookmarkEnd w:id="690"/>
      <w:bookmarkEnd w:id="691"/>
    </w:p>
    <w:p>
      <w:pPr>
        <w:spacing w:line="360" w:lineRule="auto"/>
        <w:ind w:firstLine="480" w:firstLineChars="200"/>
        <w:rPr>
          <w:rFonts w:ascii="Times New Roman" w:hAnsi="Times New Roman" w:cs="Times New Roman"/>
        </w:rPr>
      </w:pPr>
      <w:r>
        <w:rPr>
          <w:rFonts w:ascii="Times New Roman" w:hAnsi="Times New Roman" w:cs="Times New Roman"/>
        </w:rPr>
        <w:t>本项目与《废锂离子动力蓄电池处理污染控制技术规范（试行）》相符性分析见下表11.3-12。</w:t>
      </w:r>
    </w:p>
    <w:p>
      <w:pPr>
        <w:pStyle w:val="4"/>
        <w:rPr>
          <w:rFonts w:ascii="Times New Roman" w:hAnsi="Times New Roman" w:cs="Times New Roman"/>
        </w:rPr>
      </w:pPr>
      <w:bookmarkStart w:id="692" w:name="_Toc144277037"/>
      <w:bookmarkStart w:id="693" w:name="_Toc144236907"/>
      <w:bookmarkStart w:id="694" w:name="_Toc147848155"/>
      <w:r>
        <w:rPr>
          <w:rFonts w:ascii="Times New Roman" w:hAnsi="Times New Roman" w:cs="Times New Roman"/>
        </w:rPr>
        <w:t>11.3.13与蓄电池溯源管理规定、行业规范条件和梯次利用管理办法的相符性相符性分析</w:t>
      </w:r>
      <w:bookmarkEnd w:id="692"/>
      <w:bookmarkEnd w:id="693"/>
      <w:bookmarkEnd w:id="694"/>
    </w:p>
    <w:p>
      <w:pPr>
        <w:spacing w:line="360" w:lineRule="auto"/>
        <w:ind w:firstLine="480" w:firstLineChars="200"/>
        <w:rPr>
          <w:rFonts w:ascii="Times New Roman" w:hAnsi="Times New Roman" w:cs="Times New Roman"/>
        </w:rPr>
      </w:pPr>
      <w:r>
        <w:rPr>
          <w:rFonts w:ascii="Times New Roman" w:hAnsi="Times New Roman" w:cs="Times New Roman"/>
        </w:rPr>
        <w:t>本项目符合《新能源汽车动力蓄电池梯次利用管理办法》中的梯次利用企业要求和梯次产品要求。符合《新能源汽车废旧动力蓄电池综合利用行业规范条件》中的企业布局与选址、技术装备和工艺、梯次利用要求、资源综合利用、能源消耗、环境保护等要求。并且建成后严格按照溯源管理平台要求进行信息的填报，符合《新能源汽车动力蓄电池回收利用溯源管理暂行规定》的要求。</w:t>
      </w:r>
    </w:p>
    <w:p>
      <w:pPr>
        <w:spacing w:line="360" w:lineRule="auto"/>
        <w:ind w:firstLine="480" w:firstLineChars="200"/>
        <w:rPr>
          <w:rFonts w:ascii="Times New Roman" w:hAnsi="Times New Roman" w:cs="Times New Roman"/>
        </w:rPr>
        <w:sectPr>
          <w:pgSz w:w="11907" w:h="16840"/>
          <w:pgMar w:top="1440" w:right="1797" w:bottom="1440" w:left="1797" w:header="964" w:footer="851" w:gutter="0"/>
          <w:cols w:space="720" w:num="1"/>
          <w:docGrid w:linePitch="297" w:charSpace="200"/>
        </w:sectPr>
      </w:pPr>
    </w:p>
    <w:p>
      <w:pPr>
        <w:pStyle w:val="6"/>
        <w:rPr>
          <w:rFonts w:ascii="Times New Roman" w:hAnsi="Times New Roman" w:cs="Times New Roman"/>
        </w:rPr>
      </w:pPr>
      <w:r>
        <w:rPr>
          <w:rFonts w:ascii="Times New Roman" w:hAnsi="Times New Roman" w:cs="Times New Roman"/>
        </w:rPr>
        <w:t>表11.3-12 与《废锂离子动力蓄电池处理污染控制技术规范（试行）》相符性分析</w:t>
      </w:r>
    </w:p>
    <w:tbl>
      <w:tblPr>
        <w:tblStyle w:val="35"/>
        <w:tblW w:w="14163"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37"/>
        <w:gridCol w:w="883"/>
        <w:gridCol w:w="7249"/>
        <w:gridCol w:w="4540"/>
        <w:gridCol w:w="85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序号</w:t>
            </w:r>
          </w:p>
        </w:tc>
        <w:tc>
          <w:tcPr>
            <w:tcW w:w="8132" w:type="dxa"/>
            <w:gridSpan w:val="2"/>
            <w:shd w:val="clear" w:color="auto" w:fill="auto"/>
            <w:vAlign w:val="center"/>
          </w:tcPr>
          <w:p>
            <w:pPr>
              <w:pStyle w:val="63"/>
            </w:pPr>
            <w:r>
              <w:t>技术政策要求</w:t>
            </w:r>
          </w:p>
        </w:tc>
        <w:tc>
          <w:tcPr>
            <w:tcW w:w="4540" w:type="dxa"/>
            <w:shd w:val="clear" w:color="auto" w:fill="auto"/>
            <w:vAlign w:val="center"/>
          </w:tcPr>
          <w:p>
            <w:pPr>
              <w:pStyle w:val="63"/>
            </w:pPr>
            <w:r>
              <w:t>拟建项目情况</w:t>
            </w:r>
          </w:p>
        </w:tc>
        <w:tc>
          <w:tcPr>
            <w:tcW w:w="854" w:type="dxa"/>
            <w:shd w:val="clear" w:color="auto" w:fill="auto"/>
            <w:vAlign w:val="center"/>
          </w:tcPr>
          <w:p>
            <w:pPr>
              <w:pStyle w:val="63"/>
            </w:pPr>
            <w:r>
              <w:t>符合性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1</w:t>
            </w:r>
          </w:p>
        </w:tc>
        <w:tc>
          <w:tcPr>
            <w:tcW w:w="883" w:type="dxa"/>
            <w:vMerge w:val="restart"/>
            <w:shd w:val="clear" w:color="auto" w:fill="auto"/>
            <w:vAlign w:val="center"/>
          </w:tcPr>
          <w:p>
            <w:pPr>
              <w:pStyle w:val="63"/>
            </w:pPr>
            <w:r>
              <w:t>入厂</w:t>
            </w:r>
          </w:p>
        </w:tc>
        <w:tc>
          <w:tcPr>
            <w:tcW w:w="7249" w:type="dxa"/>
            <w:shd w:val="clear" w:color="auto" w:fill="auto"/>
            <w:vAlign w:val="center"/>
          </w:tcPr>
          <w:p>
            <w:pPr>
              <w:pStyle w:val="63"/>
            </w:pPr>
            <w:r>
              <w:t>废锂离子动力蓄电池入厂前应进行检测，发现存在漏液、冒烟、漏电、外壳破损等情形，应采用专用容器单独存放并及时处理、避免废锂电池动力蓄电池自燃引起的环境风险；</w:t>
            </w:r>
          </w:p>
        </w:tc>
        <w:tc>
          <w:tcPr>
            <w:tcW w:w="4540" w:type="dxa"/>
            <w:vMerge w:val="restart"/>
            <w:shd w:val="clear" w:color="auto" w:fill="auto"/>
            <w:vAlign w:val="center"/>
          </w:tcPr>
          <w:p>
            <w:pPr>
              <w:pStyle w:val="63"/>
            </w:pPr>
            <w:r>
              <w:t>外购的废旧锂电池入厂前进行检测，破碎电池采用专用容器单独存放在原料库内隔间内，并及时进行预处理</w:t>
            </w:r>
          </w:p>
        </w:tc>
        <w:tc>
          <w:tcPr>
            <w:tcW w:w="854" w:type="dxa"/>
            <w:vMerge w:val="restar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2</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贮存漏液、冒烟、漏电、外壳破损等情形的废锂离子动力蓄电池时，贮存库房或容器应采用微负压设计，并配备相应的废气收集和处理装置；</w:t>
            </w:r>
          </w:p>
        </w:tc>
        <w:tc>
          <w:tcPr>
            <w:tcW w:w="4540" w:type="dxa"/>
            <w:vMerge w:val="continue"/>
            <w:shd w:val="clear" w:color="auto" w:fill="auto"/>
            <w:vAlign w:val="center"/>
          </w:tcPr>
          <w:p>
            <w:pPr>
              <w:pStyle w:val="63"/>
            </w:pPr>
          </w:p>
        </w:tc>
        <w:tc>
          <w:tcPr>
            <w:tcW w:w="854" w:type="dxa"/>
            <w:vMerge w:val="continue"/>
            <w:shd w:val="clear" w:color="auto" w:fill="auto"/>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3</w:t>
            </w:r>
          </w:p>
        </w:tc>
        <w:tc>
          <w:tcPr>
            <w:tcW w:w="883" w:type="dxa"/>
            <w:vMerge w:val="restart"/>
            <w:shd w:val="clear" w:color="auto" w:fill="auto"/>
            <w:vAlign w:val="center"/>
          </w:tcPr>
          <w:p>
            <w:pPr>
              <w:pStyle w:val="63"/>
            </w:pPr>
            <w:r>
              <w:t>拆解</w:t>
            </w:r>
          </w:p>
        </w:tc>
        <w:tc>
          <w:tcPr>
            <w:tcW w:w="7249" w:type="dxa"/>
            <w:shd w:val="clear" w:color="auto" w:fill="auto"/>
            <w:vAlign w:val="center"/>
          </w:tcPr>
          <w:p>
            <w:pPr>
              <w:pStyle w:val="63"/>
            </w:pPr>
            <w:r>
              <w:t>根据电池产品信息合理制定拆解流程，分品类拆解电池包（组）、电池模块、单体电池、避免电解质、有机溶剂泄露造成环境污染；</w:t>
            </w:r>
          </w:p>
        </w:tc>
        <w:tc>
          <w:tcPr>
            <w:tcW w:w="4540" w:type="dxa"/>
            <w:shd w:val="clear" w:color="auto" w:fill="auto"/>
            <w:vAlign w:val="center"/>
          </w:tcPr>
          <w:p>
            <w:pPr>
              <w:pStyle w:val="63"/>
            </w:pPr>
            <w:r>
              <w:t>拟建项目合理制定了拆解破碎分选工艺，生产过程设备密闭</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jc w:val="center"/>
        </w:trPr>
        <w:tc>
          <w:tcPr>
            <w:tcW w:w="637" w:type="dxa"/>
            <w:shd w:val="clear" w:color="auto" w:fill="auto"/>
            <w:vAlign w:val="center"/>
          </w:tcPr>
          <w:p>
            <w:pPr>
              <w:pStyle w:val="63"/>
            </w:pPr>
            <w:r>
              <w:t>4</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不得人工拆解或解体单体电池，以及任何能够导致电解质、有机溶剂泄露的人工拆解作业；</w:t>
            </w:r>
          </w:p>
        </w:tc>
        <w:tc>
          <w:tcPr>
            <w:tcW w:w="4540" w:type="dxa"/>
            <w:shd w:val="clear" w:color="auto" w:fill="auto"/>
            <w:vAlign w:val="center"/>
          </w:tcPr>
          <w:p>
            <w:pPr>
              <w:pStyle w:val="63"/>
            </w:pPr>
            <w:r>
              <w:t>拟建项目无人工拆解；</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5</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拆解配置液体冷却装置的电池包（组）前，应采用专业设备收集冷却液；收集的冷却液应妥善贮存、利用和处理；</w:t>
            </w:r>
          </w:p>
        </w:tc>
        <w:tc>
          <w:tcPr>
            <w:tcW w:w="4540" w:type="dxa"/>
            <w:shd w:val="clear" w:color="auto" w:fill="auto"/>
            <w:vAlign w:val="center"/>
          </w:tcPr>
          <w:p>
            <w:pPr>
              <w:pStyle w:val="63"/>
            </w:pPr>
            <w:r>
              <w:t>拟建项目采用专业设备收集冷却液；收集的冷却液暂存在危废暂存间内，委托资质单位处置</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6</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采用盐水浸泡进行电池放电时，浸泡池应配备集气罩装置和废气处理设施；</w:t>
            </w:r>
          </w:p>
        </w:tc>
        <w:tc>
          <w:tcPr>
            <w:tcW w:w="4540" w:type="dxa"/>
            <w:shd w:val="clear" w:color="auto" w:fill="auto"/>
            <w:vAlign w:val="center"/>
          </w:tcPr>
          <w:p>
            <w:pPr>
              <w:pStyle w:val="63"/>
            </w:pPr>
            <w:r>
              <w:t>项目采用放电机进行放电，不采用盐水浸泡方式；</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7</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拆解应在负压下环境下进行，防治电池破损时电解质、有机溶剂泄露造成环境影响；</w:t>
            </w:r>
          </w:p>
        </w:tc>
        <w:tc>
          <w:tcPr>
            <w:tcW w:w="4540" w:type="dxa"/>
            <w:shd w:val="clear" w:color="auto" w:fill="auto"/>
            <w:vAlign w:val="center"/>
          </w:tcPr>
          <w:p>
            <w:pPr>
              <w:pStyle w:val="63"/>
            </w:pPr>
            <w:r>
              <w:t>拟建项目拆解区域密闭微负压设计</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8</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拆解时应清除电池包（组）、电池模块中塑料连接件、电路板、高压线束等部件；</w:t>
            </w:r>
          </w:p>
        </w:tc>
        <w:tc>
          <w:tcPr>
            <w:tcW w:w="4540" w:type="dxa"/>
            <w:shd w:val="clear" w:color="auto" w:fill="auto"/>
            <w:vAlign w:val="center"/>
          </w:tcPr>
          <w:p>
            <w:pPr>
              <w:pStyle w:val="63"/>
            </w:pPr>
            <w:r>
              <w:t>外购的废旧锂电池包先拆解，分离出电池包中的塑料连接件、电路板、高压线束</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9</w:t>
            </w:r>
          </w:p>
        </w:tc>
        <w:tc>
          <w:tcPr>
            <w:tcW w:w="883" w:type="dxa"/>
            <w:vMerge w:val="restart"/>
            <w:shd w:val="clear" w:color="auto" w:fill="auto"/>
            <w:vAlign w:val="center"/>
          </w:tcPr>
          <w:p>
            <w:pPr>
              <w:pStyle w:val="63"/>
            </w:pPr>
            <w:r>
              <w:t>焙烧、破碎、分选</w:t>
            </w:r>
          </w:p>
        </w:tc>
        <w:tc>
          <w:tcPr>
            <w:tcW w:w="7249" w:type="dxa"/>
            <w:shd w:val="clear" w:color="auto" w:fill="auto"/>
            <w:vAlign w:val="center"/>
          </w:tcPr>
          <w:p>
            <w:pPr>
              <w:pStyle w:val="63"/>
            </w:pPr>
            <w:r>
              <w:t>应选用焙烧、破碎、分选等一种或多种处理工艺，去除废锂离子动力蓄电池中的电解质、有机溶剂；</w:t>
            </w:r>
          </w:p>
        </w:tc>
        <w:tc>
          <w:tcPr>
            <w:tcW w:w="4540" w:type="dxa"/>
            <w:shd w:val="clear" w:color="auto" w:fill="auto"/>
            <w:vAlign w:val="center"/>
          </w:tcPr>
          <w:p>
            <w:pPr>
              <w:pStyle w:val="63"/>
            </w:pPr>
            <w:r>
              <w:t>拟建项目选用破碎、分选等多种工艺，去除废旧锂离子动力蓄电池中的电解质、有机溶剂；</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jc w:val="center"/>
        </w:trPr>
        <w:tc>
          <w:tcPr>
            <w:tcW w:w="637" w:type="dxa"/>
            <w:shd w:val="clear" w:color="auto" w:fill="auto"/>
            <w:vAlign w:val="center"/>
          </w:tcPr>
          <w:p>
            <w:pPr>
              <w:pStyle w:val="63"/>
            </w:pPr>
            <w:r>
              <w:t>10</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应在负压条件下采用机械化或自动化设备破碎分选含电解质、有机溶剂的电池单体；</w:t>
            </w:r>
          </w:p>
        </w:tc>
        <w:tc>
          <w:tcPr>
            <w:tcW w:w="4540" w:type="dxa"/>
            <w:shd w:val="clear" w:color="auto" w:fill="auto"/>
            <w:vAlign w:val="center"/>
          </w:tcPr>
          <w:p>
            <w:pPr>
              <w:pStyle w:val="63"/>
            </w:pPr>
            <w:r>
              <w:t>项目拆解、破碎、分选区域密闭微负压设计；</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jc w:val="center"/>
        </w:trPr>
        <w:tc>
          <w:tcPr>
            <w:tcW w:w="637" w:type="dxa"/>
            <w:shd w:val="clear" w:color="auto" w:fill="auto"/>
            <w:vAlign w:val="center"/>
          </w:tcPr>
          <w:p>
            <w:pPr>
              <w:pStyle w:val="63"/>
            </w:pPr>
            <w:r>
              <w:t>11</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采用的破碎、分选工艺，应确保电池电极材料、集流体和外壳等在后续步骤中被分离；</w:t>
            </w:r>
          </w:p>
        </w:tc>
        <w:tc>
          <w:tcPr>
            <w:tcW w:w="4540" w:type="dxa"/>
            <w:shd w:val="clear" w:color="auto" w:fill="auto"/>
            <w:vAlign w:val="center"/>
          </w:tcPr>
          <w:p>
            <w:pPr>
              <w:pStyle w:val="63"/>
            </w:pPr>
            <w:r>
              <w:t>项目采用的破碎、分选工艺分离出电池电极材料、集流体和外壳</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12</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不应直接焙烧未经拆解的废锂离子动力蓄电池电池包、电池模块；</w:t>
            </w:r>
          </w:p>
        </w:tc>
        <w:tc>
          <w:tcPr>
            <w:tcW w:w="4540" w:type="dxa"/>
            <w:shd w:val="clear" w:color="auto" w:fill="auto"/>
            <w:vAlign w:val="center"/>
          </w:tcPr>
          <w:p>
            <w:pPr>
              <w:pStyle w:val="63"/>
            </w:pPr>
            <w:r>
              <w:t>项目锂电池先拆解破碎后进行热解</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13</w:t>
            </w:r>
          </w:p>
        </w:tc>
        <w:tc>
          <w:tcPr>
            <w:tcW w:w="883" w:type="dxa"/>
            <w:vMerge w:val="restart"/>
            <w:shd w:val="clear" w:color="auto" w:fill="auto"/>
            <w:vAlign w:val="center"/>
          </w:tcPr>
          <w:p>
            <w:pPr>
              <w:pStyle w:val="63"/>
            </w:pPr>
            <w:r>
              <w:t>材料回收</w:t>
            </w:r>
          </w:p>
        </w:tc>
        <w:tc>
          <w:tcPr>
            <w:tcW w:w="7249" w:type="dxa"/>
            <w:shd w:val="clear" w:color="auto" w:fill="auto"/>
            <w:vAlign w:val="center"/>
          </w:tcPr>
          <w:p>
            <w:pPr>
              <w:pStyle w:val="63"/>
            </w:pPr>
            <w:r>
              <w:t>采用湿法处理工艺处理废锂离子动力蓄电池。必须经拆解、焙烧、破碎、分选等一种或多种处理工艺，去除废锂离子动力蓄电池中的电解质、有机溶剂；</w:t>
            </w:r>
          </w:p>
        </w:tc>
        <w:tc>
          <w:tcPr>
            <w:tcW w:w="4540" w:type="dxa"/>
            <w:shd w:val="clear" w:color="auto" w:fill="auto"/>
            <w:vAlign w:val="center"/>
          </w:tcPr>
          <w:p>
            <w:pPr>
              <w:pStyle w:val="63"/>
            </w:pPr>
            <w:r>
              <w:t>本项目通过拆解、破碎、焙烧、分选等处理工艺，去除废锂离子动力蓄电池中的电解质、有机溶剂；</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jc w:val="center"/>
        </w:trPr>
        <w:tc>
          <w:tcPr>
            <w:tcW w:w="637" w:type="dxa"/>
            <w:shd w:val="clear" w:color="auto" w:fill="auto"/>
            <w:vAlign w:val="center"/>
          </w:tcPr>
          <w:p>
            <w:pPr>
              <w:pStyle w:val="63"/>
            </w:pPr>
            <w:r>
              <w:t>14</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采用湿法处理工艺处理废电极材料粉料，镍、钴、锰的综合回收率应不低于98%；</w:t>
            </w:r>
          </w:p>
        </w:tc>
        <w:tc>
          <w:tcPr>
            <w:tcW w:w="4540" w:type="dxa"/>
            <w:shd w:val="clear" w:color="auto" w:fill="auto"/>
            <w:vAlign w:val="center"/>
          </w:tcPr>
          <w:p>
            <w:pPr>
              <w:pStyle w:val="63"/>
            </w:pPr>
            <w:r>
              <w:t>镍、钴、锰的综合回收率均大于98%；</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15</w:t>
            </w:r>
          </w:p>
        </w:tc>
        <w:tc>
          <w:tcPr>
            <w:tcW w:w="883" w:type="dxa"/>
            <w:vMerge w:val="restart"/>
            <w:shd w:val="clear" w:color="auto" w:fill="auto"/>
            <w:vAlign w:val="center"/>
          </w:tcPr>
          <w:p>
            <w:pPr>
              <w:pStyle w:val="63"/>
            </w:pPr>
            <w:r>
              <w:t>废气污染控制</w:t>
            </w:r>
          </w:p>
        </w:tc>
        <w:tc>
          <w:tcPr>
            <w:tcW w:w="7249" w:type="dxa"/>
            <w:shd w:val="clear" w:color="auto" w:fill="auto"/>
            <w:vAlign w:val="center"/>
          </w:tcPr>
          <w:p>
            <w:pPr>
              <w:pStyle w:val="63"/>
            </w:pPr>
            <w:r>
              <w:t>在处理工艺时，物料应采用负压密封管道输送，生产车间产生的废气等污染物应有效收集并导入废气处理装置；</w:t>
            </w:r>
          </w:p>
        </w:tc>
        <w:tc>
          <w:tcPr>
            <w:tcW w:w="4540" w:type="dxa"/>
            <w:shd w:val="clear" w:color="auto" w:fill="auto"/>
            <w:vAlign w:val="center"/>
          </w:tcPr>
          <w:p>
            <w:pPr>
              <w:pStyle w:val="63"/>
            </w:pPr>
            <w:r>
              <w:t>拟建项目撕破、破碎等采用密闭设备，设备之间管道连接，破碎分选产生的废气经收集后引入废气处理设施处理后达标排放。</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16</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废锂离子动力蓄电池拆解、破碎、分选工序，以及湿法工艺浸出、分离、提纯和化合物制备工序废气排放应满足 GB 16297 的规定；挥发性有机物无组织排放应满足 GB 37822的规定。监测因子包括二氧化硫、颗粒物、非甲烷总烃、氟化物、镍及其化合物、硫酸雾、氯化氢等。</w:t>
            </w:r>
          </w:p>
        </w:tc>
        <w:tc>
          <w:tcPr>
            <w:tcW w:w="4540" w:type="dxa"/>
            <w:shd w:val="clear" w:color="auto" w:fill="auto"/>
            <w:vAlign w:val="center"/>
          </w:tcPr>
          <w:p>
            <w:pPr>
              <w:pStyle w:val="63"/>
            </w:pPr>
            <w:r>
              <w:t>废锂电池动力蓄电池拆解、破碎、分选工序产生的废气满足《大气污染物综合排放标准》相关标准限值要求。监测因子包括二氧化硫、颗粒物、非甲烷总烃、氟化物、镍及其化合物、硫酸雾、氯化氢等。</w:t>
            </w:r>
          </w:p>
        </w:tc>
        <w:tc>
          <w:tcPr>
            <w:tcW w:w="854" w:type="dxa"/>
            <w:vMerge w:val="restart"/>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jc w:val="center"/>
        </w:trPr>
        <w:tc>
          <w:tcPr>
            <w:tcW w:w="637" w:type="dxa"/>
            <w:shd w:val="clear" w:color="auto" w:fill="auto"/>
            <w:vAlign w:val="center"/>
          </w:tcPr>
          <w:p>
            <w:pPr>
              <w:pStyle w:val="63"/>
            </w:pPr>
            <w:r>
              <w:t>17</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废锂离子动力蓄电池焙烧、破碎、分选工序，以及火法工艺冶炼工序的钴及其化合物排放限值，参照执行 GB 31573 的规定。</w:t>
            </w:r>
          </w:p>
        </w:tc>
        <w:tc>
          <w:tcPr>
            <w:tcW w:w="4540" w:type="dxa"/>
            <w:shd w:val="clear" w:color="auto" w:fill="auto"/>
            <w:vAlign w:val="center"/>
          </w:tcPr>
          <w:p>
            <w:pPr>
              <w:pStyle w:val="63"/>
            </w:pPr>
            <w:r>
              <w:t>拟建项目废气中产生的钴及其化合物执行GB31573相关标准限值。</w:t>
            </w:r>
          </w:p>
        </w:tc>
        <w:tc>
          <w:tcPr>
            <w:tcW w:w="854" w:type="dxa"/>
            <w:vMerge w:val="continue"/>
            <w:shd w:val="clear" w:color="auto" w:fill="auto"/>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jc w:val="center"/>
        </w:trPr>
        <w:tc>
          <w:tcPr>
            <w:tcW w:w="637" w:type="dxa"/>
            <w:shd w:val="clear" w:color="auto" w:fill="auto"/>
            <w:vAlign w:val="center"/>
          </w:tcPr>
          <w:p>
            <w:pPr>
              <w:pStyle w:val="63"/>
            </w:pPr>
            <w:r>
              <w:t>18</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废锂离子动力蓄电池焙烧工序和火法工艺冶炼工序产生的二噁英类排放限值参照执行 GB18484 的规定。</w:t>
            </w:r>
          </w:p>
        </w:tc>
        <w:tc>
          <w:tcPr>
            <w:tcW w:w="4540" w:type="dxa"/>
            <w:shd w:val="clear" w:color="auto" w:fill="auto"/>
            <w:vAlign w:val="center"/>
          </w:tcPr>
          <w:p>
            <w:pPr>
              <w:pStyle w:val="63"/>
            </w:pPr>
            <w:r>
              <w:t>废锂离子动力蓄电池焙烧工序产生的二噁英类排放限值满足GB18484 的规定。</w:t>
            </w:r>
          </w:p>
        </w:tc>
        <w:tc>
          <w:tcPr>
            <w:tcW w:w="854" w:type="dxa"/>
            <w:vMerge w:val="continue"/>
            <w:shd w:val="clear" w:color="auto" w:fill="auto"/>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19</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废锂离子动力蓄电池处理过程中，废电池电极材料粉料应采用管道或其他防泄漏、防遗撒措施输送，生产车间产生的废气收集后应导入废气集中处理设施。产区内的初期雨水应单独收集并进行处理。</w:t>
            </w:r>
          </w:p>
        </w:tc>
        <w:tc>
          <w:tcPr>
            <w:tcW w:w="4540" w:type="dxa"/>
            <w:shd w:val="clear" w:color="auto" w:fill="auto"/>
            <w:vAlign w:val="center"/>
          </w:tcPr>
          <w:p>
            <w:pPr>
              <w:pStyle w:val="63"/>
            </w:pPr>
            <w:r>
              <w:t>废电池破碎产生的电极材料粉料采用管道输送，生产车间产生的废气收集后应导入废气集中处理设施。生产区内的初期雨水单独收集后进入污水处理站处理</w:t>
            </w:r>
          </w:p>
        </w:tc>
        <w:tc>
          <w:tcPr>
            <w:tcW w:w="854" w:type="dxa"/>
            <w:vMerge w:val="continue"/>
            <w:shd w:val="clear" w:color="auto" w:fill="auto"/>
            <w:vAlign w:val="center"/>
          </w:tcPr>
          <w:p>
            <w:pPr>
              <w:pStyle w:val="63"/>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20</w:t>
            </w:r>
          </w:p>
        </w:tc>
        <w:tc>
          <w:tcPr>
            <w:tcW w:w="883" w:type="dxa"/>
            <w:vMerge w:val="restart"/>
            <w:shd w:val="clear" w:color="auto" w:fill="auto"/>
            <w:vAlign w:val="center"/>
          </w:tcPr>
          <w:p>
            <w:pPr>
              <w:pStyle w:val="63"/>
            </w:pPr>
            <w:r>
              <w:t>废水污染控制</w:t>
            </w:r>
          </w:p>
        </w:tc>
        <w:tc>
          <w:tcPr>
            <w:tcW w:w="7249" w:type="dxa"/>
            <w:shd w:val="clear" w:color="auto" w:fill="auto"/>
            <w:vAlign w:val="center"/>
          </w:tcPr>
          <w:p>
            <w:pPr>
              <w:pStyle w:val="63"/>
            </w:pPr>
            <w:r>
              <w:t>从事废锂离子电池动力蓄电池焙烧、破碎、分选和材料回收企业，必须建有废水处理设施，用于处理生产废水、废气吸收废水、初期雨水等；</w:t>
            </w:r>
          </w:p>
        </w:tc>
        <w:tc>
          <w:tcPr>
            <w:tcW w:w="4540" w:type="dxa"/>
            <w:shd w:val="clear" w:color="auto" w:fill="auto"/>
            <w:vAlign w:val="center"/>
          </w:tcPr>
          <w:p>
            <w:pPr>
              <w:pStyle w:val="63"/>
            </w:pPr>
            <w:r>
              <w:t>拟建项目厂区建有1座污水处理站用于处理生产废水等</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21</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厂内废水收集输送应雨污分流，生产区内的初期雨水应进行单独收集并处理；</w:t>
            </w:r>
          </w:p>
        </w:tc>
        <w:tc>
          <w:tcPr>
            <w:tcW w:w="4540" w:type="dxa"/>
            <w:shd w:val="clear" w:color="auto" w:fill="auto"/>
            <w:vAlign w:val="center"/>
          </w:tcPr>
          <w:p>
            <w:pPr>
              <w:pStyle w:val="63"/>
            </w:pPr>
            <w:r>
              <w:t>项目于厂内设置一座初期雨水池，初期雨水收集后的送至厂区污水处理站处理后，不外排</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22</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废锂离子动力蓄电池处理企业废水总排放口、车间或生产设施废水排放口的污染物排放浓度，按照 GB 8978 的要求执行。监测因子包括流量、pH值、化学需氧量、五日生化需氧量、悬浮物、氨氮、氟化物、总铜、总锰、总镍、总锌、总磷等。</w:t>
            </w:r>
          </w:p>
        </w:tc>
        <w:tc>
          <w:tcPr>
            <w:tcW w:w="4540" w:type="dxa"/>
            <w:shd w:val="clear" w:color="auto" w:fill="auto"/>
            <w:vAlign w:val="center"/>
          </w:tcPr>
          <w:p>
            <w:pPr>
              <w:pStyle w:val="63"/>
            </w:pPr>
            <w:r>
              <w:t>拟建项目生产废水不外排，车间废水排放口执行GB8987相关要求，监测因子为总镍；无生产废水排放口；生活类污水排放口监测因子包括流量、pH  值、化学需氧量、五日生化需氧量、悬浮物、氨氮、总磷</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jc w:val="center"/>
        </w:trPr>
        <w:tc>
          <w:tcPr>
            <w:tcW w:w="637" w:type="dxa"/>
            <w:shd w:val="clear" w:color="auto" w:fill="auto"/>
            <w:vAlign w:val="center"/>
          </w:tcPr>
          <w:p>
            <w:pPr>
              <w:pStyle w:val="63"/>
            </w:pPr>
            <w:r>
              <w:t>23</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废锂离子动力蓄电池处理企业废水总排放口总钴的排放限值，参照执行 GB 31573 的规定。</w:t>
            </w:r>
          </w:p>
        </w:tc>
        <w:tc>
          <w:tcPr>
            <w:tcW w:w="4540" w:type="dxa"/>
            <w:shd w:val="clear" w:color="auto" w:fill="auto"/>
            <w:vAlign w:val="center"/>
          </w:tcPr>
          <w:p>
            <w:pPr>
              <w:pStyle w:val="63"/>
            </w:pPr>
            <w:r>
              <w:t>拟建项目生产废水经处理后回用于生产，不外排</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24</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采用湿法工艺的废锂离子动力蓄电池处理企业，车间生产废水应单独收集处理或回用，实现一类污染物总镍排放浓度符合 GB 8978 的要求；不应将车间生产废水与其他废水直接混合进行处理。</w:t>
            </w:r>
          </w:p>
        </w:tc>
        <w:tc>
          <w:tcPr>
            <w:tcW w:w="4540" w:type="dxa"/>
            <w:shd w:val="clear" w:color="auto" w:fill="auto"/>
            <w:vAlign w:val="center"/>
          </w:tcPr>
          <w:p>
            <w:pPr>
              <w:pStyle w:val="63"/>
            </w:pPr>
            <w:r>
              <w:t>生产车间废水单独进行收集处理后回用，总镍满足一类污染物总镍排放浓度符合 GB 8978 的要求后回用，不外排</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jc w:val="center"/>
        </w:trPr>
        <w:tc>
          <w:tcPr>
            <w:tcW w:w="637" w:type="dxa"/>
            <w:shd w:val="clear" w:color="auto" w:fill="auto"/>
            <w:vAlign w:val="center"/>
          </w:tcPr>
          <w:p>
            <w:pPr>
              <w:pStyle w:val="63"/>
            </w:pPr>
            <w:r>
              <w:t>25</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废锂离子动力蓄电池处理企业厂内废水收集输送应雨污分流，生产区内的初期雨水应单独收集并进行处理。</w:t>
            </w:r>
          </w:p>
        </w:tc>
        <w:tc>
          <w:tcPr>
            <w:tcW w:w="4540" w:type="dxa"/>
            <w:shd w:val="clear" w:color="auto" w:fill="auto"/>
            <w:vAlign w:val="center"/>
          </w:tcPr>
          <w:p>
            <w:pPr>
              <w:pStyle w:val="63"/>
            </w:pPr>
            <w:r>
              <w:t>拟建项目采用雨污分流，生产废水与初期雨水分别单独收集并处理</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jc w:val="center"/>
        </w:trPr>
        <w:tc>
          <w:tcPr>
            <w:tcW w:w="637" w:type="dxa"/>
            <w:shd w:val="clear" w:color="auto" w:fill="auto"/>
            <w:vAlign w:val="center"/>
          </w:tcPr>
          <w:p>
            <w:pPr>
              <w:pStyle w:val="63"/>
            </w:pPr>
            <w:r>
              <w:t>26</w:t>
            </w:r>
          </w:p>
        </w:tc>
        <w:tc>
          <w:tcPr>
            <w:tcW w:w="883" w:type="dxa"/>
            <w:vMerge w:val="restart"/>
            <w:shd w:val="clear" w:color="auto" w:fill="auto"/>
            <w:vAlign w:val="center"/>
          </w:tcPr>
          <w:p>
            <w:pPr>
              <w:pStyle w:val="63"/>
            </w:pPr>
            <w:r>
              <w:t>固体废物污染控制</w:t>
            </w:r>
          </w:p>
        </w:tc>
        <w:tc>
          <w:tcPr>
            <w:tcW w:w="7249" w:type="dxa"/>
            <w:shd w:val="clear" w:color="auto" w:fill="auto"/>
            <w:vAlign w:val="center"/>
          </w:tcPr>
          <w:p>
            <w:pPr>
              <w:pStyle w:val="63"/>
            </w:pPr>
            <w:r>
              <w:t>废锂离子动力蓄电池处理企业应按照 GB 18597和 GB 18599设置危险废物贮存区和一般工业固体废物贮存区等，不应露天贮存废锂离子动力蓄电池及其处理产物。</w:t>
            </w:r>
          </w:p>
        </w:tc>
        <w:tc>
          <w:tcPr>
            <w:tcW w:w="4540" w:type="dxa"/>
            <w:shd w:val="clear" w:color="auto" w:fill="auto"/>
            <w:vAlign w:val="center"/>
          </w:tcPr>
          <w:p>
            <w:pPr>
              <w:pStyle w:val="63"/>
            </w:pPr>
            <w:r>
              <w:t>拟建项目不露天贮存废锂离子动力蓄电池及其处理产物</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27</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破碎、分选除尘工艺收集的颗粒物，应返回材料回收设施提取金属组分。</w:t>
            </w:r>
          </w:p>
        </w:tc>
        <w:tc>
          <w:tcPr>
            <w:tcW w:w="4540" w:type="dxa"/>
            <w:shd w:val="clear" w:color="auto" w:fill="auto"/>
            <w:vAlign w:val="center"/>
          </w:tcPr>
          <w:p>
            <w:pPr>
              <w:pStyle w:val="63"/>
            </w:pPr>
            <w:r>
              <w:t>破碎、分选除尘工艺收集的颗粒物，返回材料回收设施提取金属组分。</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28</w:t>
            </w:r>
          </w:p>
        </w:tc>
        <w:tc>
          <w:tcPr>
            <w:tcW w:w="883" w:type="dxa"/>
            <w:vMerge w:val="continue"/>
            <w:shd w:val="clear" w:color="auto" w:fill="auto"/>
            <w:vAlign w:val="center"/>
          </w:tcPr>
          <w:p>
            <w:pPr>
              <w:pStyle w:val="63"/>
            </w:pPr>
          </w:p>
        </w:tc>
        <w:tc>
          <w:tcPr>
            <w:tcW w:w="7249" w:type="dxa"/>
            <w:shd w:val="clear" w:color="auto" w:fill="auto"/>
            <w:vAlign w:val="center"/>
          </w:tcPr>
          <w:p>
            <w:pPr>
              <w:pStyle w:val="63"/>
            </w:pPr>
            <w:r>
              <w:t>废锂离子动力蓄电池处理企业产生的废电路板、废塑料、废金属、废冷却液、火法工艺残渣、废活性炭、废气净化灰渣、生产废水处理污泥等固体废物，应分类收集、贮存、利用处置；属于危险废物且需要委托外单位利用处置的，应交由具有相应资质的企业利用处置。</w:t>
            </w:r>
          </w:p>
        </w:tc>
        <w:tc>
          <w:tcPr>
            <w:tcW w:w="4540" w:type="dxa"/>
            <w:shd w:val="clear" w:color="auto" w:fill="auto"/>
            <w:vAlign w:val="center"/>
          </w:tcPr>
          <w:p>
            <w:pPr>
              <w:pStyle w:val="63"/>
            </w:pPr>
            <w:r>
              <w:t>拟建项目产生废塑料、废金属、废冷却液、废活性炭等分类收集，属于危废的委托有资质单位的处置</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7" w:type="dxa"/>
            <w:shd w:val="clear" w:color="auto" w:fill="auto"/>
            <w:vAlign w:val="center"/>
          </w:tcPr>
          <w:p>
            <w:pPr>
              <w:pStyle w:val="63"/>
            </w:pPr>
            <w:r>
              <w:t>29</w:t>
            </w:r>
          </w:p>
        </w:tc>
        <w:tc>
          <w:tcPr>
            <w:tcW w:w="883" w:type="dxa"/>
            <w:shd w:val="clear" w:color="auto" w:fill="auto"/>
            <w:vAlign w:val="center"/>
          </w:tcPr>
          <w:p>
            <w:pPr>
              <w:pStyle w:val="63"/>
            </w:pPr>
            <w:r>
              <w:t>再生污染控制</w:t>
            </w:r>
          </w:p>
        </w:tc>
        <w:tc>
          <w:tcPr>
            <w:tcW w:w="7249" w:type="dxa"/>
            <w:shd w:val="clear" w:color="auto" w:fill="auto"/>
            <w:vAlign w:val="center"/>
          </w:tcPr>
          <w:p>
            <w:pPr>
              <w:pStyle w:val="63"/>
            </w:pPr>
            <w:r>
              <w:t>产生噪声的主要设备：如泵、破碎机、风机等应采取相应基础减振和消声及隔音措施。</w:t>
            </w:r>
          </w:p>
        </w:tc>
        <w:tc>
          <w:tcPr>
            <w:tcW w:w="4540" w:type="dxa"/>
            <w:shd w:val="clear" w:color="auto" w:fill="auto"/>
            <w:vAlign w:val="center"/>
          </w:tcPr>
          <w:p>
            <w:pPr>
              <w:pStyle w:val="63"/>
            </w:pPr>
            <w:r>
              <w:t>项目采取合理布局、选用低噪声设备、隔声减振等措施；</w:t>
            </w:r>
          </w:p>
        </w:tc>
        <w:tc>
          <w:tcPr>
            <w:tcW w:w="854" w:type="dxa"/>
            <w:shd w:val="clear" w:color="auto" w:fill="auto"/>
            <w:vAlign w:val="center"/>
          </w:tcPr>
          <w:p>
            <w:pPr>
              <w:pStyle w:val="63"/>
            </w:pPr>
            <w:r>
              <w:t>符合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4" w:hRule="atLeast"/>
          <w:jc w:val="center"/>
        </w:trPr>
        <w:tc>
          <w:tcPr>
            <w:tcW w:w="637" w:type="dxa"/>
            <w:shd w:val="clear" w:color="auto" w:fill="auto"/>
            <w:vAlign w:val="center"/>
          </w:tcPr>
          <w:p>
            <w:pPr>
              <w:pStyle w:val="63"/>
            </w:pPr>
            <w:r>
              <w:t>30</w:t>
            </w:r>
          </w:p>
        </w:tc>
        <w:tc>
          <w:tcPr>
            <w:tcW w:w="883" w:type="dxa"/>
            <w:shd w:val="clear" w:color="auto" w:fill="auto"/>
            <w:vAlign w:val="center"/>
          </w:tcPr>
          <w:p>
            <w:pPr>
              <w:pStyle w:val="63"/>
            </w:pPr>
            <w:r>
              <w:t>运行环境管理要求</w:t>
            </w:r>
          </w:p>
        </w:tc>
        <w:tc>
          <w:tcPr>
            <w:tcW w:w="7249" w:type="dxa"/>
            <w:shd w:val="clear" w:color="auto" w:fill="auto"/>
            <w:vAlign w:val="center"/>
          </w:tcPr>
          <w:p>
            <w:pPr>
              <w:pStyle w:val="63"/>
            </w:pPr>
            <w:r>
              <w:t>具有经过培训的技术人员、管理人员和相应数量的操作人员；具备废锂离子动力蓄电池处理污染控制规章制度；具备所排放主要环境污染物的监测能力。</w:t>
            </w:r>
          </w:p>
        </w:tc>
        <w:tc>
          <w:tcPr>
            <w:tcW w:w="4540" w:type="dxa"/>
            <w:shd w:val="clear" w:color="auto" w:fill="auto"/>
            <w:vAlign w:val="center"/>
          </w:tcPr>
          <w:p>
            <w:pPr>
              <w:pStyle w:val="63"/>
            </w:pPr>
            <w:r>
              <w:t>拟建项目投产运行后，对工作人员进行相关技术的培训，制定锂离子动力蓄电池处理污染控制规章制度，委托资质单位对拟建项目废气、废水定性定期监测。</w:t>
            </w:r>
          </w:p>
        </w:tc>
        <w:tc>
          <w:tcPr>
            <w:tcW w:w="854" w:type="dxa"/>
            <w:shd w:val="clear" w:color="auto" w:fill="auto"/>
            <w:vAlign w:val="center"/>
          </w:tcPr>
          <w:p>
            <w:pPr>
              <w:pStyle w:val="63"/>
            </w:pPr>
            <w:r>
              <w:t>符合</w:t>
            </w:r>
          </w:p>
        </w:tc>
      </w:tr>
    </w:tbl>
    <w:p>
      <w:pPr>
        <w:pStyle w:val="6"/>
        <w:rPr>
          <w:rFonts w:ascii="Times New Roman" w:hAnsi="Times New Roman" w:cs="Times New Roman"/>
          <w:u w:val="single"/>
        </w:rPr>
      </w:pPr>
      <w:r>
        <w:rPr>
          <w:rFonts w:ascii="Times New Roman" w:hAnsi="Times New Roman" w:cs="Times New Roman"/>
          <w:u w:val="single"/>
        </w:rPr>
        <w:t>表11.3-1</w:t>
      </w:r>
      <w:r>
        <w:rPr>
          <w:rFonts w:hint="eastAsia" w:ascii="Times New Roman" w:hAnsi="Times New Roman" w:cs="Times New Roman"/>
          <w:u w:val="single"/>
        </w:rPr>
        <w:t>3</w:t>
      </w:r>
      <w:r>
        <w:rPr>
          <w:rFonts w:ascii="Times New Roman" w:hAnsi="Times New Roman" w:cs="Times New Roman"/>
          <w:u w:val="single"/>
        </w:rPr>
        <w:t xml:space="preserve"> </w:t>
      </w:r>
      <w:r>
        <w:rPr>
          <w:rFonts w:hint="eastAsia" w:ascii="Times New Roman" w:hAnsi="Times New Roman" w:cs="Times New Roman"/>
          <w:u w:val="single"/>
        </w:rPr>
        <w:t xml:space="preserve"> </w:t>
      </w:r>
      <w:r>
        <w:rPr>
          <w:rFonts w:ascii="Times New Roman" w:hAnsi="Times New Roman" w:cs="Times New Roman"/>
          <w:u w:val="single"/>
        </w:rPr>
        <w:t>与《</w:t>
      </w:r>
      <w:r>
        <w:rPr>
          <w:rFonts w:hint="eastAsia" w:ascii="Times New Roman" w:hAnsi="Times New Roman" w:cs="Times New Roman"/>
          <w:u w:val="single"/>
        </w:rPr>
        <w:t>新能源汽车动力蓄电池梯次利用管理办法</w:t>
      </w:r>
      <w:r>
        <w:rPr>
          <w:rFonts w:ascii="Times New Roman" w:hAnsi="Times New Roman" w:cs="Times New Roman"/>
          <w:u w:val="single"/>
        </w:rPr>
        <w:t>》相符性分析</w:t>
      </w:r>
    </w:p>
    <w:tbl>
      <w:tblPr>
        <w:tblStyle w:val="36"/>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63"/>
        <w:gridCol w:w="8259"/>
        <w:gridCol w:w="3686"/>
        <w:gridCol w:w="11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14" w:hRule="atLeast"/>
          <w:tblHeader/>
        </w:trPr>
        <w:tc>
          <w:tcPr>
            <w:tcW w:w="1063" w:type="dxa"/>
            <w:vAlign w:val="center"/>
          </w:tcPr>
          <w:p>
            <w:pPr>
              <w:pStyle w:val="63"/>
              <w:rPr>
                <w:u w:val="single"/>
              </w:rPr>
            </w:pPr>
            <w:r>
              <w:rPr>
                <w:rFonts w:hint="eastAsia"/>
                <w:u w:val="single"/>
              </w:rPr>
              <w:t>序号</w:t>
            </w:r>
          </w:p>
        </w:tc>
        <w:tc>
          <w:tcPr>
            <w:tcW w:w="8259" w:type="dxa"/>
            <w:vAlign w:val="center"/>
          </w:tcPr>
          <w:p>
            <w:pPr>
              <w:pStyle w:val="63"/>
              <w:rPr>
                <w:u w:val="single"/>
              </w:rPr>
            </w:pPr>
            <w:r>
              <w:rPr>
                <w:u w:val="single"/>
              </w:rPr>
              <w:t>技术政策要求</w:t>
            </w:r>
          </w:p>
        </w:tc>
        <w:tc>
          <w:tcPr>
            <w:tcW w:w="3686" w:type="dxa"/>
            <w:vAlign w:val="center"/>
          </w:tcPr>
          <w:p>
            <w:pPr>
              <w:pStyle w:val="63"/>
              <w:rPr>
                <w:u w:val="single"/>
              </w:rPr>
            </w:pPr>
            <w:r>
              <w:rPr>
                <w:u w:val="single"/>
              </w:rPr>
              <w:t>拟建项目情况</w:t>
            </w:r>
          </w:p>
        </w:tc>
        <w:tc>
          <w:tcPr>
            <w:tcW w:w="1168" w:type="dxa"/>
            <w:vAlign w:val="center"/>
          </w:tcPr>
          <w:p>
            <w:pPr>
              <w:pStyle w:val="63"/>
              <w:rPr>
                <w:u w:val="single"/>
              </w:rPr>
            </w:pPr>
            <w:r>
              <w:rPr>
                <w:u w:val="single"/>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1063" w:type="dxa"/>
            <w:vAlign w:val="center"/>
          </w:tcPr>
          <w:p>
            <w:pPr>
              <w:pStyle w:val="63"/>
              <w:rPr>
                <w:u w:val="single"/>
              </w:rPr>
            </w:pPr>
            <w:r>
              <w:rPr>
                <w:rFonts w:hint="eastAsia"/>
                <w:u w:val="single"/>
              </w:rPr>
              <w:t>1</w:t>
            </w:r>
          </w:p>
        </w:tc>
        <w:tc>
          <w:tcPr>
            <w:tcW w:w="8259" w:type="dxa"/>
            <w:vAlign w:val="center"/>
          </w:tcPr>
          <w:p>
            <w:pPr>
              <w:pStyle w:val="63"/>
              <w:rPr>
                <w:u w:val="single"/>
              </w:rPr>
            </w:pPr>
            <w:r>
              <w:rPr>
                <w:rFonts w:hint="eastAsia"/>
                <w:u w:val="single"/>
              </w:rPr>
              <w:t>梯次利用企业应符合《新能源汽车废旧动力蓄电池综合利用行业规范条件》（工业和信息化部公告2019年第59号）要求。鼓励采用先进适用的工艺技术及装备，对废旧动力蓄电池优先进行包（组）、模块级别的梯次利用，电池包（组）和模块的拆解符合《车用动力电池回收利用拆解规范》（GB/T33598）的相关要求</w:t>
            </w:r>
          </w:p>
        </w:tc>
        <w:tc>
          <w:tcPr>
            <w:tcW w:w="3686" w:type="dxa"/>
            <w:vAlign w:val="center"/>
          </w:tcPr>
          <w:p>
            <w:pPr>
              <w:pStyle w:val="63"/>
              <w:rPr>
                <w:u w:val="single"/>
              </w:rPr>
            </w:pPr>
            <w:r>
              <w:rPr>
                <w:rFonts w:hint="eastAsia"/>
                <w:u w:val="single"/>
              </w:rPr>
              <w:t>拟建项目符合相应法律法规要求，对废旧动力蓄电池优先进行包（组）、模块级别的梯次利用，电池包（组）和模块的拆解符合《车用动力电池回收利用拆解规范》（GB/T33598）的相关要求</w:t>
            </w:r>
          </w:p>
        </w:tc>
        <w:tc>
          <w:tcPr>
            <w:tcW w:w="1168" w:type="dxa"/>
            <w:vAlign w:val="center"/>
          </w:tcPr>
          <w:p>
            <w:pPr>
              <w:pStyle w:val="63"/>
              <w:rPr>
                <w:u w:val="single"/>
              </w:rPr>
            </w:pPr>
            <w:r>
              <w:rPr>
                <w:u w:val="singl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063" w:type="dxa"/>
            <w:vAlign w:val="center"/>
          </w:tcPr>
          <w:p>
            <w:pPr>
              <w:pStyle w:val="63"/>
              <w:rPr>
                <w:u w:val="single"/>
              </w:rPr>
            </w:pPr>
            <w:r>
              <w:rPr>
                <w:rFonts w:hint="eastAsia"/>
                <w:u w:val="single"/>
              </w:rPr>
              <w:t>2</w:t>
            </w:r>
          </w:p>
        </w:tc>
        <w:tc>
          <w:tcPr>
            <w:tcW w:w="8259" w:type="dxa"/>
            <w:vAlign w:val="center"/>
          </w:tcPr>
          <w:p>
            <w:pPr>
              <w:pStyle w:val="63"/>
              <w:rPr>
                <w:u w:val="single"/>
              </w:rPr>
            </w:pPr>
            <w:r>
              <w:rPr>
                <w:rFonts w:hint="eastAsia"/>
                <w:u w:val="single"/>
              </w:rPr>
              <w:t>鼓励梯次利用企业与新能源汽车生产、动力蓄电池生产及报废机动车回收拆解等企业协议合作，加强信息共享，利用已有回收渠道，高效回收废旧动力蓄电池用于梯次利用。鼓励动力蓄电池生产企业参与废旧动力蓄电池回收及梯次利用</w:t>
            </w:r>
          </w:p>
        </w:tc>
        <w:tc>
          <w:tcPr>
            <w:tcW w:w="3686" w:type="dxa"/>
            <w:vAlign w:val="center"/>
          </w:tcPr>
          <w:p>
            <w:pPr>
              <w:pStyle w:val="63"/>
              <w:rPr>
                <w:u w:val="single"/>
              </w:rPr>
            </w:pPr>
            <w:r>
              <w:rPr>
                <w:rFonts w:hint="eastAsia"/>
                <w:u w:val="single"/>
              </w:rPr>
              <w:t>拟建项目加强信息共享，利用已有回收渠道，高效回收废旧动力蓄电池用于梯次利用。</w:t>
            </w:r>
          </w:p>
        </w:tc>
        <w:tc>
          <w:tcPr>
            <w:tcW w:w="1168" w:type="dxa"/>
            <w:vAlign w:val="center"/>
          </w:tcPr>
          <w:p>
            <w:pPr>
              <w:pStyle w:val="63"/>
              <w:rPr>
                <w:u w:val="single"/>
              </w:rPr>
            </w:pPr>
            <w:r>
              <w:rPr>
                <w:u w:val="singl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063" w:type="dxa"/>
            <w:vAlign w:val="center"/>
          </w:tcPr>
          <w:p>
            <w:pPr>
              <w:pStyle w:val="63"/>
              <w:rPr>
                <w:u w:val="single"/>
              </w:rPr>
            </w:pPr>
            <w:r>
              <w:rPr>
                <w:rFonts w:hint="eastAsia"/>
                <w:u w:val="single"/>
              </w:rPr>
              <w:t>3</w:t>
            </w:r>
          </w:p>
        </w:tc>
        <w:tc>
          <w:tcPr>
            <w:tcW w:w="8259" w:type="dxa"/>
            <w:vAlign w:val="center"/>
          </w:tcPr>
          <w:p>
            <w:pPr>
              <w:pStyle w:val="63"/>
              <w:rPr>
                <w:u w:val="single"/>
              </w:rPr>
            </w:pPr>
            <w:r>
              <w:rPr>
                <w:rFonts w:hint="eastAsia"/>
                <w:u w:val="single"/>
              </w:rPr>
              <w:t>梯次产品的设计应综合考虑电气绝缘、阻燃、热管理以及电池管理等因素，保证梯次产品的可靠性；采用易于维护、拆卸及拆解的结构及连接方式，以便于其报废后的拆卸、拆解及回收。</w:t>
            </w:r>
          </w:p>
        </w:tc>
        <w:tc>
          <w:tcPr>
            <w:tcW w:w="3686" w:type="dxa"/>
            <w:vAlign w:val="center"/>
          </w:tcPr>
          <w:p>
            <w:pPr>
              <w:pStyle w:val="63"/>
              <w:rPr>
                <w:u w:val="single"/>
              </w:rPr>
            </w:pPr>
            <w:r>
              <w:rPr>
                <w:rFonts w:hint="eastAsia"/>
                <w:u w:val="single"/>
              </w:rPr>
              <w:t>拟建项目综合考虑电池管理等因素，保证梯次产品的可靠性。</w:t>
            </w:r>
          </w:p>
        </w:tc>
        <w:tc>
          <w:tcPr>
            <w:tcW w:w="1168" w:type="dxa"/>
            <w:vAlign w:val="center"/>
          </w:tcPr>
          <w:p>
            <w:pPr>
              <w:pStyle w:val="63"/>
              <w:rPr>
                <w:u w:val="single"/>
              </w:rPr>
            </w:pPr>
            <w:r>
              <w:rPr>
                <w:u w:val="singl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063" w:type="dxa"/>
            <w:vAlign w:val="center"/>
          </w:tcPr>
          <w:p>
            <w:pPr>
              <w:pStyle w:val="63"/>
              <w:rPr>
                <w:u w:val="single"/>
              </w:rPr>
            </w:pPr>
            <w:r>
              <w:rPr>
                <w:rFonts w:hint="eastAsia"/>
                <w:u w:val="single"/>
              </w:rPr>
              <w:t>4</w:t>
            </w:r>
          </w:p>
        </w:tc>
        <w:tc>
          <w:tcPr>
            <w:tcW w:w="8259" w:type="dxa"/>
            <w:vAlign w:val="center"/>
          </w:tcPr>
          <w:p>
            <w:pPr>
              <w:pStyle w:val="63"/>
              <w:rPr>
                <w:u w:val="single"/>
              </w:rPr>
            </w:pPr>
            <w:r>
              <w:rPr>
                <w:rFonts w:hint="eastAsia"/>
                <w:u w:val="single"/>
              </w:rPr>
              <w:t>梯次产品应有商品条码标识，并按《汽车动力蓄电池编码规则》（GB/T34014）统一编码，在梯次产品标识上标明（但不限于）标称容量、标称电压、梯次利用企业名称、地址、产品产地、溯源编码等信息，并保留原动力蓄电池编码</w:t>
            </w:r>
          </w:p>
        </w:tc>
        <w:tc>
          <w:tcPr>
            <w:tcW w:w="3686" w:type="dxa"/>
            <w:vAlign w:val="center"/>
          </w:tcPr>
          <w:p>
            <w:pPr>
              <w:pStyle w:val="63"/>
              <w:rPr>
                <w:u w:val="single"/>
              </w:rPr>
            </w:pPr>
            <w:r>
              <w:rPr>
                <w:rFonts w:hint="eastAsia"/>
                <w:u w:val="single"/>
              </w:rPr>
              <w:t>拟建项目按相应法律法规要求进行梯次利用。</w:t>
            </w:r>
          </w:p>
        </w:tc>
        <w:tc>
          <w:tcPr>
            <w:tcW w:w="1168" w:type="dxa"/>
            <w:vAlign w:val="center"/>
          </w:tcPr>
          <w:p>
            <w:pPr>
              <w:pStyle w:val="63"/>
              <w:rPr>
                <w:u w:val="single"/>
              </w:rPr>
            </w:pPr>
            <w:r>
              <w:rPr>
                <w:u w:val="singl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063" w:type="dxa"/>
            <w:vAlign w:val="center"/>
          </w:tcPr>
          <w:p>
            <w:pPr>
              <w:pStyle w:val="63"/>
              <w:rPr>
                <w:u w:val="single"/>
              </w:rPr>
            </w:pPr>
            <w:r>
              <w:rPr>
                <w:rFonts w:hint="eastAsia"/>
                <w:u w:val="single"/>
              </w:rPr>
              <w:t>5</w:t>
            </w:r>
          </w:p>
        </w:tc>
        <w:tc>
          <w:tcPr>
            <w:tcW w:w="8259" w:type="dxa"/>
            <w:vAlign w:val="center"/>
          </w:tcPr>
          <w:p>
            <w:pPr>
              <w:pStyle w:val="63"/>
              <w:rPr>
                <w:u w:val="single"/>
              </w:rPr>
            </w:pPr>
            <w:r>
              <w:rPr>
                <w:rFonts w:hint="eastAsia"/>
                <w:u w:val="single"/>
              </w:rPr>
              <w:t>梯次利用企业应按照《新能源汽车动力蓄电池回收服务网点建设和运营指南》（工业和信息化部公告2019年第46号）的相关要求，建立与产品销售量相匹配的报废梯次产品回收服务网点，报送回收服务网点信息并在本企业网站向社会公布。鼓励梯次利用企业与新能源汽车生产等企业合作共建、共用回收体系，提高回收效率。</w:t>
            </w:r>
          </w:p>
        </w:tc>
        <w:tc>
          <w:tcPr>
            <w:tcW w:w="3686" w:type="dxa"/>
            <w:vAlign w:val="center"/>
          </w:tcPr>
          <w:p>
            <w:pPr>
              <w:pStyle w:val="63"/>
              <w:rPr>
                <w:u w:val="single"/>
              </w:rPr>
            </w:pPr>
            <w:r>
              <w:rPr>
                <w:rFonts w:hint="eastAsia"/>
                <w:u w:val="single"/>
              </w:rPr>
              <w:t>拟建项目按照相应法律法规要求进行梯次利用。</w:t>
            </w:r>
          </w:p>
        </w:tc>
        <w:tc>
          <w:tcPr>
            <w:tcW w:w="1168" w:type="dxa"/>
            <w:vAlign w:val="center"/>
          </w:tcPr>
          <w:p>
            <w:pPr>
              <w:pStyle w:val="63"/>
              <w:rPr>
                <w:u w:val="single"/>
              </w:rPr>
            </w:pPr>
            <w:r>
              <w:rPr>
                <w:u w:val="single"/>
              </w:rPr>
              <w:t>符合</w:t>
            </w:r>
          </w:p>
        </w:tc>
      </w:tr>
    </w:tbl>
    <w:p>
      <w:pPr>
        <w:pStyle w:val="4"/>
        <w:rPr>
          <w:rFonts w:ascii="Times New Roman" w:hAnsi="Times New Roman" w:cs="Times New Roman"/>
        </w:rPr>
      </w:pPr>
      <w:r>
        <w:rPr>
          <w:rFonts w:ascii="Times New Roman" w:hAnsi="Times New Roman" w:cs="Times New Roman"/>
        </w:rPr>
        <w:t>11.3.1</w:t>
      </w:r>
      <w:r>
        <w:rPr>
          <w:rFonts w:hint="eastAsia" w:ascii="Times New Roman" w:hAnsi="Times New Roman" w:cs="Times New Roman"/>
        </w:rPr>
        <w:t>4</w:t>
      </w:r>
      <w:r>
        <w:rPr>
          <w:rFonts w:ascii="Times New Roman" w:hAnsi="Times New Roman" w:cs="Times New Roman"/>
        </w:rPr>
        <w:t>与《</w:t>
      </w:r>
      <w:r>
        <w:rPr>
          <w:rFonts w:hint="eastAsia" w:ascii="Times New Roman" w:hAnsi="Times New Roman" w:cs="Times New Roman"/>
        </w:rPr>
        <w:t>锂离子电池及相关电池材料制造建设项目环境影响评价文件审批原则</w:t>
      </w:r>
      <w:r>
        <w:rPr>
          <w:rFonts w:ascii="Times New Roman" w:hAnsi="Times New Roman" w:cs="Times New Roman"/>
        </w:rPr>
        <w:t>》的相符性相符性分析</w:t>
      </w:r>
    </w:p>
    <w:p>
      <w:pPr>
        <w:pStyle w:val="6"/>
        <w:rPr>
          <w:rFonts w:ascii="Times New Roman" w:hAnsi="Times New Roman" w:cs="Times New Roman"/>
          <w:u w:val="single"/>
        </w:rPr>
      </w:pPr>
      <w:r>
        <w:rPr>
          <w:rFonts w:ascii="Times New Roman" w:hAnsi="Times New Roman" w:cs="Times New Roman"/>
          <w:u w:val="single"/>
        </w:rPr>
        <w:t>表11.3-1</w:t>
      </w:r>
      <w:r>
        <w:rPr>
          <w:rFonts w:hint="eastAsia" w:ascii="Times New Roman" w:hAnsi="Times New Roman" w:cs="Times New Roman"/>
          <w:u w:val="single"/>
        </w:rPr>
        <w:t>4</w:t>
      </w:r>
      <w:r>
        <w:rPr>
          <w:rFonts w:ascii="Times New Roman" w:hAnsi="Times New Roman" w:cs="Times New Roman"/>
          <w:u w:val="single"/>
        </w:rPr>
        <w:t xml:space="preserve"> </w:t>
      </w:r>
      <w:r>
        <w:rPr>
          <w:rFonts w:hint="eastAsia" w:ascii="Times New Roman" w:hAnsi="Times New Roman" w:cs="Times New Roman"/>
          <w:u w:val="single"/>
        </w:rPr>
        <w:t xml:space="preserve"> </w:t>
      </w:r>
      <w:r>
        <w:rPr>
          <w:rFonts w:ascii="Times New Roman" w:hAnsi="Times New Roman" w:cs="Times New Roman"/>
          <w:u w:val="single"/>
        </w:rPr>
        <w:t>与《</w:t>
      </w:r>
      <w:r>
        <w:rPr>
          <w:rFonts w:hint="eastAsia" w:ascii="Times New Roman" w:hAnsi="Times New Roman" w:cs="Times New Roman"/>
          <w:u w:val="single"/>
        </w:rPr>
        <w:t>锂离子电池及相关电池材料制造建设项目环境影响评价文件审批原则</w:t>
      </w:r>
      <w:r>
        <w:rPr>
          <w:rFonts w:ascii="Times New Roman" w:hAnsi="Times New Roman" w:cs="Times New Roman"/>
          <w:u w:val="single"/>
        </w:rPr>
        <w:t>》相符性分析</w:t>
      </w:r>
    </w:p>
    <w:tbl>
      <w:tblPr>
        <w:tblStyle w:val="36"/>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54"/>
        <w:gridCol w:w="7578"/>
        <w:gridCol w:w="3825"/>
        <w:gridCol w:w="13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4" w:hRule="atLeast"/>
          <w:tblHeader/>
        </w:trPr>
        <w:tc>
          <w:tcPr>
            <w:tcW w:w="513" w:type="pct"/>
            <w:vAlign w:val="center"/>
          </w:tcPr>
          <w:p>
            <w:pPr>
              <w:pStyle w:val="63"/>
              <w:rPr>
                <w:u w:val="single"/>
              </w:rPr>
            </w:pPr>
            <w:r>
              <w:rPr>
                <w:rFonts w:hint="eastAsia"/>
                <w:u w:val="single"/>
              </w:rPr>
              <w:t>序号</w:t>
            </w:r>
          </w:p>
        </w:tc>
        <w:tc>
          <w:tcPr>
            <w:tcW w:w="2673" w:type="pct"/>
            <w:vAlign w:val="center"/>
          </w:tcPr>
          <w:p>
            <w:pPr>
              <w:pStyle w:val="63"/>
              <w:rPr>
                <w:u w:val="single"/>
              </w:rPr>
            </w:pPr>
            <w:r>
              <w:rPr>
                <w:u w:val="single"/>
              </w:rPr>
              <w:t>技术政策要求</w:t>
            </w:r>
          </w:p>
        </w:tc>
        <w:tc>
          <w:tcPr>
            <w:tcW w:w="1349" w:type="pct"/>
            <w:vAlign w:val="center"/>
          </w:tcPr>
          <w:p>
            <w:pPr>
              <w:pStyle w:val="63"/>
              <w:rPr>
                <w:u w:val="single"/>
              </w:rPr>
            </w:pPr>
            <w:r>
              <w:rPr>
                <w:u w:val="single"/>
              </w:rPr>
              <w:t>拟建项目情况</w:t>
            </w:r>
          </w:p>
        </w:tc>
        <w:tc>
          <w:tcPr>
            <w:tcW w:w="465" w:type="pct"/>
            <w:vAlign w:val="center"/>
          </w:tcPr>
          <w:p>
            <w:pPr>
              <w:pStyle w:val="63"/>
              <w:rPr>
                <w:u w:val="single"/>
              </w:rPr>
            </w:pPr>
            <w:r>
              <w:rPr>
                <w:u w:val="single"/>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513" w:type="pct"/>
            <w:vAlign w:val="center"/>
          </w:tcPr>
          <w:p>
            <w:pPr>
              <w:pStyle w:val="63"/>
              <w:rPr>
                <w:u w:val="single"/>
              </w:rPr>
            </w:pPr>
            <w:r>
              <w:rPr>
                <w:rFonts w:hint="eastAsia"/>
                <w:u w:val="single"/>
              </w:rPr>
              <w:t>1</w:t>
            </w:r>
          </w:p>
        </w:tc>
        <w:tc>
          <w:tcPr>
            <w:tcW w:w="2673" w:type="pct"/>
            <w:vAlign w:val="center"/>
          </w:tcPr>
          <w:p>
            <w:pPr>
              <w:pStyle w:val="63"/>
              <w:rPr>
                <w:u w:val="single"/>
              </w:rPr>
            </w:pPr>
            <w:r>
              <w:rPr>
                <w:rFonts w:hint="eastAsia"/>
                <w:u w:val="single"/>
              </w:rPr>
              <w:t>项目应符合生态环境保护相关法律法规、法定规划，以及相关产业结构调整、区域及行业碳达峰碳中和目标、重点污染物总量控制等政策要求。</w:t>
            </w:r>
          </w:p>
        </w:tc>
        <w:tc>
          <w:tcPr>
            <w:tcW w:w="1349" w:type="pct"/>
            <w:vAlign w:val="center"/>
          </w:tcPr>
          <w:p>
            <w:pPr>
              <w:pStyle w:val="63"/>
              <w:rPr>
                <w:u w:val="single"/>
              </w:rPr>
            </w:pPr>
            <w:r>
              <w:rPr>
                <w:u w:val="single"/>
              </w:rPr>
              <w:t>本项目符合法律、法规</w:t>
            </w:r>
            <w:r>
              <w:rPr>
                <w:rFonts w:hint="eastAsia"/>
                <w:u w:val="single"/>
              </w:rPr>
              <w:t>、重点污染物总量控制等政策</w:t>
            </w:r>
            <w:r>
              <w:rPr>
                <w:u w:val="single"/>
              </w:rPr>
              <w:t>要求</w:t>
            </w:r>
          </w:p>
        </w:tc>
        <w:tc>
          <w:tcPr>
            <w:tcW w:w="465" w:type="pct"/>
            <w:vAlign w:val="center"/>
          </w:tcPr>
          <w:p>
            <w:pPr>
              <w:pStyle w:val="63"/>
              <w:rPr>
                <w:u w:val="single"/>
              </w:rPr>
            </w:pPr>
            <w:r>
              <w:rPr>
                <w:u w:val="singl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513" w:type="pct"/>
            <w:vAlign w:val="center"/>
          </w:tcPr>
          <w:p>
            <w:pPr>
              <w:pStyle w:val="63"/>
              <w:rPr>
                <w:u w:val="single"/>
              </w:rPr>
            </w:pPr>
            <w:r>
              <w:rPr>
                <w:rFonts w:hint="eastAsia"/>
                <w:u w:val="single"/>
              </w:rPr>
              <w:t>2</w:t>
            </w:r>
          </w:p>
        </w:tc>
        <w:tc>
          <w:tcPr>
            <w:tcW w:w="2673" w:type="pct"/>
            <w:vAlign w:val="center"/>
          </w:tcPr>
          <w:p>
            <w:pPr>
              <w:pStyle w:val="63"/>
              <w:rPr>
                <w:u w:val="single"/>
              </w:rPr>
            </w:pPr>
            <w:r>
              <w:rPr>
                <w:rFonts w:hint="eastAsia"/>
                <w:u w:val="single"/>
              </w:rPr>
              <w:t>项目选址应符合生态环境分区管控要求，不得位于法律法规明令禁止建设的区域，应避开生态保护红线。新建、扩建涉及正极材料前驱体和锂盐制造的建设项目（盐湖资源类锂盐制造项目除外）应布设在依法合规设立的产业园区内，符合园区规划及规划环境影响评价要求。</w:t>
            </w:r>
          </w:p>
        </w:tc>
        <w:tc>
          <w:tcPr>
            <w:tcW w:w="1349" w:type="pct"/>
            <w:vAlign w:val="center"/>
          </w:tcPr>
          <w:p>
            <w:pPr>
              <w:pStyle w:val="63"/>
              <w:rPr>
                <w:u w:val="single"/>
              </w:rPr>
            </w:pPr>
            <w:r>
              <w:rPr>
                <w:u w:val="single"/>
              </w:rPr>
              <w:t>本项目位于</w:t>
            </w:r>
            <w:r>
              <w:rPr>
                <w:rFonts w:hint="eastAsia"/>
                <w:u w:val="single"/>
              </w:rPr>
              <w:t>湖南衡东经济开发区内，符合园区产业定位要求</w:t>
            </w:r>
          </w:p>
        </w:tc>
        <w:tc>
          <w:tcPr>
            <w:tcW w:w="465" w:type="pct"/>
            <w:vAlign w:val="center"/>
          </w:tcPr>
          <w:p>
            <w:pPr>
              <w:pStyle w:val="63"/>
              <w:rPr>
                <w:u w:val="single"/>
              </w:rPr>
            </w:pPr>
            <w:r>
              <w:rPr>
                <w:u w:val="singl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513" w:type="pct"/>
            <w:vAlign w:val="center"/>
          </w:tcPr>
          <w:p>
            <w:pPr>
              <w:pStyle w:val="63"/>
              <w:rPr>
                <w:u w:val="single"/>
              </w:rPr>
            </w:pPr>
            <w:r>
              <w:rPr>
                <w:rFonts w:hint="eastAsia"/>
                <w:u w:val="single"/>
              </w:rPr>
              <w:t>3</w:t>
            </w:r>
          </w:p>
        </w:tc>
        <w:tc>
          <w:tcPr>
            <w:tcW w:w="2673" w:type="pct"/>
            <w:vAlign w:val="center"/>
          </w:tcPr>
          <w:p>
            <w:pPr>
              <w:pStyle w:val="63"/>
              <w:rPr>
                <w:u w:val="single"/>
              </w:rPr>
            </w:pPr>
            <w:r>
              <w:rPr>
                <w:rFonts w:hint="eastAsia"/>
                <w:u w:val="single"/>
              </w:rPr>
              <w:t>新建、改建、扩建项目应采用资源利用率高、污染物产生量小的清洁生产技术、工艺和设备，单位产品的能耗、物耗、水耗、资源综合利用和污染物控制等指标应达到行业先进水平。新建锂离子电池制造项目清洁生产指标宜达到《电池行业清洁生产评价指标体系》中国内清洁生产先进水平。</w:t>
            </w:r>
          </w:p>
        </w:tc>
        <w:tc>
          <w:tcPr>
            <w:tcW w:w="1349" w:type="pct"/>
            <w:vAlign w:val="center"/>
          </w:tcPr>
          <w:p>
            <w:pPr>
              <w:pStyle w:val="63"/>
              <w:rPr>
                <w:u w:val="single"/>
              </w:rPr>
            </w:pPr>
            <w:r>
              <w:rPr>
                <w:u w:val="single"/>
              </w:rPr>
              <w:t>本项目</w:t>
            </w:r>
            <w:r>
              <w:rPr>
                <w:rFonts w:hint="eastAsia"/>
                <w:u w:val="single"/>
              </w:rPr>
              <w:t>清洁生产指标宜符合《电池行业清洁生产评价指标体系》中国内清洁生产先进水平。</w:t>
            </w:r>
          </w:p>
        </w:tc>
        <w:tc>
          <w:tcPr>
            <w:tcW w:w="465" w:type="pct"/>
            <w:vAlign w:val="center"/>
          </w:tcPr>
          <w:p>
            <w:pPr>
              <w:pStyle w:val="63"/>
              <w:rPr>
                <w:u w:val="single"/>
              </w:rPr>
            </w:pPr>
            <w:r>
              <w:rPr>
                <w:u w:val="singl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513" w:type="pct"/>
            <w:vAlign w:val="center"/>
          </w:tcPr>
          <w:p>
            <w:pPr>
              <w:pStyle w:val="63"/>
              <w:rPr>
                <w:u w:val="single"/>
              </w:rPr>
            </w:pPr>
            <w:r>
              <w:rPr>
                <w:rFonts w:hint="eastAsia"/>
                <w:u w:val="single"/>
              </w:rPr>
              <w:t>4</w:t>
            </w:r>
          </w:p>
        </w:tc>
        <w:tc>
          <w:tcPr>
            <w:tcW w:w="2673" w:type="pct"/>
            <w:vAlign w:val="center"/>
          </w:tcPr>
          <w:p>
            <w:pPr>
              <w:pStyle w:val="63"/>
              <w:rPr>
                <w:u w:val="single"/>
              </w:rPr>
            </w:pPr>
            <w:r>
              <w:rPr>
                <w:rFonts w:hint="eastAsia"/>
                <w:u w:val="single"/>
              </w:rPr>
              <w:t>1、项目应根据工程内容、原辅材料性质、工艺流程情况配备高效的除尘、脱硫、脱硝以及特征污染物治理设施，依据废气特征等合理选择治理技术。</w:t>
            </w:r>
          </w:p>
          <w:p>
            <w:pPr>
              <w:pStyle w:val="63"/>
              <w:rPr>
                <w:u w:val="single"/>
              </w:rPr>
            </w:pPr>
            <w:r>
              <w:rPr>
                <w:rFonts w:hint="eastAsia"/>
                <w:u w:val="single"/>
              </w:rPr>
              <w:t>2、正极材料制造涉及氨、硫酸雾、磷酸雾排放的应配备吸收、洗涤装置</w:t>
            </w:r>
          </w:p>
          <w:p>
            <w:pPr>
              <w:pStyle w:val="63"/>
              <w:rPr>
                <w:u w:val="single"/>
              </w:rPr>
            </w:pPr>
            <w:r>
              <w:rPr>
                <w:rFonts w:hint="eastAsia"/>
                <w:u w:val="single"/>
              </w:rPr>
              <w:t>3、锂盐制造和正极材料制造项目排放的废气污染物应符合《无机化学工业污染物排放标准》（GB 31573）要求</w:t>
            </w:r>
          </w:p>
          <w:p>
            <w:pPr>
              <w:rPr>
                <w:rFonts w:ascii="Times New Roman" w:hAnsi="Times New Roman" w:cs="Times New Roman"/>
                <w:sz w:val="21"/>
                <w:u w:val="single"/>
              </w:rPr>
            </w:pPr>
            <w:r>
              <w:rPr>
                <w:rFonts w:hint="eastAsia" w:ascii="Times New Roman" w:hAnsi="Times New Roman" w:cs="Times New Roman"/>
                <w:sz w:val="21"/>
                <w:u w:val="single"/>
              </w:rPr>
              <w:t>4、涉及使用 VOCs 物料的，厂区内挥发性有机物无组织排放控制还应符合《挥发性有机物无组织排放控制标准》（GB 37822）相关要求。大气环境防护距离范围内不应有居民区、学校、医院等环境敏感目标。</w:t>
            </w:r>
          </w:p>
        </w:tc>
        <w:tc>
          <w:tcPr>
            <w:tcW w:w="1349" w:type="pct"/>
            <w:vAlign w:val="center"/>
          </w:tcPr>
          <w:p>
            <w:pPr>
              <w:pStyle w:val="63"/>
              <w:rPr>
                <w:u w:val="single"/>
              </w:rPr>
            </w:pPr>
            <w:r>
              <w:rPr>
                <w:u w:val="single"/>
              </w:rPr>
              <w:t>本项目废气采取有效措施，能够</w:t>
            </w:r>
            <w:r>
              <w:rPr>
                <w:rFonts w:hint="eastAsia"/>
                <w:u w:val="single"/>
              </w:rPr>
              <w:t>符合《无机化学工业污染物排放标准》（GB 31573）要求，酸雾废气配套有吸收、洗涤装置</w:t>
            </w:r>
          </w:p>
        </w:tc>
        <w:tc>
          <w:tcPr>
            <w:tcW w:w="465" w:type="pct"/>
            <w:vAlign w:val="center"/>
          </w:tcPr>
          <w:p>
            <w:pPr>
              <w:pStyle w:val="63"/>
              <w:rPr>
                <w:u w:val="single"/>
              </w:rPr>
            </w:pPr>
            <w:r>
              <w:rPr>
                <w:u w:val="singl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513" w:type="pct"/>
            <w:vAlign w:val="center"/>
          </w:tcPr>
          <w:p>
            <w:pPr>
              <w:pStyle w:val="63"/>
              <w:rPr>
                <w:u w:val="single"/>
              </w:rPr>
            </w:pPr>
            <w:r>
              <w:rPr>
                <w:rFonts w:hint="eastAsia"/>
                <w:u w:val="single"/>
              </w:rPr>
              <w:t>5</w:t>
            </w:r>
          </w:p>
        </w:tc>
        <w:tc>
          <w:tcPr>
            <w:tcW w:w="2673" w:type="pct"/>
            <w:vAlign w:val="center"/>
          </w:tcPr>
          <w:p>
            <w:pPr>
              <w:pStyle w:val="63"/>
              <w:rPr>
                <w:u w:val="single"/>
              </w:rPr>
            </w:pPr>
            <w:r>
              <w:rPr>
                <w:rFonts w:hint="eastAsia"/>
                <w:u w:val="single"/>
              </w:rPr>
              <w:t>鼓励将温室气体排放纳入建设项目环境影响评价，核算项目温室气体排放量，推进减污降碳协同增效，推动减碳技术创新示范应用。优先采用电、天然气等清洁能源或新能源加热方式，鼓励高温烟气余热回收。</w:t>
            </w:r>
          </w:p>
        </w:tc>
        <w:tc>
          <w:tcPr>
            <w:tcW w:w="1349" w:type="pct"/>
            <w:vAlign w:val="center"/>
          </w:tcPr>
          <w:p>
            <w:pPr>
              <w:pStyle w:val="63"/>
              <w:rPr>
                <w:u w:val="single"/>
              </w:rPr>
            </w:pPr>
            <w:r>
              <w:rPr>
                <w:u w:val="single"/>
              </w:rPr>
              <w:t>本项目主要能源为电能、天然气、生物质燃料</w:t>
            </w:r>
          </w:p>
        </w:tc>
        <w:tc>
          <w:tcPr>
            <w:tcW w:w="465" w:type="pct"/>
            <w:vAlign w:val="center"/>
          </w:tcPr>
          <w:p>
            <w:pPr>
              <w:pStyle w:val="63"/>
              <w:rPr>
                <w:u w:val="single"/>
              </w:rPr>
            </w:pPr>
            <w:r>
              <w:rPr>
                <w:u w:val="singl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513" w:type="pct"/>
            <w:vAlign w:val="center"/>
          </w:tcPr>
          <w:p>
            <w:pPr>
              <w:pStyle w:val="63"/>
              <w:rPr>
                <w:u w:val="single"/>
              </w:rPr>
            </w:pPr>
            <w:r>
              <w:rPr>
                <w:rFonts w:hint="eastAsia"/>
                <w:u w:val="single"/>
              </w:rPr>
              <w:t>6</w:t>
            </w:r>
          </w:p>
        </w:tc>
        <w:tc>
          <w:tcPr>
            <w:tcW w:w="2673" w:type="pct"/>
            <w:vAlign w:val="center"/>
          </w:tcPr>
          <w:p>
            <w:pPr>
              <w:pStyle w:val="63"/>
              <w:rPr>
                <w:u w:val="single"/>
              </w:rPr>
            </w:pPr>
            <w:r>
              <w:rPr>
                <w:rFonts w:hint="eastAsia"/>
                <w:u w:val="single"/>
              </w:rPr>
              <w:t>做好清污分流、雨污分流、分类收集、分质处理。生产废水优先回用，污染雨水收集处理。</w:t>
            </w:r>
          </w:p>
        </w:tc>
        <w:tc>
          <w:tcPr>
            <w:tcW w:w="1349" w:type="pct"/>
            <w:vAlign w:val="center"/>
          </w:tcPr>
          <w:p>
            <w:pPr>
              <w:pStyle w:val="63"/>
              <w:rPr>
                <w:u w:val="single"/>
              </w:rPr>
            </w:pPr>
            <w:r>
              <w:rPr>
                <w:u w:val="single"/>
              </w:rPr>
              <w:t>本项目废水、初期雨水均得到有效处理，除部分</w:t>
            </w:r>
            <w:r>
              <w:rPr>
                <w:rFonts w:hint="eastAsia"/>
                <w:u w:val="single"/>
              </w:rPr>
              <w:t>冷凝水外排，其余均全部回收利用，</w:t>
            </w:r>
          </w:p>
        </w:tc>
        <w:tc>
          <w:tcPr>
            <w:tcW w:w="465" w:type="pct"/>
            <w:vAlign w:val="center"/>
          </w:tcPr>
          <w:p>
            <w:pPr>
              <w:pStyle w:val="63"/>
              <w:rPr>
                <w:u w:val="single"/>
              </w:rPr>
            </w:pPr>
            <w:r>
              <w:rPr>
                <w:u w:val="singl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513" w:type="pct"/>
            <w:vAlign w:val="center"/>
          </w:tcPr>
          <w:p>
            <w:pPr>
              <w:pStyle w:val="63"/>
              <w:rPr>
                <w:u w:val="single"/>
              </w:rPr>
            </w:pPr>
            <w:r>
              <w:rPr>
                <w:rFonts w:hint="eastAsia"/>
                <w:u w:val="single"/>
              </w:rPr>
              <w:t>7</w:t>
            </w:r>
          </w:p>
        </w:tc>
        <w:tc>
          <w:tcPr>
            <w:tcW w:w="2673" w:type="pct"/>
            <w:vAlign w:val="center"/>
          </w:tcPr>
          <w:p>
            <w:pPr>
              <w:pStyle w:val="63"/>
              <w:rPr>
                <w:u w:val="single"/>
              </w:rPr>
            </w:pPr>
            <w:r>
              <w:rPr>
                <w:rFonts w:hint="eastAsia"/>
                <w:u w:val="single"/>
              </w:rPr>
              <w:t>土壤及地下水污染防治应坚持源头控制、分区防控、跟踪监测和应急响应的防控原则。</w:t>
            </w:r>
          </w:p>
        </w:tc>
        <w:tc>
          <w:tcPr>
            <w:tcW w:w="1349" w:type="pct"/>
            <w:vAlign w:val="center"/>
          </w:tcPr>
          <w:p>
            <w:pPr>
              <w:pStyle w:val="63"/>
              <w:rPr>
                <w:u w:val="single"/>
              </w:rPr>
            </w:pPr>
            <w:r>
              <w:rPr>
                <w:u w:val="single"/>
              </w:rPr>
              <w:t>本项目地下水、土壤采取</w:t>
            </w:r>
            <w:r>
              <w:rPr>
                <w:rFonts w:hint="eastAsia"/>
                <w:u w:val="single"/>
              </w:rPr>
              <w:t>源头控制、分区防控、跟踪监测和应急响应的防控原则</w:t>
            </w:r>
          </w:p>
        </w:tc>
        <w:tc>
          <w:tcPr>
            <w:tcW w:w="465" w:type="pct"/>
            <w:vAlign w:val="center"/>
          </w:tcPr>
          <w:p>
            <w:pPr>
              <w:pStyle w:val="63"/>
              <w:rPr>
                <w:u w:val="single"/>
              </w:rPr>
            </w:pPr>
            <w:r>
              <w:rPr>
                <w:u w:val="singl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513" w:type="pct"/>
            <w:vAlign w:val="center"/>
          </w:tcPr>
          <w:p>
            <w:pPr>
              <w:pStyle w:val="63"/>
              <w:rPr>
                <w:u w:val="single"/>
              </w:rPr>
            </w:pPr>
            <w:r>
              <w:rPr>
                <w:rFonts w:hint="eastAsia"/>
                <w:u w:val="single"/>
              </w:rPr>
              <w:t>8</w:t>
            </w:r>
          </w:p>
        </w:tc>
        <w:tc>
          <w:tcPr>
            <w:tcW w:w="2673" w:type="pct"/>
            <w:vAlign w:val="center"/>
          </w:tcPr>
          <w:p>
            <w:pPr>
              <w:pStyle w:val="63"/>
              <w:rPr>
                <w:u w:val="single"/>
              </w:rPr>
            </w:pPr>
            <w:r>
              <w:rPr>
                <w:rFonts w:hint="eastAsia"/>
                <w:u w:val="single"/>
              </w:rPr>
              <w:t>按照减量化、资源化、无害化原则，妥善处理处置固体废物。</w:t>
            </w:r>
          </w:p>
        </w:tc>
        <w:tc>
          <w:tcPr>
            <w:tcW w:w="1349" w:type="pct"/>
            <w:vAlign w:val="center"/>
          </w:tcPr>
          <w:p>
            <w:pPr>
              <w:pStyle w:val="63"/>
              <w:rPr>
                <w:u w:val="single"/>
              </w:rPr>
            </w:pPr>
            <w:r>
              <w:rPr>
                <w:rFonts w:hint="eastAsia"/>
                <w:u w:val="single"/>
              </w:rPr>
              <w:t>，本项目产生的固体废物均得到合理处置，从根本上防止了固体废物的污染。</w:t>
            </w:r>
          </w:p>
        </w:tc>
        <w:tc>
          <w:tcPr>
            <w:tcW w:w="465" w:type="pct"/>
            <w:vAlign w:val="center"/>
          </w:tcPr>
          <w:p>
            <w:pPr>
              <w:pStyle w:val="63"/>
              <w:rPr>
                <w:u w:val="single"/>
              </w:rPr>
            </w:pPr>
            <w:r>
              <w:rPr>
                <w:u w:val="singl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513" w:type="pct"/>
            <w:vAlign w:val="center"/>
          </w:tcPr>
          <w:p>
            <w:pPr>
              <w:pStyle w:val="63"/>
              <w:rPr>
                <w:u w:val="single"/>
              </w:rPr>
            </w:pPr>
            <w:r>
              <w:rPr>
                <w:rFonts w:hint="eastAsia"/>
                <w:u w:val="single"/>
              </w:rPr>
              <w:t>9</w:t>
            </w:r>
          </w:p>
        </w:tc>
        <w:tc>
          <w:tcPr>
            <w:tcW w:w="2673" w:type="pct"/>
            <w:vAlign w:val="center"/>
          </w:tcPr>
          <w:p>
            <w:pPr>
              <w:pStyle w:val="63"/>
              <w:rPr>
                <w:u w:val="single"/>
              </w:rPr>
            </w:pPr>
            <w:r>
              <w:rPr>
                <w:rFonts w:hint="eastAsia"/>
                <w:u w:val="single"/>
              </w:rPr>
              <w:t>优化厂区平面布置，优先选择低噪声设备和工艺，采取减振、隔声、消声等措施有效控制噪声污染。</w:t>
            </w:r>
          </w:p>
        </w:tc>
        <w:tc>
          <w:tcPr>
            <w:tcW w:w="1349" w:type="pct"/>
            <w:vAlign w:val="center"/>
          </w:tcPr>
          <w:p>
            <w:pPr>
              <w:pStyle w:val="63"/>
              <w:rPr>
                <w:u w:val="single"/>
              </w:rPr>
            </w:pPr>
            <w:r>
              <w:rPr>
                <w:u w:val="single"/>
              </w:rPr>
              <w:t>本项目</w:t>
            </w:r>
            <w:r>
              <w:rPr>
                <w:rFonts w:hint="eastAsia"/>
                <w:u w:val="single"/>
              </w:rPr>
              <w:t>采取隔声、减振等措施情况下，运营后不会对周围声环境造成明显影响</w:t>
            </w:r>
          </w:p>
        </w:tc>
        <w:tc>
          <w:tcPr>
            <w:tcW w:w="465" w:type="pct"/>
            <w:vAlign w:val="center"/>
          </w:tcPr>
          <w:p>
            <w:pPr>
              <w:pStyle w:val="63"/>
              <w:rPr>
                <w:u w:val="single"/>
              </w:rPr>
            </w:pPr>
            <w:r>
              <w:rPr>
                <w:u w:val="singl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513" w:type="pct"/>
            <w:vAlign w:val="center"/>
          </w:tcPr>
          <w:p>
            <w:pPr>
              <w:pStyle w:val="63"/>
              <w:rPr>
                <w:u w:val="single"/>
              </w:rPr>
            </w:pPr>
            <w:r>
              <w:rPr>
                <w:rFonts w:hint="eastAsia"/>
                <w:u w:val="single"/>
              </w:rPr>
              <w:t>10</w:t>
            </w:r>
          </w:p>
        </w:tc>
        <w:tc>
          <w:tcPr>
            <w:tcW w:w="2673" w:type="pct"/>
            <w:vAlign w:val="center"/>
          </w:tcPr>
          <w:p>
            <w:pPr>
              <w:pStyle w:val="63"/>
              <w:rPr>
                <w:u w:val="single"/>
              </w:rPr>
            </w:pPr>
            <w:r>
              <w:rPr>
                <w:rFonts w:hint="eastAsia"/>
                <w:u w:val="single"/>
              </w:rPr>
              <w:t>严密防控项目环境风险，建立完善的环境风险防控体系，提升环境风险防控能力，确保环境风险防范和应急措施合理、有效。</w:t>
            </w:r>
          </w:p>
        </w:tc>
        <w:tc>
          <w:tcPr>
            <w:tcW w:w="1349" w:type="pct"/>
            <w:vAlign w:val="center"/>
          </w:tcPr>
          <w:p>
            <w:pPr>
              <w:pStyle w:val="63"/>
              <w:rPr>
                <w:u w:val="single"/>
              </w:rPr>
            </w:pPr>
            <w:r>
              <w:rPr>
                <w:u w:val="single"/>
              </w:rPr>
              <w:t>本项目</w:t>
            </w:r>
            <w:r>
              <w:rPr>
                <w:rFonts w:hint="eastAsia"/>
                <w:u w:val="single"/>
              </w:rPr>
              <w:t>建立完善的环境风险防控体系</w:t>
            </w:r>
          </w:p>
        </w:tc>
        <w:tc>
          <w:tcPr>
            <w:tcW w:w="465" w:type="pct"/>
            <w:vAlign w:val="center"/>
          </w:tcPr>
          <w:p>
            <w:pPr>
              <w:pStyle w:val="63"/>
              <w:rPr>
                <w:u w:val="single"/>
              </w:rPr>
            </w:pPr>
            <w:r>
              <w:rPr>
                <w:u w:val="singl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513" w:type="pct"/>
            <w:vAlign w:val="center"/>
          </w:tcPr>
          <w:p>
            <w:pPr>
              <w:pStyle w:val="63"/>
              <w:rPr>
                <w:u w:val="single"/>
              </w:rPr>
            </w:pPr>
            <w:r>
              <w:rPr>
                <w:rFonts w:hint="eastAsia"/>
                <w:u w:val="single"/>
              </w:rPr>
              <w:t>11</w:t>
            </w:r>
          </w:p>
        </w:tc>
        <w:tc>
          <w:tcPr>
            <w:tcW w:w="2673" w:type="pct"/>
            <w:vAlign w:val="center"/>
          </w:tcPr>
          <w:p>
            <w:pPr>
              <w:pStyle w:val="63"/>
              <w:rPr>
                <w:u w:val="single"/>
              </w:rPr>
            </w:pPr>
            <w:r>
              <w:rPr>
                <w:rFonts w:hint="eastAsia"/>
                <w:u w:val="single"/>
              </w:rPr>
              <w:t>明确项目实施后的环境管理要求和环境监测计划。根据自行监测技术指南和排污许可证申请与核发技术规范要求，制定废水、废气污染物排放及厂界环境噪声监测计划并开展监测，监测位置应符合技术规范要求。</w:t>
            </w:r>
          </w:p>
        </w:tc>
        <w:tc>
          <w:tcPr>
            <w:tcW w:w="1349" w:type="pct"/>
            <w:vAlign w:val="center"/>
          </w:tcPr>
          <w:p>
            <w:pPr>
              <w:pStyle w:val="63"/>
              <w:rPr>
                <w:u w:val="single"/>
              </w:rPr>
            </w:pPr>
            <w:r>
              <w:rPr>
                <w:u w:val="single"/>
              </w:rPr>
              <w:t>本项目</w:t>
            </w:r>
            <w:r>
              <w:rPr>
                <w:rFonts w:hint="eastAsia"/>
                <w:u w:val="single"/>
              </w:rPr>
              <w:t>根据自行监测技术指南和排污许可证申请与核发技术规范要求，制定废水、废气污染物排放及厂界环境噪声监测计划并开展监测</w:t>
            </w:r>
          </w:p>
        </w:tc>
        <w:tc>
          <w:tcPr>
            <w:tcW w:w="465" w:type="pct"/>
            <w:vAlign w:val="center"/>
          </w:tcPr>
          <w:p>
            <w:pPr>
              <w:pStyle w:val="63"/>
              <w:rPr>
                <w:u w:val="single"/>
              </w:rPr>
            </w:pPr>
            <w:r>
              <w:rPr>
                <w:u w:val="singl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513" w:type="pct"/>
            <w:vAlign w:val="center"/>
          </w:tcPr>
          <w:p>
            <w:pPr>
              <w:pStyle w:val="63"/>
              <w:rPr>
                <w:u w:val="single"/>
              </w:rPr>
            </w:pPr>
            <w:r>
              <w:rPr>
                <w:rFonts w:hint="eastAsia"/>
                <w:u w:val="single"/>
              </w:rPr>
              <w:t>12</w:t>
            </w:r>
          </w:p>
        </w:tc>
        <w:tc>
          <w:tcPr>
            <w:tcW w:w="2673" w:type="pct"/>
            <w:vAlign w:val="center"/>
          </w:tcPr>
          <w:p>
            <w:pPr>
              <w:pStyle w:val="63"/>
              <w:rPr>
                <w:u w:val="single"/>
              </w:rPr>
            </w:pPr>
            <w:r>
              <w:rPr>
                <w:rFonts w:hint="eastAsia"/>
                <w:u w:val="single"/>
              </w:rPr>
              <w:t>按相关规定开展信息公开和公众参与。</w:t>
            </w:r>
          </w:p>
        </w:tc>
        <w:tc>
          <w:tcPr>
            <w:tcW w:w="1349" w:type="pct"/>
            <w:vAlign w:val="center"/>
          </w:tcPr>
          <w:p>
            <w:pPr>
              <w:pStyle w:val="63"/>
              <w:rPr>
                <w:u w:val="single"/>
              </w:rPr>
            </w:pPr>
            <w:r>
              <w:rPr>
                <w:u w:val="single"/>
              </w:rPr>
              <w:t>本项目进行了公众参与工作。</w:t>
            </w:r>
          </w:p>
        </w:tc>
        <w:tc>
          <w:tcPr>
            <w:tcW w:w="465" w:type="pct"/>
            <w:vAlign w:val="center"/>
          </w:tcPr>
          <w:p>
            <w:pPr>
              <w:pStyle w:val="63"/>
              <w:rPr>
                <w:u w:val="single"/>
              </w:rPr>
            </w:pPr>
            <w:r>
              <w:rPr>
                <w:u w:val="single"/>
              </w:rPr>
              <w:t>符合</w:t>
            </w:r>
          </w:p>
        </w:tc>
      </w:tr>
    </w:tbl>
    <w:p>
      <w:pPr>
        <w:pStyle w:val="4"/>
        <w:rPr>
          <w:rFonts w:ascii="Times New Roman" w:hAnsi="Times New Roman" w:cs="Times New Roman"/>
        </w:rPr>
      </w:pPr>
      <w:r>
        <w:rPr>
          <w:rFonts w:ascii="Times New Roman" w:hAnsi="Times New Roman" w:cs="Times New Roman"/>
        </w:rPr>
        <w:t>11.3.1</w:t>
      </w:r>
      <w:r>
        <w:rPr>
          <w:rFonts w:hint="eastAsia" w:ascii="Times New Roman" w:hAnsi="Times New Roman" w:cs="Times New Roman"/>
        </w:rPr>
        <w:t>5</w:t>
      </w:r>
      <w:r>
        <w:rPr>
          <w:rFonts w:ascii="Times New Roman" w:hAnsi="Times New Roman" w:cs="Times New Roman"/>
        </w:rPr>
        <w:t>与《</w:t>
      </w:r>
      <w:r>
        <w:rPr>
          <w:rFonts w:hint="eastAsia" w:ascii="Times New Roman" w:hAnsi="Times New Roman" w:cs="Times New Roman"/>
        </w:rPr>
        <w:t>锅炉绿色低碳高质量发展行动方案</w:t>
      </w:r>
      <w:r>
        <w:rPr>
          <w:rFonts w:ascii="Times New Roman" w:hAnsi="Times New Roman" w:cs="Times New Roman"/>
        </w:rPr>
        <w:t>》的相符性相符性分析</w:t>
      </w:r>
    </w:p>
    <w:p>
      <w:pPr>
        <w:pStyle w:val="6"/>
        <w:rPr>
          <w:rFonts w:ascii="Times New Roman" w:hAnsi="Times New Roman" w:cs="Times New Roman"/>
          <w:u w:val="single"/>
        </w:rPr>
      </w:pPr>
      <w:r>
        <w:rPr>
          <w:rFonts w:ascii="Times New Roman" w:hAnsi="Times New Roman" w:cs="Times New Roman"/>
          <w:u w:val="single"/>
        </w:rPr>
        <w:t>表11.3-1</w:t>
      </w:r>
      <w:r>
        <w:rPr>
          <w:rFonts w:hint="eastAsia" w:ascii="Times New Roman" w:hAnsi="Times New Roman" w:cs="Times New Roman"/>
          <w:u w:val="single"/>
        </w:rPr>
        <w:t>5</w:t>
      </w:r>
      <w:r>
        <w:rPr>
          <w:rFonts w:ascii="Times New Roman" w:hAnsi="Times New Roman" w:cs="Times New Roman"/>
          <w:u w:val="single"/>
        </w:rPr>
        <w:t xml:space="preserve"> </w:t>
      </w:r>
      <w:r>
        <w:rPr>
          <w:rFonts w:hint="eastAsia" w:ascii="Times New Roman" w:hAnsi="Times New Roman" w:cs="Times New Roman"/>
          <w:u w:val="single"/>
        </w:rPr>
        <w:t xml:space="preserve"> </w:t>
      </w:r>
      <w:r>
        <w:rPr>
          <w:rFonts w:ascii="Times New Roman" w:hAnsi="Times New Roman" w:cs="Times New Roman"/>
          <w:u w:val="single"/>
        </w:rPr>
        <w:t>与《</w:t>
      </w:r>
      <w:r>
        <w:rPr>
          <w:rFonts w:hint="eastAsia" w:ascii="Times New Roman" w:hAnsi="Times New Roman" w:cs="Times New Roman"/>
          <w:u w:val="single"/>
        </w:rPr>
        <w:t>锅炉绿色低碳高质量发展行动方案</w:t>
      </w:r>
      <w:r>
        <w:rPr>
          <w:rFonts w:ascii="Times New Roman" w:hAnsi="Times New Roman" w:cs="Times New Roman"/>
          <w:u w:val="single"/>
        </w:rPr>
        <w:t>》相符性分析</w:t>
      </w:r>
    </w:p>
    <w:tbl>
      <w:tblPr>
        <w:tblStyle w:val="36"/>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54"/>
        <w:gridCol w:w="7578"/>
        <w:gridCol w:w="3825"/>
        <w:gridCol w:w="13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4" w:hRule="atLeast"/>
          <w:tblHeader/>
        </w:trPr>
        <w:tc>
          <w:tcPr>
            <w:tcW w:w="513" w:type="pct"/>
            <w:vAlign w:val="center"/>
          </w:tcPr>
          <w:p>
            <w:pPr>
              <w:pStyle w:val="63"/>
              <w:rPr>
                <w:u w:val="single"/>
              </w:rPr>
            </w:pPr>
            <w:r>
              <w:rPr>
                <w:rFonts w:hint="eastAsia"/>
                <w:u w:val="single"/>
              </w:rPr>
              <w:t>序号</w:t>
            </w:r>
          </w:p>
        </w:tc>
        <w:tc>
          <w:tcPr>
            <w:tcW w:w="2673" w:type="pct"/>
            <w:vAlign w:val="center"/>
          </w:tcPr>
          <w:p>
            <w:pPr>
              <w:pStyle w:val="63"/>
              <w:rPr>
                <w:u w:val="single"/>
              </w:rPr>
            </w:pPr>
            <w:r>
              <w:rPr>
                <w:u w:val="single"/>
              </w:rPr>
              <w:t>技术政策要求</w:t>
            </w:r>
          </w:p>
        </w:tc>
        <w:tc>
          <w:tcPr>
            <w:tcW w:w="1349" w:type="pct"/>
            <w:vAlign w:val="center"/>
          </w:tcPr>
          <w:p>
            <w:pPr>
              <w:pStyle w:val="63"/>
              <w:rPr>
                <w:u w:val="single"/>
              </w:rPr>
            </w:pPr>
            <w:r>
              <w:rPr>
                <w:u w:val="single"/>
              </w:rPr>
              <w:t>拟建项目情况</w:t>
            </w:r>
          </w:p>
        </w:tc>
        <w:tc>
          <w:tcPr>
            <w:tcW w:w="465" w:type="pct"/>
            <w:vAlign w:val="center"/>
          </w:tcPr>
          <w:p>
            <w:pPr>
              <w:pStyle w:val="63"/>
              <w:rPr>
                <w:u w:val="single"/>
              </w:rPr>
            </w:pPr>
            <w:r>
              <w:rPr>
                <w:u w:val="single"/>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513" w:type="pct"/>
            <w:vAlign w:val="center"/>
          </w:tcPr>
          <w:p>
            <w:pPr>
              <w:pStyle w:val="63"/>
              <w:rPr>
                <w:u w:val="single"/>
              </w:rPr>
            </w:pPr>
            <w:r>
              <w:rPr>
                <w:rFonts w:hint="eastAsia"/>
                <w:u w:val="single"/>
              </w:rPr>
              <w:t>1</w:t>
            </w:r>
          </w:p>
        </w:tc>
        <w:tc>
          <w:tcPr>
            <w:tcW w:w="2673" w:type="pct"/>
            <w:vAlign w:val="center"/>
          </w:tcPr>
          <w:p>
            <w:pPr>
              <w:pStyle w:val="63"/>
              <w:rPr>
                <w:u w:val="single"/>
              </w:rPr>
            </w:pPr>
            <w:r>
              <w:rPr>
                <w:rFonts w:hint="eastAsia"/>
                <w:u w:val="single"/>
              </w:rPr>
              <w:t>进一步限制在县级及以上城市建成区、国家大气污染防治重点区域（以下简称重点区域）等新建小型燃煤锅炉。在集中供热管网覆盖范围内，禁止新建、扩建分散燃煤供热锅炉，限制新建分散化石燃料锅炉。</w:t>
            </w:r>
          </w:p>
        </w:tc>
        <w:tc>
          <w:tcPr>
            <w:tcW w:w="1349" w:type="pct"/>
            <w:vAlign w:val="center"/>
          </w:tcPr>
          <w:p>
            <w:pPr>
              <w:pStyle w:val="63"/>
              <w:rPr>
                <w:u w:val="single"/>
              </w:rPr>
            </w:pPr>
            <w:r>
              <w:rPr>
                <w:u w:val="single"/>
              </w:rPr>
              <w:t>本项目使用生物质燃料锅炉及燃气炉，符合相关的要求</w:t>
            </w:r>
          </w:p>
        </w:tc>
        <w:tc>
          <w:tcPr>
            <w:tcW w:w="465" w:type="pct"/>
            <w:vAlign w:val="center"/>
          </w:tcPr>
          <w:p>
            <w:pPr>
              <w:pStyle w:val="63"/>
              <w:rPr>
                <w:u w:val="single"/>
              </w:rPr>
            </w:pPr>
            <w:r>
              <w:rPr>
                <w:u w:val="singl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513" w:type="pct"/>
            <w:vAlign w:val="center"/>
          </w:tcPr>
          <w:p>
            <w:pPr>
              <w:pStyle w:val="63"/>
              <w:rPr>
                <w:u w:val="single"/>
              </w:rPr>
            </w:pPr>
            <w:r>
              <w:rPr>
                <w:rFonts w:hint="eastAsia"/>
                <w:u w:val="single"/>
              </w:rPr>
              <w:t>2</w:t>
            </w:r>
          </w:p>
        </w:tc>
        <w:tc>
          <w:tcPr>
            <w:tcW w:w="2673" w:type="pct"/>
            <w:vAlign w:val="center"/>
          </w:tcPr>
          <w:p>
            <w:pPr>
              <w:pStyle w:val="63"/>
              <w:rPr>
                <w:u w:val="single"/>
              </w:rPr>
            </w:pPr>
            <w:r>
              <w:rPr>
                <w:rFonts w:hint="eastAsia"/>
                <w:u w:val="single"/>
              </w:rPr>
              <w:t>新建容量在 10 蒸吨/小时及以下工业锅炉优先选用蓄热式电加热锅炉、冷凝式燃气锅炉。推动燃气锅炉全面采用低氮燃烧技术，严格限制排烟温度，适时禁止非冷凝式燃气锅炉进入市场，优先使用低噪声工艺和设备。</w:t>
            </w:r>
          </w:p>
        </w:tc>
        <w:tc>
          <w:tcPr>
            <w:tcW w:w="1349" w:type="pct"/>
            <w:vAlign w:val="center"/>
          </w:tcPr>
          <w:p>
            <w:pPr>
              <w:pStyle w:val="63"/>
              <w:rPr>
                <w:u w:val="single"/>
              </w:rPr>
            </w:pPr>
            <w:r>
              <w:rPr>
                <w:u w:val="single"/>
              </w:rPr>
              <w:t>本项目使用生物质燃料锅炉及燃气炉，采用低氮燃烧技术，</w:t>
            </w:r>
            <w:r>
              <w:rPr>
                <w:rFonts w:hint="eastAsia"/>
                <w:u w:val="single"/>
              </w:rPr>
              <w:t>优先使用低噪声工艺和设备。</w:t>
            </w:r>
          </w:p>
        </w:tc>
        <w:tc>
          <w:tcPr>
            <w:tcW w:w="465" w:type="pct"/>
            <w:vAlign w:val="center"/>
          </w:tcPr>
          <w:p>
            <w:pPr>
              <w:pStyle w:val="63"/>
              <w:rPr>
                <w:u w:val="single"/>
              </w:rPr>
            </w:pPr>
            <w:r>
              <w:rPr>
                <w:u w:val="singl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513" w:type="pct"/>
            <w:vAlign w:val="center"/>
          </w:tcPr>
          <w:p>
            <w:pPr>
              <w:pStyle w:val="63"/>
              <w:rPr>
                <w:u w:val="single"/>
              </w:rPr>
            </w:pPr>
            <w:r>
              <w:rPr>
                <w:rFonts w:hint="eastAsia"/>
                <w:u w:val="single"/>
              </w:rPr>
              <w:t>3</w:t>
            </w:r>
          </w:p>
        </w:tc>
        <w:tc>
          <w:tcPr>
            <w:tcW w:w="2673" w:type="pct"/>
            <w:vAlign w:val="center"/>
          </w:tcPr>
          <w:p>
            <w:pPr>
              <w:pStyle w:val="63"/>
              <w:rPr>
                <w:u w:val="single"/>
              </w:rPr>
            </w:pPr>
            <w:r>
              <w:rPr>
                <w:rFonts w:hint="eastAsia"/>
                <w:u w:val="single"/>
              </w:rPr>
              <w:t>到2025年，细颗粒物（PM2.5）未达标城市基本淘汰10蒸吨/小时及以下燃煤锅炉</w:t>
            </w:r>
          </w:p>
        </w:tc>
        <w:tc>
          <w:tcPr>
            <w:tcW w:w="1349" w:type="pct"/>
            <w:vAlign w:val="center"/>
          </w:tcPr>
          <w:p>
            <w:pPr>
              <w:pStyle w:val="63"/>
              <w:rPr>
                <w:u w:val="single"/>
              </w:rPr>
            </w:pPr>
            <w:r>
              <w:rPr>
                <w:u w:val="single"/>
              </w:rPr>
              <w:t>本项目为生物质燃料锅炉及燃气炉，不属于燃煤锅炉</w:t>
            </w:r>
          </w:p>
        </w:tc>
        <w:tc>
          <w:tcPr>
            <w:tcW w:w="465" w:type="pct"/>
            <w:vAlign w:val="center"/>
          </w:tcPr>
          <w:p>
            <w:pPr>
              <w:pStyle w:val="63"/>
              <w:rPr>
                <w:u w:val="single"/>
              </w:rPr>
            </w:pPr>
            <w:r>
              <w:rPr>
                <w:u w:val="single"/>
              </w:rPr>
              <w:t>符合</w:t>
            </w:r>
          </w:p>
        </w:tc>
      </w:tr>
    </w:tbl>
    <w:p>
      <w:pPr>
        <w:spacing w:line="360" w:lineRule="auto"/>
        <w:ind w:firstLine="480" w:firstLineChars="200"/>
        <w:rPr>
          <w:rFonts w:ascii="Times New Roman" w:hAnsi="Times New Roman" w:cs="Times New Roman"/>
        </w:rPr>
      </w:pPr>
    </w:p>
    <w:p>
      <w:pPr>
        <w:spacing w:line="360" w:lineRule="auto"/>
        <w:ind w:firstLine="480" w:firstLineChars="200"/>
        <w:rPr>
          <w:rFonts w:ascii="Times New Roman" w:hAnsi="Times New Roman" w:cs="Times New Roman"/>
        </w:rPr>
      </w:pPr>
    </w:p>
    <w:p>
      <w:pPr>
        <w:spacing w:line="360" w:lineRule="auto"/>
        <w:ind w:firstLine="480" w:firstLineChars="200"/>
        <w:rPr>
          <w:rFonts w:ascii="Times New Roman" w:hAnsi="Times New Roman" w:cs="Times New Roman"/>
        </w:rPr>
      </w:pPr>
    </w:p>
    <w:p>
      <w:pPr>
        <w:spacing w:line="360" w:lineRule="auto"/>
        <w:ind w:firstLine="480" w:firstLineChars="200"/>
        <w:rPr>
          <w:rFonts w:ascii="Times New Roman" w:hAnsi="Times New Roman" w:cs="Times New Roman"/>
        </w:rPr>
        <w:sectPr>
          <w:pgSz w:w="16840" w:h="11907" w:orient="landscape"/>
          <w:pgMar w:top="1797" w:right="1440" w:bottom="1797" w:left="1440" w:header="964" w:footer="851" w:gutter="0"/>
          <w:cols w:space="720" w:num="1"/>
          <w:docGrid w:linePitch="297" w:charSpace="200"/>
        </w:sectPr>
      </w:pPr>
    </w:p>
    <w:p>
      <w:pPr>
        <w:pStyle w:val="3"/>
        <w:spacing w:before="120" w:after="120"/>
        <w:rPr>
          <w:rFonts w:ascii="Times New Roman" w:hAnsi="Times New Roman" w:cs="Times New Roman" w:eastAsiaTheme="minorEastAsia"/>
          <w:u w:val="single"/>
        </w:rPr>
      </w:pPr>
      <w:bookmarkStart w:id="695" w:name="_Toc102658252"/>
      <w:bookmarkStart w:id="696" w:name="_Toc147848156"/>
      <w:bookmarkStart w:id="697" w:name="_Toc144236908"/>
      <w:bookmarkStart w:id="698" w:name="_Toc144277038"/>
      <w:r>
        <w:rPr>
          <w:rFonts w:ascii="Times New Roman" w:hAnsi="Times New Roman" w:cs="Times New Roman" w:eastAsiaTheme="minorEastAsia"/>
          <w:u w:val="single"/>
        </w:rPr>
        <w:t>11.5与《湖南省湘江保护条例》的符合性分析</w:t>
      </w:r>
      <w:bookmarkEnd w:id="695"/>
      <w:bookmarkEnd w:id="696"/>
      <w:bookmarkEnd w:id="697"/>
      <w:bookmarkEnd w:id="698"/>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《湖南省湘江保护条例》中主要有以下规定：</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实施目的：为了加强湘江保护，保障湘江流域生活、生产和生态用水安全，推进资源节约型和环境友好型社会建设。</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水资源管理和保护：</w:t>
      </w:r>
      <w:r>
        <w:rPr>
          <w:rFonts w:hint="eastAsia" w:ascii="Times New Roman" w:hAnsi="Times New Roman" w:cs="Times New Roman"/>
          <w:u w:val="single"/>
        </w:rPr>
        <w:t>建立健全湘江流域用水总量控制、用水效率控制和水功能区限制纳污等水资源管理与保护制度</w:t>
      </w:r>
      <w:r>
        <w:rPr>
          <w:rFonts w:ascii="Times New Roman" w:hAnsi="Times New Roman" w:cs="Times New Roman"/>
          <w:u w:val="single"/>
        </w:rPr>
        <w:t>。</w:t>
      </w:r>
      <w:r>
        <w:rPr>
          <w:rFonts w:hint="eastAsia" w:ascii="Times New Roman" w:hAnsi="Times New Roman" w:cs="Times New Roman"/>
          <w:u w:val="single"/>
        </w:rPr>
        <w:t>湘江流域新建、改建、扩建建设项目，应当制定节水方案，配套建设节水设施。节水设施应当与主体工程同时设计、同时施工、同时投入使用。对湘江流域排污量超出水功能区限制排污总量的地区，县级以上人民政府水行政主管部门应当暂停审批建设项目新增取水和排污口（渠）。湘江流域县级以上人民政府水利、环境保护、卫生、城镇供水管理等部门应当建立健全水资源、水环境、城镇供水监测网络，按照国家规定的技术标准和规范，重点监测湘江流域设区的市和县（市、区）行政区域交界断面、湘江河道控制断面、重要水功能区和重要排污口（渠）的水质、水污染状况，并定期公布监测结果。 湘江流域县级人民政府应当在饮用水水源一级保护区内设置水质、水量自动监测设施，组织对饮用水水源、供水设施以及居民用水点的水质进行实时监测；在枯水期或者发生重大水污染事故等特殊时期，应当增加监测次数和监测点，及时掌握水质状况。</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水污染防治：</w:t>
      </w:r>
      <w:r>
        <w:rPr>
          <w:rFonts w:hint="eastAsia" w:ascii="Times New Roman" w:hAnsi="Times New Roman" w:cs="Times New Roman"/>
          <w:u w:val="single"/>
        </w:rPr>
        <w:t>建立健全湘江流域重点水污染物排放总量控制、排污许可、水污染物排放监测和水环境质量监测等水环境保护制度。对湘江流域内化学需氧量、氨氮、石油类、汞、镉、铅、砷、铬、锑等重点水污染物排放实行总量控制。省人民政府应当根据湘江流域水环境容量和环境保护目标，制定重点水污染物排放总量控制计划，将重点水污染物排放总量控制指标分解落实到湘江流域设区的市、县（市、区）人民政府；设区的市、县（市、区）人民政府应当将重点水污染物排放总量控制指标分解落实到排污单位，核定其重点水污染物排放总量、浓度控制指标以及年度削减计划。</w:t>
      </w:r>
    </w:p>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新建、改建、扩建建设项目，建设单位应当组织进行建设项目环境影响评价，并将环境影响评价文件依法报环境保护行政主管部门审批。</w:t>
      </w:r>
    </w:p>
    <w:p>
      <w:pPr>
        <w:spacing w:line="360" w:lineRule="auto"/>
        <w:ind w:firstLine="480" w:firstLineChars="200"/>
        <w:rPr>
          <w:rFonts w:ascii="Times New Roman" w:hAnsi="Times New Roman" w:cs="Times New Roman"/>
          <w:u w:val="single"/>
        </w:rPr>
      </w:pPr>
      <w:r>
        <w:rPr>
          <w:rFonts w:hint="eastAsia" w:ascii="Times New Roman" w:hAnsi="Times New Roman" w:cs="Times New Roman"/>
          <w:u w:val="single"/>
        </w:rPr>
        <w:t>湘江流域设区的市、县（市、区）人民政府应当依法关闭非法设立或者不符合国家产业政策的涉重金属企业。湘江流域县级以上人民政府环境保护行政主管部门应当责令不能稳定达标排放的涉重金属企业限期治理；逾期未治理且未稳定达标排放的，由设区的市、县（市、区）人民政府依法关闭。湘江流域县级以上人民政府及其环境保护等有关部门应当组织开展重金属固体废物、重金属污染土壤、重金属污染水面底泥治理，并实施环境修复，逐步治理历史遗留重金属污染。</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水域和岸线保护：</w:t>
      </w:r>
      <w:r>
        <w:rPr>
          <w:rFonts w:hint="eastAsia" w:ascii="Times New Roman" w:hAnsi="Times New Roman" w:cs="Times New Roman"/>
          <w:u w:val="single"/>
        </w:rPr>
        <w:t>省人民政府水行政主管部门应当会同交通运输等部门编制湘江干流和跨设区的市通航支流的岸线利用规划，报省人民政府批准；其他支流的岸线利用规划由设区的市人民政府水行政主管部门会同有关部门编制，报本级人民政府批准。湘江流域设区的市、县（市、区）人民政府应当组织水利、交通运输等部门，根据湘江岸线利用规划，依法划定本行政区域河道岸线，保护和合理开发利用湘江河道岸线资源。</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位于湘江流域范围内，项目生产废水全部回用不外排。生活污水经化粪池处理满足《污水综合排放标准》（GB8978-1996）“三级”标准后通过市政污水管网排入园区污水处理厂处理达标后再排入湘江。项目排放的生活污水中不含重金属。项目建设符合园区的发展规划，因此，本项目的建设与《湖南省湘江保护条例》的规定不冲突。</w:t>
      </w:r>
    </w:p>
    <w:p>
      <w:pPr>
        <w:pStyle w:val="3"/>
        <w:spacing w:before="120" w:after="120"/>
        <w:rPr>
          <w:rFonts w:ascii="Times New Roman" w:hAnsi="Times New Roman" w:cs="Times New Roman" w:eastAsiaTheme="minorEastAsia"/>
        </w:rPr>
      </w:pPr>
      <w:bookmarkStart w:id="699" w:name="_Toc144236909"/>
      <w:bookmarkStart w:id="700" w:name="_Toc144277039"/>
      <w:bookmarkStart w:id="701" w:name="_Toc147848157"/>
      <w:bookmarkStart w:id="702" w:name="_Toc102658253"/>
      <w:r>
        <w:rPr>
          <w:rFonts w:ascii="Times New Roman" w:hAnsi="Times New Roman" w:cs="Times New Roman" w:eastAsiaTheme="minorEastAsia"/>
        </w:rPr>
        <w:t>11.6与《中华人民共和国长江保护法》、《五部委关于加强长江经济带工业绿色发展的指导意见》（工信部联节[2017]178 号）、《关于印发&lt;长江经济带生态环境保护规划&gt;的通知》（环规财[2017]88 号）、《国家发展改革委、环境保护部印发关于加强长江黄金水道环境污染防控治理的指导意见的通知》（发改环资[2016]370 号）、关于印发《长江经济带发展负面清单指南（试行，2022年版）的通知》（长江办[2022]7号）的符合性分析</w:t>
      </w:r>
      <w:bookmarkEnd w:id="699"/>
      <w:bookmarkEnd w:id="700"/>
      <w:bookmarkEnd w:id="701"/>
      <w:bookmarkEnd w:id="702"/>
    </w:p>
    <w:p>
      <w:pPr>
        <w:spacing w:line="360" w:lineRule="auto"/>
        <w:ind w:firstLine="480" w:firstLineChars="200"/>
        <w:rPr>
          <w:rFonts w:ascii="Times New Roman" w:hAnsi="Times New Roman" w:cs="Times New Roman"/>
        </w:rPr>
      </w:pPr>
      <w:r>
        <w:rPr>
          <w:rFonts w:ascii="Times New Roman" w:hAnsi="Times New Roman" w:cs="Times New Roman"/>
        </w:rPr>
        <w:t>《中华人民共和国长江保护法》于 2020 年 12 月 26 日颁布，2021 年 3 月 1日起施行，其中第二十六条“…禁止在长江干支流岸线一公里范围内新建、扩建化工园区和化工项目。禁止在长江干流岸线三公里范围内和重要支流岸线一公里范围内新建、改建、扩建尾矿库；但是以提升安全、生态环境保护水平为目</w:t>
      </w:r>
      <w:r>
        <w:rPr>
          <w:rFonts w:hint="eastAsia" w:ascii="Times New Roman" w:hAnsi="Times New Roman" w:cs="Times New Roman"/>
          <w:lang w:eastAsia="zh-CN"/>
        </w:rPr>
        <w:t>的</w:t>
      </w:r>
      <w:r>
        <w:rPr>
          <w:rFonts w:ascii="Times New Roman" w:hAnsi="Times New Roman" w:cs="Times New Roman"/>
        </w:rPr>
        <w:t>改建除外。”</w:t>
      </w:r>
    </w:p>
    <w:p>
      <w:pPr>
        <w:spacing w:line="360" w:lineRule="auto"/>
        <w:ind w:firstLine="480" w:firstLineChars="200"/>
        <w:rPr>
          <w:rFonts w:ascii="Times New Roman" w:hAnsi="Times New Roman" w:cs="Times New Roman"/>
        </w:rPr>
      </w:pPr>
      <w:r>
        <w:rPr>
          <w:rFonts w:ascii="Times New Roman" w:hAnsi="Times New Roman" w:cs="Times New Roman"/>
        </w:rPr>
        <w:t>《五部委关于加强长江经济带工业绿色发展的指导意见》（工信部联节[2017]178 号）指出：“（一）完善工业布局规划……实施长江经济带产业发展市场准入负面清单，明确禁止和限制发展的行业、生产工艺、产品目录。严格控制沿江石油加工、化学原料和化学制品制造、医药制造、化学纤维制造、有色金属、印染、造纸等项目环境风险，进一步明确本地区新建重化工项目到长江岸线的安全防护距离，合理布局生产装置及危险化学品仓储等设施；（三）规范工业集约集聚发展。推动沿江城市建成区内现有钢铁、有色金属、造纸、印染、电镀、化学原料药制造、化工等污染较重的企业有序搬迁改造或依法关闭。推动位于城镇人口密集区内，安全、卫生防护距离不能满足相关要求和不符合规划的危险化学品生产企业实施搬迁改造或依法关闭”。</w:t>
      </w:r>
    </w:p>
    <w:p>
      <w:pPr>
        <w:spacing w:line="360" w:lineRule="auto"/>
        <w:ind w:firstLine="480" w:firstLineChars="200"/>
        <w:rPr>
          <w:rFonts w:ascii="Times New Roman" w:hAnsi="Times New Roman" w:cs="Times New Roman"/>
        </w:rPr>
      </w:pPr>
      <w:r>
        <w:rPr>
          <w:rFonts w:ascii="Times New Roman" w:hAnsi="Times New Roman" w:cs="Times New Roman"/>
        </w:rPr>
        <w:t>《长江经济带生态环境保护规划》指出：“（三）强化生态优先绿色发展的环境管理措施 实负面清单管理。长江沿线一切经济活动都要以不破坏生态环境为前提，抓紧制定产业准入负面清单，明确空间准入和环境准入的清单式管理要求。提出长江沿线限制开发和禁止开发的岸线、河段、区域、产业以及相关管理措施。不符合要求占用岸线、河段、土地和布局的产业，必须无条件退出。除在建项目外，严禁在干流及主要支流岸线 1 公里范围内布局新建重化工园区，严控在中上游沿岸地区新建石油化工和煤化工项目。严控下游高污染、高排放企业向上游转移。”</w:t>
      </w:r>
    </w:p>
    <w:p>
      <w:pPr>
        <w:spacing w:line="360" w:lineRule="auto"/>
        <w:ind w:firstLine="480" w:firstLineChars="200"/>
        <w:rPr>
          <w:rFonts w:ascii="Times New Roman" w:hAnsi="Times New Roman" w:cs="Times New Roman"/>
        </w:rPr>
      </w:pPr>
      <w:r>
        <w:rPr>
          <w:rFonts w:ascii="Times New Roman" w:hAnsi="Times New Roman" w:cs="Times New Roman"/>
        </w:rPr>
        <w:t>根据《关于加强长江黄金水道环境污染防控治理的指导意见》，“（六）优化沿江产业空间布局……除在建项目外，严禁在干流及主要支流岸线 1 公里范围内新建布局重化工园区，严控在中上游沿岸地区新建石油化工和煤化工项目；（七）加快沿江产业结构调整……大力发展低耗水、低排放、低污染、无毒无害产业，推进传统产业清洁生产和循环化改造。”</w:t>
      </w:r>
    </w:p>
    <w:p>
      <w:pPr>
        <w:spacing w:line="360" w:lineRule="auto"/>
        <w:ind w:firstLine="480" w:firstLineChars="200"/>
        <w:rPr>
          <w:rFonts w:ascii="Times New Roman" w:hAnsi="Times New Roman" w:cs="Times New Roman"/>
        </w:rPr>
      </w:pPr>
      <w:r>
        <w:rPr>
          <w:rFonts w:ascii="Times New Roman" w:hAnsi="Times New Roman" w:cs="Times New Roman"/>
        </w:rPr>
        <w:t>根据《关于发布长江经济带发展负面清单指南（试行，2022年版）的通知》（长江办[2022]7号）要求：“禁止在长江干支流、重要湖泊岸线一公里范围内新建、扩建化工园区和化工项目。禁止在长江干流岸线三公里范围内和重要支流岸线一公里范围内新建、改建、扩建尾矿库、冶炼渣库和磷石膏库，以提升安全、生态环境保护水平为目</w:t>
      </w:r>
      <w:r>
        <w:rPr>
          <w:rFonts w:hint="eastAsia" w:ascii="Times New Roman" w:hAnsi="Times New Roman" w:cs="Times New Roman"/>
          <w:lang w:eastAsia="zh-CN"/>
        </w:rPr>
        <w:t>的</w:t>
      </w:r>
      <w:r>
        <w:rPr>
          <w:rFonts w:ascii="Times New Roman" w:hAnsi="Times New Roman" w:cs="Times New Roman"/>
        </w:rPr>
        <w:t>改扩建除外”;“禁止在合规园区外新建、扩建钢铁、石化、化工、焦化、建材、有色、纸浆造纸等高污染项目”；禁止新建、扩建法律法规和相关政策命令禁止的落后产能项目。禁止新建、扩建不符合国家产能置换要求的严重过剩产能行业的项目。禁止新建、扩建不符合要求的高耗能高排放项目”。</w:t>
      </w:r>
    </w:p>
    <w:p>
      <w:pPr>
        <w:spacing w:line="360" w:lineRule="auto"/>
        <w:ind w:firstLine="480" w:firstLineChars="200"/>
        <w:rPr>
          <w:rFonts w:ascii="Times New Roman" w:hAnsi="Times New Roman" w:cs="Times New Roman"/>
        </w:rPr>
      </w:pPr>
      <w:r>
        <w:rPr>
          <w:rFonts w:ascii="Times New Roman" w:hAnsi="Times New Roman" w:cs="Times New Roman"/>
        </w:rPr>
        <w:t>项目位于湖南衡东经济开发区，项目为废弃资源综合利用项目，厂界距离长江支流湘江最近约3km，不在长江干支流1km控制线内；项目不属于高耗能高排放项目，也不属于国家禁止的落后产能；项目通过加强废水、废气、固废、噪声等污染防治措施，可实现污染物达标排放，并采取有效的环境风险防范措施后环境风险可控。</w:t>
      </w:r>
    </w:p>
    <w:p>
      <w:pPr>
        <w:spacing w:line="360" w:lineRule="auto"/>
        <w:ind w:firstLine="480" w:firstLineChars="200"/>
        <w:rPr>
          <w:rFonts w:ascii="Times New Roman" w:hAnsi="Times New Roman" w:cs="Times New Roman"/>
        </w:rPr>
      </w:pPr>
      <w:r>
        <w:rPr>
          <w:rFonts w:ascii="Times New Roman" w:hAnsi="Times New Roman" w:cs="Times New Roman"/>
        </w:rPr>
        <w:t>因此，本项目满足《中华人民共和国长江保护法》、《五部委关于加强长江经济带工业绿色发展的指导意见》（工信部联节[2017]178 号）、《长江经济带生态环境保护规划》、《国家发展改革委、环境保护部印发关于加强长江黄金水道环境污染防控治理的指导意见的通知》（发改环资[2016]370 号）、关于印发《长江经济带发展负面清单指南（试行，2022年版）的通知》（长江办[2022]7号）的要求。</w:t>
      </w:r>
    </w:p>
    <w:p>
      <w:pPr>
        <w:pStyle w:val="3"/>
        <w:spacing w:before="120" w:after="120"/>
        <w:rPr>
          <w:rFonts w:ascii="Times New Roman" w:hAnsi="Times New Roman" w:cs="Times New Roman" w:eastAsiaTheme="minorEastAsia"/>
        </w:rPr>
      </w:pPr>
      <w:bookmarkStart w:id="703" w:name="_Toc102658254"/>
      <w:bookmarkStart w:id="704" w:name="_Toc144277040"/>
      <w:bookmarkStart w:id="705" w:name="_Toc147848158"/>
      <w:bookmarkStart w:id="706" w:name="_Toc144236910"/>
      <w:r>
        <w:rPr>
          <w:rFonts w:ascii="Times New Roman" w:hAnsi="Times New Roman" w:cs="Times New Roman" w:eastAsiaTheme="minorEastAsia"/>
        </w:rPr>
        <w:t>11.</w:t>
      </w:r>
      <w:bookmarkStart w:id="707" w:name="_Toc61882269"/>
      <w:r>
        <w:rPr>
          <w:rFonts w:ascii="Times New Roman" w:hAnsi="Times New Roman" w:cs="Times New Roman" w:eastAsiaTheme="minorEastAsia"/>
        </w:rPr>
        <w:t>7与《湖南省“三线一单”生态环境总体管控要求暨省级以上产业园区生态环境准入清单》相符性分析</w:t>
      </w:r>
      <w:bookmarkEnd w:id="703"/>
      <w:bookmarkEnd w:id="704"/>
      <w:bookmarkEnd w:id="705"/>
      <w:bookmarkEnd w:id="706"/>
      <w:bookmarkEnd w:id="707"/>
    </w:p>
    <w:p>
      <w:pPr>
        <w:spacing w:line="360" w:lineRule="auto"/>
        <w:ind w:firstLine="480" w:firstLineChars="200"/>
        <w:rPr>
          <w:rFonts w:ascii="Times New Roman" w:hAnsi="Times New Roman" w:cs="Times New Roman"/>
        </w:rPr>
      </w:pPr>
      <w:r>
        <w:rPr>
          <w:rFonts w:ascii="Times New Roman" w:hAnsi="Times New Roman" w:cs="Times New Roman"/>
        </w:rPr>
        <w:t>本项目位于衡东经济开发区，本项目与《湖南省“三线一单”生态环境总体管控要求暨省级以上产业园区生态环境准入清单—湖南衡东经济开发区》相符性分析见下表11.8-1。</w:t>
      </w:r>
    </w:p>
    <w:p>
      <w:pPr>
        <w:spacing w:line="360" w:lineRule="auto"/>
        <w:ind w:firstLine="480" w:firstLineChars="200"/>
        <w:rPr>
          <w:rFonts w:ascii="Times New Roman" w:hAnsi="Times New Roman" w:cs="Times New Roman"/>
        </w:rPr>
        <w:sectPr>
          <w:pgSz w:w="11907" w:h="16840"/>
          <w:pgMar w:top="1418" w:right="1418" w:bottom="1418" w:left="1418" w:header="964" w:footer="851" w:gutter="0"/>
          <w:cols w:space="720" w:num="1"/>
          <w:docGrid w:linePitch="297" w:charSpace="200"/>
        </w:sectPr>
      </w:pPr>
      <w:r>
        <w:rPr>
          <w:rFonts w:ascii="Times New Roman" w:hAnsi="Times New Roman" w:cs="Times New Roman"/>
        </w:rPr>
        <w:t>由上表分析可知，本项目的建设符合《湖南省“三线一单”生态环境总体管控要求暨省级以上产业园区生态环境准入清单》相关要求。</w:t>
      </w:r>
    </w:p>
    <w:p>
      <w:pPr>
        <w:pStyle w:val="6"/>
        <w:rPr>
          <w:rFonts w:ascii="Times New Roman" w:hAnsi="Times New Roman" w:cs="Times New Roman"/>
        </w:rPr>
      </w:pPr>
      <w:r>
        <w:rPr>
          <w:rFonts w:ascii="Times New Roman" w:hAnsi="Times New Roman" w:cs="Times New Roman"/>
        </w:rPr>
        <w:t>表11.7-1  项目与湖南省“三线一单”生态环境总体管控要求暨省级以上产业园区生态环境准入清单—</w:t>
      </w:r>
      <w:r>
        <w:rPr>
          <w:rFonts w:hint="eastAsia" w:ascii="Times New Roman" w:hAnsi="Times New Roman" w:cs="Times New Roman"/>
        </w:rPr>
        <w:t>湖南衡东经济开发区</w:t>
      </w:r>
      <w:r>
        <w:rPr>
          <w:rFonts w:ascii="Times New Roman" w:hAnsi="Times New Roman" w:cs="Times New Roman"/>
        </w:rPr>
        <w:t>对照分析表</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46"/>
        <w:gridCol w:w="1556"/>
        <w:gridCol w:w="919"/>
        <w:gridCol w:w="884"/>
        <w:gridCol w:w="1021"/>
        <w:gridCol w:w="1570"/>
        <w:gridCol w:w="1561"/>
        <w:gridCol w:w="2551"/>
        <w:gridCol w:w="291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8" w:type="pct"/>
            <w:vAlign w:val="center"/>
          </w:tcPr>
          <w:p>
            <w:pPr>
              <w:pStyle w:val="63"/>
            </w:pPr>
            <w:r>
              <w:t>环境控制单元编码</w:t>
            </w:r>
          </w:p>
        </w:tc>
        <w:tc>
          <w:tcPr>
            <w:tcW w:w="547" w:type="pct"/>
            <w:vAlign w:val="center"/>
          </w:tcPr>
          <w:p>
            <w:pPr>
              <w:pStyle w:val="63"/>
            </w:pPr>
            <w:r>
              <w:t>单元名称</w:t>
            </w:r>
          </w:p>
        </w:tc>
        <w:tc>
          <w:tcPr>
            <w:tcW w:w="323" w:type="pct"/>
            <w:vAlign w:val="center"/>
          </w:tcPr>
          <w:p>
            <w:pPr>
              <w:pStyle w:val="63"/>
            </w:pPr>
            <w:r>
              <w:t>行政区划</w:t>
            </w:r>
          </w:p>
        </w:tc>
        <w:tc>
          <w:tcPr>
            <w:tcW w:w="311" w:type="pct"/>
            <w:vAlign w:val="center"/>
          </w:tcPr>
          <w:p>
            <w:pPr>
              <w:pStyle w:val="63"/>
            </w:pPr>
            <w:r>
              <w:t>单元分类</w:t>
            </w:r>
          </w:p>
        </w:tc>
        <w:tc>
          <w:tcPr>
            <w:tcW w:w="359" w:type="pct"/>
            <w:vAlign w:val="center"/>
          </w:tcPr>
          <w:p>
            <w:pPr>
              <w:pStyle w:val="63"/>
            </w:pPr>
            <w:r>
              <w:t>单元面积（km2）</w:t>
            </w:r>
          </w:p>
        </w:tc>
        <w:tc>
          <w:tcPr>
            <w:tcW w:w="552" w:type="pct"/>
            <w:vAlign w:val="center"/>
          </w:tcPr>
          <w:p>
            <w:pPr>
              <w:pStyle w:val="63"/>
            </w:pPr>
            <w:r>
              <w:t>涉及乡镇（街道）</w:t>
            </w:r>
          </w:p>
        </w:tc>
        <w:tc>
          <w:tcPr>
            <w:tcW w:w="549" w:type="pct"/>
            <w:vAlign w:val="center"/>
          </w:tcPr>
          <w:p>
            <w:pPr>
              <w:pStyle w:val="63"/>
            </w:pPr>
            <w:r>
              <w:t>主体功能定位</w:t>
            </w:r>
          </w:p>
        </w:tc>
        <w:tc>
          <w:tcPr>
            <w:tcW w:w="1922" w:type="pct"/>
            <w:gridSpan w:val="2"/>
            <w:vAlign w:val="center"/>
          </w:tcPr>
          <w:p>
            <w:pPr>
              <w:pStyle w:val="63"/>
            </w:pPr>
            <w:r>
              <w:t>主导产业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8" w:type="pct"/>
            <w:vAlign w:val="center"/>
          </w:tcPr>
          <w:p>
            <w:pPr>
              <w:pStyle w:val="63"/>
            </w:pPr>
            <w:r>
              <w:t>ZH43042420003</w:t>
            </w:r>
          </w:p>
        </w:tc>
        <w:tc>
          <w:tcPr>
            <w:tcW w:w="547" w:type="pct"/>
            <w:vAlign w:val="center"/>
          </w:tcPr>
          <w:p>
            <w:pPr>
              <w:pStyle w:val="63"/>
            </w:pPr>
            <w:r>
              <w:t>湖南衡东经济开发区</w:t>
            </w:r>
          </w:p>
        </w:tc>
        <w:tc>
          <w:tcPr>
            <w:tcW w:w="323" w:type="pct"/>
            <w:vAlign w:val="center"/>
          </w:tcPr>
          <w:p>
            <w:pPr>
              <w:pStyle w:val="63"/>
            </w:pPr>
            <w:r>
              <w:t>衡东县</w:t>
            </w:r>
          </w:p>
        </w:tc>
        <w:tc>
          <w:tcPr>
            <w:tcW w:w="311" w:type="pct"/>
            <w:vAlign w:val="center"/>
          </w:tcPr>
          <w:p>
            <w:pPr>
              <w:pStyle w:val="63"/>
            </w:pPr>
            <w:r>
              <w:t>重点管控单元</w:t>
            </w:r>
          </w:p>
        </w:tc>
        <w:tc>
          <w:tcPr>
            <w:tcW w:w="359" w:type="pct"/>
            <w:vAlign w:val="center"/>
          </w:tcPr>
          <w:p>
            <w:pPr>
              <w:pStyle w:val="63"/>
            </w:pPr>
            <w:r>
              <w:t>核准范围4.244</w:t>
            </w:r>
          </w:p>
        </w:tc>
        <w:tc>
          <w:tcPr>
            <w:tcW w:w="552" w:type="pct"/>
            <w:vAlign w:val="center"/>
          </w:tcPr>
          <w:p>
            <w:pPr>
              <w:pStyle w:val="63"/>
            </w:pPr>
            <w:r>
              <w:t>核准范围（一区一园）：大埔镇</w:t>
            </w:r>
          </w:p>
        </w:tc>
        <w:tc>
          <w:tcPr>
            <w:tcW w:w="549" w:type="pct"/>
            <w:vAlign w:val="center"/>
          </w:tcPr>
          <w:p>
            <w:pPr>
              <w:pStyle w:val="63"/>
            </w:pPr>
            <w:r>
              <w:t>国家级农产品主产区；</w:t>
            </w:r>
          </w:p>
          <w:p>
            <w:pPr>
              <w:pStyle w:val="63"/>
            </w:pPr>
            <w:r>
              <w:t>大浦镇：国家级重点开发城镇</w:t>
            </w:r>
          </w:p>
        </w:tc>
        <w:tc>
          <w:tcPr>
            <w:tcW w:w="1922" w:type="pct"/>
            <w:gridSpan w:val="2"/>
            <w:vAlign w:val="center"/>
          </w:tcPr>
          <w:p>
            <w:pPr>
              <w:pStyle w:val="63"/>
            </w:pPr>
            <w:r>
              <w:t>湘环评[2012]13号：机械制造业、轻纺、电子信息及高新技术产业；</w:t>
            </w:r>
          </w:p>
          <w:p>
            <w:pPr>
              <w:pStyle w:val="63"/>
            </w:pPr>
            <w:r>
              <w:t>湘发改函[2012]177号：新扩区域主要布局机械制造、轻工、电子信息产业；</w:t>
            </w:r>
          </w:p>
          <w:p>
            <w:pPr>
              <w:pStyle w:val="63"/>
            </w:pPr>
            <w:r>
              <w:t>六部委公告2018年第4号：有色金属冶炼加工、电气机械、化工；</w:t>
            </w:r>
          </w:p>
          <w:p>
            <w:pPr>
              <w:pStyle w:val="63"/>
              <w:jc w:val="both"/>
            </w:pPr>
            <w:r>
              <w:t>湘发改工[2019]543号：危险化学品产业；湘政发[2020]4号：机械电气化制造、精细化工、新材料。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8" w:type="pct"/>
            <w:vAlign w:val="center"/>
          </w:tcPr>
          <w:p>
            <w:pPr>
              <w:pStyle w:val="63"/>
            </w:pPr>
            <w:r>
              <w:t>管控维度</w:t>
            </w:r>
          </w:p>
        </w:tc>
        <w:tc>
          <w:tcPr>
            <w:tcW w:w="3538" w:type="pct"/>
            <w:gridSpan w:val="7"/>
            <w:vAlign w:val="center"/>
          </w:tcPr>
          <w:p>
            <w:pPr>
              <w:pStyle w:val="63"/>
            </w:pPr>
            <w:r>
              <w:t>管控要求</w:t>
            </w:r>
          </w:p>
        </w:tc>
        <w:tc>
          <w:tcPr>
            <w:tcW w:w="1024" w:type="pct"/>
            <w:vAlign w:val="center"/>
          </w:tcPr>
          <w:p>
            <w:pPr>
              <w:pStyle w:val="63"/>
            </w:pPr>
            <w:r>
              <w:t>是否符合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8" w:type="pct"/>
            <w:vAlign w:val="center"/>
          </w:tcPr>
          <w:p>
            <w:pPr>
              <w:pStyle w:val="63"/>
            </w:pPr>
            <w:r>
              <w:t>空间布局约束</w:t>
            </w:r>
          </w:p>
        </w:tc>
        <w:tc>
          <w:tcPr>
            <w:tcW w:w="3538" w:type="pct"/>
            <w:gridSpan w:val="7"/>
            <w:vAlign w:val="center"/>
          </w:tcPr>
          <w:p>
            <w:pPr>
              <w:pStyle w:val="63"/>
              <w:jc w:val="both"/>
            </w:pPr>
            <w:r>
              <w:t>（1.1）充分利用自然地形和绿化隔离带使各功能区隔离，确保功能区划明确、产业相对集中、生态环境优良。</w:t>
            </w:r>
          </w:p>
          <w:p>
            <w:pPr>
              <w:pStyle w:val="63"/>
              <w:jc w:val="both"/>
            </w:pPr>
            <w:r>
              <w:t>（1.2）园区气型污染企业应布置在园区下风向和大浦镇侧风向。园区内不得设置商品住宅用地，依托现有居民区在园区东部设置安置区，设置绿化带与西面的工业用地隔离。禁止大气污染严重项目进入园区。不得新建涉重工业企业。</w:t>
            </w:r>
          </w:p>
        </w:tc>
        <w:tc>
          <w:tcPr>
            <w:tcW w:w="1024" w:type="pct"/>
            <w:vAlign w:val="center"/>
          </w:tcPr>
          <w:p>
            <w:pPr>
              <w:pStyle w:val="63"/>
            </w:pPr>
            <w:r>
              <w:t>项目生产废水经处理后全部回用，不外排；本项目不属于有色冶炼项目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8" w:type="pct"/>
            <w:vAlign w:val="center"/>
          </w:tcPr>
          <w:p>
            <w:pPr>
              <w:pStyle w:val="63"/>
            </w:pPr>
            <w:r>
              <w:t>污染物排放管控</w:t>
            </w:r>
          </w:p>
        </w:tc>
        <w:tc>
          <w:tcPr>
            <w:tcW w:w="3538" w:type="pct"/>
            <w:gridSpan w:val="7"/>
            <w:vAlign w:val="center"/>
          </w:tcPr>
          <w:p>
            <w:pPr>
              <w:pStyle w:val="63"/>
              <w:jc w:val="both"/>
            </w:pPr>
            <w:r>
              <w:t>（2.1）废水：园区排水实施雨污分流、污污分流。涉重废水、工业废水（含生活污水）通过污水管网收集后排入大浦污水处理厂分别处理达标后外排湘江。园区重点环境风险防控企业设置初期雨水收集池处理达标后部分回用，其余外排附近溪沟汇入湘江。</w:t>
            </w:r>
          </w:p>
          <w:p>
            <w:pPr>
              <w:pStyle w:val="63"/>
              <w:jc w:val="both"/>
            </w:pPr>
            <w:r>
              <w:t>（2.2）废气：所有燃煤设备必须配套烟气脱硫除尘措施。对各企业有工艺废气产出的生产节点应配置废气收集与净化处理装置，做到达标排放。采取有效措施，减少园区内工艺废气的无组织排放。工程机械制造和家具制造行业全面实施油性漆改水性漆，减少VOCs产生量。强化末端治理，加快推进有机化工、工业涂装、沥青搅拌等行业企业VOCs治理，确保达标排放。</w:t>
            </w:r>
          </w:p>
          <w:p>
            <w:pPr>
              <w:pStyle w:val="63"/>
              <w:jc w:val="both"/>
            </w:pPr>
            <w:r>
              <w:t>（2.3）固废：做好工业固体废物和生活垃圾的分类收集、转运、综合利用和无害化处理。建立统一的固废收集、贮存、运输、综合利用和安全处置的运营管理体系。推行清洁生产，减少固体废物产生量；加强固体废物的资源化进程，提高综合利用率；规范固体废物处理措施，对工业固体废物特别是危险固废应按国家有关规定综合利用或妥善处置，严防二次污染。</w:t>
            </w:r>
          </w:p>
          <w:p>
            <w:pPr>
              <w:pStyle w:val="63"/>
              <w:jc w:val="both"/>
            </w:pPr>
            <w:r>
              <w:t>（2.4）园区铅锌工业、铜镍钴工业、再生铜工业、钒工业、合成树酯工业、铁合金、水泥等行业及涉锅炉大气污染物排放应满足《湖南省环境生态环境厅关于执行污染物特别排放限值（第一批）的公告》的要求</w:t>
            </w:r>
          </w:p>
        </w:tc>
        <w:tc>
          <w:tcPr>
            <w:tcW w:w="1024" w:type="pct"/>
            <w:vAlign w:val="center"/>
          </w:tcPr>
          <w:p>
            <w:pPr>
              <w:pStyle w:val="63"/>
            </w:pPr>
            <w:r>
              <w:t>本项目为废旧锂电池回收项目，不属于有色冶炼项目，项目生产废水经处理后全部回用，不外排；生活污水经化粪池处理后园区污水处理厂；项目各类废气经处理后均能达标排放；各类固废均能够得到合理处置，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8" w:type="pct"/>
            <w:vAlign w:val="center"/>
          </w:tcPr>
          <w:p>
            <w:pPr>
              <w:pStyle w:val="63"/>
            </w:pPr>
            <w:r>
              <w:t>环境风险防控</w:t>
            </w:r>
          </w:p>
        </w:tc>
        <w:tc>
          <w:tcPr>
            <w:tcW w:w="3538" w:type="pct"/>
            <w:gridSpan w:val="7"/>
            <w:vAlign w:val="center"/>
          </w:tcPr>
          <w:p>
            <w:pPr>
              <w:pStyle w:val="63"/>
              <w:jc w:val="both"/>
            </w:pPr>
            <w:r>
              <w:t>（3.1）园区应建立健全环境风险防控体系，严格落实《湖南省衡东经济开发区突发环境事件应急预案》中提出的各项环境风险事故防范措施，严防环境风险事故发生，提高应急处置能力。</w:t>
            </w:r>
          </w:p>
          <w:p>
            <w:pPr>
              <w:pStyle w:val="63"/>
              <w:jc w:val="both"/>
            </w:pPr>
            <w:r>
              <w:t>（3.2）园区可能发生突发环境事件的污染物排放企业，生产、储存、运输、使用危险化学品的企业，产生、收集、贮存、运输、利用、处置危险废物的企业等应当编制和实施环境应急预案；鼓励其他企业制定单独的环境应急预案，或在突发事件应急预案中制定环境应急预案专章，并备案。</w:t>
            </w:r>
          </w:p>
          <w:p>
            <w:pPr>
              <w:pStyle w:val="63"/>
              <w:jc w:val="both"/>
            </w:pPr>
            <w:r>
              <w:t>（3.3）建设用地土壤风险防控：</w:t>
            </w:r>
          </w:p>
          <w:p>
            <w:pPr>
              <w:pStyle w:val="63"/>
              <w:jc w:val="both"/>
            </w:pPr>
            <w:r>
              <w:t>结合土壤污染状况详查情况，根据建设用地土壤环境调查评估及现有重金属污染场地调查结果，逐步建立污染地块名录及其开发利用的负面清单，合理确定土地用途。土地开发利用必须符合土壤环境质量要求。各部门在编制土地利用总体规划、城市总体规划、控制性详细规划等相关规划时，应充分考虑污染地块的环境风险，合理确定土地用途。</w:t>
            </w:r>
          </w:p>
          <w:p>
            <w:pPr>
              <w:pStyle w:val="63"/>
              <w:jc w:val="both"/>
            </w:pPr>
            <w:r>
              <w:t>（3.4）农用地风险防控：</w:t>
            </w:r>
          </w:p>
          <w:p>
            <w:pPr>
              <w:pStyle w:val="63"/>
              <w:jc w:val="both"/>
            </w:pPr>
            <w:r>
              <w:t>划定农用地土壤环境质量类别，加大农用地保护力度，禁止在优先保护类耕地集中区域新建有色金属冶炼、有色金属矿采选、化工、电解锰、电镀、制革、石油加工、农药生产、危险废物经营等行业企业。制定实施受污染耕地安全利用方案，采取农艺调控、化学阻控、替代种植等措施，降低农产品重金属超标风险。</w:t>
            </w:r>
          </w:p>
          <w:p>
            <w:pPr>
              <w:pStyle w:val="63"/>
              <w:jc w:val="both"/>
            </w:pPr>
            <w:r>
              <w:t>（3.5）园区应推进有毒有害气体预警预报体系建设，提高风险防控能力。</w:t>
            </w:r>
          </w:p>
        </w:tc>
        <w:tc>
          <w:tcPr>
            <w:tcW w:w="1024" w:type="pct"/>
            <w:vAlign w:val="center"/>
          </w:tcPr>
          <w:p>
            <w:pPr>
              <w:pStyle w:val="63"/>
            </w:pPr>
            <w:r>
              <w:t>环评要求在项目建成后，建设单位编制企业突发环境事件应急预案，并在环保部门备案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38" w:type="pct"/>
            <w:vAlign w:val="center"/>
          </w:tcPr>
          <w:p>
            <w:pPr>
              <w:pStyle w:val="63"/>
            </w:pPr>
            <w:r>
              <w:t>资源开发效率要求</w:t>
            </w:r>
          </w:p>
        </w:tc>
        <w:tc>
          <w:tcPr>
            <w:tcW w:w="3538" w:type="pct"/>
            <w:gridSpan w:val="7"/>
            <w:vAlign w:val="center"/>
          </w:tcPr>
          <w:p>
            <w:pPr>
              <w:pStyle w:val="63"/>
              <w:jc w:val="both"/>
            </w:pPr>
            <w:r>
              <w:t>（4.1）能源：企业用煤含硫量小于1%，推进清洁能源，大力发展燃气工程。到2020年，衡东经开区能源消费总量当量值为3.6624万吨标煤，单位GDP能耗当量值为0.435吨标煤/万元；到2025年，衡东经开区能源消费总量当量值为51.8281万吨标煤，单位GDP能耗当量值为0.397 吨标煤/万元。</w:t>
            </w:r>
          </w:p>
          <w:p>
            <w:pPr>
              <w:pStyle w:val="63"/>
              <w:jc w:val="both"/>
            </w:pPr>
            <w:r>
              <w:t>（4.2）水资源：强化工业节水，淘汰落后的用水技术、工艺、产品和设备，开展高耗水工业行业节水技术改造，开展水平衡测试和用水效率评估，大力推广工业水循环利用，推进节水型企业、节水型工业园区建设。实施最严格水资源管理制度考核，突出用水总量和强度控制目标，到2020年，衡东县万元工业增加值用水量比2015年下降32.7%，万元GDP用水量应比2015年下降30%。</w:t>
            </w:r>
          </w:p>
          <w:p>
            <w:pPr>
              <w:pStyle w:val="63"/>
              <w:jc w:val="both"/>
            </w:pPr>
            <w:r>
              <w:t>（4.3）土地资源：提高土地使用效率和节约集约程度，园区土地投资强度达到3000万元/公顷。严格执行土地使用标准，工业项目投资强度执行《湖南省建设用地指标》（2020版）十二等区域控制指标要求。</w:t>
            </w:r>
          </w:p>
        </w:tc>
        <w:tc>
          <w:tcPr>
            <w:tcW w:w="1024" w:type="pct"/>
            <w:vAlign w:val="center"/>
          </w:tcPr>
          <w:p>
            <w:pPr>
              <w:pStyle w:val="63"/>
            </w:pPr>
            <w:r>
              <w:t>本项目不使用煤为燃料，项目使用</w:t>
            </w:r>
            <w:r>
              <w:rPr>
                <w:rFonts w:hint="eastAsia"/>
              </w:rPr>
              <w:t>生物质燃料、</w:t>
            </w:r>
            <w:r>
              <w:t>天然气和电能；项目生产废水经处理后全部回用，不外排</w:t>
            </w:r>
          </w:p>
        </w:tc>
      </w:tr>
    </w:tbl>
    <w:p>
      <w:pPr>
        <w:spacing w:line="360" w:lineRule="auto"/>
        <w:ind w:firstLine="480" w:firstLineChars="200"/>
        <w:rPr>
          <w:rFonts w:ascii="Times New Roman" w:hAnsi="Times New Roman" w:cs="Times New Roman"/>
        </w:rPr>
        <w:sectPr>
          <w:pgSz w:w="16840" w:h="11907" w:orient="landscape"/>
          <w:pgMar w:top="1418" w:right="1418" w:bottom="1418" w:left="1418" w:header="964" w:footer="851" w:gutter="0"/>
          <w:cols w:space="720" w:num="1"/>
          <w:docGrid w:linePitch="297" w:charSpace="200"/>
        </w:sectPr>
      </w:pPr>
    </w:p>
    <w:p>
      <w:pPr>
        <w:pStyle w:val="3"/>
        <w:spacing w:before="163" w:after="163"/>
        <w:rPr>
          <w:rFonts w:ascii="Times New Roman" w:hAnsi="Times New Roman" w:cs="Times New Roman" w:eastAsiaTheme="minorEastAsia"/>
        </w:rPr>
      </w:pPr>
      <w:bookmarkStart w:id="708" w:name="_Toc93324606"/>
      <w:bookmarkStart w:id="709" w:name="_Toc144236911"/>
      <w:bookmarkStart w:id="710" w:name="_Toc147848159"/>
      <w:bookmarkStart w:id="711" w:name="_Toc144277041"/>
      <w:bookmarkStart w:id="712" w:name="_Toc102658255"/>
      <w:r>
        <w:rPr>
          <w:rFonts w:ascii="Times New Roman" w:hAnsi="Times New Roman" w:cs="Times New Roman" w:eastAsiaTheme="minorEastAsia"/>
        </w:rPr>
        <w:t>11.8 与三线一单符合性分析</w:t>
      </w:r>
      <w:bookmarkEnd w:id="708"/>
      <w:bookmarkEnd w:id="709"/>
      <w:bookmarkEnd w:id="710"/>
      <w:bookmarkEnd w:id="711"/>
      <w:bookmarkEnd w:id="712"/>
    </w:p>
    <w:p>
      <w:pPr>
        <w:spacing w:line="360" w:lineRule="auto"/>
        <w:ind w:firstLine="480" w:firstLineChars="200"/>
        <w:rPr>
          <w:rFonts w:ascii="Times New Roman" w:hAnsi="Times New Roman" w:cs="Times New Roman"/>
        </w:rPr>
      </w:pPr>
      <w:r>
        <w:rPr>
          <w:rFonts w:ascii="Times New Roman" w:hAnsi="Times New Roman" w:cs="Times New Roman"/>
        </w:rPr>
        <w:t>本项目与“三线一单”的符合性分析见下表。</w:t>
      </w:r>
    </w:p>
    <w:p>
      <w:pPr>
        <w:pStyle w:val="6"/>
        <w:rPr>
          <w:rFonts w:ascii="Times New Roman" w:hAnsi="Times New Roman" w:cs="Times New Roman"/>
        </w:rPr>
      </w:pPr>
      <w:r>
        <w:rPr>
          <w:rFonts w:ascii="Times New Roman" w:hAnsi="Times New Roman" w:cs="Times New Roman"/>
        </w:rPr>
        <w:t>表11.8-1  项目“三线一单”符合性分析</w:t>
      </w:r>
    </w:p>
    <w:tbl>
      <w:tblPr>
        <w:tblStyle w:val="3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61"/>
        <w:gridCol w:w="6174"/>
        <w:gridCol w:w="115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6" w:type="pct"/>
            <w:vAlign w:val="center"/>
          </w:tcPr>
          <w:p>
            <w:pPr>
              <w:pStyle w:val="63"/>
            </w:pPr>
            <w:r>
              <w:t>类别</w:t>
            </w:r>
          </w:p>
        </w:tc>
        <w:tc>
          <w:tcPr>
            <w:tcW w:w="3324" w:type="pct"/>
            <w:vAlign w:val="center"/>
          </w:tcPr>
          <w:p>
            <w:pPr>
              <w:pStyle w:val="63"/>
            </w:pPr>
            <w:r>
              <w:t>项目与“三线一单”文件符合性分析</w:t>
            </w:r>
          </w:p>
        </w:tc>
        <w:tc>
          <w:tcPr>
            <w:tcW w:w="620" w:type="pct"/>
            <w:vAlign w:val="center"/>
          </w:tcPr>
          <w:p>
            <w:pPr>
              <w:pStyle w:val="63"/>
            </w:pPr>
            <w:r>
              <w:t>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6" w:type="pct"/>
            <w:vAlign w:val="center"/>
          </w:tcPr>
          <w:p>
            <w:pPr>
              <w:pStyle w:val="63"/>
            </w:pPr>
            <w:r>
              <w:t>生态保护红线</w:t>
            </w:r>
          </w:p>
        </w:tc>
        <w:tc>
          <w:tcPr>
            <w:tcW w:w="3324" w:type="pct"/>
            <w:vAlign w:val="center"/>
          </w:tcPr>
          <w:p>
            <w:pPr>
              <w:pStyle w:val="63"/>
            </w:pPr>
            <w:r>
              <w:t>项目位于湖南衡东经济开发区内，根据《湖南省生态保护红线划定技术方案》和衡东县内生态红线范围，项目地块不属于生态红线内。项目符合生态保护红线要求。</w:t>
            </w:r>
          </w:p>
        </w:tc>
        <w:tc>
          <w:tcPr>
            <w:tcW w:w="620" w:type="pct"/>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6" w:type="pct"/>
            <w:vAlign w:val="center"/>
          </w:tcPr>
          <w:p>
            <w:pPr>
              <w:pStyle w:val="63"/>
            </w:pPr>
            <w:r>
              <w:t>环境质量底线</w:t>
            </w:r>
          </w:p>
        </w:tc>
        <w:tc>
          <w:tcPr>
            <w:tcW w:w="3324" w:type="pct"/>
            <w:vAlign w:val="center"/>
          </w:tcPr>
          <w:p>
            <w:pPr>
              <w:pStyle w:val="63"/>
            </w:pPr>
            <w:r>
              <w:t>项目所在区域的环境质量底线为：环境空气质量目标为《环境空气质量标准》 （GB3095-2012）二级，地下水环境质量目标为《地下水质量标准》（GB/T14848-2017）</w:t>
            </w:r>
            <w:r>
              <w:rPr>
                <w:rFonts w:hint="eastAsia" w:ascii="宋体" w:hAnsi="宋体" w:eastAsia="宋体" w:cs="宋体"/>
              </w:rPr>
              <w:t>Ⅲ</w:t>
            </w:r>
            <w:r>
              <w:t>类标准，声环境质量目标为《声环境质量标准》（GB3096-2008）3类标准，水环境质量目标为《地表水环境质量标准》（GB3838-2002）</w:t>
            </w:r>
            <w:r>
              <w:rPr>
                <w:rFonts w:hint="eastAsia" w:ascii="宋体" w:hAnsi="宋体" w:eastAsia="宋体" w:cs="宋体"/>
              </w:rPr>
              <w:t>Ⅲ</w:t>
            </w:r>
            <w:r>
              <w:t>类标准。生产废水依托厂区现有生产废水处理站处理后全部回用，不外排；各项废气采取防治措施后均可实现达标排放；项目采取本环评提出的相关环保措施后，根据项目所在地环境现状调查和污染物排放影响预测分析，本项目运营后对区域环境影响不大，环境质量基本可以保持现有水平。</w:t>
            </w:r>
          </w:p>
        </w:tc>
        <w:tc>
          <w:tcPr>
            <w:tcW w:w="620" w:type="pct"/>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6" w:type="pct"/>
            <w:vAlign w:val="center"/>
          </w:tcPr>
          <w:p>
            <w:pPr>
              <w:pStyle w:val="63"/>
            </w:pPr>
            <w:r>
              <w:t>资源利用上线</w:t>
            </w:r>
          </w:p>
        </w:tc>
        <w:tc>
          <w:tcPr>
            <w:tcW w:w="3324" w:type="pct"/>
            <w:vAlign w:val="center"/>
          </w:tcPr>
          <w:p>
            <w:pPr>
              <w:pStyle w:val="63"/>
            </w:pPr>
            <w:r>
              <w:t>项目所在区域已铺设自来水管网，水源充足；项目能源主要为电能、生物质燃料、天然气，用电由当地电网供电，天然气为清洁能源，由园区进行供气，项目建设不涉及基本农田；项目在节约利用土地资源，土地资源消耗符合相关要求。项目符合资源利用上线要求。</w:t>
            </w:r>
          </w:p>
        </w:tc>
        <w:tc>
          <w:tcPr>
            <w:tcW w:w="620" w:type="pct"/>
            <w:vAlign w:val="center"/>
          </w:tcPr>
          <w:p>
            <w:pPr>
              <w:pStyle w:val="63"/>
            </w:pPr>
            <w: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6" w:type="pct"/>
            <w:vAlign w:val="center"/>
          </w:tcPr>
          <w:p>
            <w:pPr>
              <w:pStyle w:val="63"/>
            </w:pPr>
            <w:r>
              <w:t>环境准入负面清单</w:t>
            </w:r>
          </w:p>
        </w:tc>
        <w:tc>
          <w:tcPr>
            <w:tcW w:w="3324" w:type="pct"/>
            <w:vAlign w:val="center"/>
          </w:tcPr>
          <w:p>
            <w:pPr>
              <w:pStyle w:val="63"/>
            </w:pPr>
            <w:r>
              <w:t>项目符合国家和地方产业政策，项目采取有效的“三废”处理措施，符合区域总体规划、产业定位等规划要求，不属于环境准入负面清单。</w:t>
            </w:r>
          </w:p>
        </w:tc>
        <w:tc>
          <w:tcPr>
            <w:tcW w:w="620" w:type="pct"/>
            <w:vAlign w:val="center"/>
          </w:tcPr>
          <w:p>
            <w:pPr>
              <w:pStyle w:val="63"/>
            </w:pPr>
            <w:r>
              <w:t>符合</w:t>
            </w:r>
          </w:p>
        </w:tc>
      </w:tr>
    </w:tbl>
    <w:p>
      <w:pPr>
        <w:spacing w:line="360" w:lineRule="auto"/>
        <w:ind w:firstLine="480" w:firstLineChars="200"/>
        <w:rPr>
          <w:rFonts w:ascii="Times New Roman" w:hAnsi="Times New Roman" w:cs="Times New Roman"/>
        </w:rPr>
      </w:pPr>
      <w:r>
        <w:rPr>
          <w:rFonts w:ascii="Times New Roman" w:hAnsi="Times New Roman" w:cs="Times New Roman"/>
        </w:rPr>
        <w:t>综上分析可知，本项目符合“三线一单”相关要求。</w:t>
      </w:r>
    </w:p>
    <w:p>
      <w:pPr>
        <w:pStyle w:val="3"/>
        <w:spacing w:before="163" w:after="163"/>
        <w:rPr>
          <w:rFonts w:ascii="Times New Roman" w:hAnsi="Times New Roman" w:cs="Times New Roman" w:eastAsiaTheme="minorEastAsia"/>
        </w:rPr>
      </w:pPr>
      <w:bookmarkStart w:id="713" w:name="_Toc147848160"/>
      <w:bookmarkStart w:id="714" w:name="_Toc144236912"/>
      <w:bookmarkStart w:id="715" w:name="_Toc144277042"/>
      <w:bookmarkStart w:id="716" w:name="_Toc102658256"/>
      <w:r>
        <w:rPr>
          <w:rFonts w:ascii="Times New Roman" w:hAnsi="Times New Roman" w:cs="Times New Roman" w:eastAsiaTheme="minorEastAsia"/>
        </w:rPr>
        <w:t>11.9 选址合理性分析</w:t>
      </w:r>
      <w:bookmarkEnd w:id="713"/>
      <w:bookmarkEnd w:id="714"/>
      <w:bookmarkEnd w:id="715"/>
      <w:bookmarkEnd w:id="716"/>
    </w:p>
    <w:p>
      <w:pPr>
        <w:spacing w:line="360" w:lineRule="auto"/>
        <w:ind w:firstLine="480" w:firstLineChars="200"/>
        <w:rPr>
          <w:rFonts w:ascii="Times New Roman" w:hAnsi="Times New Roman" w:cs="Times New Roman"/>
        </w:rPr>
      </w:pPr>
      <w:r>
        <w:rPr>
          <w:rFonts w:ascii="Times New Roman" w:hAnsi="Times New Roman" w:cs="Times New Roman"/>
        </w:rPr>
        <w:t>（1）项目选址于衡东经济开发区，</w:t>
      </w:r>
      <w:r>
        <w:rPr>
          <w:rFonts w:hint="eastAsia" w:ascii="Times New Roman" w:hAnsi="Times New Roman" w:cs="Times New Roman"/>
        </w:rPr>
        <w:t>综合回收厂区</w:t>
      </w:r>
      <w:r>
        <w:rPr>
          <w:rFonts w:ascii="Times New Roman" w:hAnsi="Times New Roman" w:cs="Times New Roman"/>
        </w:rPr>
        <w:t>选址为规划的三类工业用地，符合产业园总体规划</w:t>
      </w:r>
      <w:r>
        <w:rPr>
          <w:rFonts w:hint="eastAsia" w:ascii="Times New Roman" w:hAnsi="Times New Roman" w:cs="Times New Roman"/>
        </w:rPr>
        <w:t>；梯次利用厂区</w:t>
      </w:r>
      <w:r>
        <w:rPr>
          <w:rFonts w:ascii="Times New Roman" w:hAnsi="Times New Roman" w:cs="Times New Roman"/>
        </w:rPr>
        <w:t>选址为规划的</w:t>
      </w:r>
      <w:r>
        <w:rPr>
          <w:rFonts w:hint="eastAsia" w:ascii="Times New Roman" w:hAnsi="Times New Roman" w:cs="Times New Roman"/>
        </w:rPr>
        <w:t>二</w:t>
      </w:r>
      <w:r>
        <w:rPr>
          <w:rFonts w:ascii="Times New Roman" w:hAnsi="Times New Roman" w:cs="Times New Roman"/>
        </w:rPr>
        <w:t>类工业用地，符合产业园总体规划</w:t>
      </w:r>
      <w:r>
        <w:rPr>
          <w:rFonts w:hint="eastAsia" w:ascii="Times New Roman" w:hAnsi="Times New Roman" w:cs="Times New Roman"/>
        </w:rPr>
        <w:t>。</w:t>
      </w:r>
    </w:p>
    <w:p>
      <w:pPr>
        <w:spacing w:line="360" w:lineRule="auto"/>
        <w:ind w:firstLine="480" w:firstLineChars="200"/>
        <w:rPr>
          <w:rFonts w:ascii="Times New Roman" w:hAnsi="Times New Roman" w:cs="Times New Roman"/>
        </w:rPr>
      </w:pPr>
      <w:r>
        <w:rPr>
          <w:rFonts w:ascii="Times New Roman" w:hAnsi="Times New Roman" w:cs="Times New Roman"/>
        </w:rPr>
        <w:t>（2）项目选址符合该区域的产业规划和衡东经济开发区的总体规划。</w:t>
      </w:r>
    </w:p>
    <w:p>
      <w:pPr>
        <w:spacing w:line="360" w:lineRule="auto"/>
        <w:ind w:firstLine="480" w:firstLineChars="200"/>
        <w:rPr>
          <w:rFonts w:ascii="Times New Roman" w:hAnsi="Times New Roman" w:cs="Times New Roman"/>
        </w:rPr>
      </w:pPr>
      <w:r>
        <w:rPr>
          <w:rFonts w:ascii="Times New Roman" w:hAnsi="Times New Roman" w:cs="Times New Roman"/>
        </w:rPr>
        <w:t>（3）项目选址地区交通运输条件良好，交通便利，公路运输条件优良，运输方便。供电、供水、通讯等基础设施的条件较好，不需要在基础设施方面投入大量资金。</w:t>
      </w:r>
    </w:p>
    <w:p>
      <w:pPr>
        <w:spacing w:line="360" w:lineRule="auto"/>
        <w:ind w:firstLine="480" w:firstLineChars="200"/>
        <w:rPr>
          <w:rFonts w:ascii="Times New Roman" w:hAnsi="Times New Roman" w:cs="Times New Roman"/>
        </w:rPr>
      </w:pPr>
      <w:r>
        <w:rPr>
          <w:rFonts w:ascii="Times New Roman" w:hAnsi="Times New Roman" w:cs="Times New Roman"/>
        </w:rPr>
        <w:t>（4）项目区域属环境空气质量功能区的二类区，声环境质量功能区的3类区，周边地表水为</w:t>
      </w:r>
      <w:r>
        <w:rPr>
          <w:rFonts w:hint="eastAsia" w:ascii="宋体" w:hAnsi="宋体" w:eastAsia="宋体" w:cs="宋体"/>
        </w:rPr>
        <w:t>Ⅲ</w:t>
      </w:r>
      <w:r>
        <w:rPr>
          <w:rFonts w:ascii="Times New Roman" w:hAnsi="Times New Roman" w:cs="Times New Roman"/>
        </w:rPr>
        <w:t>类水域，项目区域无需特殊保护的文物、古迹、自然保护区等。项目所产生的污染物经过治理后均可实现达标排放。经过预测，项目投产后对大气、地表水、声环境等均不会产生较大影响，不会改变环境功能现状。</w:t>
      </w:r>
    </w:p>
    <w:p>
      <w:pPr>
        <w:spacing w:line="360" w:lineRule="auto"/>
        <w:ind w:firstLine="480" w:firstLineChars="200"/>
        <w:rPr>
          <w:rFonts w:ascii="Times New Roman" w:hAnsi="Times New Roman" w:cs="Times New Roman"/>
        </w:rPr>
      </w:pPr>
      <w:r>
        <w:rPr>
          <w:rFonts w:ascii="Times New Roman" w:hAnsi="Times New Roman" w:cs="Times New Roman"/>
        </w:rPr>
        <w:t>综上所述，本项目所选厂址符合相关规划，交通条件便利，区域供排水、供电设施齐全。由环境影响预测结果可知，本项目在落实各项环保措施的前提下，其建设与生产过程中产生的各项污染物均可做到稳定达标排放；各类固体废物可得到安全处置；项目建设与运营过程中对区域环境的影响较轻，在环境可承受范围内。因此，项目选址可行。</w:t>
      </w:r>
    </w:p>
    <w:p>
      <w:pPr>
        <w:pStyle w:val="3"/>
        <w:spacing w:before="163" w:after="163"/>
        <w:rPr>
          <w:rFonts w:ascii="Times New Roman" w:hAnsi="Times New Roman" w:cs="Times New Roman" w:eastAsiaTheme="minorEastAsia"/>
        </w:rPr>
      </w:pPr>
      <w:bookmarkStart w:id="717" w:name="_Toc102658257"/>
      <w:bookmarkStart w:id="718" w:name="_Toc144236913"/>
      <w:bookmarkStart w:id="719" w:name="_Toc144277043"/>
      <w:bookmarkStart w:id="720" w:name="_Toc147848161"/>
      <w:r>
        <w:rPr>
          <w:rFonts w:ascii="Times New Roman" w:hAnsi="Times New Roman" w:cs="Times New Roman" w:eastAsiaTheme="minorEastAsia"/>
        </w:rPr>
        <w:t>11.10 总平面布置合理性分析</w:t>
      </w:r>
      <w:bookmarkEnd w:id="717"/>
      <w:bookmarkEnd w:id="718"/>
      <w:bookmarkEnd w:id="719"/>
      <w:bookmarkEnd w:id="720"/>
    </w:p>
    <w:p>
      <w:pPr>
        <w:spacing w:line="360" w:lineRule="auto"/>
        <w:ind w:firstLine="480" w:firstLineChars="200"/>
        <w:rPr>
          <w:rFonts w:ascii="Times New Roman" w:hAnsi="Times New Roman" w:cs="Times New Roman"/>
        </w:rPr>
      </w:pPr>
      <w:r>
        <w:rPr>
          <w:rFonts w:ascii="Times New Roman" w:hAnsi="Times New Roman" w:cs="Times New Roman"/>
        </w:rPr>
        <w:t>本项目梯次利用厂区与废旧锂电池及锂电池废料的综合回收利用厂区分开布设，梯次利用厂区中心位置地理坐标：E112°48′39.170″，N27°0′0.155″，为现有已建成标准厂房，后续在标准厂房内进行分隔。</w:t>
      </w:r>
    </w:p>
    <w:p>
      <w:pPr>
        <w:spacing w:line="360" w:lineRule="auto"/>
        <w:ind w:firstLine="480" w:firstLineChars="200"/>
        <w:rPr>
          <w:rFonts w:ascii="Times New Roman" w:hAnsi="Times New Roman" w:cs="Times New Roman"/>
        </w:rPr>
      </w:pPr>
      <w:r>
        <w:rPr>
          <w:rFonts w:ascii="Times New Roman" w:hAnsi="Times New Roman" w:cs="Times New Roman"/>
        </w:rPr>
        <w:t>废旧锂电池及锂电池废料的综合回收利用厂区中心位置地理坐标：E112°48′18.80″，N27°0′53.25″，占地面积5333</w:t>
      </w:r>
      <w:r>
        <w:rPr>
          <w:rFonts w:hint="eastAsia" w:ascii="Times New Roman" w:hAnsi="Times New Roman" w:cs="Times New Roman"/>
        </w:rPr>
        <w:t>3</w:t>
      </w:r>
      <w:r>
        <w:rPr>
          <w:rFonts w:ascii="Times New Roman" w:hAnsi="Times New Roman" w:cs="Times New Roman"/>
        </w:rPr>
        <w:t>m</w:t>
      </w:r>
      <w:r>
        <w:rPr>
          <w:rFonts w:ascii="Times New Roman" w:hAnsi="Times New Roman" w:cs="Times New Roman"/>
          <w:vertAlign w:val="superscript"/>
        </w:rPr>
        <w:t>2</w:t>
      </w:r>
      <w:r>
        <w:rPr>
          <w:rFonts w:ascii="Times New Roman" w:hAnsi="Times New Roman" w:cs="Times New Roman"/>
        </w:rPr>
        <w:t>（约80亩），其中60亩为新增用地，20亩为购置衡阳恒旺锂电新材料有限公司建设用地。</w:t>
      </w:r>
    </w:p>
    <w:p>
      <w:pPr>
        <w:spacing w:line="360" w:lineRule="auto"/>
        <w:ind w:firstLine="480" w:firstLineChars="200"/>
        <w:rPr>
          <w:rFonts w:ascii="Times New Roman" w:hAnsi="Times New Roman" w:cs="Times New Roman"/>
        </w:rPr>
      </w:pPr>
      <w:r>
        <w:rPr>
          <w:rFonts w:ascii="Times New Roman" w:hAnsi="Times New Roman" w:cs="Times New Roman"/>
        </w:rPr>
        <w:t>衡阳恒旺锂电新材料有限公司20亩建设用地主要建设废旧电池预处理工序，从南至北依次分布磷酸铁锂电池拆解车间（厂房一）、三元锂电池拆解车间（厂房二）、锅炉房、除尘室及配电室及原料仓库1；新增60亩建设用地主要建设其他工序从北至南依次分布浸出车间、萃取车间、原料仓库2、甲类仓库、MVR处理区、成品仓库、结晶车间。</w:t>
      </w:r>
    </w:p>
    <w:p>
      <w:pPr>
        <w:spacing w:line="360" w:lineRule="auto"/>
        <w:ind w:firstLine="480" w:firstLineChars="200"/>
        <w:rPr>
          <w:rFonts w:ascii="Times New Roman" w:hAnsi="Times New Roman" w:cs="Times New Roman"/>
        </w:rPr>
      </w:pPr>
      <w:r>
        <w:rPr>
          <w:rFonts w:ascii="Times New Roman" w:hAnsi="Times New Roman" w:cs="Times New Roman"/>
        </w:rPr>
        <w:t>本项目总平面布置充分考虑生产及物流要求，结合周边道路交通状况，人流主入口和车流主入口分开设置，并对整个厂区进行了划分，减少相互干扰。生产区每个生产车间联系紧凑，而各生产工序之间则形成相对独立的空间，利于安全。厂区道路交通以加强内部功能组织和便利内外交通联系为原则，有效地实施人车分流系统，道路两侧设置绿化带。</w:t>
      </w:r>
    </w:p>
    <w:p>
      <w:pPr>
        <w:spacing w:line="360" w:lineRule="auto"/>
        <w:ind w:firstLine="480" w:firstLineChars="200"/>
        <w:rPr>
          <w:rFonts w:ascii="Times New Roman" w:hAnsi="Times New Roman" w:cs="Times New Roman"/>
        </w:rPr>
      </w:pPr>
      <w:r>
        <w:rPr>
          <w:rFonts w:ascii="Times New Roman" w:hAnsi="Times New Roman" w:cs="Times New Roman"/>
        </w:rPr>
        <w:t>综上，本项目的平面布局较为紧凑，基本满足环保的要求，从环保的角度，平面布局基本合理。</w:t>
      </w:r>
    </w:p>
    <w:p>
      <w:pPr>
        <w:pStyle w:val="3"/>
        <w:spacing w:before="163" w:after="163"/>
        <w:rPr>
          <w:rFonts w:ascii="Times New Roman" w:hAnsi="Times New Roman" w:cs="Times New Roman" w:eastAsiaTheme="minorEastAsia"/>
        </w:rPr>
      </w:pPr>
      <w:bookmarkStart w:id="721" w:name="_Toc102658258"/>
      <w:bookmarkStart w:id="722" w:name="_Toc144236914"/>
      <w:bookmarkStart w:id="723" w:name="_Toc144277044"/>
      <w:bookmarkStart w:id="724" w:name="_Toc147848162"/>
      <w:r>
        <w:rPr>
          <w:rFonts w:ascii="Times New Roman" w:hAnsi="Times New Roman" w:cs="Times New Roman" w:eastAsiaTheme="minorEastAsia"/>
        </w:rPr>
        <w:t>11.11 项目环境制约因素</w:t>
      </w:r>
      <w:bookmarkEnd w:id="721"/>
      <w:bookmarkEnd w:id="722"/>
      <w:bookmarkEnd w:id="723"/>
      <w:bookmarkEnd w:id="724"/>
    </w:p>
    <w:p>
      <w:pPr>
        <w:spacing w:line="360" w:lineRule="auto"/>
        <w:ind w:firstLine="480" w:firstLineChars="200"/>
        <w:rPr>
          <w:rFonts w:ascii="Times New Roman" w:hAnsi="Times New Roman" w:cs="Times New Roman"/>
        </w:rPr>
        <w:sectPr>
          <w:headerReference r:id="rId14" w:type="default"/>
          <w:footerReference r:id="rId15" w:type="default"/>
          <w:pgSz w:w="11907" w:h="16840"/>
          <w:pgMar w:top="1418" w:right="1418" w:bottom="1418" w:left="1418" w:header="851" w:footer="992" w:gutter="0"/>
          <w:cols w:space="720" w:num="1"/>
          <w:docGrid w:linePitch="312" w:charSpace="0"/>
        </w:sectPr>
      </w:pPr>
      <w:r>
        <w:rPr>
          <w:rFonts w:ascii="Times New Roman" w:hAnsi="Times New Roman" w:cs="Times New Roman"/>
        </w:rPr>
        <w:t>本项目无环境制约因素。</w:t>
      </w:r>
    </w:p>
    <w:p>
      <w:pPr>
        <w:pStyle w:val="2"/>
        <w:spacing w:before="120" w:after="120"/>
        <w:rPr>
          <w:rFonts w:ascii="Times New Roman" w:hAnsi="Times New Roman" w:cs="Times New Roman"/>
        </w:rPr>
      </w:pPr>
      <w:bookmarkStart w:id="725" w:name="_Toc144236915"/>
      <w:bookmarkStart w:id="726" w:name="_Toc147848163"/>
      <w:bookmarkStart w:id="727" w:name="_Toc144277045"/>
      <w:r>
        <w:rPr>
          <w:rFonts w:ascii="Times New Roman" w:hAnsi="Times New Roman" w:cs="Times New Roman"/>
        </w:rPr>
        <w:t>第12章 环境管理与监测制度</w:t>
      </w:r>
      <w:bookmarkEnd w:id="636"/>
      <w:bookmarkEnd w:id="637"/>
      <w:bookmarkEnd w:id="725"/>
      <w:bookmarkEnd w:id="726"/>
      <w:bookmarkEnd w:id="727"/>
    </w:p>
    <w:p>
      <w:pPr>
        <w:spacing w:line="360" w:lineRule="auto"/>
        <w:ind w:firstLine="480" w:firstLineChars="200"/>
        <w:rPr>
          <w:rFonts w:ascii="Times New Roman" w:hAnsi="Times New Roman" w:cs="Times New Roman"/>
        </w:rPr>
      </w:pPr>
      <w:bookmarkStart w:id="728" w:name="_Hlk101448632"/>
      <w:r>
        <w:rPr>
          <w:rFonts w:ascii="Times New Roman" w:hAnsi="Times New Roman" w:cs="Times New Roman"/>
        </w:rPr>
        <w:t>为</w:t>
      </w:r>
      <w:bookmarkStart w:id="729" w:name="_Toc90818023"/>
      <w:bookmarkEnd w:id="729"/>
      <w:bookmarkStart w:id="730" w:name="_Toc105574247"/>
      <w:bookmarkEnd w:id="730"/>
      <w:bookmarkStart w:id="731" w:name="_Toc123757253"/>
      <w:bookmarkEnd w:id="731"/>
      <w:bookmarkStart w:id="732" w:name="_Toc71554626"/>
      <w:bookmarkEnd w:id="732"/>
      <w:bookmarkStart w:id="733" w:name="_Toc71863271"/>
      <w:bookmarkEnd w:id="733"/>
      <w:bookmarkStart w:id="734" w:name="_Toc71855573"/>
      <w:bookmarkEnd w:id="734"/>
      <w:bookmarkStart w:id="735" w:name="_Toc70435421"/>
      <w:bookmarkEnd w:id="735"/>
      <w:bookmarkStart w:id="736" w:name="_Toc71257719"/>
      <w:bookmarkEnd w:id="736"/>
      <w:bookmarkStart w:id="737" w:name="_Toc71554703"/>
      <w:bookmarkEnd w:id="737"/>
      <w:bookmarkStart w:id="738" w:name="_Toc142449444"/>
      <w:r>
        <w:rPr>
          <w:rFonts w:ascii="Times New Roman" w:hAnsi="Times New Roman" w:cs="Times New Roman"/>
        </w:rPr>
        <w:t>了贯彻执行《中华人民共和国环境保护法》、《建设项目环境保护管理办法》，进一步加强企业环境管理工作，应把环境保护工作纳入计划，建立环境保护责任制度，使工程的环境污染降低到最低限度。根据《建设项目环境保护设计规定》中的有关要求，对环境管理机构设置及监测方面提出建议。</w:t>
      </w:r>
      <w:bookmarkEnd w:id="738"/>
    </w:p>
    <w:bookmarkEnd w:id="728"/>
    <w:p>
      <w:pPr>
        <w:pStyle w:val="3"/>
        <w:rPr>
          <w:rFonts w:ascii="Times New Roman" w:hAnsi="Times New Roman" w:cs="Times New Roman" w:eastAsiaTheme="minorEastAsia"/>
        </w:rPr>
      </w:pPr>
      <w:bookmarkStart w:id="739" w:name="_Toc144236916"/>
      <w:bookmarkStart w:id="740" w:name="_Toc102658260"/>
      <w:bookmarkStart w:id="741" w:name="_Toc147848164"/>
      <w:bookmarkStart w:id="742" w:name="_Toc144277046"/>
      <w:r>
        <w:rPr>
          <w:rFonts w:ascii="Times New Roman" w:hAnsi="Times New Roman" w:cs="Times New Roman" w:eastAsiaTheme="minorEastAsia"/>
        </w:rPr>
        <w:t>12.1 环境管理</w:t>
      </w:r>
      <w:bookmarkEnd w:id="739"/>
      <w:bookmarkEnd w:id="740"/>
      <w:bookmarkEnd w:id="741"/>
      <w:bookmarkEnd w:id="742"/>
    </w:p>
    <w:p>
      <w:pPr>
        <w:pStyle w:val="4"/>
        <w:rPr>
          <w:rFonts w:ascii="Times New Roman" w:hAnsi="Times New Roman" w:cs="Times New Roman"/>
        </w:rPr>
      </w:pPr>
      <w:bookmarkStart w:id="743" w:name="_Toc144236917"/>
      <w:bookmarkStart w:id="744" w:name="_Toc144277047"/>
      <w:bookmarkStart w:id="745" w:name="_Toc147848165"/>
      <w:r>
        <w:rPr>
          <w:rFonts w:ascii="Times New Roman" w:hAnsi="Times New Roman" w:cs="Times New Roman"/>
        </w:rPr>
        <w:t>12.1.1 环境管理目的</w:t>
      </w:r>
      <w:bookmarkEnd w:id="743"/>
      <w:bookmarkEnd w:id="744"/>
      <w:bookmarkEnd w:id="745"/>
    </w:p>
    <w:p>
      <w:pPr>
        <w:spacing w:line="360" w:lineRule="auto"/>
        <w:ind w:firstLine="480" w:firstLineChars="200"/>
        <w:rPr>
          <w:rFonts w:ascii="Times New Roman" w:hAnsi="Times New Roman" w:cs="Times New Roman"/>
        </w:rPr>
      </w:pPr>
      <w:bookmarkStart w:id="746" w:name="_Hlk101448656"/>
      <w:r>
        <w:rPr>
          <w:rFonts w:ascii="Times New Roman" w:hAnsi="Times New Roman" w:cs="Times New Roman"/>
        </w:rPr>
        <w:t>环境管理机构基本任务之一是负责组织落实、监督本企业的环境保护工作其职责如下：</w:t>
      </w:r>
    </w:p>
    <w:p>
      <w:pPr>
        <w:spacing w:line="360" w:lineRule="auto"/>
        <w:ind w:firstLine="480" w:firstLineChars="200"/>
        <w:rPr>
          <w:rFonts w:ascii="Times New Roman" w:hAnsi="Times New Roman" w:cs="Times New Roman"/>
        </w:rPr>
      </w:pPr>
      <w:r>
        <w:rPr>
          <w:rFonts w:ascii="Times New Roman" w:hAnsi="Times New Roman" w:cs="Times New Roman"/>
        </w:rPr>
        <w:t>（1）贯彻执行环境保护政策、法规及环境保护标准。</w:t>
      </w:r>
    </w:p>
    <w:p>
      <w:pPr>
        <w:spacing w:line="360" w:lineRule="auto"/>
        <w:ind w:firstLine="480" w:firstLineChars="200"/>
        <w:rPr>
          <w:rFonts w:ascii="Times New Roman" w:hAnsi="Times New Roman" w:cs="Times New Roman"/>
        </w:rPr>
      </w:pPr>
      <w:r>
        <w:rPr>
          <w:rFonts w:ascii="Times New Roman" w:hAnsi="Times New Roman" w:cs="Times New Roman"/>
        </w:rPr>
        <w:t>（2）建立并完善企业环境保护管理制度，经常督促检查，贯彻落实。</w:t>
      </w:r>
    </w:p>
    <w:p>
      <w:pPr>
        <w:spacing w:line="360" w:lineRule="auto"/>
        <w:ind w:firstLine="480" w:firstLineChars="200"/>
        <w:rPr>
          <w:rFonts w:ascii="Times New Roman" w:hAnsi="Times New Roman" w:cs="Times New Roman"/>
        </w:rPr>
      </w:pPr>
      <w:r>
        <w:rPr>
          <w:rFonts w:ascii="Times New Roman" w:hAnsi="Times New Roman" w:cs="Times New Roman"/>
        </w:rPr>
        <w:t>（3）编制并组织实施企业施工和生产过程中环境保护规划和年度计划。</w:t>
      </w:r>
    </w:p>
    <w:p>
      <w:pPr>
        <w:spacing w:line="360" w:lineRule="auto"/>
        <w:ind w:firstLine="480" w:firstLineChars="200"/>
        <w:rPr>
          <w:rFonts w:ascii="Times New Roman" w:hAnsi="Times New Roman" w:cs="Times New Roman"/>
        </w:rPr>
      </w:pPr>
      <w:r>
        <w:rPr>
          <w:rFonts w:ascii="Times New Roman" w:hAnsi="Times New Roman" w:cs="Times New Roman"/>
        </w:rPr>
        <w:t>（4）搞好环境保护宣传和教育，不断提高职工的环境保护意识。</w:t>
      </w:r>
    </w:p>
    <w:p>
      <w:pPr>
        <w:spacing w:line="360" w:lineRule="auto"/>
        <w:ind w:firstLine="480" w:firstLineChars="200"/>
        <w:rPr>
          <w:rFonts w:ascii="Times New Roman" w:hAnsi="Times New Roman" w:cs="Times New Roman"/>
        </w:rPr>
      </w:pPr>
      <w:r>
        <w:rPr>
          <w:rFonts w:ascii="Times New Roman" w:hAnsi="Times New Roman" w:cs="Times New Roman"/>
        </w:rPr>
        <w:t>（5）组织对基层环保人员的培训，提高工作素质。</w:t>
      </w:r>
    </w:p>
    <w:p>
      <w:pPr>
        <w:spacing w:line="360" w:lineRule="auto"/>
        <w:ind w:firstLine="480" w:firstLineChars="200"/>
        <w:rPr>
          <w:rFonts w:ascii="Times New Roman" w:hAnsi="Times New Roman" w:cs="Times New Roman"/>
        </w:rPr>
      </w:pPr>
      <w:r>
        <w:rPr>
          <w:rFonts w:ascii="Times New Roman" w:hAnsi="Times New Roman" w:cs="Times New Roman"/>
        </w:rPr>
        <w:t>（6）领导并组织企业的环境监测工作，建立环境监控档案。</w:t>
      </w:r>
    </w:p>
    <w:p>
      <w:pPr>
        <w:spacing w:line="360" w:lineRule="auto"/>
        <w:ind w:firstLine="480" w:firstLineChars="200"/>
        <w:rPr>
          <w:rFonts w:ascii="Times New Roman" w:hAnsi="Times New Roman" w:cs="Times New Roman"/>
        </w:rPr>
      </w:pPr>
      <w:r>
        <w:rPr>
          <w:rFonts w:ascii="Times New Roman" w:hAnsi="Times New Roman" w:cs="Times New Roman"/>
        </w:rPr>
        <w:t>（7）制定污染治理设备、设施操作规程和检修计划，检查、记录污染治理设施运行及检修情况，确保治理设施常年正常运行。</w:t>
      </w:r>
    </w:p>
    <w:p>
      <w:pPr>
        <w:spacing w:line="360" w:lineRule="auto"/>
        <w:ind w:firstLine="480" w:firstLineChars="200"/>
        <w:rPr>
          <w:rFonts w:ascii="Times New Roman" w:hAnsi="Times New Roman" w:cs="Times New Roman"/>
        </w:rPr>
      </w:pPr>
      <w:r>
        <w:rPr>
          <w:rFonts w:ascii="Times New Roman" w:hAnsi="Times New Roman" w:cs="Times New Roman"/>
        </w:rPr>
        <w:t>（8）制定各车间的污染物排放指标，定时考核和统计，确保全厂污染物排放达到国家排放标准和总量控制指标。</w:t>
      </w:r>
    </w:p>
    <w:bookmarkEnd w:id="746"/>
    <w:p>
      <w:pPr>
        <w:pStyle w:val="4"/>
        <w:rPr>
          <w:rFonts w:ascii="Times New Roman" w:hAnsi="Times New Roman" w:cs="Times New Roman"/>
        </w:rPr>
      </w:pPr>
      <w:bookmarkStart w:id="747" w:name="_Toc144236918"/>
      <w:bookmarkStart w:id="748" w:name="_Toc147848166"/>
      <w:bookmarkStart w:id="749" w:name="_Toc144277048"/>
      <w:r>
        <w:rPr>
          <w:rFonts w:ascii="Times New Roman" w:hAnsi="Times New Roman" w:cs="Times New Roman"/>
        </w:rPr>
        <w:t>12.1.2 建立环境管理机构</w:t>
      </w:r>
      <w:bookmarkEnd w:id="747"/>
      <w:bookmarkEnd w:id="748"/>
      <w:bookmarkEnd w:id="749"/>
    </w:p>
    <w:p>
      <w:pPr>
        <w:spacing w:line="360" w:lineRule="auto"/>
        <w:ind w:firstLine="480" w:firstLineChars="200"/>
        <w:rPr>
          <w:rFonts w:ascii="Times New Roman" w:hAnsi="Times New Roman" w:cs="Times New Roman"/>
        </w:rPr>
      </w:pPr>
      <w:bookmarkStart w:id="750" w:name="_Hlk101448670"/>
      <w:r>
        <w:rPr>
          <w:rFonts w:ascii="Times New Roman" w:hAnsi="Times New Roman" w:cs="Times New Roman"/>
        </w:rPr>
        <w:t>环境管理是企业管理的重要组成部分，社会的发展、科技的进步和经济全球化对企业的环境管理及环境意识都提出了更高的要求，其目的是确保企业发展生产、增加经济效益的同时保护环境。企业应当建立专职安全环保部门，设置部长1名，并配置管理人员2人，负责厂区内环境管理、环境监测和安全管理。</w:t>
      </w:r>
    </w:p>
    <w:bookmarkEnd w:id="750"/>
    <w:p>
      <w:pPr>
        <w:pStyle w:val="4"/>
        <w:rPr>
          <w:rFonts w:ascii="Times New Roman" w:hAnsi="Times New Roman" w:cs="Times New Roman"/>
        </w:rPr>
      </w:pPr>
      <w:bookmarkStart w:id="751" w:name="_Toc144277049"/>
      <w:bookmarkStart w:id="752" w:name="_Toc144236919"/>
      <w:bookmarkStart w:id="753" w:name="_Toc147848167"/>
      <w:r>
        <w:rPr>
          <w:rFonts w:ascii="Times New Roman" w:hAnsi="Times New Roman" w:cs="Times New Roman"/>
        </w:rPr>
        <w:t>12.1.3 环境管理要求</w:t>
      </w:r>
      <w:bookmarkEnd w:id="751"/>
      <w:bookmarkEnd w:id="752"/>
      <w:bookmarkEnd w:id="753"/>
    </w:p>
    <w:p>
      <w:pPr>
        <w:spacing w:line="360" w:lineRule="auto"/>
        <w:ind w:firstLine="480" w:firstLineChars="200"/>
        <w:rPr>
          <w:rFonts w:ascii="Times New Roman" w:hAnsi="Times New Roman" w:cs="Times New Roman"/>
        </w:rPr>
      </w:pPr>
      <w:bookmarkStart w:id="754" w:name="_Hlk101448715"/>
      <w:r>
        <w:rPr>
          <w:rFonts w:ascii="Times New Roman" w:hAnsi="Times New Roman" w:cs="Times New Roman"/>
        </w:rPr>
        <w:t>因本项目施工期较短，因此本部分内容仅针对运营期的环境管理要求。</w:t>
      </w:r>
    </w:p>
    <w:p>
      <w:pPr>
        <w:spacing w:line="360" w:lineRule="auto"/>
        <w:ind w:firstLine="480" w:firstLineChars="200"/>
        <w:rPr>
          <w:rFonts w:ascii="Times New Roman" w:hAnsi="Times New Roman" w:cs="Times New Roman"/>
        </w:rPr>
      </w:pPr>
      <w:r>
        <w:rPr>
          <w:rFonts w:ascii="Times New Roman" w:hAnsi="Times New Roman" w:cs="Times New Roman"/>
        </w:rPr>
        <w:t>项目运营期产生的废气、废水、危险废物存在一定的污染隐患。一旦管理不善将可能出现环境污染事故，从而影响周围环境。因此，营运期的环境管理十分重要，营运期应做好以下工作：</w:t>
      </w:r>
    </w:p>
    <w:p>
      <w:pPr>
        <w:spacing w:line="360" w:lineRule="auto"/>
        <w:ind w:firstLine="480" w:firstLineChars="200"/>
        <w:rPr>
          <w:rFonts w:ascii="Times New Roman" w:hAnsi="Times New Roman" w:cs="Times New Roman"/>
        </w:rPr>
      </w:pPr>
      <w:r>
        <w:rPr>
          <w:rFonts w:ascii="Times New Roman" w:hAnsi="Times New Roman" w:cs="Times New Roman"/>
        </w:rPr>
        <w:t>（1）制定污染治理操作规程，记录污染治理设施运行及检修情况，确保治理设施常年正常运行。</w:t>
      </w:r>
    </w:p>
    <w:p>
      <w:pPr>
        <w:spacing w:line="360" w:lineRule="auto"/>
        <w:ind w:firstLine="480" w:firstLineChars="200"/>
        <w:rPr>
          <w:rFonts w:ascii="Times New Roman" w:hAnsi="Times New Roman" w:cs="Times New Roman"/>
        </w:rPr>
      </w:pPr>
      <w:r>
        <w:rPr>
          <w:rFonts w:ascii="Times New Roman" w:hAnsi="Times New Roman" w:cs="Times New Roman"/>
        </w:rPr>
        <w:t>（2）安全环保部应认真贯彻各项相关环境保护工作要求，贯彻执行环境保护法规和标准。组织制定厂级和各车间的环境保护管理的规章制度并监督执行。接受衡阳市环境保护局、衡阳市生态环境局</w:t>
      </w:r>
      <w:r>
        <w:rPr>
          <w:rFonts w:hint="eastAsia" w:ascii="Times New Roman" w:hAnsi="Times New Roman" w:cs="Times New Roman"/>
        </w:rPr>
        <w:t>衡东</w:t>
      </w:r>
      <w:r>
        <w:rPr>
          <w:rFonts w:ascii="Times New Roman" w:hAnsi="Times New Roman" w:cs="Times New Roman"/>
        </w:rPr>
        <w:t>分局的检查监督；</w:t>
      </w:r>
    </w:p>
    <w:p>
      <w:pPr>
        <w:spacing w:line="360" w:lineRule="auto"/>
        <w:ind w:firstLine="480" w:firstLineChars="200"/>
        <w:rPr>
          <w:rFonts w:ascii="Times New Roman" w:hAnsi="Times New Roman" w:cs="Times New Roman"/>
        </w:rPr>
      </w:pPr>
      <w:r>
        <w:rPr>
          <w:rFonts w:ascii="Times New Roman" w:hAnsi="Times New Roman" w:cs="Times New Roman"/>
        </w:rPr>
        <w:t>（3）组织环保监测及统计工作，配合上级部门对本企业环保项目进行检查验收；定期与不定期地上报各项管理工作的执行情况以及各项有关环境参数、污染源排放指标；建立污染源及厂区周围环境质量监测数据档案；定期编写环保简报，制定全厂环保年度计划和长远规划，为区域整体环境控制服务。</w:t>
      </w:r>
    </w:p>
    <w:p>
      <w:pPr>
        <w:spacing w:line="360" w:lineRule="auto"/>
        <w:ind w:firstLine="480" w:firstLineChars="200"/>
        <w:rPr>
          <w:rFonts w:ascii="Times New Roman" w:hAnsi="Times New Roman" w:cs="Times New Roman"/>
        </w:rPr>
      </w:pPr>
      <w:r>
        <w:rPr>
          <w:rFonts w:ascii="Times New Roman" w:hAnsi="Times New Roman" w:cs="Times New Roman"/>
        </w:rPr>
        <w:t>（4）确保污染治理措施执行“三同时”，检查、监督全厂环保设施的正常高效运行，使各项治理设施达到设计要求。</w:t>
      </w:r>
    </w:p>
    <w:p>
      <w:pPr>
        <w:spacing w:line="360" w:lineRule="auto"/>
        <w:ind w:firstLine="480" w:firstLineChars="200"/>
        <w:rPr>
          <w:rFonts w:ascii="Times New Roman" w:hAnsi="Times New Roman" w:cs="Times New Roman"/>
        </w:rPr>
      </w:pPr>
      <w:r>
        <w:rPr>
          <w:rFonts w:ascii="Times New Roman" w:hAnsi="Times New Roman" w:cs="Times New Roman"/>
        </w:rPr>
        <w:t>（5）加强环保知识宣传教育，提高职工环境意识，把环境意识贯彻到企业各车间班组及每个职工的日常生产、生活中；推广治理方面的先进技术。</w:t>
      </w:r>
    </w:p>
    <w:p>
      <w:pPr>
        <w:spacing w:line="360" w:lineRule="auto"/>
        <w:ind w:firstLine="480" w:firstLineChars="200"/>
        <w:rPr>
          <w:rFonts w:ascii="Times New Roman" w:hAnsi="Times New Roman" w:cs="Times New Roman"/>
        </w:rPr>
      </w:pPr>
      <w:r>
        <w:rPr>
          <w:rFonts w:ascii="Times New Roman" w:hAnsi="Times New Roman" w:cs="Times New Roman"/>
        </w:rPr>
        <w:t>（6）制定并组织实施各项环境保护的规划和计划。</w:t>
      </w:r>
    </w:p>
    <w:bookmarkEnd w:id="754"/>
    <w:p>
      <w:pPr>
        <w:pStyle w:val="4"/>
        <w:rPr>
          <w:rFonts w:ascii="Times New Roman" w:hAnsi="Times New Roman" w:cs="Times New Roman"/>
        </w:rPr>
      </w:pPr>
      <w:bookmarkStart w:id="755" w:name="_Toc144236920"/>
      <w:bookmarkStart w:id="756" w:name="_Toc144277050"/>
      <w:bookmarkStart w:id="757" w:name="_Toc147848168"/>
      <w:r>
        <w:rPr>
          <w:rFonts w:ascii="Times New Roman" w:hAnsi="Times New Roman" w:cs="Times New Roman"/>
        </w:rPr>
        <w:t>12.1.4 信息公开</w:t>
      </w:r>
      <w:bookmarkEnd w:id="755"/>
      <w:bookmarkEnd w:id="756"/>
      <w:bookmarkEnd w:id="757"/>
    </w:p>
    <w:p>
      <w:pPr>
        <w:spacing w:line="360" w:lineRule="auto"/>
        <w:ind w:firstLine="480" w:firstLineChars="200"/>
        <w:rPr>
          <w:rFonts w:ascii="Times New Roman" w:hAnsi="Times New Roman" w:cs="Times New Roman"/>
        </w:rPr>
      </w:pPr>
      <w:bookmarkStart w:id="758" w:name="_Hlk101448781"/>
      <w:r>
        <w:rPr>
          <w:rFonts w:ascii="Times New Roman" w:hAnsi="Times New Roman" w:cs="Times New Roman"/>
        </w:rPr>
        <w:t>（1）公开信息内容</w:t>
      </w:r>
    </w:p>
    <w:p>
      <w:pPr>
        <w:spacing w:line="360" w:lineRule="auto"/>
        <w:ind w:firstLine="480" w:firstLineChars="200"/>
        <w:rPr>
          <w:rFonts w:ascii="Times New Roman" w:hAnsi="Times New Roman" w:cs="Times New Roman"/>
        </w:rPr>
      </w:pPr>
      <w:r>
        <w:rPr>
          <w:rFonts w:ascii="Times New Roman" w:hAnsi="Times New Roman" w:cs="Times New Roman"/>
        </w:rPr>
        <w:t>建设单位有义务向公众公开企业环境保护相关信息，公示内容包括：</w:t>
      </w:r>
    </w:p>
    <w:p>
      <w:pPr>
        <w:spacing w:line="360" w:lineRule="auto"/>
        <w:ind w:firstLine="480" w:firstLineChars="200"/>
        <w:rPr>
          <w:rFonts w:ascii="Times New Roman" w:hAnsi="Times New Roman" w:cs="Times New Roman"/>
        </w:rPr>
      </w:pPr>
      <w:r>
        <w:rPr>
          <w:rFonts w:ascii="Times New Roman" w:hAnsi="Times New Roman" w:cs="Times New Roman"/>
        </w:rPr>
        <w:t>企业基本信息：企业名称、主要建设内容，主要产品、装置规模等；</w:t>
      </w:r>
    </w:p>
    <w:p>
      <w:pPr>
        <w:spacing w:line="360" w:lineRule="auto"/>
        <w:ind w:firstLine="480" w:firstLineChars="200"/>
        <w:rPr>
          <w:rFonts w:ascii="Times New Roman" w:hAnsi="Times New Roman" w:cs="Times New Roman"/>
        </w:rPr>
      </w:pPr>
      <w:r>
        <w:rPr>
          <w:rFonts w:ascii="Times New Roman" w:hAnsi="Times New Roman" w:cs="Times New Roman"/>
        </w:rPr>
        <w:t>主要污染源及治理情况：主要污染源个数、排放的主要污染物种类、主要污染物排放情况、废水排污口位置及基本走向描述。</w:t>
      </w:r>
    </w:p>
    <w:p>
      <w:pPr>
        <w:spacing w:line="360" w:lineRule="auto"/>
        <w:ind w:firstLine="480" w:firstLineChars="200"/>
        <w:rPr>
          <w:rFonts w:ascii="Times New Roman" w:hAnsi="Times New Roman" w:cs="Times New Roman"/>
        </w:rPr>
      </w:pPr>
      <w:r>
        <w:rPr>
          <w:rFonts w:ascii="Times New Roman" w:hAnsi="Times New Roman" w:cs="Times New Roman"/>
        </w:rPr>
        <w:t>突发环境事件应急情况：应急等级及相应情况、应急措施、疏散路线说明、应急人员的联系方式；</w:t>
      </w:r>
    </w:p>
    <w:p>
      <w:pPr>
        <w:spacing w:line="360" w:lineRule="auto"/>
        <w:ind w:firstLine="480" w:firstLineChars="200"/>
        <w:rPr>
          <w:rFonts w:ascii="Times New Roman" w:hAnsi="Times New Roman" w:cs="Times New Roman"/>
        </w:rPr>
      </w:pPr>
      <w:r>
        <w:rPr>
          <w:rFonts w:ascii="Times New Roman" w:hAnsi="Times New Roman" w:cs="Times New Roman"/>
        </w:rPr>
        <w:t>环境监督举报：企业环境监督电话、当地环境违法举报电话。</w:t>
      </w:r>
    </w:p>
    <w:p>
      <w:pPr>
        <w:spacing w:line="360" w:lineRule="auto"/>
        <w:ind w:firstLine="480" w:firstLineChars="200"/>
        <w:rPr>
          <w:rFonts w:ascii="Times New Roman" w:hAnsi="Times New Roman" w:cs="Times New Roman"/>
        </w:rPr>
      </w:pPr>
      <w:r>
        <w:rPr>
          <w:rFonts w:ascii="Times New Roman" w:hAnsi="Times New Roman" w:cs="Times New Roman"/>
        </w:rPr>
        <w:t>（2）公开方式</w:t>
      </w:r>
    </w:p>
    <w:p>
      <w:pPr>
        <w:spacing w:line="360" w:lineRule="auto"/>
        <w:ind w:firstLine="480" w:firstLineChars="200"/>
        <w:rPr>
          <w:rFonts w:ascii="Times New Roman" w:hAnsi="Times New Roman" w:cs="Times New Roman"/>
        </w:rPr>
      </w:pPr>
      <w:r>
        <w:rPr>
          <w:rFonts w:ascii="Times New Roman" w:hAnsi="Times New Roman" w:cs="Times New Roman"/>
        </w:rPr>
        <w:t>根据企业实际情况，可采取网站公示及厂外设立公示牌方式公开信息。</w:t>
      </w:r>
    </w:p>
    <w:bookmarkEnd w:id="758"/>
    <w:p>
      <w:pPr>
        <w:pStyle w:val="4"/>
        <w:rPr>
          <w:rFonts w:ascii="Times New Roman" w:hAnsi="Times New Roman" w:cs="Times New Roman"/>
        </w:rPr>
      </w:pPr>
      <w:bookmarkStart w:id="759" w:name="_Toc147848169"/>
      <w:bookmarkStart w:id="760" w:name="_Toc144236921"/>
      <w:bookmarkStart w:id="761" w:name="_Toc144277051"/>
      <w:r>
        <w:rPr>
          <w:rFonts w:ascii="Times New Roman" w:hAnsi="Times New Roman" w:cs="Times New Roman"/>
        </w:rPr>
        <w:t>12.1.5 排污口规范化</w:t>
      </w:r>
      <w:bookmarkEnd w:id="759"/>
      <w:bookmarkEnd w:id="760"/>
      <w:bookmarkEnd w:id="761"/>
    </w:p>
    <w:p>
      <w:pPr>
        <w:pStyle w:val="5"/>
        <w:ind w:firstLine="482"/>
        <w:rPr>
          <w:rFonts w:ascii="Times New Roman" w:hAnsi="Times New Roman" w:cs="Times New Roman" w:eastAsiaTheme="minorEastAsia"/>
        </w:rPr>
      </w:pPr>
      <w:r>
        <w:rPr>
          <w:rFonts w:ascii="Times New Roman" w:hAnsi="Times New Roman" w:cs="Times New Roman" w:eastAsiaTheme="minorEastAsia"/>
        </w:rPr>
        <w:t>12.1.5.1 图形标志</w:t>
      </w:r>
    </w:p>
    <w:p>
      <w:pPr>
        <w:spacing w:line="360" w:lineRule="auto"/>
        <w:ind w:firstLine="480" w:firstLineChars="200"/>
        <w:rPr>
          <w:rFonts w:ascii="Times New Roman" w:hAnsi="Times New Roman" w:cs="Times New Roman"/>
        </w:rPr>
      </w:pPr>
      <w:bookmarkStart w:id="762" w:name="_Hlk101448861"/>
      <w:r>
        <w:rPr>
          <w:rFonts w:ascii="Times New Roman" w:hAnsi="Times New Roman" w:cs="Times New Roman"/>
        </w:rPr>
        <w:t>企业遵照国家对排污口规范的要求，“三废”及噪声排放点设置明显标志，标志的设置应执行《环境保护图形标志排放口》（GB15562.1－1995）、《环境保护图形标志固体废物贮存（处置）场》（GB15562.2-1995）中有关规定，见下图。</w:t>
      </w:r>
    </w:p>
    <w:tbl>
      <w:tblPr>
        <w:tblStyle w:val="3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910"/>
        <w:gridCol w:w="2099"/>
        <w:gridCol w:w="1929"/>
        <w:gridCol w:w="1620"/>
        <w:gridCol w:w="254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 w:type="pct"/>
            <w:vAlign w:val="center"/>
          </w:tcPr>
          <w:p>
            <w:pPr>
              <w:pStyle w:val="63"/>
              <w:rPr>
                <w:lang w:bidi="zh-CN"/>
              </w:rPr>
            </w:pPr>
            <w:r>
              <w:rPr>
                <w:lang w:bidi="zh-CN"/>
              </w:rPr>
              <w:t>序号</w:t>
            </w:r>
          </w:p>
        </w:tc>
        <w:tc>
          <w:tcPr>
            <w:tcW w:w="1153" w:type="pct"/>
            <w:vAlign w:val="center"/>
          </w:tcPr>
          <w:p>
            <w:pPr>
              <w:pStyle w:val="63"/>
              <w:rPr>
                <w:lang w:bidi="zh-CN"/>
              </w:rPr>
            </w:pPr>
            <w:r>
              <w:rPr>
                <w:lang w:bidi="zh-CN"/>
              </w:rPr>
              <w:t>提示图形符号</w:t>
            </w:r>
          </w:p>
        </w:tc>
        <w:tc>
          <w:tcPr>
            <w:tcW w:w="1060" w:type="pct"/>
            <w:vAlign w:val="center"/>
          </w:tcPr>
          <w:p>
            <w:pPr>
              <w:pStyle w:val="63"/>
              <w:rPr>
                <w:lang w:bidi="zh-CN"/>
              </w:rPr>
            </w:pPr>
            <w:r>
              <w:rPr>
                <w:lang w:bidi="zh-CN"/>
              </w:rPr>
              <w:t>警告图形符号</w:t>
            </w:r>
          </w:p>
        </w:tc>
        <w:tc>
          <w:tcPr>
            <w:tcW w:w="890" w:type="pct"/>
            <w:vAlign w:val="center"/>
          </w:tcPr>
          <w:p>
            <w:pPr>
              <w:pStyle w:val="63"/>
              <w:rPr>
                <w:lang w:bidi="zh-CN"/>
              </w:rPr>
            </w:pPr>
            <w:r>
              <w:rPr>
                <w:lang w:bidi="zh-CN"/>
              </w:rPr>
              <w:t>名称</w:t>
            </w:r>
          </w:p>
        </w:tc>
        <w:tc>
          <w:tcPr>
            <w:tcW w:w="1397" w:type="pct"/>
            <w:vAlign w:val="center"/>
          </w:tcPr>
          <w:p>
            <w:pPr>
              <w:pStyle w:val="63"/>
              <w:rPr>
                <w:lang w:bidi="zh-CN"/>
              </w:rPr>
            </w:pPr>
            <w:r>
              <w:rPr>
                <w:lang w:bidi="zh-CN"/>
              </w:rPr>
              <w:t>功能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 w:type="pct"/>
            <w:vAlign w:val="center"/>
          </w:tcPr>
          <w:p>
            <w:pPr>
              <w:pStyle w:val="63"/>
              <w:rPr>
                <w:lang w:bidi="zh-CN"/>
              </w:rPr>
            </w:pPr>
            <w:r>
              <w:rPr>
                <w:lang w:bidi="zh-CN"/>
              </w:rPr>
              <w:t>1</w:t>
            </w:r>
          </w:p>
        </w:tc>
        <w:tc>
          <w:tcPr>
            <w:tcW w:w="1153" w:type="pct"/>
            <w:vAlign w:val="center"/>
          </w:tcPr>
          <w:p>
            <w:pPr>
              <w:pStyle w:val="63"/>
              <w:rPr>
                <w:lang w:bidi="zh-CN"/>
              </w:rPr>
            </w:pPr>
            <w:r>
              <w:drawing>
                <wp:inline distT="0" distB="0" distL="0" distR="0">
                  <wp:extent cx="876300" cy="86106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a:xfrm>
                            <a:off x="0" y="0"/>
                            <a:ext cx="876300" cy="861060"/>
                          </a:xfrm>
                          <a:prstGeom prst="rect">
                            <a:avLst/>
                          </a:prstGeom>
                          <a:noFill/>
                          <a:ln>
                            <a:noFill/>
                          </a:ln>
                        </pic:spPr>
                      </pic:pic>
                    </a:graphicData>
                  </a:graphic>
                </wp:inline>
              </w:drawing>
            </w:r>
          </w:p>
        </w:tc>
        <w:tc>
          <w:tcPr>
            <w:tcW w:w="1060" w:type="pct"/>
            <w:vAlign w:val="center"/>
          </w:tcPr>
          <w:p>
            <w:pPr>
              <w:pStyle w:val="63"/>
              <w:rPr>
                <w:lang w:bidi="zh-CN"/>
              </w:rPr>
            </w:pPr>
            <w:r>
              <w:drawing>
                <wp:inline distT="0" distB="0" distL="0" distR="0">
                  <wp:extent cx="876300" cy="76962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0" y="0"/>
                            <a:ext cx="876300" cy="769620"/>
                          </a:xfrm>
                          <a:prstGeom prst="rect">
                            <a:avLst/>
                          </a:prstGeom>
                          <a:noFill/>
                          <a:ln>
                            <a:noFill/>
                          </a:ln>
                        </pic:spPr>
                      </pic:pic>
                    </a:graphicData>
                  </a:graphic>
                </wp:inline>
              </w:drawing>
            </w:r>
          </w:p>
        </w:tc>
        <w:tc>
          <w:tcPr>
            <w:tcW w:w="890" w:type="pct"/>
            <w:vAlign w:val="center"/>
          </w:tcPr>
          <w:p>
            <w:pPr>
              <w:pStyle w:val="63"/>
              <w:rPr>
                <w:lang w:bidi="zh-CN"/>
              </w:rPr>
            </w:pPr>
            <w:r>
              <w:rPr>
                <w:lang w:bidi="zh-CN"/>
              </w:rPr>
              <w:t>废水排放口</w:t>
            </w:r>
          </w:p>
        </w:tc>
        <w:tc>
          <w:tcPr>
            <w:tcW w:w="1397" w:type="pct"/>
            <w:vAlign w:val="center"/>
          </w:tcPr>
          <w:p>
            <w:pPr>
              <w:pStyle w:val="63"/>
              <w:rPr>
                <w:lang w:bidi="zh-CN"/>
              </w:rPr>
            </w:pPr>
            <w:r>
              <w:rPr>
                <w:lang w:bidi="zh-CN"/>
              </w:rPr>
              <w:t>表示污水向水体排放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 w:type="pct"/>
            <w:vAlign w:val="center"/>
          </w:tcPr>
          <w:p>
            <w:pPr>
              <w:pStyle w:val="63"/>
              <w:rPr>
                <w:lang w:bidi="zh-CN"/>
              </w:rPr>
            </w:pPr>
            <w:r>
              <w:rPr>
                <w:lang w:bidi="zh-CN"/>
              </w:rPr>
              <w:t>2</w:t>
            </w:r>
          </w:p>
        </w:tc>
        <w:tc>
          <w:tcPr>
            <w:tcW w:w="1153" w:type="pct"/>
            <w:vAlign w:val="center"/>
          </w:tcPr>
          <w:p>
            <w:pPr>
              <w:pStyle w:val="63"/>
            </w:pPr>
            <w:r>
              <w:drawing>
                <wp:inline distT="0" distB="0" distL="0" distR="0">
                  <wp:extent cx="853440" cy="853440"/>
                  <wp:effectExtent l="0" t="0" r="3810" b="381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a:xfrm>
                            <a:off x="0" y="0"/>
                            <a:ext cx="853440" cy="853440"/>
                          </a:xfrm>
                          <a:prstGeom prst="rect">
                            <a:avLst/>
                          </a:prstGeom>
                          <a:noFill/>
                          <a:ln>
                            <a:noFill/>
                          </a:ln>
                        </pic:spPr>
                      </pic:pic>
                    </a:graphicData>
                  </a:graphic>
                </wp:inline>
              </w:drawing>
            </w:r>
          </w:p>
        </w:tc>
        <w:tc>
          <w:tcPr>
            <w:tcW w:w="1060" w:type="pct"/>
            <w:vAlign w:val="center"/>
          </w:tcPr>
          <w:p>
            <w:pPr>
              <w:pStyle w:val="63"/>
            </w:pPr>
            <w:r>
              <w:drawing>
                <wp:inline distT="0" distB="0" distL="0" distR="0">
                  <wp:extent cx="891540" cy="769620"/>
                  <wp:effectExtent l="0" t="0" r="381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a:xfrm>
                            <a:off x="0" y="0"/>
                            <a:ext cx="891540" cy="769620"/>
                          </a:xfrm>
                          <a:prstGeom prst="rect">
                            <a:avLst/>
                          </a:prstGeom>
                          <a:noFill/>
                          <a:ln>
                            <a:noFill/>
                          </a:ln>
                        </pic:spPr>
                      </pic:pic>
                    </a:graphicData>
                  </a:graphic>
                </wp:inline>
              </w:drawing>
            </w:r>
          </w:p>
        </w:tc>
        <w:tc>
          <w:tcPr>
            <w:tcW w:w="890" w:type="pct"/>
            <w:vAlign w:val="center"/>
          </w:tcPr>
          <w:p>
            <w:pPr>
              <w:pStyle w:val="63"/>
              <w:rPr>
                <w:lang w:bidi="zh-CN"/>
              </w:rPr>
            </w:pPr>
            <w:r>
              <w:rPr>
                <w:lang w:bidi="zh-CN"/>
              </w:rPr>
              <w:t>废气排放口</w:t>
            </w:r>
          </w:p>
        </w:tc>
        <w:tc>
          <w:tcPr>
            <w:tcW w:w="1397" w:type="pct"/>
            <w:vAlign w:val="center"/>
          </w:tcPr>
          <w:p>
            <w:pPr>
              <w:pStyle w:val="63"/>
              <w:rPr>
                <w:lang w:bidi="zh-CN"/>
              </w:rPr>
            </w:pPr>
            <w:r>
              <w:rPr>
                <w:lang w:bidi="zh-CN"/>
              </w:rPr>
              <w:t>表示废气向大气环境排放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 w:type="pct"/>
            <w:vAlign w:val="center"/>
          </w:tcPr>
          <w:p>
            <w:pPr>
              <w:pStyle w:val="63"/>
              <w:rPr>
                <w:lang w:bidi="zh-CN"/>
              </w:rPr>
            </w:pPr>
            <w:r>
              <w:rPr>
                <w:lang w:bidi="zh-CN"/>
              </w:rPr>
              <w:t>2</w:t>
            </w:r>
          </w:p>
        </w:tc>
        <w:tc>
          <w:tcPr>
            <w:tcW w:w="1153" w:type="pct"/>
            <w:vAlign w:val="center"/>
          </w:tcPr>
          <w:p>
            <w:pPr>
              <w:pStyle w:val="63"/>
              <w:rPr>
                <w:lang w:bidi="zh-CN"/>
              </w:rPr>
            </w:pPr>
            <w:r>
              <w:drawing>
                <wp:inline distT="0" distB="0" distL="0" distR="0">
                  <wp:extent cx="876300" cy="853440"/>
                  <wp:effectExtent l="0" t="0" r="0" b="381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a:xfrm>
                            <a:off x="0" y="0"/>
                            <a:ext cx="876300" cy="853440"/>
                          </a:xfrm>
                          <a:prstGeom prst="rect">
                            <a:avLst/>
                          </a:prstGeom>
                          <a:noFill/>
                          <a:ln>
                            <a:noFill/>
                          </a:ln>
                        </pic:spPr>
                      </pic:pic>
                    </a:graphicData>
                  </a:graphic>
                </wp:inline>
              </w:drawing>
            </w:r>
          </w:p>
        </w:tc>
        <w:tc>
          <w:tcPr>
            <w:tcW w:w="1060" w:type="pct"/>
            <w:vAlign w:val="center"/>
          </w:tcPr>
          <w:p>
            <w:pPr>
              <w:pStyle w:val="63"/>
              <w:rPr>
                <w:lang w:bidi="zh-CN"/>
              </w:rPr>
            </w:pPr>
            <w:r>
              <w:drawing>
                <wp:inline distT="0" distB="0" distL="0" distR="0">
                  <wp:extent cx="861060" cy="76962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861060" cy="769620"/>
                          </a:xfrm>
                          <a:prstGeom prst="rect">
                            <a:avLst/>
                          </a:prstGeom>
                          <a:noFill/>
                          <a:ln>
                            <a:noFill/>
                          </a:ln>
                        </pic:spPr>
                      </pic:pic>
                    </a:graphicData>
                  </a:graphic>
                </wp:inline>
              </w:drawing>
            </w:r>
          </w:p>
        </w:tc>
        <w:tc>
          <w:tcPr>
            <w:tcW w:w="890" w:type="pct"/>
            <w:vAlign w:val="center"/>
          </w:tcPr>
          <w:p>
            <w:pPr>
              <w:pStyle w:val="63"/>
              <w:rPr>
                <w:lang w:bidi="zh-CN"/>
              </w:rPr>
            </w:pPr>
            <w:r>
              <w:rPr>
                <w:lang w:bidi="zh-CN"/>
              </w:rPr>
              <w:t>噪声排放口</w:t>
            </w:r>
          </w:p>
        </w:tc>
        <w:tc>
          <w:tcPr>
            <w:tcW w:w="1397" w:type="pct"/>
            <w:vAlign w:val="center"/>
          </w:tcPr>
          <w:p>
            <w:pPr>
              <w:pStyle w:val="63"/>
              <w:rPr>
                <w:lang w:bidi="zh-CN"/>
              </w:rPr>
            </w:pPr>
            <w:r>
              <w:rPr>
                <w:lang w:bidi="zh-CN"/>
              </w:rPr>
              <w:t>表示噪声向外环境排放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 w:type="pct"/>
            <w:vAlign w:val="center"/>
          </w:tcPr>
          <w:p>
            <w:pPr>
              <w:pStyle w:val="63"/>
              <w:rPr>
                <w:lang w:bidi="zh-CN"/>
              </w:rPr>
            </w:pPr>
            <w:r>
              <w:rPr>
                <w:lang w:bidi="zh-CN"/>
              </w:rPr>
              <w:t>3</w:t>
            </w:r>
          </w:p>
        </w:tc>
        <w:tc>
          <w:tcPr>
            <w:tcW w:w="1153" w:type="pct"/>
            <w:vAlign w:val="center"/>
          </w:tcPr>
          <w:p>
            <w:pPr>
              <w:pStyle w:val="63"/>
              <w:rPr>
                <w:lang w:bidi="zh-CN"/>
              </w:rPr>
            </w:pPr>
            <w:r>
              <w:drawing>
                <wp:inline distT="0" distB="0" distL="0" distR="0">
                  <wp:extent cx="830580" cy="853440"/>
                  <wp:effectExtent l="0" t="0" r="7620" b="38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830580" cy="853440"/>
                          </a:xfrm>
                          <a:prstGeom prst="rect">
                            <a:avLst/>
                          </a:prstGeom>
                          <a:noFill/>
                          <a:ln>
                            <a:noFill/>
                          </a:ln>
                        </pic:spPr>
                      </pic:pic>
                    </a:graphicData>
                  </a:graphic>
                </wp:inline>
              </w:drawing>
            </w:r>
          </w:p>
        </w:tc>
        <w:tc>
          <w:tcPr>
            <w:tcW w:w="1060" w:type="pct"/>
            <w:vAlign w:val="center"/>
          </w:tcPr>
          <w:p>
            <w:pPr>
              <w:pStyle w:val="63"/>
              <w:rPr>
                <w:lang w:bidi="zh-CN"/>
              </w:rPr>
            </w:pPr>
            <w:r>
              <w:drawing>
                <wp:inline distT="0" distB="0" distL="0" distR="0">
                  <wp:extent cx="914400" cy="76962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0" y="0"/>
                            <a:ext cx="914400" cy="769620"/>
                          </a:xfrm>
                          <a:prstGeom prst="rect">
                            <a:avLst/>
                          </a:prstGeom>
                          <a:noFill/>
                          <a:ln>
                            <a:noFill/>
                          </a:ln>
                        </pic:spPr>
                      </pic:pic>
                    </a:graphicData>
                  </a:graphic>
                </wp:inline>
              </w:drawing>
            </w:r>
          </w:p>
        </w:tc>
        <w:tc>
          <w:tcPr>
            <w:tcW w:w="890" w:type="pct"/>
            <w:vAlign w:val="center"/>
          </w:tcPr>
          <w:p>
            <w:pPr>
              <w:pStyle w:val="63"/>
              <w:rPr>
                <w:lang w:bidi="zh-CN"/>
              </w:rPr>
            </w:pPr>
            <w:r>
              <w:rPr>
                <w:lang w:bidi="zh-CN"/>
              </w:rPr>
              <w:t>一般固体废物</w:t>
            </w:r>
          </w:p>
        </w:tc>
        <w:tc>
          <w:tcPr>
            <w:tcW w:w="1397" w:type="pct"/>
            <w:vAlign w:val="center"/>
          </w:tcPr>
          <w:p>
            <w:pPr>
              <w:pStyle w:val="63"/>
              <w:rPr>
                <w:lang w:bidi="zh-CN"/>
              </w:rPr>
            </w:pPr>
            <w:r>
              <w:rPr>
                <w:lang w:bidi="zh-CN"/>
              </w:rPr>
              <w:t>表示一般固体废物贮存、处置场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00" w:type="pct"/>
            <w:vAlign w:val="center"/>
          </w:tcPr>
          <w:p>
            <w:pPr>
              <w:pStyle w:val="63"/>
              <w:rPr>
                <w:lang w:bidi="zh-CN"/>
              </w:rPr>
            </w:pPr>
            <w:r>
              <w:rPr>
                <w:lang w:bidi="zh-CN"/>
              </w:rPr>
              <w:t>4</w:t>
            </w:r>
          </w:p>
        </w:tc>
        <w:tc>
          <w:tcPr>
            <w:tcW w:w="1153" w:type="pct"/>
            <w:vAlign w:val="center"/>
          </w:tcPr>
          <w:p>
            <w:pPr>
              <w:pStyle w:val="63"/>
            </w:pPr>
          </w:p>
        </w:tc>
        <w:tc>
          <w:tcPr>
            <w:tcW w:w="1060" w:type="pct"/>
            <w:vAlign w:val="center"/>
          </w:tcPr>
          <w:p>
            <w:pPr>
              <w:pStyle w:val="63"/>
              <w:rPr>
                <w:lang w:bidi="zh-CN"/>
              </w:rPr>
            </w:pPr>
            <w:r>
              <w:drawing>
                <wp:inline distT="0" distB="0" distL="0" distR="0">
                  <wp:extent cx="990600" cy="95250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990600" cy="952500"/>
                          </a:xfrm>
                          <a:prstGeom prst="rect">
                            <a:avLst/>
                          </a:prstGeom>
                          <a:noFill/>
                          <a:ln>
                            <a:noFill/>
                          </a:ln>
                        </pic:spPr>
                      </pic:pic>
                    </a:graphicData>
                  </a:graphic>
                </wp:inline>
              </w:drawing>
            </w:r>
          </w:p>
        </w:tc>
        <w:tc>
          <w:tcPr>
            <w:tcW w:w="890" w:type="pct"/>
            <w:vAlign w:val="center"/>
          </w:tcPr>
          <w:p>
            <w:pPr>
              <w:pStyle w:val="63"/>
              <w:rPr>
                <w:lang w:bidi="zh-CN"/>
              </w:rPr>
            </w:pPr>
            <w:r>
              <w:rPr>
                <w:lang w:bidi="zh-CN"/>
              </w:rPr>
              <w:t>危险废物</w:t>
            </w:r>
          </w:p>
        </w:tc>
        <w:tc>
          <w:tcPr>
            <w:tcW w:w="1397" w:type="pct"/>
            <w:vAlign w:val="center"/>
          </w:tcPr>
          <w:p>
            <w:pPr>
              <w:pStyle w:val="63"/>
              <w:rPr>
                <w:lang w:bidi="zh-CN"/>
              </w:rPr>
            </w:pPr>
            <w:r>
              <w:rPr>
                <w:lang w:bidi="zh-CN"/>
              </w:rPr>
              <w:t>危险废物贮存、处置场</w:t>
            </w:r>
          </w:p>
        </w:tc>
      </w:tr>
      <w:bookmarkEnd w:id="762"/>
    </w:tbl>
    <w:p>
      <w:pPr>
        <w:pStyle w:val="5"/>
        <w:ind w:firstLine="482"/>
        <w:rPr>
          <w:rFonts w:ascii="Times New Roman" w:hAnsi="Times New Roman" w:cs="Times New Roman" w:eastAsiaTheme="minorEastAsia"/>
        </w:rPr>
      </w:pPr>
      <w:r>
        <w:rPr>
          <w:rFonts w:ascii="Times New Roman" w:hAnsi="Times New Roman" w:cs="Times New Roman" w:eastAsiaTheme="minorEastAsia"/>
        </w:rPr>
        <w:t>12.1.5.2 排污口管理</w:t>
      </w:r>
    </w:p>
    <w:p>
      <w:pPr>
        <w:spacing w:line="360" w:lineRule="auto"/>
        <w:ind w:firstLine="480" w:firstLineChars="200"/>
        <w:rPr>
          <w:rFonts w:ascii="Times New Roman" w:hAnsi="Times New Roman" w:cs="Times New Roman"/>
        </w:rPr>
      </w:pPr>
      <w:bookmarkStart w:id="763" w:name="_Hlk101448894"/>
      <w:r>
        <w:rPr>
          <w:rFonts w:ascii="Times New Roman" w:hAnsi="Times New Roman" w:cs="Times New Roman"/>
        </w:rPr>
        <w:t>排污口是企业污染物进入环境，污染环境的通道，强化排污口的管理是实施污染物总量控制的基础工作之一，也是区域环境管理逐步实现污染物排放科学化、定量化的重要手段。</w:t>
      </w:r>
    </w:p>
    <w:p>
      <w:pPr>
        <w:spacing w:line="360" w:lineRule="auto"/>
        <w:ind w:firstLine="480" w:firstLineChars="200"/>
        <w:rPr>
          <w:rFonts w:ascii="Times New Roman" w:hAnsi="Times New Roman" w:cs="Times New Roman"/>
        </w:rPr>
      </w:pPr>
      <w:r>
        <w:rPr>
          <w:rFonts w:ascii="Times New Roman" w:hAnsi="Times New Roman" w:cs="Times New Roman"/>
        </w:rPr>
        <w:t>具体管理原则如下：</w:t>
      </w:r>
    </w:p>
    <w:p>
      <w:pPr>
        <w:spacing w:line="360" w:lineRule="auto"/>
        <w:ind w:firstLine="480" w:firstLineChars="200"/>
        <w:rPr>
          <w:rFonts w:ascii="Times New Roman" w:hAnsi="Times New Roman" w:cs="Times New Roman"/>
        </w:rPr>
      </w:pPr>
      <w:r>
        <w:rPr>
          <w:rFonts w:ascii="Times New Roman" w:hAnsi="Times New Roman" w:cs="Times New Roman"/>
        </w:rPr>
        <w:t>（1）向环境排放的污染物的排放口必须规范化。</w:t>
      </w:r>
    </w:p>
    <w:p>
      <w:pPr>
        <w:spacing w:line="360" w:lineRule="auto"/>
        <w:ind w:firstLine="480" w:firstLineChars="200"/>
        <w:rPr>
          <w:rFonts w:ascii="Times New Roman" w:hAnsi="Times New Roman" w:cs="Times New Roman"/>
        </w:rPr>
      </w:pPr>
      <w:r>
        <w:rPr>
          <w:rFonts w:ascii="Times New Roman" w:hAnsi="Times New Roman" w:cs="Times New Roman"/>
        </w:rPr>
        <w:t>（2）列入总量控制的污染物、排污口列为管理的重点。</w:t>
      </w:r>
    </w:p>
    <w:p>
      <w:pPr>
        <w:spacing w:line="360" w:lineRule="auto"/>
        <w:ind w:firstLine="480" w:firstLineChars="200"/>
        <w:rPr>
          <w:rFonts w:ascii="Times New Roman" w:hAnsi="Times New Roman" w:cs="Times New Roman"/>
        </w:rPr>
      </w:pPr>
      <w:r>
        <w:rPr>
          <w:rFonts w:ascii="Times New Roman" w:hAnsi="Times New Roman" w:cs="Times New Roman"/>
        </w:rPr>
        <w:t>（3）排污口应便于采样与计量监测，便于日常现场监督检查。</w:t>
      </w:r>
    </w:p>
    <w:p>
      <w:pPr>
        <w:spacing w:line="360" w:lineRule="auto"/>
        <w:ind w:firstLine="480" w:firstLineChars="200"/>
        <w:rPr>
          <w:rFonts w:ascii="Times New Roman" w:hAnsi="Times New Roman" w:cs="Times New Roman"/>
        </w:rPr>
      </w:pPr>
      <w:r>
        <w:rPr>
          <w:rFonts w:ascii="Times New Roman" w:hAnsi="Times New Roman" w:cs="Times New Roman"/>
        </w:rPr>
        <w:t>（4）如实向环保管理部门申报排污口数量、位置及所排放的主要污染物种类、数量、浓度、排放去向等情况。</w:t>
      </w:r>
    </w:p>
    <w:p>
      <w:pPr>
        <w:spacing w:line="360" w:lineRule="auto"/>
        <w:ind w:firstLine="480" w:firstLineChars="200"/>
        <w:rPr>
          <w:rFonts w:ascii="Times New Roman" w:hAnsi="Times New Roman" w:cs="Times New Roman"/>
        </w:rPr>
      </w:pPr>
      <w:r>
        <w:rPr>
          <w:rFonts w:ascii="Times New Roman" w:hAnsi="Times New Roman" w:cs="Times New Roman"/>
        </w:rPr>
        <w:t>（5）工程固废堆存时，专用堆放场应设有防扬散、防流失、防渗漏措施。</w:t>
      </w:r>
    </w:p>
    <w:bookmarkEnd w:id="763"/>
    <w:p>
      <w:pPr>
        <w:pStyle w:val="5"/>
        <w:ind w:firstLine="482"/>
        <w:rPr>
          <w:rFonts w:ascii="Times New Roman" w:hAnsi="Times New Roman" w:cs="Times New Roman" w:eastAsiaTheme="minorEastAsia"/>
        </w:rPr>
      </w:pPr>
      <w:r>
        <w:rPr>
          <w:rFonts w:ascii="Times New Roman" w:hAnsi="Times New Roman" w:cs="Times New Roman" w:eastAsiaTheme="minorEastAsia"/>
        </w:rPr>
        <w:t>12.1.5.3 排污口立标管理</w:t>
      </w:r>
    </w:p>
    <w:p>
      <w:pPr>
        <w:spacing w:line="360" w:lineRule="auto"/>
        <w:ind w:firstLine="480" w:firstLineChars="200"/>
        <w:rPr>
          <w:rFonts w:ascii="Times New Roman" w:hAnsi="Times New Roman" w:cs="Times New Roman"/>
        </w:rPr>
      </w:pPr>
      <w:bookmarkStart w:id="764" w:name="_Hlk101448913"/>
      <w:r>
        <w:rPr>
          <w:rFonts w:ascii="Times New Roman" w:hAnsi="Times New Roman" w:cs="Times New Roman"/>
        </w:rPr>
        <w:t>对上述污染物排放口和固体废物堆场，应按照国家《环境保护图形标志》（GB15562.1-95）与（GB1556.2-95）规定，设置国家环保局统一制作的环境保护图形标志牌；</w:t>
      </w:r>
    </w:p>
    <w:p>
      <w:pPr>
        <w:spacing w:line="360" w:lineRule="auto"/>
        <w:ind w:firstLine="480" w:firstLineChars="200"/>
        <w:rPr>
          <w:rFonts w:ascii="Times New Roman" w:hAnsi="Times New Roman" w:cs="Times New Roman"/>
        </w:rPr>
      </w:pPr>
      <w:r>
        <w:rPr>
          <w:rFonts w:ascii="Times New Roman" w:hAnsi="Times New Roman" w:cs="Times New Roman"/>
        </w:rPr>
        <w:t>（1）污染物排放口的环保图形标志牌应设置在靠近采样点且醒目处，标志牌设置高度为其上边缘距离地面约2m；</w:t>
      </w:r>
    </w:p>
    <w:p>
      <w:pPr>
        <w:spacing w:line="360" w:lineRule="auto"/>
        <w:ind w:firstLine="480" w:firstLineChars="200"/>
        <w:rPr>
          <w:rFonts w:ascii="Times New Roman" w:hAnsi="Times New Roman" w:cs="Times New Roman"/>
        </w:rPr>
      </w:pPr>
      <w:r>
        <w:rPr>
          <w:rFonts w:ascii="Times New Roman" w:hAnsi="Times New Roman" w:cs="Times New Roman"/>
        </w:rPr>
        <w:t>（2）重点排污单位的污染物排放口以设置立式标志牌为主，一般排污单位的污染物排放口，可根据情况设置立式或平面固定式标志牌。</w:t>
      </w:r>
    </w:p>
    <w:p>
      <w:pPr>
        <w:spacing w:line="360" w:lineRule="auto"/>
        <w:ind w:firstLine="480" w:firstLineChars="200"/>
        <w:rPr>
          <w:rFonts w:ascii="Times New Roman" w:hAnsi="Times New Roman" w:cs="Times New Roman"/>
        </w:rPr>
      </w:pPr>
      <w:r>
        <w:rPr>
          <w:rFonts w:ascii="Times New Roman" w:hAnsi="Times New Roman" w:cs="Times New Roman"/>
        </w:rPr>
        <w:t>排污口建档管理</w:t>
      </w:r>
    </w:p>
    <w:p>
      <w:pPr>
        <w:spacing w:line="360" w:lineRule="auto"/>
        <w:ind w:firstLine="480" w:firstLineChars="200"/>
        <w:rPr>
          <w:rFonts w:ascii="Times New Roman" w:hAnsi="Times New Roman" w:cs="Times New Roman"/>
        </w:rPr>
      </w:pPr>
      <w:r>
        <w:rPr>
          <w:rFonts w:ascii="Times New Roman" w:hAnsi="Times New Roman" w:cs="Times New Roman"/>
        </w:rPr>
        <w:t>（1）本项目应使用国家环保局统一印制的《中华人民共和国规范化排污口标志登记证》，并按要求填写有关内容；</w:t>
      </w:r>
    </w:p>
    <w:p>
      <w:pPr>
        <w:spacing w:line="360" w:lineRule="auto"/>
        <w:ind w:firstLine="480" w:firstLineChars="200"/>
        <w:rPr>
          <w:rFonts w:ascii="Times New Roman" w:hAnsi="Times New Roman" w:cs="Times New Roman"/>
        </w:rPr>
      </w:pPr>
      <w:r>
        <w:rPr>
          <w:rFonts w:ascii="Times New Roman" w:hAnsi="Times New Roman" w:cs="Times New Roman"/>
        </w:rPr>
        <w:t>（2）根据排污口管理内容要求，项目建成投产后，应将主要污染物种类、数量、浓度、排放去向，立标情况及设施运行情况记录于档案。</w:t>
      </w:r>
    </w:p>
    <w:bookmarkEnd w:id="764"/>
    <w:p>
      <w:pPr>
        <w:pStyle w:val="4"/>
        <w:rPr>
          <w:rFonts w:ascii="Times New Roman" w:hAnsi="Times New Roman" w:cs="Times New Roman"/>
        </w:rPr>
      </w:pPr>
      <w:bookmarkStart w:id="765" w:name="_Toc147848170"/>
      <w:bookmarkStart w:id="766" w:name="_Toc144277052"/>
      <w:bookmarkStart w:id="767" w:name="_Toc144236922"/>
      <w:r>
        <w:rPr>
          <w:rFonts w:ascii="Times New Roman" w:hAnsi="Times New Roman" w:cs="Times New Roman"/>
        </w:rPr>
        <w:t>12.1.6 日常环境管理</w:t>
      </w:r>
      <w:bookmarkEnd w:id="765"/>
      <w:bookmarkEnd w:id="766"/>
      <w:bookmarkEnd w:id="767"/>
    </w:p>
    <w:p>
      <w:pPr>
        <w:spacing w:line="360" w:lineRule="auto"/>
        <w:ind w:firstLine="480" w:firstLineChars="200"/>
        <w:rPr>
          <w:rFonts w:ascii="Times New Roman" w:hAnsi="Times New Roman" w:cs="Times New Roman"/>
        </w:rPr>
      </w:pPr>
      <w:bookmarkStart w:id="768" w:name="_Hlk101448958"/>
      <w:r>
        <w:rPr>
          <w:rFonts w:ascii="Times New Roman" w:hAnsi="Times New Roman" w:cs="Times New Roman"/>
        </w:rPr>
        <w:t>企业应根据设置的环境管理机构及相关环境管理制度开展日常环境管理工作。</w:t>
      </w:r>
    </w:p>
    <w:p>
      <w:pPr>
        <w:spacing w:line="360" w:lineRule="auto"/>
        <w:ind w:firstLine="480" w:firstLineChars="200"/>
        <w:rPr>
          <w:rFonts w:ascii="Times New Roman" w:hAnsi="Times New Roman" w:cs="Times New Roman"/>
        </w:rPr>
      </w:pPr>
      <w:r>
        <w:rPr>
          <w:rFonts w:ascii="Times New Roman" w:hAnsi="Times New Roman" w:cs="Times New Roman"/>
        </w:rPr>
        <w:t>（1）经理总体负责企业的环境保护工作，领导各级部门执行国家的环境保护政策；负责上报和批准企业环境保护相关的规章制度；</w:t>
      </w:r>
    </w:p>
    <w:p>
      <w:pPr>
        <w:spacing w:line="360" w:lineRule="auto"/>
        <w:ind w:firstLine="480" w:firstLineChars="200"/>
        <w:rPr>
          <w:rFonts w:ascii="Times New Roman" w:hAnsi="Times New Roman" w:cs="Times New Roman"/>
        </w:rPr>
      </w:pPr>
      <w:r>
        <w:rPr>
          <w:rFonts w:ascii="Times New Roman" w:hAnsi="Times New Roman" w:cs="Times New Roman"/>
        </w:rPr>
        <w:t>（2）副经理（生产及环保）在企业内部推广和宣传环保方案，收集员工意见和合理化建议；监督环保方案的进度和实施情况；负责与地方环保部门保持联系，及时了解、传达有关环保信息。</w:t>
      </w:r>
    </w:p>
    <w:p>
      <w:pPr>
        <w:spacing w:line="360" w:lineRule="auto"/>
        <w:ind w:firstLine="480" w:firstLineChars="200"/>
        <w:rPr>
          <w:rFonts w:ascii="Times New Roman" w:hAnsi="Times New Roman" w:cs="Times New Roman"/>
        </w:rPr>
      </w:pPr>
      <w:r>
        <w:rPr>
          <w:rFonts w:ascii="Times New Roman" w:hAnsi="Times New Roman" w:cs="Times New Roman"/>
        </w:rPr>
        <w:t>（3）环保科：</w:t>
      </w:r>
    </w:p>
    <w:p>
      <w:pPr>
        <w:spacing w:line="360" w:lineRule="auto"/>
        <w:ind w:firstLine="480" w:firstLineChars="200"/>
        <w:rPr>
          <w:rFonts w:ascii="Times New Roman" w:hAnsi="Times New Roman" w:cs="Times New Roman"/>
        </w:rPr>
      </w:pPr>
      <w:r>
        <w:rPr>
          <w:rFonts w:hint="eastAsia" w:ascii="宋体" w:hAnsi="宋体" w:eastAsia="宋体" w:cs="宋体"/>
        </w:rPr>
        <w:t>①</w:t>
      </w:r>
      <w:r>
        <w:rPr>
          <w:rFonts w:ascii="Times New Roman" w:hAnsi="Times New Roman" w:cs="Times New Roman"/>
        </w:rPr>
        <w:t>全面贯彻落实环保政策，监督工程项目的各项环境保护工作；</w:t>
      </w:r>
    </w:p>
    <w:p>
      <w:pPr>
        <w:spacing w:line="360" w:lineRule="auto"/>
        <w:ind w:firstLine="480" w:firstLineChars="200"/>
        <w:rPr>
          <w:rFonts w:ascii="Times New Roman" w:hAnsi="Times New Roman" w:cs="Times New Roman"/>
        </w:rPr>
      </w:pPr>
      <w:r>
        <w:rPr>
          <w:rFonts w:hint="eastAsia" w:ascii="宋体" w:hAnsi="宋体" w:eastAsia="宋体" w:cs="宋体"/>
        </w:rPr>
        <w:t>②</w:t>
      </w:r>
      <w:r>
        <w:rPr>
          <w:rFonts w:ascii="Times New Roman" w:hAnsi="Times New Roman" w:cs="Times New Roman"/>
        </w:rPr>
        <w:t>制定本企业环境保护的近、远期发展规划和年度工作计划，制定并检查各项环境保护管理制度及其执行情况；</w:t>
      </w:r>
    </w:p>
    <w:p>
      <w:pPr>
        <w:spacing w:line="360" w:lineRule="auto"/>
        <w:ind w:firstLine="480" w:firstLineChars="200"/>
        <w:rPr>
          <w:rFonts w:ascii="Times New Roman" w:hAnsi="Times New Roman" w:cs="Times New Roman"/>
        </w:rPr>
      </w:pPr>
      <w:r>
        <w:rPr>
          <w:rFonts w:hint="eastAsia" w:ascii="宋体" w:hAnsi="宋体" w:eastAsia="宋体" w:cs="宋体"/>
        </w:rPr>
        <w:t>③</w:t>
      </w:r>
      <w:r>
        <w:rPr>
          <w:rFonts w:ascii="Times New Roman" w:hAnsi="Times New Roman" w:cs="Times New Roman"/>
        </w:rPr>
        <w:t>根据环保部门下达的环境保护目标、污染物总量控制指标，制定本企业的环境保护目标和实施措施，并在年度中予以落实；</w:t>
      </w:r>
    </w:p>
    <w:p>
      <w:pPr>
        <w:spacing w:line="360" w:lineRule="auto"/>
        <w:ind w:firstLine="480" w:firstLineChars="200"/>
        <w:rPr>
          <w:rFonts w:ascii="Times New Roman" w:hAnsi="Times New Roman" w:cs="Times New Roman"/>
        </w:rPr>
      </w:pPr>
      <w:r>
        <w:rPr>
          <w:rFonts w:hint="eastAsia" w:ascii="宋体" w:hAnsi="宋体" w:eastAsia="宋体" w:cs="宋体"/>
        </w:rPr>
        <w:t>④</w:t>
      </w:r>
      <w:r>
        <w:rPr>
          <w:rFonts w:ascii="Times New Roman" w:hAnsi="Times New Roman" w:cs="Times New Roman"/>
        </w:rPr>
        <w:t>负责建立企业内部环境保护责任制度和考核制度，协助企业完成围绕环境保护的各项考核指标；</w:t>
      </w:r>
    </w:p>
    <w:p>
      <w:pPr>
        <w:spacing w:line="360" w:lineRule="auto"/>
        <w:ind w:firstLine="480" w:firstLineChars="200"/>
        <w:rPr>
          <w:rFonts w:ascii="Times New Roman" w:hAnsi="Times New Roman" w:cs="Times New Roman"/>
        </w:rPr>
      </w:pPr>
      <w:r>
        <w:rPr>
          <w:rFonts w:hint="eastAsia" w:ascii="宋体" w:hAnsi="宋体" w:eastAsia="宋体" w:cs="宋体"/>
        </w:rPr>
        <w:t>⑤</w:t>
      </w:r>
      <w:r>
        <w:rPr>
          <w:rFonts w:ascii="Times New Roman" w:hAnsi="Times New Roman" w:cs="Times New Roman"/>
        </w:rPr>
        <w:t>做好环保设施管理工作，建立环保设施档案，保证环保设施按照设计要求运行，定期检查、定期上报，杜绝擅自拆除和闲置不用的现象发生；</w:t>
      </w:r>
    </w:p>
    <w:p>
      <w:pPr>
        <w:spacing w:line="360" w:lineRule="auto"/>
        <w:ind w:firstLine="480" w:firstLineChars="200"/>
        <w:rPr>
          <w:rFonts w:ascii="Times New Roman" w:hAnsi="Times New Roman" w:cs="Times New Roman"/>
        </w:rPr>
      </w:pPr>
      <w:r>
        <w:rPr>
          <w:rFonts w:hint="eastAsia" w:ascii="宋体" w:hAnsi="宋体" w:eastAsia="宋体" w:cs="宋体"/>
        </w:rPr>
        <w:t>⑥</w:t>
      </w:r>
      <w:r>
        <w:rPr>
          <w:rFonts w:ascii="Times New Roman" w:hAnsi="Times New Roman" w:cs="Times New Roman"/>
        </w:rPr>
        <w:t>负责企业环境保护的宣传教育工作，做好普及环境科学知识和环保法规的宣传，树立环保法制观念；</w:t>
      </w:r>
    </w:p>
    <w:p>
      <w:pPr>
        <w:spacing w:line="360" w:lineRule="auto"/>
        <w:ind w:firstLine="480" w:firstLineChars="200"/>
        <w:rPr>
          <w:rFonts w:ascii="Times New Roman" w:hAnsi="Times New Roman" w:cs="Times New Roman"/>
        </w:rPr>
      </w:pPr>
      <w:r>
        <w:rPr>
          <w:rFonts w:hint="eastAsia" w:ascii="宋体" w:hAnsi="宋体" w:eastAsia="宋体" w:cs="宋体"/>
        </w:rPr>
        <w:t>⑦</w:t>
      </w:r>
      <w:r>
        <w:rPr>
          <w:rFonts w:ascii="Times New Roman" w:hAnsi="Times New Roman" w:cs="Times New Roman"/>
        </w:rPr>
        <w:t>定期组织当地环境监测部门对污染物进行监测检查；</w:t>
      </w:r>
    </w:p>
    <w:p>
      <w:pPr>
        <w:spacing w:line="360" w:lineRule="auto"/>
        <w:ind w:firstLine="480" w:firstLineChars="200"/>
        <w:rPr>
          <w:rFonts w:ascii="Times New Roman" w:hAnsi="Times New Roman" w:cs="Times New Roman"/>
        </w:rPr>
      </w:pPr>
      <w:r>
        <w:rPr>
          <w:rFonts w:hint="eastAsia" w:ascii="宋体" w:hAnsi="宋体" w:eastAsia="宋体" w:cs="宋体"/>
        </w:rPr>
        <w:t>⑧</w:t>
      </w:r>
      <w:r>
        <w:rPr>
          <w:rFonts w:ascii="Times New Roman" w:hAnsi="Times New Roman" w:cs="Times New Roman"/>
        </w:rPr>
        <w:t>负责与地方各级环保部门的联系，按要求上报各项环保报表，并定时向上级主管部门汇报环保工作情况。</w:t>
      </w:r>
    </w:p>
    <w:bookmarkEnd w:id="768"/>
    <w:p>
      <w:pPr>
        <w:pStyle w:val="3"/>
        <w:rPr>
          <w:rFonts w:ascii="Times New Roman" w:hAnsi="Times New Roman" w:cs="Times New Roman" w:eastAsiaTheme="minorEastAsia"/>
        </w:rPr>
      </w:pPr>
      <w:bookmarkStart w:id="769" w:name="_Toc144236923"/>
      <w:bookmarkStart w:id="770" w:name="_Toc144277053"/>
      <w:bookmarkStart w:id="771" w:name="_Toc147848171"/>
      <w:bookmarkStart w:id="772" w:name="_Toc102658261"/>
      <w:r>
        <w:rPr>
          <w:rFonts w:ascii="Times New Roman" w:hAnsi="Times New Roman" w:cs="Times New Roman" w:eastAsiaTheme="minorEastAsia"/>
        </w:rPr>
        <w:t>12.2 环境监测</w:t>
      </w:r>
      <w:bookmarkEnd w:id="769"/>
      <w:bookmarkEnd w:id="770"/>
      <w:bookmarkEnd w:id="771"/>
      <w:bookmarkEnd w:id="772"/>
    </w:p>
    <w:p>
      <w:pPr>
        <w:spacing w:line="360" w:lineRule="auto"/>
        <w:ind w:firstLine="480" w:firstLineChars="200"/>
        <w:rPr>
          <w:rFonts w:ascii="Times New Roman" w:hAnsi="Times New Roman" w:cs="Times New Roman"/>
        </w:rPr>
      </w:pPr>
      <w:bookmarkStart w:id="773" w:name="_Hlk101449066"/>
      <w:r>
        <w:rPr>
          <w:rFonts w:ascii="Times New Roman" w:hAnsi="Times New Roman" w:cs="Times New Roman"/>
        </w:rPr>
        <w:t>环境监测工作是环境管理的基础。通过监测能及时、真实地反映企业排污状况及对环境的污染状况，有利于环保主管部门对辖区环保的协调统一。</w:t>
      </w:r>
    </w:p>
    <w:p>
      <w:pPr>
        <w:spacing w:line="360" w:lineRule="auto"/>
        <w:ind w:firstLine="480" w:firstLineChars="200"/>
        <w:rPr>
          <w:rFonts w:ascii="Times New Roman" w:hAnsi="Times New Roman" w:cs="Times New Roman"/>
        </w:rPr>
      </w:pPr>
      <w:r>
        <w:rPr>
          <w:rFonts w:ascii="Times New Roman" w:hAnsi="Times New Roman" w:cs="Times New Roman"/>
        </w:rPr>
        <w:t>工程运行后，工程建设方应对废水、废气、噪声进行日常监测。废水、废气、噪声监测可委托具备环境监测资质的监测机构代理；工程建设方还应对工程产生的固废进行日常统计，统计其产生量、贮存量和处置量。工程建设方应对监测、统计的数据进行数理统计、分析，建立监测、统计数据档案，从而了解工程污染治理设施运行情况，确保环保治理设施常年有效地工作，及时掌握工程污染治理动态，也便于上级环境保护主管部门掌握整个区域内的排污总量，为区域环境规划和经济发展规划提供基础依据。</w:t>
      </w:r>
    </w:p>
    <w:p>
      <w:pPr>
        <w:spacing w:line="360" w:lineRule="auto"/>
        <w:ind w:firstLine="480" w:firstLineChars="200"/>
        <w:rPr>
          <w:rFonts w:ascii="Times New Roman" w:hAnsi="Times New Roman" w:cs="Times New Roman"/>
        </w:rPr>
      </w:pPr>
      <w:r>
        <w:rPr>
          <w:rFonts w:ascii="Times New Roman" w:hAnsi="Times New Roman" w:cs="Times New Roman"/>
        </w:rPr>
        <w:t>本项目运营期监测计划参照《排污许可证申请与</w:t>
      </w:r>
      <w:r>
        <w:rPr>
          <w:rFonts w:hint="eastAsia" w:ascii="Times New Roman" w:hAnsi="Times New Roman" w:cs="Times New Roman"/>
        </w:rPr>
        <w:t>核发</w:t>
      </w:r>
      <w:r>
        <w:rPr>
          <w:rFonts w:ascii="Times New Roman" w:hAnsi="Times New Roman" w:cs="Times New Roman"/>
        </w:rPr>
        <w:t>技术规范  废弃资源加工工艺》（HJ1034-2019）中废电池加工进行布置，具体见下表。</w:t>
      </w:r>
    </w:p>
    <w:bookmarkEnd w:id="773"/>
    <w:p>
      <w:pPr>
        <w:spacing w:line="360" w:lineRule="auto"/>
        <w:ind w:firstLine="480" w:firstLineChars="200"/>
        <w:rPr>
          <w:rFonts w:ascii="Times New Roman" w:hAnsi="Times New Roman" w:cs="Times New Roman"/>
        </w:rPr>
      </w:pPr>
    </w:p>
    <w:p>
      <w:pPr>
        <w:spacing w:line="360" w:lineRule="auto"/>
        <w:ind w:firstLine="480" w:firstLineChars="200"/>
        <w:rPr>
          <w:rFonts w:ascii="Times New Roman" w:hAnsi="Times New Roman" w:cs="Times New Roman"/>
        </w:rPr>
        <w:sectPr>
          <w:pgSz w:w="11907" w:h="16840"/>
          <w:pgMar w:top="1418" w:right="1418" w:bottom="1418" w:left="1418" w:header="851" w:footer="992" w:gutter="0"/>
          <w:cols w:space="720" w:num="1"/>
          <w:docGrid w:linePitch="312" w:charSpace="0"/>
        </w:sectPr>
      </w:pPr>
    </w:p>
    <w:p>
      <w:pPr>
        <w:pStyle w:val="6"/>
        <w:rPr>
          <w:rFonts w:ascii="Times New Roman" w:hAnsi="Times New Roman" w:cs="Times New Roman"/>
        </w:rPr>
      </w:pPr>
      <w:r>
        <w:rPr>
          <w:rFonts w:ascii="Times New Roman" w:hAnsi="Times New Roman" w:cs="Times New Roman"/>
        </w:rPr>
        <w:t>表12.2-1  本项目工程环境监测计划</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33"/>
        <w:gridCol w:w="1118"/>
        <w:gridCol w:w="850"/>
        <w:gridCol w:w="1419"/>
        <w:gridCol w:w="4110"/>
        <w:gridCol w:w="1559"/>
        <w:gridCol w:w="1419"/>
        <w:gridCol w:w="291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93" w:type="pct"/>
            <w:vAlign w:val="center"/>
          </w:tcPr>
          <w:p>
            <w:pPr>
              <w:pStyle w:val="63"/>
            </w:pPr>
            <w:r>
              <w:t>污染物类别</w:t>
            </w:r>
          </w:p>
        </w:tc>
        <w:tc>
          <w:tcPr>
            <w:tcW w:w="692" w:type="pct"/>
            <w:gridSpan w:val="2"/>
            <w:vAlign w:val="center"/>
          </w:tcPr>
          <w:p>
            <w:pPr>
              <w:pStyle w:val="63"/>
            </w:pPr>
            <w:r>
              <w:t>污染源</w:t>
            </w:r>
          </w:p>
        </w:tc>
        <w:tc>
          <w:tcPr>
            <w:tcW w:w="499" w:type="pct"/>
            <w:vAlign w:val="center"/>
          </w:tcPr>
          <w:p>
            <w:pPr>
              <w:pStyle w:val="63"/>
            </w:pPr>
            <w:r>
              <w:t>监测点</w:t>
            </w:r>
          </w:p>
        </w:tc>
        <w:tc>
          <w:tcPr>
            <w:tcW w:w="1445" w:type="pct"/>
            <w:vAlign w:val="center"/>
          </w:tcPr>
          <w:p>
            <w:pPr>
              <w:pStyle w:val="63"/>
            </w:pPr>
            <w:r>
              <w:t>监测项目</w:t>
            </w:r>
          </w:p>
        </w:tc>
        <w:tc>
          <w:tcPr>
            <w:tcW w:w="548" w:type="pct"/>
            <w:vAlign w:val="center"/>
          </w:tcPr>
          <w:p>
            <w:pPr>
              <w:pStyle w:val="63"/>
            </w:pPr>
            <w:r>
              <w:t>建议监测方式</w:t>
            </w:r>
          </w:p>
        </w:tc>
        <w:tc>
          <w:tcPr>
            <w:tcW w:w="499" w:type="pct"/>
            <w:vAlign w:val="center"/>
          </w:tcPr>
          <w:p>
            <w:pPr>
              <w:pStyle w:val="63"/>
            </w:pPr>
            <w:r>
              <w:t>建议监测频率</w:t>
            </w:r>
          </w:p>
        </w:tc>
        <w:tc>
          <w:tcPr>
            <w:tcW w:w="1024" w:type="pct"/>
            <w:vAlign w:val="center"/>
          </w:tcPr>
          <w:p>
            <w:pPr>
              <w:pStyle w:val="63"/>
            </w:pPr>
            <w: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293" w:type="pct"/>
            <w:vMerge w:val="restart"/>
            <w:vAlign w:val="center"/>
          </w:tcPr>
          <w:p>
            <w:pPr>
              <w:pStyle w:val="63"/>
            </w:pPr>
            <w:r>
              <w:t>废气</w:t>
            </w:r>
          </w:p>
        </w:tc>
        <w:tc>
          <w:tcPr>
            <w:tcW w:w="692" w:type="pct"/>
            <w:gridSpan w:val="2"/>
            <w:vMerge w:val="restart"/>
            <w:vAlign w:val="center"/>
          </w:tcPr>
          <w:p>
            <w:pPr>
              <w:pStyle w:val="63"/>
            </w:pPr>
            <w:r>
              <w:t>热解（预处理）</w:t>
            </w:r>
          </w:p>
        </w:tc>
        <w:tc>
          <w:tcPr>
            <w:tcW w:w="499" w:type="pct"/>
            <w:vMerge w:val="restart"/>
            <w:vAlign w:val="center"/>
          </w:tcPr>
          <w:p>
            <w:pPr>
              <w:pStyle w:val="63"/>
            </w:pPr>
            <w:r>
              <w:t>30m排气筒</w:t>
            </w:r>
          </w:p>
        </w:tc>
        <w:tc>
          <w:tcPr>
            <w:tcW w:w="1445" w:type="pct"/>
            <w:vAlign w:val="center"/>
          </w:tcPr>
          <w:p>
            <w:pPr>
              <w:pStyle w:val="63"/>
            </w:pPr>
            <w:r>
              <w:t>颗粒物、二氧化硫、NOx、氟化物、非甲烷总烃</w:t>
            </w:r>
          </w:p>
        </w:tc>
        <w:tc>
          <w:tcPr>
            <w:tcW w:w="548" w:type="pct"/>
            <w:vAlign w:val="center"/>
          </w:tcPr>
          <w:p>
            <w:pPr>
              <w:pStyle w:val="63"/>
            </w:pPr>
            <w:r>
              <w:t>委托监测</w:t>
            </w:r>
          </w:p>
        </w:tc>
        <w:tc>
          <w:tcPr>
            <w:tcW w:w="499" w:type="pct"/>
            <w:vAlign w:val="center"/>
          </w:tcPr>
          <w:p>
            <w:pPr>
              <w:pStyle w:val="63"/>
            </w:pPr>
            <w:r>
              <w:t>1次/季度</w:t>
            </w:r>
          </w:p>
        </w:tc>
        <w:tc>
          <w:tcPr>
            <w:tcW w:w="1024" w:type="pct"/>
            <w:vMerge w:val="restart"/>
            <w:vAlign w:val="center"/>
          </w:tcPr>
          <w:p>
            <w:pPr>
              <w:pStyle w:val="63"/>
            </w:pPr>
            <w:r>
              <w:t xml:space="preserve">《大气污染物综合排放标准》（GB16297-1996）表2中二级标准；硫化氢执行《恶臭污染物综合排放标准》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 w:type="pct"/>
            <w:vMerge w:val="continue"/>
            <w:vAlign w:val="center"/>
          </w:tcPr>
          <w:p>
            <w:pPr>
              <w:pStyle w:val="63"/>
            </w:pPr>
          </w:p>
        </w:tc>
        <w:tc>
          <w:tcPr>
            <w:tcW w:w="692" w:type="pct"/>
            <w:gridSpan w:val="2"/>
            <w:vMerge w:val="continue"/>
            <w:vAlign w:val="center"/>
          </w:tcPr>
          <w:p>
            <w:pPr>
              <w:pStyle w:val="63"/>
            </w:pPr>
          </w:p>
        </w:tc>
        <w:tc>
          <w:tcPr>
            <w:tcW w:w="499" w:type="pct"/>
            <w:vMerge w:val="continue"/>
            <w:vAlign w:val="center"/>
          </w:tcPr>
          <w:p>
            <w:pPr>
              <w:pStyle w:val="63"/>
            </w:pPr>
          </w:p>
        </w:tc>
        <w:tc>
          <w:tcPr>
            <w:tcW w:w="1445" w:type="pct"/>
            <w:vAlign w:val="center"/>
          </w:tcPr>
          <w:p>
            <w:pPr>
              <w:pStyle w:val="63"/>
            </w:pPr>
            <w:r>
              <w:t>镍及其化合物</w:t>
            </w:r>
          </w:p>
        </w:tc>
        <w:tc>
          <w:tcPr>
            <w:tcW w:w="548" w:type="pct"/>
            <w:vAlign w:val="center"/>
          </w:tcPr>
          <w:p>
            <w:pPr>
              <w:pStyle w:val="63"/>
            </w:pPr>
            <w:r>
              <w:t>委托监测</w:t>
            </w:r>
          </w:p>
        </w:tc>
        <w:tc>
          <w:tcPr>
            <w:tcW w:w="499" w:type="pct"/>
            <w:vAlign w:val="center"/>
          </w:tcPr>
          <w:p>
            <w:pPr>
              <w:pStyle w:val="63"/>
            </w:pPr>
            <w:r>
              <w:t>1次/季度</w:t>
            </w:r>
          </w:p>
        </w:tc>
        <w:tc>
          <w:tcPr>
            <w:tcW w:w="1024"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93" w:type="pct"/>
            <w:vMerge w:val="continue"/>
            <w:vAlign w:val="center"/>
          </w:tcPr>
          <w:p>
            <w:pPr>
              <w:pStyle w:val="63"/>
            </w:pPr>
          </w:p>
        </w:tc>
        <w:tc>
          <w:tcPr>
            <w:tcW w:w="692" w:type="pct"/>
            <w:gridSpan w:val="2"/>
            <w:vAlign w:val="center"/>
          </w:tcPr>
          <w:p>
            <w:pPr>
              <w:pStyle w:val="63"/>
            </w:pPr>
            <w:r>
              <w:t>浸出车间</w:t>
            </w:r>
          </w:p>
        </w:tc>
        <w:tc>
          <w:tcPr>
            <w:tcW w:w="499" w:type="pct"/>
            <w:vAlign w:val="center"/>
          </w:tcPr>
          <w:p>
            <w:pPr>
              <w:pStyle w:val="63"/>
            </w:pPr>
            <w:r>
              <w:t>20m排气筒</w:t>
            </w:r>
          </w:p>
        </w:tc>
        <w:tc>
          <w:tcPr>
            <w:tcW w:w="1445" w:type="pct"/>
            <w:vAlign w:val="center"/>
          </w:tcPr>
          <w:p>
            <w:pPr>
              <w:pStyle w:val="63"/>
            </w:pPr>
            <w:r>
              <w:t>硫酸雾</w:t>
            </w:r>
          </w:p>
        </w:tc>
        <w:tc>
          <w:tcPr>
            <w:tcW w:w="548" w:type="pct"/>
            <w:vAlign w:val="center"/>
          </w:tcPr>
          <w:p>
            <w:pPr>
              <w:pStyle w:val="63"/>
            </w:pPr>
            <w:r>
              <w:t>委托监测</w:t>
            </w:r>
          </w:p>
        </w:tc>
        <w:tc>
          <w:tcPr>
            <w:tcW w:w="499" w:type="pct"/>
            <w:vAlign w:val="center"/>
          </w:tcPr>
          <w:p>
            <w:pPr>
              <w:pStyle w:val="63"/>
            </w:pPr>
            <w:r>
              <w:t>1次/半年</w:t>
            </w:r>
          </w:p>
        </w:tc>
        <w:tc>
          <w:tcPr>
            <w:tcW w:w="1024"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 w:type="pct"/>
            <w:vMerge w:val="continue"/>
            <w:vAlign w:val="center"/>
          </w:tcPr>
          <w:p>
            <w:pPr>
              <w:pStyle w:val="63"/>
            </w:pPr>
          </w:p>
        </w:tc>
        <w:tc>
          <w:tcPr>
            <w:tcW w:w="692" w:type="pct"/>
            <w:gridSpan w:val="2"/>
            <w:vAlign w:val="center"/>
          </w:tcPr>
          <w:p>
            <w:pPr>
              <w:pStyle w:val="63"/>
            </w:pPr>
            <w:r>
              <w:t>萃取车间</w:t>
            </w:r>
          </w:p>
        </w:tc>
        <w:tc>
          <w:tcPr>
            <w:tcW w:w="499" w:type="pct"/>
            <w:vAlign w:val="center"/>
          </w:tcPr>
          <w:p>
            <w:pPr>
              <w:pStyle w:val="63"/>
            </w:pPr>
            <w:r>
              <w:t>15m排气筒</w:t>
            </w:r>
          </w:p>
        </w:tc>
        <w:tc>
          <w:tcPr>
            <w:tcW w:w="1445" w:type="pct"/>
            <w:vAlign w:val="center"/>
          </w:tcPr>
          <w:p>
            <w:pPr>
              <w:pStyle w:val="63"/>
            </w:pPr>
            <w:r>
              <w:t>硫酸雾、非甲烷总烃</w:t>
            </w:r>
          </w:p>
        </w:tc>
        <w:tc>
          <w:tcPr>
            <w:tcW w:w="548" w:type="pct"/>
            <w:vAlign w:val="center"/>
          </w:tcPr>
          <w:p>
            <w:pPr>
              <w:pStyle w:val="63"/>
            </w:pPr>
            <w:r>
              <w:t>委托监测</w:t>
            </w:r>
          </w:p>
        </w:tc>
        <w:tc>
          <w:tcPr>
            <w:tcW w:w="499" w:type="pct"/>
            <w:vAlign w:val="center"/>
          </w:tcPr>
          <w:p>
            <w:pPr>
              <w:pStyle w:val="63"/>
            </w:pPr>
            <w:r>
              <w:t>1次/年</w:t>
            </w:r>
          </w:p>
        </w:tc>
        <w:tc>
          <w:tcPr>
            <w:tcW w:w="1024"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293" w:type="pct"/>
            <w:vMerge w:val="continue"/>
            <w:vAlign w:val="center"/>
          </w:tcPr>
          <w:p>
            <w:pPr>
              <w:pStyle w:val="63"/>
            </w:pPr>
          </w:p>
        </w:tc>
        <w:tc>
          <w:tcPr>
            <w:tcW w:w="692" w:type="pct"/>
            <w:gridSpan w:val="2"/>
            <w:vAlign w:val="center"/>
          </w:tcPr>
          <w:p>
            <w:pPr>
              <w:pStyle w:val="63"/>
            </w:pPr>
            <w:r>
              <w:t>锅炉废气</w:t>
            </w:r>
          </w:p>
        </w:tc>
        <w:tc>
          <w:tcPr>
            <w:tcW w:w="499" w:type="pct"/>
            <w:vAlign w:val="center"/>
          </w:tcPr>
          <w:p>
            <w:pPr>
              <w:pStyle w:val="63"/>
            </w:pPr>
            <w:r>
              <w:t>40m排气筒</w:t>
            </w:r>
          </w:p>
        </w:tc>
        <w:tc>
          <w:tcPr>
            <w:tcW w:w="1445" w:type="pct"/>
            <w:vAlign w:val="center"/>
          </w:tcPr>
          <w:p>
            <w:pPr>
              <w:pStyle w:val="63"/>
            </w:pPr>
            <w:r>
              <w:t>颗粒物、二氧化硫、NOx</w:t>
            </w:r>
          </w:p>
        </w:tc>
        <w:tc>
          <w:tcPr>
            <w:tcW w:w="548" w:type="pct"/>
            <w:vAlign w:val="center"/>
          </w:tcPr>
          <w:p>
            <w:pPr>
              <w:pStyle w:val="63"/>
            </w:pPr>
            <w:r>
              <w:t>委托监测</w:t>
            </w:r>
          </w:p>
        </w:tc>
        <w:tc>
          <w:tcPr>
            <w:tcW w:w="499" w:type="pct"/>
            <w:vAlign w:val="center"/>
          </w:tcPr>
          <w:p>
            <w:pPr>
              <w:pStyle w:val="63"/>
            </w:pPr>
            <w:r>
              <w:t>1次/半年</w:t>
            </w:r>
          </w:p>
        </w:tc>
        <w:tc>
          <w:tcPr>
            <w:tcW w:w="1024" w:type="pct"/>
            <w:vAlign w:val="center"/>
          </w:tcPr>
          <w:p>
            <w:pPr>
              <w:pStyle w:val="63"/>
            </w:pPr>
            <w:r>
              <w:t>《锅炉大气污染物综合排放标准》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293" w:type="pct"/>
            <w:vMerge w:val="continue"/>
            <w:vAlign w:val="center"/>
          </w:tcPr>
          <w:p>
            <w:pPr>
              <w:pStyle w:val="63"/>
            </w:pPr>
          </w:p>
        </w:tc>
        <w:tc>
          <w:tcPr>
            <w:tcW w:w="692" w:type="pct"/>
            <w:gridSpan w:val="2"/>
            <w:vAlign w:val="center"/>
          </w:tcPr>
          <w:p>
            <w:pPr>
              <w:pStyle w:val="63"/>
            </w:pPr>
            <w:r>
              <w:t>厂界无组织排放废气</w:t>
            </w:r>
          </w:p>
        </w:tc>
        <w:tc>
          <w:tcPr>
            <w:tcW w:w="499" w:type="pct"/>
            <w:vAlign w:val="center"/>
          </w:tcPr>
          <w:p>
            <w:pPr>
              <w:pStyle w:val="63"/>
            </w:pPr>
            <w:r>
              <w:t>厂界四周布置4个监测点</w:t>
            </w:r>
          </w:p>
        </w:tc>
        <w:tc>
          <w:tcPr>
            <w:tcW w:w="1445" w:type="pct"/>
            <w:vAlign w:val="center"/>
          </w:tcPr>
          <w:p>
            <w:pPr>
              <w:pStyle w:val="63"/>
            </w:pPr>
            <w:r>
              <w:t>硫酸雾、非甲烷总烃</w:t>
            </w:r>
          </w:p>
        </w:tc>
        <w:tc>
          <w:tcPr>
            <w:tcW w:w="548" w:type="pct"/>
            <w:vAlign w:val="center"/>
          </w:tcPr>
          <w:p>
            <w:pPr>
              <w:pStyle w:val="63"/>
            </w:pPr>
            <w:r>
              <w:t>委托监测</w:t>
            </w:r>
          </w:p>
        </w:tc>
        <w:tc>
          <w:tcPr>
            <w:tcW w:w="499" w:type="pct"/>
            <w:vAlign w:val="center"/>
          </w:tcPr>
          <w:p>
            <w:pPr>
              <w:pStyle w:val="63"/>
            </w:pPr>
            <w:r>
              <w:t>1次/半年</w:t>
            </w:r>
          </w:p>
        </w:tc>
        <w:tc>
          <w:tcPr>
            <w:tcW w:w="1024" w:type="pct"/>
            <w:vAlign w:val="center"/>
          </w:tcPr>
          <w:p>
            <w:pPr>
              <w:pStyle w:val="63"/>
            </w:pPr>
            <w:r>
              <w:t>《大气污染物综合排放标准》（GB16297-1996）表2中无组织排放监控浓度限值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 w:type="pct"/>
            <w:vMerge w:val="restart"/>
            <w:vAlign w:val="center"/>
          </w:tcPr>
          <w:p>
            <w:pPr>
              <w:pStyle w:val="63"/>
            </w:pPr>
            <w:r>
              <w:t>噪声</w:t>
            </w:r>
          </w:p>
        </w:tc>
        <w:tc>
          <w:tcPr>
            <w:tcW w:w="692" w:type="pct"/>
            <w:gridSpan w:val="2"/>
            <w:vMerge w:val="restart"/>
            <w:vAlign w:val="center"/>
          </w:tcPr>
          <w:p>
            <w:pPr>
              <w:pStyle w:val="63"/>
            </w:pPr>
            <w:r>
              <w:t>主要为设备噪声</w:t>
            </w:r>
          </w:p>
        </w:tc>
        <w:tc>
          <w:tcPr>
            <w:tcW w:w="499" w:type="pct"/>
            <w:vAlign w:val="center"/>
          </w:tcPr>
          <w:p>
            <w:pPr>
              <w:pStyle w:val="63"/>
            </w:pPr>
            <w:r>
              <w:t>厂界四周</w:t>
            </w:r>
          </w:p>
        </w:tc>
        <w:tc>
          <w:tcPr>
            <w:tcW w:w="1445" w:type="pct"/>
            <w:vMerge w:val="restart"/>
            <w:vAlign w:val="center"/>
          </w:tcPr>
          <w:p>
            <w:pPr>
              <w:pStyle w:val="63"/>
            </w:pPr>
            <w:r>
              <w:t>等效连续A声级</w:t>
            </w:r>
          </w:p>
        </w:tc>
        <w:tc>
          <w:tcPr>
            <w:tcW w:w="548" w:type="pct"/>
            <w:vMerge w:val="restart"/>
            <w:vAlign w:val="center"/>
          </w:tcPr>
          <w:p>
            <w:pPr>
              <w:pStyle w:val="63"/>
            </w:pPr>
            <w:r>
              <w:t>委托监测</w:t>
            </w:r>
          </w:p>
        </w:tc>
        <w:tc>
          <w:tcPr>
            <w:tcW w:w="499" w:type="pct"/>
            <w:vMerge w:val="restart"/>
            <w:vAlign w:val="center"/>
          </w:tcPr>
          <w:p>
            <w:pPr>
              <w:pStyle w:val="63"/>
            </w:pPr>
            <w:r>
              <w:t>1次/季度</w:t>
            </w:r>
          </w:p>
        </w:tc>
        <w:tc>
          <w:tcPr>
            <w:tcW w:w="1024" w:type="pct"/>
            <w:vMerge w:val="restart"/>
            <w:vAlign w:val="center"/>
          </w:tcPr>
          <w:p>
            <w:pPr>
              <w:pStyle w:val="63"/>
            </w:pPr>
            <w:r>
              <w:t>《工业企业厂界环境噪声排放标准》3类标准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 w:type="pct"/>
            <w:vMerge w:val="continue"/>
            <w:vAlign w:val="center"/>
          </w:tcPr>
          <w:p>
            <w:pPr>
              <w:pStyle w:val="63"/>
            </w:pPr>
          </w:p>
        </w:tc>
        <w:tc>
          <w:tcPr>
            <w:tcW w:w="692" w:type="pct"/>
            <w:gridSpan w:val="2"/>
            <w:vMerge w:val="continue"/>
            <w:vAlign w:val="center"/>
          </w:tcPr>
          <w:p>
            <w:pPr>
              <w:pStyle w:val="63"/>
            </w:pPr>
          </w:p>
        </w:tc>
        <w:tc>
          <w:tcPr>
            <w:tcW w:w="499" w:type="pct"/>
            <w:vAlign w:val="center"/>
          </w:tcPr>
          <w:p>
            <w:pPr>
              <w:pStyle w:val="63"/>
            </w:pPr>
            <w:r>
              <w:t>梯次利用部分四周</w:t>
            </w:r>
          </w:p>
        </w:tc>
        <w:tc>
          <w:tcPr>
            <w:tcW w:w="1445" w:type="pct"/>
            <w:vMerge w:val="continue"/>
            <w:vAlign w:val="center"/>
          </w:tcPr>
          <w:p>
            <w:pPr>
              <w:pStyle w:val="63"/>
            </w:pPr>
          </w:p>
        </w:tc>
        <w:tc>
          <w:tcPr>
            <w:tcW w:w="548" w:type="pct"/>
            <w:vMerge w:val="continue"/>
            <w:vAlign w:val="center"/>
          </w:tcPr>
          <w:p>
            <w:pPr>
              <w:pStyle w:val="63"/>
            </w:pPr>
          </w:p>
        </w:tc>
        <w:tc>
          <w:tcPr>
            <w:tcW w:w="499" w:type="pct"/>
            <w:vMerge w:val="continue"/>
            <w:vAlign w:val="center"/>
          </w:tcPr>
          <w:p>
            <w:pPr>
              <w:pStyle w:val="63"/>
            </w:pPr>
          </w:p>
        </w:tc>
        <w:tc>
          <w:tcPr>
            <w:tcW w:w="1024"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 w:type="pct"/>
            <w:vMerge w:val="restart"/>
            <w:vAlign w:val="center"/>
          </w:tcPr>
          <w:p>
            <w:pPr>
              <w:pStyle w:val="63"/>
            </w:pPr>
            <w:r>
              <w:t>废水</w:t>
            </w:r>
          </w:p>
        </w:tc>
        <w:tc>
          <w:tcPr>
            <w:tcW w:w="1191" w:type="pct"/>
            <w:gridSpan w:val="3"/>
            <w:vAlign w:val="center"/>
          </w:tcPr>
          <w:p>
            <w:pPr>
              <w:pStyle w:val="63"/>
            </w:pPr>
            <w:r>
              <w:t>生产废水回用水池</w:t>
            </w:r>
          </w:p>
        </w:tc>
        <w:tc>
          <w:tcPr>
            <w:tcW w:w="1445" w:type="pct"/>
            <w:vAlign w:val="center"/>
          </w:tcPr>
          <w:p>
            <w:pPr>
              <w:pStyle w:val="63"/>
            </w:pPr>
            <w:r>
              <w:t>pH、悬浮物、化学需氧量、硫酸盐、氯化物、总镍、总锰、总钴</w:t>
            </w:r>
          </w:p>
        </w:tc>
        <w:tc>
          <w:tcPr>
            <w:tcW w:w="548" w:type="pct"/>
            <w:vAlign w:val="center"/>
          </w:tcPr>
          <w:p>
            <w:pPr>
              <w:pStyle w:val="63"/>
            </w:pPr>
            <w:r>
              <w:t>委托监测</w:t>
            </w:r>
          </w:p>
        </w:tc>
        <w:tc>
          <w:tcPr>
            <w:tcW w:w="499" w:type="pct"/>
            <w:vAlign w:val="center"/>
          </w:tcPr>
          <w:p>
            <w:pPr>
              <w:pStyle w:val="63"/>
            </w:pPr>
            <w:r>
              <w:t>1次/季</w:t>
            </w:r>
          </w:p>
        </w:tc>
        <w:tc>
          <w:tcPr>
            <w:tcW w:w="1024" w:type="pct"/>
            <w:vAlign w:val="center"/>
          </w:tcPr>
          <w:p>
            <w:pPr>
              <w:pStyle w:val="63"/>
            </w:pPr>
            <w:r>
              <w:t>《城市污水再生利用工业用水水质》（GB/T19923－2005）中“工艺与产品用水”标准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293" w:type="pct"/>
            <w:vMerge w:val="continue"/>
            <w:vAlign w:val="center"/>
          </w:tcPr>
          <w:p>
            <w:pPr>
              <w:pStyle w:val="63"/>
            </w:pPr>
          </w:p>
        </w:tc>
        <w:tc>
          <w:tcPr>
            <w:tcW w:w="692" w:type="pct"/>
            <w:gridSpan w:val="2"/>
            <w:vAlign w:val="center"/>
          </w:tcPr>
          <w:p>
            <w:pPr>
              <w:pStyle w:val="63"/>
            </w:pPr>
            <w:r>
              <w:t>日常生活</w:t>
            </w:r>
          </w:p>
        </w:tc>
        <w:tc>
          <w:tcPr>
            <w:tcW w:w="499" w:type="pct"/>
            <w:vAlign w:val="center"/>
          </w:tcPr>
          <w:p>
            <w:pPr>
              <w:pStyle w:val="63"/>
            </w:pPr>
            <w:r>
              <w:t>生活污水外排口</w:t>
            </w:r>
          </w:p>
        </w:tc>
        <w:tc>
          <w:tcPr>
            <w:tcW w:w="1445" w:type="pct"/>
            <w:vAlign w:val="center"/>
          </w:tcPr>
          <w:p>
            <w:pPr>
              <w:pStyle w:val="63"/>
            </w:pPr>
            <w:r>
              <w:t>pH、悬浮物、化学需氧量、氨氮、BOD</w:t>
            </w:r>
          </w:p>
        </w:tc>
        <w:tc>
          <w:tcPr>
            <w:tcW w:w="548" w:type="pct"/>
            <w:vAlign w:val="center"/>
          </w:tcPr>
          <w:p>
            <w:pPr>
              <w:pStyle w:val="63"/>
            </w:pPr>
            <w:r>
              <w:t>委托监测</w:t>
            </w:r>
          </w:p>
        </w:tc>
        <w:tc>
          <w:tcPr>
            <w:tcW w:w="499" w:type="pct"/>
            <w:vAlign w:val="center"/>
          </w:tcPr>
          <w:p>
            <w:pPr>
              <w:pStyle w:val="63"/>
            </w:pPr>
            <w:r>
              <w:t>1次/季</w:t>
            </w:r>
          </w:p>
        </w:tc>
        <w:tc>
          <w:tcPr>
            <w:tcW w:w="1024" w:type="pct"/>
            <w:vAlign w:val="center"/>
          </w:tcPr>
          <w:p>
            <w:pPr>
              <w:pStyle w:val="63"/>
            </w:pPr>
            <w:r>
              <w:t>《污水综合排放标准》“三级”标准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293" w:type="pct"/>
            <w:vAlign w:val="center"/>
          </w:tcPr>
          <w:p>
            <w:pPr>
              <w:pStyle w:val="63"/>
            </w:pPr>
            <w:r>
              <w:t>地下水</w:t>
            </w:r>
          </w:p>
        </w:tc>
        <w:tc>
          <w:tcPr>
            <w:tcW w:w="393" w:type="pct"/>
            <w:vAlign w:val="center"/>
          </w:tcPr>
          <w:p>
            <w:pPr>
              <w:pStyle w:val="63"/>
            </w:pPr>
            <w:r>
              <w:t>地下水监控井</w:t>
            </w:r>
          </w:p>
        </w:tc>
        <w:tc>
          <w:tcPr>
            <w:tcW w:w="798" w:type="pct"/>
            <w:gridSpan w:val="2"/>
            <w:vAlign w:val="center"/>
          </w:tcPr>
          <w:p>
            <w:pPr>
              <w:pStyle w:val="63"/>
            </w:pPr>
            <w:r>
              <w:t>厂区下游</w:t>
            </w:r>
            <w:r>
              <w:rPr>
                <w:iCs/>
              </w:rPr>
              <w:t>监测井</w:t>
            </w:r>
          </w:p>
        </w:tc>
        <w:tc>
          <w:tcPr>
            <w:tcW w:w="1445" w:type="pct"/>
            <w:vAlign w:val="center"/>
          </w:tcPr>
          <w:p>
            <w:pPr>
              <w:pStyle w:val="63"/>
            </w:pPr>
            <w:r>
              <w:t>pH、耗氧量、氯化物、硫酸盐、氨氮、硝酸盐、亚硝酸盐、挥发性酚类、砷、氟化物、铁、锰、锌、铜、镍、石油类、钴</w:t>
            </w:r>
          </w:p>
        </w:tc>
        <w:tc>
          <w:tcPr>
            <w:tcW w:w="548" w:type="pct"/>
            <w:vAlign w:val="center"/>
          </w:tcPr>
          <w:p>
            <w:pPr>
              <w:pStyle w:val="63"/>
            </w:pPr>
            <w:r>
              <w:t>委托检测</w:t>
            </w:r>
          </w:p>
        </w:tc>
        <w:tc>
          <w:tcPr>
            <w:tcW w:w="499" w:type="pct"/>
            <w:vAlign w:val="center"/>
          </w:tcPr>
          <w:p>
            <w:pPr>
              <w:pStyle w:val="63"/>
            </w:pPr>
            <w:r>
              <w:t>1次/年</w:t>
            </w:r>
          </w:p>
        </w:tc>
        <w:tc>
          <w:tcPr>
            <w:tcW w:w="1024" w:type="pct"/>
            <w:vAlign w:val="center"/>
          </w:tcPr>
          <w:p>
            <w:pPr>
              <w:pStyle w:val="63"/>
            </w:pPr>
            <w:r>
              <w:t>《地下水质量标准》“</w:t>
            </w:r>
            <w:r>
              <w:fldChar w:fldCharType="begin"/>
            </w:r>
            <w:r>
              <w:instrText xml:space="preserve"> = 3 \* ROMAN </w:instrText>
            </w:r>
            <w:r>
              <w:fldChar w:fldCharType="separate"/>
            </w:r>
            <w:r>
              <w:t>III</w:t>
            </w:r>
            <w:r>
              <w:fldChar w:fldCharType="end"/>
            </w:r>
            <w: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 w:type="pct"/>
            <w:vAlign w:val="center"/>
          </w:tcPr>
          <w:p>
            <w:pPr>
              <w:pStyle w:val="63"/>
            </w:pPr>
            <w:r>
              <w:t>土壤</w:t>
            </w:r>
          </w:p>
        </w:tc>
        <w:tc>
          <w:tcPr>
            <w:tcW w:w="1191" w:type="pct"/>
            <w:gridSpan w:val="3"/>
            <w:vAlign w:val="center"/>
          </w:tcPr>
          <w:p>
            <w:pPr>
              <w:pStyle w:val="63"/>
            </w:pPr>
            <w:r>
              <w:t>项目场地范围内（污水处理站旁）</w:t>
            </w:r>
          </w:p>
        </w:tc>
        <w:tc>
          <w:tcPr>
            <w:tcW w:w="1445" w:type="pct"/>
            <w:vAlign w:val="center"/>
          </w:tcPr>
          <w:p>
            <w:pPr>
              <w:pStyle w:val="63"/>
            </w:pPr>
            <w:r>
              <w:t>砷、镉、铬（六价）、铜、铅、汞、镍</w:t>
            </w:r>
          </w:p>
        </w:tc>
        <w:tc>
          <w:tcPr>
            <w:tcW w:w="548" w:type="pct"/>
            <w:vAlign w:val="center"/>
          </w:tcPr>
          <w:p>
            <w:pPr>
              <w:pStyle w:val="63"/>
            </w:pPr>
            <w:r>
              <w:t>委托检测</w:t>
            </w:r>
          </w:p>
        </w:tc>
        <w:tc>
          <w:tcPr>
            <w:tcW w:w="499" w:type="pct"/>
            <w:vAlign w:val="center"/>
          </w:tcPr>
          <w:p>
            <w:pPr>
              <w:pStyle w:val="63"/>
            </w:pPr>
            <w:r>
              <w:t>1次/5年</w:t>
            </w:r>
          </w:p>
        </w:tc>
        <w:tc>
          <w:tcPr>
            <w:tcW w:w="1024" w:type="pct"/>
            <w:vAlign w:val="center"/>
          </w:tcPr>
          <w:p>
            <w:pPr>
              <w:pStyle w:val="63"/>
            </w:pPr>
            <w:r>
              <w:t>《土壤环境质量—建设用地土壤污染风险管控标准》“筛选值”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293" w:type="pct"/>
            <w:vAlign w:val="center"/>
          </w:tcPr>
          <w:p>
            <w:pPr>
              <w:pStyle w:val="63"/>
            </w:pPr>
            <w:r>
              <w:t>环境空气</w:t>
            </w:r>
          </w:p>
        </w:tc>
        <w:tc>
          <w:tcPr>
            <w:tcW w:w="1191" w:type="pct"/>
            <w:gridSpan w:val="3"/>
            <w:vAlign w:val="center"/>
          </w:tcPr>
          <w:p>
            <w:pPr>
              <w:pStyle w:val="63"/>
            </w:pPr>
            <w:r>
              <w:t>石头岭居民点</w:t>
            </w:r>
          </w:p>
        </w:tc>
        <w:tc>
          <w:tcPr>
            <w:tcW w:w="1445" w:type="pct"/>
            <w:vAlign w:val="center"/>
          </w:tcPr>
          <w:p>
            <w:pPr>
              <w:pStyle w:val="63"/>
            </w:pPr>
            <w:r>
              <w:t>TSP、氟化物、镍及其化合物、锰及其化合物、硫酸雾、非甲烷总烃</w:t>
            </w:r>
          </w:p>
        </w:tc>
        <w:tc>
          <w:tcPr>
            <w:tcW w:w="548" w:type="pct"/>
            <w:vAlign w:val="center"/>
          </w:tcPr>
          <w:p>
            <w:pPr>
              <w:pStyle w:val="63"/>
            </w:pPr>
            <w:r>
              <w:t>委托监测</w:t>
            </w:r>
          </w:p>
        </w:tc>
        <w:tc>
          <w:tcPr>
            <w:tcW w:w="499" w:type="pct"/>
            <w:vAlign w:val="center"/>
          </w:tcPr>
          <w:p>
            <w:pPr>
              <w:pStyle w:val="63"/>
            </w:pPr>
            <w:r>
              <w:t>1次/半年</w:t>
            </w:r>
          </w:p>
        </w:tc>
        <w:tc>
          <w:tcPr>
            <w:tcW w:w="1024" w:type="pct"/>
            <w:vAlign w:val="center"/>
          </w:tcPr>
          <w:p>
            <w:pPr>
              <w:pStyle w:val="63"/>
            </w:pPr>
            <w:r>
              <w:t>《环境空气质量标准》（GB3095-2012）二级标准、《环境影响评价技术导则大气环境》（HJ2.2-2018）附录D中标准要求、《大气污染物综合排放标准详解》</w:t>
            </w:r>
          </w:p>
        </w:tc>
      </w:tr>
    </w:tbl>
    <w:p>
      <w:pPr>
        <w:spacing w:line="360" w:lineRule="auto"/>
        <w:ind w:firstLine="482" w:firstLineChars="200"/>
        <w:rPr>
          <w:rFonts w:ascii="Times New Roman" w:hAnsi="Times New Roman" w:cs="Times New Roman"/>
          <w:b/>
          <w:bCs/>
        </w:rPr>
        <w:sectPr>
          <w:pgSz w:w="16840" w:h="11907" w:orient="landscape"/>
          <w:pgMar w:top="1134" w:right="1418" w:bottom="1134" w:left="1418" w:header="851" w:footer="992" w:gutter="0"/>
          <w:cols w:space="720" w:num="1"/>
          <w:docGrid w:linePitch="312" w:charSpace="0"/>
        </w:sectPr>
      </w:pPr>
      <w:bookmarkStart w:id="774" w:name="_Toc22115868"/>
    </w:p>
    <w:p>
      <w:pPr>
        <w:pStyle w:val="3"/>
        <w:rPr>
          <w:rFonts w:ascii="Times New Roman" w:hAnsi="Times New Roman" w:cs="Times New Roman" w:eastAsiaTheme="minorEastAsia"/>
        </w:rPr>
      </w:pPr>
      <w:bookmarkStart w:id="775" w:name="_Toc102658262"/>
      <w:bookmarkStart w:id="776" w:name="_Toc144236924"/>
      <w:bookmarkStart w:id="777" w:name="_Toc147848172"/>
      <w:bookmarkStart w:id="778" w:name="_Toc144277054"/>
      <w:r>
        <w:rPr>
          <w:rFonts w:ascii="Times New Roman" w:hAnsi="Times New Roman" w:cs="Times New Roman" w:eastAsiaTheme="minorEastAsia"/>
        </w:rPr>
        <w:t>12.3 工程竣工环境保护验收内容</w:t>
      </w:r>
      <w:bookmarkEnd w:id="774"/>
      <w:bookmarkEnd w:id="775"/>
      <w:bookmarkEnd w:id="776"/>
      <w:bookmarkEnd w:id="777"/>
      <w:bookmarkEnd w:id="778"/>
    </w:p>
    <w:p>
      <w:pPr>
        <w:pStyle w:val="4"/>
        <w:rPr>
          <w:rFonts w:ascii="Times New Roman" w:hAnsi="Times New Roman" w:cs="Times New Roman"/>
        </w:rPr>
      </w:pPr>
      <w:bookmarkStart w:id="779" w:name="_Toc147848173"/>
      <w:bookmarkStart w:id="780" w:name="_Toc144236925"/>
      <w:bookmarkStart w:id="781" w:name="_Toc144277055"/>
      <w:r>
        <w:rPr>
          <w:rFonts w:ascii="Times New Roman" w:hAnsi="Times New Roman" w:cs="Times New Roman"/>
        </w:rPr>
        <w:t>12.3.1 竣工环保验收范围</w:t>
      </w:r>
      <w:bookmarkEnd w:id="779"/>
      <w:bookmarkEnd w:id="780"/>
      <w:bookmarkEnd w:id="781"/>
    </w:p>
    <w:p>
      <w:pPr>
        <w:spacing w:line="360" w:lineRule="auto"/>
        <w:ind w:firstLine="480" w:firstLineChars="200"/>
        <w:rPr>
          <w:rFonts w:ascii="Times New Roman" w:hAnsi="Times New Roman" w:cs="Times New Roman"/>
        </w:rPr>
      </w:pPr>
      <w:bookmarkStart w:id="782" w:name="_Hlk101451526"/>
      <w:r>
        <w:rPr>
          <w:rFonts w:ascii="Times New Roman" w:hAnsi="Times New Roman" w:cs="Times New Roman"/>
        </w:rPr>
        <w:t>（1）监测环境空气、地表水、地下水、声环境、土壤，确保项目运行后环境保护目标满足相应环境功能区划要求。</w:t>
      </w:r>
    </w:p>
    <w:p>
      <w:pPr>
        <w:spacing w:line="360" w:lineRule="auto"/>
        <w:ind w:firstLine="480" w:firstLineChars="200"/>
        <w:rPr>
          <w:rFonts w:ascii="Times New Roman" w:hAnsi="Times New Roman" w:cs="Times New Roman"/>
        </w:rPr>
      </w:pPr>
      <w:r>
        <w:rPr>
          <w:rFonts w:ascii="Times New Roman" w:hAnsi="Times New Roman" w:cs="Times New Roman"/>
        </w:rPr>
        <w:t>（2）检查建设项目在建设期、运行期落实环境影响评价文件、工程设计以及环保行政主管部门批复文件所提的废水、地下水、气、声、固体废物及生态保护等治理措施落实情况及实施效果。</w:t>
      </w:r>
    </w:p>
    <w:p>
      <w:pPr>
        <w:spacing w:line="360" w:lineRule="auto"/>
        <w:ind w:firstLine="480" w:firstLineChars="200"/>
        <w:rPr>
          <w:rFonts w:ascii="Times New Roman" w:hAnsi="Times New Roman" w:cs="Times New Roman"/>
        </w:rPr>
      </w:pPr>
      <w:r>
        <w:rPr>
          <w:rFonts w:ascii="Times New Roman" w:hAnsi="Times New Roman" w:cs="Times New Roman"/>
        </w:rPr>
        <w:t>（3）调查建设项目事故环境风险防范措施、环境风险应急预案落实情况。</w:t>
      </w:r>
    </w:p>
    <w:bookmarkEnd w:id="782"/>
    <w:p>
      <w:pPr>
        <w:pStyle w:val="4"/>
        <w:rPr>
          <w:rFonts w:ascii="Times New Roman" w:hAnsi="Times New Roman" w:cs="Times New Roman"/>
        </w:rPr>
      </w:pPr>
      <w:bookmarkStart w:id="783" w:name="_Toc144277056"/>
      <w:bookmarkStart w:id="784" w:name="_Toc144236926"/>
      <w:bookmarkStart w:id="785" w:name="_Toc147848174"/>
      <w:r>
        <w:rPr>
          <w:rFonts w:ascii="Times New Roman" w:hAnsi="Times New Roman" w:cs="Times New Roman"/>
        </w:rPr>
        <w:t>12.3.2 竣工环境保护验收清单</w:t>
      </w:r>
      <w:bookmarkEnd w:id="783"/>
      <w:bookmarkEnd w:id="784"/>
      <w:bookmarkEnd w:id="785"/>
    </w:p>
    <w:p>
      <w:pPr>
        <w:spacing w:line="360" w:lineRule="auto"/>
        <w:ind w:firstLine="480" w:firstLineChars="200"/>
        <w:rPr>
          <w:rFonts w:ascii="Times New Roman" w:hAnsi="Times New Roman" w:cs="Times New Roman"/>
        </w:rPr>
        <w:sectPr>
          <w:pgSz w:w="11907" w:h="16840"/>
          <w:pgMar w:top="1418" w:right="1418" w:bottom="1418" w:left="1418" w:header="851" w:footer="992" w:gutter="0"/>
          <w:cols w:space="720" w:num="1"/>
          <w:docGrid w:linePitch="312" w:charSpace="0"/>
        </w:sectPr>
      </w:pPr>
      <w:bookmarkStart w:id="786" w:name="_Hlk101451555"/>
      <w:r>
        <w:rPr>
          <w:rFonts w:ascii="Times New Roman" w:hAnsi="Times New Roman" w:cs="Times New Roman"/>
        </w:rPr>
        <w:t>根据《建设项目竣工环境保护验收管理办法》的有关规定和项目设计、环评提出的污染防治措施，评价列出了本项目竣工环境保护验收清单（详见下表），供企业自行验收时参考。</w:t>
      </w:r>
    </w:p>
    <w:bookmarkEnd w:id="786"/>
    <w:p>
      <w:pPr>
        <w:pStyle w:val="6"/>
        <w:rPr>
          <w:rFonts w:ascii="Times New Roman" w:hAnsi="Times New Roman" w:cs="Times New Roman"/>
        </w:rPr>
      </w:pPr>
      <w:r>
        <w:rPr>
          <w:rFonts w:ascii="Times New Roman" w:hAnsi="Times New Roman" w:cs="Times New Roman"/>
        </w:rPr>
        <w:t>表12.3-1  工程竣工环境保护验收项目表</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00"/>
        <w:gridCol w:w="2793"/>
        <w:gridCol w:w="1741"/>
        <w:gridCol w:w="1741"/>
        <w:gridCol w:w="1937"/>
        <w:gridCol w:w="2804"/>
        <w:gridCol w:w="220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Align w:val="center"/>
          </w:tcPr>
          <w:p>
            <w:pPr>
              <w:pStyle w:val="63"/>
            </w:pPr>
            <w:r>
              <w:t>类别</w:t>
            </w:r>
          </w:p>
        </w:tc>
        <w:tc>
          <w:tcPr>
            <w:tcW w:w="982" w:type="pct"/>
            <w:vAlign w:val="center"/>
          </w:tcPr>
          <w:p>
            <w:pPr>
              <w:pStyle w:val="63"/>
            </w:pPr>
            <w:r>
              <w:t>项目</w:t>
            </w:r>
          </w:p>
        </w:tc>
        <w:tc>
          <w:tcPr>
            <w:tcW w:w="1224" w:type="pct"/>
            <w:gridSpan w:val="2"/>
            <w:vAlign w:val="center"/>
          </w:tcPr>
          <w:p>
            <w:pPr>
              <w:pStyle w:val="63"/>
            </w:pPr>
            <w:r>
              <w:t>环保设施</w:t>
            </w:r>
          </w:p>
        </w:tc>
        <w:tc>
          <w:tcPr>
            <w:tcW w:w="681" w:type="pct"/>
            <w:vAlign w:val="center"/>
          </w:tcPr>
          <w:p>
            <w:pPr>
              <w:pStyle w:val="63"/>
            </w:pPr>
            <w:r>
              <w:t>排放方式</w:t>
            </w:r>
          </w:p>
        </w:tc>
        <w:tc>
          <w:tcPr>
            <w:tcW w:w="986" w:type="pct"/>
            <w:vAlign w:val="center"/>
          </w:tcPr>
          <w:p>
            <w:pPr>
              <w:pStyle w:val="63"/>
            </w:pPr>
            <w:r>
              <w:t>验收内容</w:t>
            </w:r>
          </w:p>
        </w:tc>
        <w:tc>
          <w:tcPr>
            <w:tcW w:w="775" w:type="pct"/>
            <w:vAlign w:val="center"/>
          </w:tcPr>
          <w:p>
            <w:pPr>
              <w:pStyle w:val="63"/>
            </w:pPr>
            <w:r>
              <w:t>验收标准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restart"/>
            <w:vAlign w:val="center"/>
          </w:tcPr>
          <w:p>
            <w:pPr>
              <w:pStyle w:val="63"/>
            </w:pPr>
            <w:r>
              <w:t>废气治理</w:t>
            </w:r>
          </w:p>
        </w:tc>
        <w:tc>
          <w:tcPr>
            <w:tcW w:w="982" w:type="pct"/>
            <w:vAlign w:val="center"/>
          </w:tcPr>
          <w:p>
            <w:pPr>
              <w:pStyle w:val="63"/>
            </w:pPr>
            <w:r>
              <w:t>预处理车间废气</w:t>
            </w:r>
          </w:p>
        </w:tc>
        <w:tc>
          <w:tcPr>
            <w:tcW w:w="1224" w:type="pct"/>
            <w:gridSpan w:val="2"/>
            <w:vAlign w:val="center"/>
          </w:tcPr>
          <w:p>
            <w:pPr>
              <w:pStyle w:val="63"/>
            </w:pPr>
            <w:r>
              <w:t>焚烧+急冷+布袋除尘+三级水洗+碱液喷淋</w:t>
            </w:r>
          </w:p>
        </w:tc>
        <w:tc>
          <w:tcPr>
            <w:tcW w:w="681" w:type="pct"/>
            <w:vAlign w:val="center"/>
          </w:tcPr>
          <w:p>
            <w:pPr>
              <w:pStyle w:val="63"/>
            </w:pPr>
            <w:r>
              <w:t>30m排气筒（P1）</w:t>
            </w:r>
          </w:p>
        </w:tc>
        <w:tc>
          <w:tcPr>
            <w:tcW w:w="986" w:type="pct"/>
            <w:vAlign w:val="center"/>
          </w:tcPr>
          <w:p>
            <w:pPr>
              <w:pStyle w:val="63"/>
            </w:pPr>
            <w:r>
              <w:t>SO</w:t>
            </w:r>
            <w:r>
              <w:rPr>
                <w:vertAlign w:val="subscript"/>
              </w:rPr>
              <w:t>2</w:t>
            </w:r>
            <w:r>
              <w:t>、NOx、颗粒物、氟化物、镍及其化合物、锰及其化合物</w:t>
            </w:r>
          </w:p>
        </w:tc>
        <w:tc>
          <w:tcPr>
            <w:tcW w:w="775" w:type="pct"/>
            <w:vAlign w:val="center"/>
          </w:tcPr>
          <w:p>
            <w:pPr>
              <w:pStyle w:val="63"/>
            </w:pPr>
            <w:r>
              <w:t>《大气污染物综合排放标准》（GB16297-1996）表2中二级标准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352" w:type="pct"/>
            <w:vMerge w:val="continue"/>
            <w:vAlign w:val="center"/>
          </w:tcPr>
          <w:p>
            <w:pPr>
              <w:pStyle w:val="63"/>
            </w:pPr>
          </w:p>
        </w:tc>
        <w:tc>
          <w:tcPr>
            <w:tcW w:w="982" w:type="pct"/>
            <w:vAlign w:val="center"/>
          </w:tcPr>
          <w:p>
            <w:pPr>
              <w:pStyle w:val="63"/>
            </w:pPr>
            <w:r>
              <w:t>黑粉浸出</w:t>
            </w:r>
          </w:p>
        </w:tc>
        <w:tc>
          <w:tcPr>
            <w:tcW w:w="1224" w:type="pct"/>
            <w:gridSpan w:val="2"/>
            <w:vAlign w:val="center"/>
          </w:tcPr>
          <w:p>
            <w:pPr>
              <w:pStyle w:val="63"/>
            </w:pPr>
            <w:r>
              <w:t>碱液喷淋</w:t>
            </w:r>
          </w:p>
        </w:tc>
        <w:tc>
          <w:tcPr>
            <w:tcW w:w="681" w:type="pct"/>
            <w:vAlign w:val="center"/>
          </w:tcPr>
          <w:p>
            <w:pPr>
              <w:pStyle w:val="63"/>
            </w:pPr>
            <w:r>
              <w:t>20m排气筒（P2）</w:t>
            </w:r>
          </w:p>
        </w:tc>
        <w:tc>
          <w:tcPr>
            <w:tcW w:w="986" w:type="pct"/>
            <w:vAlign w:val="center"/>
          </w:tcPr>
          <w:p>
            <w:pPr>
              <w:pStyle w:val="63"/>
            </w:pPr>
            <w:r>
              <w:t>硫酸雾</w:t>
            </w:r>
          </w:p>
        </w:tc>
        <w:tc>
          <w:tcPr>
            <w:tcW w:w="775" w:type="pct"/>
            <w:vMerge w:val="restart"/>
            <w:vAlign w:val="center"/>
          </w:tcPr>
          <w:p>
            <w:pPr>
              <w:pStyle w:val="63"/>
            </w:pPr>
            <w:r>
              <w:t>《大气污染物综合排放标准》（GB16297-1996）表2中二级标准；硫化氢执行《恶臭污染物排放标准》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t>萃取车间</w:t>
            </w:r>
          </w:p>
        </w:tc>
        <w:tc>
          <w:tcPr>
            <w:tcW w:w="1224" w:type="pct"/>
            <w:gridSpan w:val="2"/>
            <w:vAlign w:val="center"/>
          </w:tcPr>
          <w:p>
            <w:pPr>
              <w:pStyle w:val="63"/>
            </w:pPr>
            <w:r>
              <w:t>碱液喷淋+过滤棉+活性炭</w:t>
            </w:r>
          </w:p>
        </w:tc>
        <w:tc>
          <w:tcPr>
            <w:tcW w:w="681" w:type="pct"/>
            <w:vAlign w:val="center"/>
          </w:tcPr>
          <w:p>
            <w:pPr>
              <w:pStyle w:val="63"/>
            </w:pPr>
            <w:r>
              <w:t>15m排气筒（P3）</w:t>
            </w:r>
          </w:p>
        </w:tc>
        <w:tc>
          <w:tcPr>
            <w:tcW w:w="986" w:type="pct"/>
            <w:vAlign w:val="center"/>
          </w:tcPr>
          <w:p>
            <w:pPr>
              <w:pStyle w:val="63"/>
            </w:pPr>
            <w:r>
              <w:t>硫酸雾、非甲烷总烃</w:t>
            </w:r>
          </w:p>
        </w:tc>
        <w:tc>
          <w:tcPr>
            <w:tcW w:w="775"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352" w:type="pct"/>
            <w:vMerge w:val="continue"/>
            <w:vAlign w:val="center"/>
          </w:tcPr>
          <w:p>
            <w:pPr>
              <w:pStyle w:val="63"/>
            </w:pPr>
          </w:p>
        </w:tc>
        <w:tc>
          <w:tcPr>
            <w:tcW w:w="982" w:type="pct"/>
            <w:vAlign w:val="center"/>
          </w:tcPr>
          <w:p>
            <w:pPr>
              <w:pStyle w:val="63"/>
            </w:pPr>
            <w:r>
              <w:t>锅炉废气</w:t>
            </w:r>
          </w:p>
        </w:tc>
        <w:tc>
          <w:tcPr>
            <w:tcW w:w="1224" w:type="pct"/>
            <w:gridSpan w:val="2"/>
            <w:vAlign w:val="center"/>
          </w:tcPr>
          <w:p>
            <w:pPr>
              <w:pStyle w:val="63"/>
            </w:pPr>
            <w:r>
              <w:t>低氮燃烧</w:t>
            </w:r>
          </w:p>
        </w:tc>
        <w:tc>
          <w:tcPr>
            <w:tcW w:w="681" w:type="pct"/>
            <w:vAlign w:val="center"/>
          </w:tcPr>
          <w:p>
            <w:pPr>
              <w:pStyle w:val="63"/>
            </w:pPr>
            <w:r>
              <w:t>40m排气筒（P4）</w:t>
            </w:r>
          </w:p>
        </w:tc>
        <w:tc>
          <w:tcPr>
            <w:tcW w:w="986" w:type="pct"/>
            <w:vAlign w:val="center"/>
          </w:tcPr>
          <w:p>
            <w:pPr>
              <w:pStyle w:val="63"/>
            </w:pPr>
            <w:r>
              <w:t>SO</w:t>
            </w:r>
            <w:r>
              <w:rPr>
                <w:vertAlign w:val="subscript"/>
              </w:rPr>
              <w:t>2</w:t>
            </w:r>
            <w:r>
              <w:t>、NOx、颗粒物</w:t>
            </w:r>
          </w:p>
        </w:tc>
        <w:tc>
          <w:tcPr>
            <w:tcW w:w="775" w:type="pct"/>
            <w:vAlign w:val="center"/>
          </w:tcPr>
          <w:p>
            <w:pPr>
              <w:pStyle w:val="63"/>
            </w:pPr>
            <w:r>
              <w:t>《锅炉大气污染物排放标准》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t>厂界无组织排放</w:t>
            </w:r>
          </w:p>
        </w:tc>
        <w:tc>
          <w:tcPr>
            <w:tcW w:w="1224" w:type="pct"/>
            <w:gridSpan w:val="2"/>
            <w:vAlign w:val="center"/>
          </w:tcPr>
          <w:p>
            <w:pPr>
              <w:pStyle w:val="63"/>
            </w:pPr>
            <w:r>
              <w:t>车间通风设备</w:t>
            </w:r>
          </w:p>
        </w:tc>
        <w:tc>
          <w:tcPr>
            <w:tcW w:w="681" w:type="pct"/>
            <w:vAlign w:val="center"/>
          </w:tcPr>
          <w:p>
            <w:pPr>
              <w:pStyle w:val="63"/>
            </w:pPr>
            <w:r>
              <w:t>无组织排放</w:t>
            </w:r>
          </w:p>
        </w:tc>
        <w:tc>
          <w:tcPr>
            <w:tcW w:w="986" w:type="pct"/>
            <w:vAlign w:val="center"/>
          </w:tcPr>
          <w:p>
            <w:pPr>
              <w:pStyle w:val="63"/>
            </w:pPr>
            <w:r>
              <w:t>硫酸雾、HCl、非甲烷总烃</w:t>
            </w:r>
          </w:p>
        </w:tc>
        <w:tc>
          <w:tcPr>
            <w:tcW w:w="775" w:type="pct"/>
            <w:vAlign w:val="center"/>
          </w:tcPr>
          <w:p>
            <w:pPr>
              <w:pStyle w:val="63"/>
            </w:pPr>
            <w:r>
              <w:t>《大气污染物综合排放标准》（GB16297-1996）表2中无组织排放浓度监控限值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restart"/>
            <w:vAlign w:val="center"/>
          </w:tcPr>
          <w:p>
            <w:pPr>
              <w:pStyle w:val="63"/>
            </w:pPr>
            <w:r>
              <w:t>废水治理</w:t>
            </w:r>
          </w:p>
        </w:tc>
        <w:tc>
          <w:tcPr>
            <w:tcW w:w="982" w:type="pct"/>
            <w:vAlign w:val="center"/>
          </w:tcPr>
          <w:p>
            <w:pPr>
              <w:pStyle w:val="63"/>
            </w:pPr>
            <w:r>
              <w:t>三级水喷淋</w:t>
            </w:r>
          </w:p>
        </w:tc>
        <w:tc>
          <w:tcPr>
            <w:tcW w:w="1224" w:type="pct"/>
            <w:gridSpan w:val="2"/>
            <w:vMerge w:val="restart"/>
            <w:vAlign w:val="center"/>
          </w:tcPr>
          <w:p>
            <w:pPr>
              <w:pStyle w:val="63"/>
            </w:pPr>
            <w:r>
              <w:t>加石灰除氟+絮凝沉淀+板框压滤</w:t>
            </w:r>
          </w:p>
        </w:tc>
        <w:tc>
          <w:tcPr>
            <w:tcW w:w="681" w:type="pct"/>
            <w:vMerge w:val="restart"/>
            <w:vAlign w:val="center"/>
          </w:tcPr>
          <w:p>
            <w:pPr>
              <w:pStyle w:val="63"/>
            </w:pPr>
            <w:r>
              <w:t>不外排</w:t>
            </w:r>
          </w:p>
        </w:tc>
        <w:tc>
          <w:tcPr>
            <w:tcW w:w="986" w:type="pct"/>
            <w:vMerge w:val="restart"/>
            <w:vAlign w:val="center"/>
          </w:tcPr>
          <w:p>
            <w:pPr>
              <w:pStyle w:val="63"/>
            </w:pPr>
            <w:r>
              <w:t>/</w:t>
            </w:r>
          </w:p>
        </w:tc>
        <w:tc>
          <w:tcPr>
            <w:tcW w:w="775" w:type="pct"/>
            <w:vMerge w:val="restart"/>
            <w:vAlign w:val="center"/>
          </w:tcPr>
          <w:p>
            <w:pPr>
              <w:pStyle w:val="63"/>
            </w:pPr>
            <w:r>
              <w:t>回用于三级水喷淋和碱液喷淋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t>碱液喷淋</w:t>
            </w:r>
          </w:p>
        </w:tc>
        <w:tc>
          <w:tcPr>
            <w:tcW w:w="1224" w:type="pct"/>
            <w:gridSpan w:val="2"/>
            <w:vMerge w:val="continue"/>
            <w:vAlign w:val="center"/>
          </w:tcPr>
          <w:p>
            <w:pPr>
              <w:pStyle w:val="63"/>
            </w:pPr>
          </w:p>
        </w:tc>
        <w:tc>
          <w:tcPr>
            <w:tcW w:w="681" w:type="pct"/>
            <w:vMerge w:val="continue"/>
            <w:vAlign w:val="center"/>
          </w:tcPr>
          <w:p>
            <w:pPr>
              <w:pStyle w:val="63"/>
            </w:pPr>
          </w:p>
        </w:tc>
        <w:tc>
          <w:tcPr>
            <w:tcW w:w="986" w:type="pct"/>
            <w:vMerge w:val="continue"/>
            <w:vAlign w:val="center"/>
          </w:tcPr>
          <w:p>
            <w:pPr>
              <w:pStyle w:val="63"/>
            </w:pPr>
          </w:p>
        </w:tc>
        <w:tc>
          <w:tcPr>
            <w:tcW w:w="775"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t>蒸发结晶离心分离废水、地面冲洗废水</w:t>
            </w:r>
          </w:p>
        </w:tc>
        <w:tc>
          <w:tcPr>
            <w:tcW w:w="612" w:type="pct"/>
            <w:vAlign w:val="center"/>
          </w:tcPr>
          <w:p>
            <w:pPr>
              <w:pStyle w:val="63"/>
            </w:pPr>
            <w:r>
              <w:t>化学沉淀+絮凝沉淀+板框压滤+后续</w:t>
            </w:r>
          </w:p>
        </w:tc>
        <w:tc>
          <w:tcPr>
            <w:tcW w:w="612" w:type="pct"/>
            <w:vMerge w:val="restart"/>
            <w:vAlign w:val="center"/>
          </w:tcPr>
          <w:p>
            <w:pPr>
              <w:pStyle w:val="63"/>
            </w:pPr>
            <w:r>
              <w:t>机械过滤+自清洗过滤+超滤+三级反渗透（浓水采用MVR）</w:t>
            </w:r>
          </w:p>
        </w:tc>
        <w:tc>
          <w:tcPr>
            <w:tcW w:w="681" w:type="pct"/>
            <w:vMerge w:val="restart"/>
            <w:vAlign w:val="center"/>
          </w:tcPr>
          <w:p>
            <w:pPr>
              <w:pStyle w:val="63"/>
            </w:pPr>
            <w:r>
              <w:t>全部回用，不外排</w:t>
            </w:r>
          </w:p>
        </w:tc>
        <w:tc>
          <w:tcPr>
            <w:tcW w:w="986" w:type="pct"/>
            <w:vMerge w:val="restart"/>
            <w:vAlign w:val="center"/>
          </w:tcPr>
          <w:p>
            <w:pPr>
              <w:pStyle w:val="63"/>
            </w:pPr>
            <w:r>
              <w:t>pH、悬浮物、化学需氧量、硫酸盐、氯化物、总镍、总锰、总钴</w:t>
            </w:r>
          </w:p>
        </w:tc>
        <w:tc>
          <w:tcPr>
            <w:tcW w:w="775" w:type="pct"/>
            <w:vMerge w:val="restart"/>
            <w:vAlign w:val="center"/>
          </w:tcPr>
          <w:p>
            <w:pPr>
              <w:pStyle w:val="63"/>
            </w:pPr>
            <w:r>
              <w:t>《城市污水再生利用工业用水水质》（GB/T19923－2005）中“工艺与产品用水”标准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t>纯水制备浓水、锅炉排污水、酸雾洗涤废水</w:t>
            </w:r>
          </w:p>
        </w:tc>
        <w:tc>
          <w:tcPr>
            <w:tcW w:w="612" w:type="pct"/>
            <w:vAlign w:val="center"/>
          </w:tcPr>
          <w:p>
            <w:pPr>
              <w:pStyle w:val="63"/>
            </w:pPr>
            <w:r>
              <w:t>/</w:t>
            </w:r>
          </w:p>
        </w:tc>
        <w:tc>
          <w:tcPr>
            <w:tcW w:w="612" w:type="pct"/>
            <w:vMerge w:val="continue"/>
            <w:vAlign w:val="center"/>
          </w:tcPr>
          <w:p>
            <w:pPr>
              <w:pStyle w:val="63"/>
            </w:pPr>
          </w:p>
        </w:tc>
        <w:tc>
          <w:tcPr>
            <w:tcW w:w="681" w:type="pct"/>
            <w:vMerge w:val="continue"/>
            <w:vAlign w:val="center"/>
          </w:tcPr>
          <w:p>
            <w:pPr>
              <w:pStyle w:val="63"/>
            </w:pPr>
          </w:p>
        </w:tc>
        <w:tc>
          <w:tcPr>
            <w:tcW w:w="986" w:type="pct"/>
            <w:vMerge w:val="continue"/>
            <w:vAlign w:val="center"/>
          </w:tcPr>
          <w:p>
            <w:pPr>
              <w:pStyle w:val="63"/>
            </w:pPr>
          </w:p>
        </w:tc>
        <w:tc>
          <w:tcPr>
            <w:tcW w:w="775" w:type="pct"/>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t>生活污水</w:t>
            </w:r>
          </w:p>
        </w:tc>
        <w:tc>
          <w:tcPr>
            <w:tcW w:w="1905" w:type="pct"/>
            <w:gridSpan w:val="3"/>
            <w:vAlign w:val="center"/>
          </w:tcPr>
          <w:p>
            <w:pPr>
              <w:pStyle w:val="63"/>
            </w:pPr>
            <w:r>
              <w:t>化粪池</w:t>
            </w:r>
          </w:p>
        </w:tc>
        <w:tc>
          <w:tcPr>
            <w:tcW w:w="1761" w:type="pct"/>
            <w:gridSpan w:val="2"/>
            <w:vAlign w:val="center"/>
          </w:tcPr>
          <w:p>
            <w:pPr>
              <w:pStyle w:val="63"/>
            </w:pPr>
            <w:r>
              <w:t>《污水综合排放标准》“三级”标准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Align w:val="center"/>
          </w:tcPr>
          <w:p>
            <w:pPr>
              <w:pStyle w:val="63"/>
            </w:pPr>
            <w:r>
              <w:t>噪声治理</w:t>
            </w:r>
          </w:p>
        </w:tc>
        <w:tc>
          <w:tcPr>
            <w:tcW w:w="982" w:type="pct"/>
            <w:vAlign w:val="center"/>
          </w:tcPr>
          <w:p>
            <w:pPr>
              <w:pStyle w:val="63"/>
            </w:pPr>
            <w:r>
              <w:t>厂界噪声</w:t>
            </w:r>
          </w:p>
        </w:tc>
        <w:tc>
          <w:tcPr>
            <w:tcW w:w="1224" w:type="pct"/>
            <w:gridSpan w:val="2"/>
            <w:vAlign w:val="center"/>
          </w:tcPr>
          <w:p>
            <w:pPr>
              <w:pStyle w:val="63"/>
            </w:pPr>
            <w:r>
              <w:t>合理布局、综合治理</w:t>
            </w:r>
          </w:p>
          <w:p>
            <w:pPr>
              <w:pStyle w:val="63"/>
            </w:pPr>
            <w:r>
              <w:t>减振、隔声、降噪等措施</w:t>
            </w:r>
          </w:p>
        </w:tc>
        <w:tc>
          <w:tcPr>
            <w:tcW w:w="681" w:type="pct"/>
            <w:vAlign w:val="center"/>
          </w:tcPr>
          <w:p>
            <w:pPr>
              <w:pStyle w:val="63"/>
            </w:pPr>
            <w:r>
              <w:t>/</w:t>
            </w:r>
          </w:p>
        </w:tc>
        <w:tc>
          <w:tcPr>
            <w:tcW w:w="1761" w:type="pct"/>
            <w:gridSpan w:val="2"/>
            <w:vAlign w:val="center"/>
          </w:tcPr>
          <w:p>
            <w:pPr>
              <w:pStyle w:val="63"/>
            </w:pPr>
            <w:r>
              <w:t>GB12348-2008中3类标准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restart"/>
            <w:vAlign w:val="center"/>
          </w:tcPr>
          <w:p>
            <w:pPr>
              <w:pStyle w:val="63"/>
            </w:pPr>
            <w:r>
              <w:t>固体废物</w:t>
            </w:r>
          </w:p>
        </w:tc>
        <w:tc>
          <w:tcPr>
            <w:tcW w:w="982" w:type="pct"/>
            <w:vAlign w:val="center"/>
          </w:tcPr>
          <w:p>
            <w:pPr>
              <w:pStyle w:val="63"/>
            </w:pPr>
            <w:r>
              <w:rPr>
                <w:lang w:val="zh-CN"/>
              </w:rPr>
              <w:t>电池包铁外壳</w:t>
            </w:r>
          </w:p>
        </w:tc>
        <w:tc>
          <w:tcPr>
            <w:tcW w:w="1224" w:type="pct"/>
            <w:gridSpan w:val="2"/>
            <w:vMerge w:val="restart"/>
            <w:vAlign w:val="center"/>
          </w:tcPr>
          <w:p>
            <w:pPr>
              <w:pStyle w:val="63"/>
            </w:pPr>
            <w:r>
              <w:t>外售</w:t>
            </w:r>
          </w:p>
        </w:tc>
        <w:tc>
          <w:tcPr>
            <w:tcW w:w="681" w:type="pct"/>
            <w:vMerge w:val="restart"/>
            <w:vAlign w:val="center"/>
          </w:tcPr>
          <w:p>
            <w:pPr>
              <w:pStyle w:val="63"/>
            </w:pPr>
            <w:r>
              <w:t>妥善处置，不外排</w:t>
            </w:r>
          </w:p>
        </w:tc>
        <w:tc>
          <w:tcPr>
            <w:tcW w:w="1761" w:type="pct"/>
            <w:gridSpan w:val="2"/>
            <w:vMerge w:val="restart"/>
            <w:vAlign w:val="center"/>
          </w:tcPr>
          <w:p>
            <w:pPr>
              <w:pStyle w:val="63"/>
            </w:pPr>
            <w:r>
              <w:t>妥善处置，不外排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rPr>
                <w:lang w:val="zh-CN"/>
              </w:rPr>
              <w:t>导流排（铜）</w:t>
            </w:r>
          </w:p>
        </w:tc>
        <w:tc>
          <w:tcPr>
            <w:tcW w:w="1224" w:type="pct"/>
            <w:gridSpan w:val="2"/>
            <w:vMerge w:val="continue"/>
            <w:vAlign w:val="center"/>
          </w:tcPr>
          <w:p>
            <w:pPr>
              <w:pStyle w:val="63"/>
            </w:pPr>
          </w:p>
        </w:tc>
        <w:tc>
          <w:tcPr>
            <w:tcW w:w="681" w:type="pct"/>
            <w:vMerge w:val="continue"/>
            <w:vAlign w:val="center"/>
          </w:tcPr>
          <w:p>
            <w:pPr>
              <w:pStyle w:val="63"/>
            </w:pPr>
          </w:p>
        </w:tc>
        <w:tc>
          <w:tcPr>
            <w:tcW w:w="1761"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rPr>
                <w:lang w:val="zh-CN"/>
              </w:rPr>
              <w:t>导流排（铝）</w:t>
            </w:r>
          </w:p>
        </w:tc>
        <w:tc>
          <w:tcPr>
            <w:tcW w:w="1224" w:type="pct"/>
            <w:gridSpan w:val="2"/>
            <w:vMerge w:val="continue"/>
            <w:vAlign w:val="center"/>
          </w:tcPr>
          <w:p>
            <w:pPr>
              <w:pStyle w:val="63"/>
            </w:pPr>
          </w:p>
        </w:tc>
        <w:tc>
          <w:tcPr>
            <w:tcW w:w="681" w:type="pct"/>
            <w:vMerge w:val="continue"/>
            <w:vAlign w:val="center"/>
          </w:tcPr>
          <w:p>
            <w:pPr>
              <w:pStyle w:val="63"/>
            </w:pPr>
          </w:p>
        </w:tc>
        <w:tc>
          <w:tcPr>
            <w:tcW w:w="1761"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rPr>
                <w:lang w:val="zh-CN"/>
              </w:rPr>
              <w:t>线材</w:t>
            </w:r>
          </w:p>
        </w:tc>
        <w:tc>
          <w:tcPr>
            <w:tcW w:w="1224" w:type="pct"/>
            <w:gridSpan w:val="2"/>
            <w:vMerge w:val="continue"/>
            <w:vAlign w:val="center"/>
          </w:tcPr>
          <w:p>
            <w:pPr>
              <w:pStyle w:val="63"/>
            </w:pPr>
          </w:p>
        </w:tc>
        <w:tc>
          <w:tcPr>
            <w:tcW w:w="681" w:type="pct"/>
            <w:vMerge w:val="continue"/>
            <w:vAlign w:val="center"/>
          </w:tcPr>
          <w:p>
            <w:pPr>
              <w:pStyle w:val="63"/>
            </w:pPr>
          </w:p>
        </w:tc>
        <w:tc>
          <w:tcPr>
            <w:tcW w:w="1761"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rPr>
                <w:lang w:val="zh-CN"/>
              </w:rPr>
              <w:t>电池包塑料件</w:t>
            </w:r>
          </w:p>
        </w:tc>
        <w:tc>
          <w:tcPr>
            <w:tcW w:w="1224" w:type="pct"/>
            <w:gridSpan w:val="2"/>
            <w:vMerge w:val="continue"/>
            <w:vAlign w:val="center"/>
          </w:tcPr>
          <w:p>
            <w:pPr>
              <w:pStyle w:val="63"/>
            </w:pPr>
          </w:p>
        </w:tc>
        <w:tc>
          <w:tcPr>
            <w:tcW w:w="681" w:type="pct"/>
            <w:vMerge w:val="continue"/>
            <w:vAlign w:val="center"/>
          </w:tcPr>
          <w:p>
            <w:pPr>
              <w:pStyle w:val="63"/>
            </w:pPr>
          </w:p>
        </w:tc>
        <w:tc>
          <w:tcPr>
            <w:tcW w:w="1761"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352" w:type="pct"/>
            <w:vMerge w:val="continue"/>
            <w:vAlign w:val="center"/>
          </w:tcPr>
          <w:p>
            <w:pPr>
              <w:pStyle w:val="63"/>
            </w:pPr>
          </w:p>
        </w:tc>
        <w:tc>
          <w:tcPr>
            <w:tcW w:w="982" w:type="pct"/>
            <w:vAlign w:val="center"/>
          </w:tcPr>
          <w:p>
            <w:pPr>
              <w:pStyle w:val="63"/>
            </w:pPr>
            <w:r>
              <w:t>石墨</w:t>
            </w:r>
          </w:p>
        </w:tc>
        <w:tc>
          <w:tcPr>
            <w:tcW w:w="1224" w:type="pct"/>
            <w:gridSpan w:val="2"/>
            <w:vMerge w:val="restart"/>
            <w:vAlign w:val="center"/>
          </w:tcPr>
          <w:p>
            <w:pPr>
              <w:pStyle w:val="63"/>
            </w:pPr>
            <w:r>
              <w:t>外售</w:t>
            </w:r>
          </w:p>
        </w:tc>
        <w:tc>
          <w:tcPr>
            <w:tcW w:w="681" w:type="pct"/>
            <w:vMerge w:val="continue"/>
            <w:vAlign w:val="center"/>
          </w:tcPr>
          <w:p>
            <w:pPr>
              <w:pStyle w:val="63"/>
            </w:pPr>
          </w:p>
        </w:tc>
        <w:tc>
          <w:tcPr>
            <w:tcW w:w="1761"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t>铁铝渣</w:t>
            </w:r>
          </w:p>
        </w:tc>
        <w:tc>
          <w:tcPr>
            <w:tcW w:w="1224" w:type="pct"/>
            <w:gridSpan w:val="2"/>
            <w:vMerge w:val="continue"/>
            <w:vAlign w:val="center"/>
          </w:tcPr>
          <w:p>
            <w:pPr>
              <w:pStyle w:val="63"/>
            </w:pPr>
          </w:p>
        </w:tc>
        <w:tc>
          <w:tcPr>
            <w:tcW w:w="681" w:type="pct"/>
            <w:vMerge w:val="continue"/>
            <w:vAlign w:val="center"/>
          </w:tcPr>
          <w:p>
            <w:pPr>
              <w:pStyle w:val="63"/>
            </w:pPr>
          </w:p>
        </w:tc>
        <w:tc>
          <w:tcPr>
            <w:tcW w:w="1761"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t>海绵铜渣</w:t>
            </w:r>
          </w:p>
        </w:tc>
        <w:tc>
          <w:tcPr>
            <w:tcW w:w="1224" w:type="pct"/>
            <w:gridSpan w:val="2"/>
            <w:vMerge w:val="continue"/>
            <w:vAlign w:val="center"/>
          </w:tcPr>
          <w:p>
            <w:pPr>
              <w:pStyle w:val="63"/>
            </w:pPr>
          </w:p>
        </w:tc>
        <w:tc>
          <w:tcPr>
            <w:tcW w:w="681" w:type="pct"/>
            <w:vMerge w:val="continue"/>
            <w:vAlign w:val="center"/>
          </w:tcPr>
          <w:p>
            <w:pPr>
              <w:pStyle w:val="63"/>
            </w:pPr>
          </w:p>
        </w:tc>
        <w:tc>
          <w:tcPr>
            <w:tcW w:w="1761"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t>氟化钙污泥</w:t>
            </w:r>
          </w:p>
        </w:tc>
        <w:tc>
          <w:tcPr>
            <w:tcW w:w="1224" w:type="pct"/>
            <w:gridSpan w:val="2"/>
            <w:vMerge w:val="continue"/>
            <w:vAlign w:val="center"/>
          </w:tcPr>
          <w:p>
            <w:pPr>
              <w:pStyle w:val="63"/>
            </w:pPr>
          </w:p>
        </w:tc>
        <w:tc>
          <w:tcPr>
            <w:tcW w:w="681" w:type="pct"/>
            <w:vMerge w:val="continue"/>
            <w:vAlign w:val="center"/>
          </w:tcPr>
          <w:p>
            <w:pPr>
              <w:pStyle w:val="63"/>
            </w:pPr>
          </w:p>
        </w:tc>
        <w:tc>
          <w:tcPr>
            <w:tcW w:w="1761"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352" w:type="pct"/>
            <w:vMerge w:val="continue"/>
            <w:vAlign w:val="center"/>
          </w:tcPr>
          <w:p>
            <w:pPr>
              <w:pStyle w:val="63"/>
            </w:pPr>
          </w:p>
        </w:tc>
        <w:tc>
          <w:tcPr>
            <w:tcW w:w="982" w:type="pct"/>
            <w:vAlign w:val="center"/>
          </w:tcPr>
          <w:p>
            <w:pPr>
              <w:pStyle w:val="63"/>
            </w:pPr>
            <w:r>
              <w:t>废水处理盐类物质</w:t>
            </w:r>
          </w:p>
        </w:tc>
        <w:tc>
          <w:tcPr>
            <w:tcW w:w="1224" w:type="pct"/>
            <w:gridSpan w:val="2"/>
            <w:vAlign w:val="center"/>
          </w:tcPr>
          <w:p>
            <w:pPr>
              <w:pStyle w:val="63"/>
            </w:pPr>
            <w:r>
              <w:t>需先进行属性判定，在属性判定前，按照危废暂存</w:t>
            </w:r>
          </w:p>
        </w:tc>
        <w:tc>
          <w:tcPr>
            <w:tcW w:w="681" w:type="pct"/>
            <w:vMerge w:val="continue"/>
            <w:vAlign w:val="center"/>
          </w:tcPr>
          <w:p>
            <w:pPr>
              <w:pStyle w:val="63"/>
            </w:pPr>
          </w:p>
        </w:tc>
        <w:tc>
          <w:tcPr>
            <w:tcW w:w="1761"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t>纯水制备废弃离子交换树脂</w:t>
            </w:r>
          </w:p>
        </w:tc>
        <w:tc>
          <w:tcPr>
            <w:tcW w:w="1224" w:type="pct"/>
            <w:gridSpan w:val="2"/>
            <w:vMerge w:val="restart"/>
            <w:vAlign w:val="center"/>
          </w:tcPr>
          <w:p>
            <w:pPr>
              <w:pStyle w:val="63"/>
            </w:pPr>
            <w:r>
              <w:t>交由环卫部门处理</w:t>
            </w:r>
          </w:p>
        </w:tc>
        <w:tc>
          <w:tcPr>
            <w:tcW w:w="681" w:type="pct"/>
            <w:vMerge w:val="continue"/>
            <w:vAlign w:val="center"/>
          </w:tcPr>
          <w:p>
            <w:pPr>
              <w:pStyle w:val="63"/>
            </w:pPr>
          </w:p>
        </w:tc>
        <w:tc>
          <w:tcPr>
            <w:tcW w:w="1761"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t>纯水制备废活性炭</w:t>
            </w:r>
          </w:p>
        </w:tc>
        <w:tc>
          <w:tcPr>
            <w:tcW w:w="1224" w:type="pct"/>
            <w:gridSpan w:val="2"/>
            <w:vMerge w:val="continue"/>
            <w:vAlign w:val="center"/>
          </w:tcPr>
          <w:p>
            <w:pPr>
              <w:pStyle w:val="63"/>
            </w:pPr>
          </w:p>
        </w:tc>
        <w:tc>
          <w:tcPr>
            <w:tcW w:w="681" w:type="pct"/>
            <w:vMerge w:val="continue"/>
            <w:vAlign w:val="center"/>
          </w:tcPr>
          <w:p>
            <w:pPr>
              <w:pStyle w:val="63"/>
            </w:pPr>
          </w:p>
        </w:tc>
        <w:tc>
          <w:tcPr>
            <w:tcW w:w="1761"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t>废过滤棉、废活性炭</w:t>
            </w:r>
          </w:p>
        </w:tc>
        <w:tc>
          <w:tcPr>
            <w:tcW w:w="1224" w:type="pct"/>
            <w:gridSpan w:val="2"/>
            <w:vMerge w:val="restart"/>
            <w:vAlign w:val="center"/>
          </w:tcPr>
          <w:p>
            <w:pPr>
              <w:pStyle w:val="63"/>
            </w:pPr>
            <w:r>
              <w:t>交由有资质的单位处理</w:t>
            </w:r>
          </w:p>
        </w:tc>
        <w:tc>
          <w:tcPr>
            <w:tcW w:w="681" w:type="pct"/>
            <w:vMerge w:val="continue"/>
            <w:vAlign w:val="center"/>
          </w:tcPr>
          <w:p>
            <w:pPr>
              <w:pStyle w:val="63"/>
            </w:pPr>
          </w:p>
        </w:tc>
        <w:tc>
          <w:tcPr>
            <w:tcW w:w="1761"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t>废布袋</w:t>
            </w:r>
          </w:p>
        </w:tc>
        <w:tc>
          <w:tcPr>
            <w:tcW w:w="1224" w:type="pct"/>
            <w:gridSpan w:val="2"/>
            <w:vMerge w:val="continue"/>
            <w:vAlign w:val="center"/>
          </w:tcPr>
          <w:p>
            <w:pPr>
              <w:pStyle w:val="63"/>
            </w:pPr>
          </w:p>
        </w:tc>
        <w:tc>
          <w:tcPr>
            <w:tcW w:w="681" w:type="pct"/>
            <w:vMerge w:val="continue"/>
            <w:vAlign w:val="center"/>
          </w:tcPr>
          <w:p>
            <w:pPr>
              <w:pStyle w:val="63"/>
            </w:pPr>
          </w:p>
        </w:tc>
        <w:tc>
          <w:tcPr>
            <w:tcW w:w="1761"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t>设备检修过程产生的废机油</w:t>
            </w:r>
          </w:p>
        </w:tc>
        <w:tc>
          <w:tcPr>
            <w:tcW w:w="1224" w:type="pct"/>
            <w:gridSpan w:val="2"/>
            <w:vMerge w:val="continue"/>
            <w:vAlign w:val="center"/>
          </w:tcPr>
          <w:p>
            <w:pPr>
              <w:pStyle w:val="63"/>
            </w:pPr>
          </w:p>
        </w:tc>
        <w:tc>
          <w:tcPr>
            <w:tcW w:w="681" w:type="pct"/>
            <w:vMerge w:val="continue"/>
            <w:vAlign w:val="center"/>
          </w:tcPr>
          <w:p>
            <w:pPr>
              <w:pStyle w:val="63"/>
            </w:pPr>
          </w:p>
        </w:tc>
        <w:tc>
          <w:tcPr>
            <w:tcW w:w="1761"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352" w:type="pct"/>
            <w:vMerge w:val="continue"/>
            <w:vAlign w:val="center"/>
          </w:tcPr>
          <w:p>
            <w:pPr>
              <w:pStyle w:val="63"/>
            </w:pPr>
          </w:p>
        </w:tc>
        <w:tc>
          <w:tcPr>
            <w:tcW w:w="982" w:type="pct"/>
            <w:vAlign w:val="center"/>
          </w:tcPr>
          <w:p>
            <w:pPr>
              <w:pStyle w:val="63"/>
            </w:pPr>
            <w:r>
              <w:t>实验室废液</w:t>
            </w:r>
          </w:p>
        </w:tc>
        <w:tc>
          <w:tcPr>
            <w:tcW w:w="1224" w:type="pct"/>
            <w:gridSpan w:val="2"/>
            <w:vMerge w:val="continue"/>
            <w:vAlign w:val="center"/>
          </w:tcPr>
          <w:p>
            <w:pPr>
              <w:pStyle w:val="63"/>
            </w:pPr>
          </w:p>
        </w:tc>
        <w:tc>
          <w:tcPr>
            <w:tcW w:w="681" w:type="pct"/>
            <w:vMerge w:val="continue"/>
            <w:vAlign w:val="center"/>
          </w:tcPr>
          <w:p>
            <w:pPr>
              <w:pStyle w:val="63"/>
            </w:pPr>
          </w:p>
        </w:tc>
        <w:tc>
          <w:tcPr>
            <w:tcW w:w="1761"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rPr>
                <w:lang w:val="zh-CN"/>
              </w:rPr>
              <w:t>废BMS模块</w:t>
            </w:r>
          </w:p>
        </w:tc>
        <w:tc>
          <w:tcPr>
            <w:tcW w:w="1224" w:type="pct"/>
            <w:gridSpan w:val="2"/>
            <w:vMerge w:val="continue"/>
            <w:vAlign w:val="center"/>
          </w:tcPr>
          <w:p>
            <w:pPr>
              <w:pStyle w:val="63"/>
            </w:pPr>
          </w:p>
        </w:tc>
        <w:tc>
          <w:tcPr>
            <w:tcW w:w="681" w:type="pct"/>
            <w:vMerge w:val="continue"/>
            <w:vAlign w:val="center"/>
          </w:tcPr>
          <w:p>
            <w:pPr>
              <w:pStyle w:val="63"/>
            </w:pPr>
          </w:p>
        </w:tc>
        <w:tc>
          <w:tcPr>
            <w:tcW w:w="1761"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rPr>
                <w:lang w:val="zh-CN"/>
              </w:rPr>
              <w:t>废电池</w:t>
            </w:r>
          </w:p>
        </w:tc>
        <w:tc>
          <w:tcPr>
            <w:tcW w:w="1224" w:type="pct"/>
            <w:gridSpan w:val="2"/>
            <w:vAlign w:val="center"/>
          </w:tcPr>
          <w:p>
            <w:pPr>
              <w:pStyle w:val="63"/>
            </w:pPr>
            <w:r>
              <w:rPr>
                <w:lang w:val="zh-CN"/>
              </w:rPr>
              <w:t>送预处理车间</w:t>
            </w:r>
          </w:p>
        </w:tc>
        <w:tc>
          <w:tcPr>
            <w:tcW w:w="681" w:type="pct"/>
            <w:vMerge w:val="continue"/>
            <w:vAlign w:val="center"/>
          </w:tcPr>
          <w:p>
            <w:pPr>
              <w:pStyle w:val="63"/>
            </w:pPr>
          </w:p>
        </w:tc>
        <w:tc>
          <w:tcPr>
            <w:tcW w:w="1761"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Merge w:val="continue"/>
            <w:vAlign w:val="center"/>
          </w:tcPr>
          <w:p>
            <w:pPr>
              <w:pStyle w:val="63"/>
            </w:pPr>
          </w:p>
        </w:tc>
        <w:tc>
          <w:tcPr>
            <w:tcW w:w="982" w:type="pct"/>
            <w:vAlign w:val="center"/>
          </w:tcPr>
          <w:p>
            <w:pPr>
              <w:pStyle w:val="63"/>
            </w:pPr>
            <w:r>
              <w:t>生活垃圾</w:t>
            </w:r>
          </w:p>
        </w:tc>
        <w:tc>
          <w:tcPr>
            <w:tcW w:w="1224" w:type="pct"/>
            <w:gridSpan w:val="2"/>
            <w:vAlign w:val="center"/>
          </w:tcPr>
          <w:p>
            <w:pPr>
              <w:pStyle w:val="63"/>
            </w:pPr>
            <w:r>
              <w:t>交由环卫部门及时清运处理</w:t>
            </w:r>
          </w:p>
        </w:tc>
        <w:tc>
          <w:tcPr>
            <w:tcW w:w="681" w:type="pct"/>
            <w:vMerge w:val="continue"/>
            <w:vAlign w:val="center"/>
          </w:tcPr>
          <w:p>
            <w:pPr>
              <w:pStyle w:val="63"/>
            </w:pPr>
          </w:p>
        </w:tc>
        <w:tc>
          <w:tcPr>
            <w:tcW w:w="1761"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352" w:type="pct"/>
            <w:vAlign w:val="center"/>
          </w:tcPr>
          <w:p>
            <w:pPr>
              <w:pStyle w:val="63"/>
            </w:pPr>
            <w:r>
              <w:t>风险及其它</w:t>
            </w:r>
          </w:p>
        </w:tc>
        <w:tc>
          <w:tcPr>
            <w:tcW w:w="4648" w:type="pct"/>
            <w:gridSpan w:val="6"/>
            <w:vAlign w:val="center"/>
          </w:tcPr>
          <w:p>
            <w:pPr>
              <w:pStyle w:val="63"/>
            </w:pPr>
            <w:r>
              <w:t>有完善的应急体系，具有可操作性，各项防护措施、纠正措施记录；初雨池、应急事故池等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2" w:type="pct"/>
            <w:vAlign w:val="center"/>
          </w:tcPr>
          <w:p>
            <w:pPr>
              <w:pStyle w:val="63"/>
            </w:pPr>
            <w:r>
              <w:t>环境管理</w:t>
            </w:r>
          </w:p>
        </w:tc>
        <w:tc>
          <w:tcPr>
            <w:tcW w:w="4648" w:type="pct"/>
            <w:gridSpan w:val="6"/>
            <w:vAlign w:val="center"/>
          </w:tcPr>
          <w:p>
            <w:pPr>
              <w:pStyle w:val="63"/>
            </w:pPr>
            <w:r>
              <w:t>配备专门的环保专干、按照环境风险事故应急预案定期进行培训演练</w:t>
            </w:r>
          </w:p>
        </w:tc>
      </w:tr>
    </w:tbl>
    <w:p>
      <w:pPr>
        <w:spacing w:line="360" w:lineRule="auto"/>
        <w:ind w:firstLine="480" w:firstLineChars="200"/>
        <w:rPr>
          <w:rFonts w:ascii="Times New Roman" w:hAnsi="Times New Roman" w:cs="Times New Roman"/>
        </w:rPr>
        <w:sectPr>
          <w:pgSz w:w="16840" w:h="11907" w:orient="landscape"/>
          <w:pgMar w:top="1418" w:right="1418" w:bottom="1418" w:left="1418" w:header="851" w:footer="992" w:gutter="0"/>
          <w:cols w:space="720" w:num="1"/>
          <w:docGrid w:linePitch="312" w:charSpace="0"/>
        </w:sectPr>
      </w:pPr>
    </w:p>
    <w:p>
      <w:pPr>
        <w:pStyle w:val="6"/>
        <w:rPr>
          <w:rFonts w:ascii="Times New Roman" w:hAnsi="Times New Roman" w:cs="Times New Roman"/>
        </w:rPr>
      </w:pPr>
      <w:r>
        <w:rPr>
          <w:rFonts w:ascii="Times New Roman" w:hAnsi="Times New Roman" w:cs="Times New Roman"/>
        </w:rPr>
        <w:t>表12.3-2  工程竣工环境保护验收项目表—梯次利用车间</w:t>
      </w:r>
    </w:p>
    <w:tbl>
      <w:tblPr>
        <w:tblStyle w:val="3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27"/>
        <w:gridCol w:w="2267"/>
        <w:gridCol w:w="3481"/>
        <w:gridCol w:w="1763"/>
        <w:gridCol w:w="1985"/>
        <w:gridCol w:w="31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7" w:type="pct"/>
            <w:vAlign w:val="center"/>
          </w:tcPr>
          <w:p>
            <w:pPr>
              <w:pStyle w:val="63"/>
            </w:pPr>
            <w:r>
              <w:t>类别</w:t>
            </w:r>
          </w:p>
        </w:tc>
        <w:tc>
          <w:tcPr>
            <w:tcW w:w="797" w:type="pct"/>
            <w:vAlign w:val="center"/>
          </w:tcPr>
          <w:p>
            <w:pPr>
              <w:pStyle w:val="63"/>
            </w:pPr>
            <w:r>
              <w:t>项目</w:t>
            </w:r>
          </w:p>
        </w:tc>
        <w:tc>
          <w:tcPr>
            <w:tcW w:w="1224" w:type="pct"/>
            <w:vAlign w:val="center"/>
          </w:tcPr>
          <w:p>
            <w:pPr>
              <w:pStyle w:val="63"/>
            </w:pPr>
            <w:r>
              <w:t>环保设施</w:t>
            </w:r>
          </w:p>
        </w:tc>
        <w:tc>
          <w:tcPr>
            <w:tcW w:w="620" w:type="pct"/>
            <w:vAlign w:val="center"/>
          </w:tcPr>
          <w:p>
            <w:pPr>
              <w:pStyle w:val="63"/>
            </w:pPr>
            <w:r>
              <w:t>排放方式</w:t>
            </w:r>
          </w:p>
        </w:tc>
        <w:tc>
          <w:tcPr>
            <w:tcW w:w="698" w:type="pct"/>
            <w:vAlign w:val="center"/>
          </w:tcPr>
          <w:p>
            <w:pPr>
              <w:pStyle w:val="63"/>
            </w:pPr>
            <w:r>
              <w:t>验收内容</w:t>
            </w:r>
          </w:p>
        </w:tc>
        <w:tc>
          <w:tcPr>
            <w:tcW w:w="1124" w:type="pct"/>
            <w:vAlign w:val="center"/>
          </w:tcPr>
          <w:p>
            <w:pPr>
              <w:pStyle w:val="63"/>
            </w:pPr>
            <w:r>
              <w:t>验收标准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7" w:type="pct"/>
            <w:vAlign w:val="center"/>
          </w:tcPr>
          <w:p>
            <w:pPr>
              <w:pStyle w:val="63"/>
            </w:pPr>
            <w:r>
              <w:t>废气治理</w:t>
            </w:r>
          </w:p>
        </w:tc>
        <w:tc>
          <w:tcPr>
            <w:tcW w:w="797" w:type="pct"/>
            <w:vAlign w:val="center"/>
          </w:tcPr>
          <w:p>
            <w:pPr>
              <w:pStyle w:val="63"/>
            </w:pPr>
            <w:r>
              <w:t>焊接烟尘</w:t>
            </w:r>
          </w:p>
        </w:tc>
        <w:tc>
          <w:tcPr>
            <w:tcW w:w="1224" w:type="pct"/>
            <w:vAlign w:val="center"/>
          </w:tcPr>
          <w:p>
            <w:pPr>
              <w:pStyle w:val="63"/>
            </w:pPr>
            <w:r>
              <w:t>机械通风</w:t>
            </w:r>
          </w:p>
        </w:tc>
        <w:tc>
          <w:tcPr>
            <w:tcW w:w="620" w:type="pct"/>
            <w:vAlign w:val="center"/>
          </w:tcPr>
          <w:p>
            <w:pPr>
              <w:pStyle w:val="63"/>
            </w:pPr>
            <w:r>
              <w:t>/</w:t>
            </w:r>
          </w:p>
        </w:tc>
        <w:tc>
          <w:tcPr>
            <w:tcW w:w="698" w:type="pct"/>
            <w:vAlign w:val="center"/>
          </w:tcPr>
          <w:p>
            <w:pPr>
              <w:pStyle w:val="63"/>
            </w:pPr>
            <w:r>
              <w:t>颗粒物</w:t>
            </w:r>
          </w:p>
        </w:tc>
        <w:tc>
          <w:tcPr>
            <w:tcW w:w="1124" w:type="pct"/>
            <w:vAlign w:val="center"/>
          </w:tcPr>
          <w:p>
            <w:pPr>
              <w:pStyle w:val="63"/>
            </w:pPr>
            <w:r>
              <w:t>《大气污染物综合排放标准》（GB16297-1996）表2中无组织排放监控浓度限值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7" w:type="pct"/>
            <w:vAlign w:val="center"/>
          </w:tcPr>
          <w:p>
            <w:pPr>
              <w:pStyle w:val="63"/>
            </w:pPr>
            <w:r>
              <w:t>废水治理</w:t>
            </w:r>
          </w:p>
        </w:tc>
        <w:tc>
          <w:tcPr>
            <w:tcW w:w="797" w:type="pct"/>
            <w:vAlign w:val="center"/>
          </w:tcPr>
          <w:p>
            <w:pPr>
              <w:pStyle w:val="63"/>
            </w:pPr>
            <w:r>
              <w:t>生活污水</w:t>
            </w:r>
          </w:p>
        </w:tc>
        <w:tc>
          <w:tcPr>
            <w:tcW w:w="1844" w:type="pct"/>
            <w:gridSpan w:val="2"/>
            <w:vAlign w:val="center"/>
          </w:tcPr>
          <w:p>
            <w:pPr>
              <w:pStyle w:val="63"/>
            </w:pPr>
            <w:r>
              <w:t>化粪池</w:t>
            </w:r>
          </w:p>
        </w:tc>
        <w:tc>
          <w:tcPr>
            <w:tcW w:w="1822" w:type="pct"/>
            <w:gridSpan w:val="2"/>
            <w:vAlign w:val="center"/>
          </w:tcPr>
          <w:p>
            <w:pPr>
              <w:pStyle w:val="63"/>
            </w:pPr>
            <w:r>
              <w:t>《污水综合排放标准》“三级”标准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7" w:type="pct"/>
            <w:vAlign w:val="center"/>
          </w:tcPr>
          <w:p>
            <w:pPr>
              <w:pStyle w:val="63"/>
            </w:pPr>
            <w:r>
              <w:t>噪声治理</w:t>
            </w:r>
          </w:p>
        </w:tc>
        <w:tc>
          <w:tcPr>
            <w:tcW w:w="797" w:type="pct"/>
            <w:vAlign w:val="center"/>
          </w:tcPr>
          <w:p>
            <w:pPr>
              <w:pStyle w:val="63"/>
            </w:pPr>
            <w:r>
              <w:t>厂界噪声</w:t>
            </w:r>
          </w:p>
        </w:tc>
        <w:tc>
          <w:tcPr>
            <w:tcW w:w="1224" w:type="pct"/>
            <w:vAlign w:val="center"/>
          </w:tcPr>
          <w:p>
            <w:pPr>
              <w:pStyle w:val="63"/>
            </w:pPr>
            <w:r>
              <w:t>合理布局、综合治理</w:t>
            </w:r>
          </w:p>
          <w:p>
            <w:pPr>
              <w:pStyle w:val="63"/>
            </w:pPr>
            <w:r>
              <w:t>减振、隔声、降噪等措施</w:t>
            </w:r>
          </w:p>
        </w:tc>
        <w:tc>
          <w:tcPr>
            <w:tcW w:w="620" w:type="pct"/>
            <w:vAlign w:val="center"/>
          </w:tcPr>
          <w:p>
            <w:pPr>
              <w:pStyle w:val="63"/>
            </w:pPr>
            <w:r>
              <w:t>/</w:t>
            </w:r>
          </w:p>
        </w:tc>
        <w:tc>
          <w:tcPr>
            <w:tcW w:w="1822" w:type="pct"/>
            <w:gridSpan w:val="2"/>
            <w:vAlign w:val="center"/>
          </w:tcPr>
          <w:p>
            <w:pPr>
              <w:pStyle w:val="63"/>
            </w:pPr>
            <w:r>
              <w:t>GB12348-2008中3类标准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7" w:type="pct"/>
            <w:vMerge w:val="restart"/>
            <w:vAlign w:val="center"/>
          </w:tcPr>
          <w:p>
            <w:pPr>
              <w:pStyle w:val="63"/>
            </w:pPr>
            <w:r>
              <w:t>固体废物</w:t>
            </w:r>
          </w:p>
        </w:tc>
        <w:tc>
          <w:tcPr>
            <w:tcW w:w="797" w:type="pct"/>
            <w:vAlign w:val="center"/>
          </w:tcPr>
          <w:p>
            <w:pPr>
              <w:pStyle w:val="63"/>
            </w:pPr>
            <w:r>
              <w:rPr>
                <w:lang w:val="zh-CN"/>
              </w:rPr>
              <w:t>电池包铁外壳</w:t>
            </w:r>
          </w:p>
        </w:tc>
        <w:tc>
          <w:tcPr>
            <w:tcW w:w="1224" w:type="pct"/>
            <w:vMerge w:val="restart"/>
            <w:vAlign w:val="center"/>
          </w:tcPr>
          <w:p>
            <w:pPr>
              <w:pStyle w:val="63"/>
            </w:pPr>
            <w:r>
              <w:t>外售</w:t>
            </w:r>
          </w:p>
        </w:tc>
        <w:tc>
          <w:tcPr>
            <w:tcW w:w="620" w:type="pct"/>
            <w:vMerge w:val="restart"/>
            <w:vAlign w:val="center"/>
          </w:tcPr>
          <w:p>
            <w:pPr>
              <w:pStyle w:val="63"/>
            </w:pPr>
            <w:r>
              <w:t>妥善处置，不外排</w:t>
            </w:r>
          </w:p>
        </w:tc>
        <w:tc>
          <w:tcPr>
            <w:tcW w:w="1822" w:type="pct"/>
            <w:gridSpan w:val="2"/>
            <w:vMerge w:val="restart"/>
            <w:vAlign w:val="center"/>
          </w:tcPr>
          <w:p>
            <w:pPr>
              <w:pStyle w:val="63"/>
            </w:pPr>
            <w:r>
              <w:t>妥善处置，不外排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7" w:type="pct"/>
            <w:vMerge w:val="continue"/>
            <w:vAlign w:val="center"/>
          </w:tcPr>
          <w:p>
            <w:pPr>
              <w:pStyle w:val="63"/>
            </w:pPr>
          </w:p>
        </w:tc>
        <w:tc>
          <w:tcPr>
            <w:tcW w:w="797" w:type="pct"/>
            <w:vAlign w:val="center"/>
          </w:tcPr>
          <w:p>
            <w:pPr>
              <w:pStyle w:val="63"/>
            </w:pPr>
            <w:r>
              <w:rPr>
                <w:lang w:val="zh-CN"/>
              </w:rPr>
              <w:t>导流排（铜）</w:t>
            </w:r>
          </w:p>
        </w:tc>
        <w:tc>
          <w:tcPr>
            <w:tcW w:w="1224" w:type="pct"/>
            <w:vMerge w:val="continue"/>
            <w:vAlign w:val="center"/>
          </w:tcPr>
          <w:p>
            <w:pPr>
              <w:pStyle w:val="63"/>
            </w:pPr>
          </w:p>
        </w:tc>
        <w:tc>
          <w:tcPr>
            <w:tcW w:w="620" w:type="pct"/>
            <w:vMerge w:val="continue"/>
            <w:vAlign w:val="center"/>
          </w:tcPr>
          <w:p>
            <w:pPr>
              <w:pStyle w:val="63"/>
            </w:pPr>
          </w:p>
        </w:tc>
        <w:tc>
          <w:tcPr>
            <w:tcW w:w="1822"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7" w:type="pct"/>
            <w:vMerge w:val="continue"/>
            <w:vAlign w:val="center"/>
          </w:tcPr>
          <w:p>
            <w:pPr>
              <w:pStyle w:val="63"/>
            </w:pPr>
          </w:p>
        </w:tc>
        <w:tc>
          <w:tcPr>
            <w:tcW w:w="797" w:type="pct"/>
            <w:vAlign w:val="center"/>
          </w:tcPr>
          <w:p>
            <w:pPr>
              <w:pStyle w:val="63"/>
            </w:pPr>
            <w:r>
              <w:rPr>
                <w:lang w:val="zh-CN"/>
              </w:rPr>
              <w:t>导流排（铝）</w:t>
            </w:r>
          </w:p>
        </w:tc>
        <w:tc>
          <w:tcPr>
            <w:tcW w:w="1224" w:type="pct"/>
            <w:vMerge w:val="continue"/>
            <w:vAlign w:val="center"/>
          </w:tcPr>
          <w:p>
            <w:pPr>
              <w:pStyle w:val="63"/>
            </w:pPr>
          </w:p>
        </w:tc>
        <w:tc>
          <w:tcPr>
            <w:tcW w:w="620" w:type="pct"/>
            <w:vMerge w:val="continue"/>
            <w:vAlign w:val="center"/>
          </w:tcPr>
          <w:p>
            <w:pPr>
              <w:pStyle w:val="63"/>
            </w:pPr>
          </w:p>
        </w:tc>
        <w:tc>
          <w:tcPr>
            <w:tcW w:w="1822"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7" w:type="pct"/>
            <w:vMerge w:val="continue"/>
            <w:vAlign w:val="center"/>
          </w:tcPr>
          <w:p>
            <w:pPr>
              <w:pStyle w:val="63"/>
            </w:pPr>
          </w:p>
        </w:tc>
        <w:tc>
          <w:tcPr>
            <w:tcW w:w="797" w:type="pct"/>
            <w:vAlign w:val="center"/>
          </w:tcPr>
          <w:p>
            <w:pPr>
              <w:pStyle w:val="63"/>
            </w:pPr>
            <w:r>
              <w:rPr>
                <w:lang w:val="zh-CN"/>
              </w:rPr>
              <w:t>线材</w:t>
            </w:r>
          </w:p>
        </w:tc>
        <w:tc>
          <w:tcPr>
            <w:tcW w:w="1224" w:type="pct"/>
            <w:vMerge w:val="continue"/>
            <w:vAlign w:val="center"/>
          </w:tcPr>
          <w:p>
            <w:pPr>
              <w:pStyle w:val="63"/>
            </w:pPr>
          </w:p>
        </w:tc>
        <w:tc>
          <w:tcPr>
            <w:tcW w:w="620" w:type="pct"/>
            <w:vMerge w:val="continue"/>
            <w:vAlign w:val="center"/>
          </w:tcPr>
          <w:p>
            <w:pPr>
              <w:pStyle w:val="63"/>
            </w:pPr>
          </w:p>
        </w:tc>
        <w:tc>
          <w:tcPr>
            <w:tcW w:w="1822"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7" w:type="pct"/>
            <w:vMerge w:val="continue"/>
            <w:vAlign w:val="center"/>
          </w:tcPr>
          <w:p>
            <w:pPr>
              <w:pStyle w:val="63"/>
            </w:pPr>
          </w:p>
        </w:tc>
        <w:tc>
          <w:tcPr>
            <w:tcW w:w="797" w:type="pct"/>
            <w:vAlign w:val="center"/>
          </w:tcPr>
          <w:p>
            <w:pPr>
              <w:pStyle w:val="63"/>
            </w:pPr>
            <w:r>
              <w:rPr>
                <w:lang w:val="zh-CN"/>
              </w:rPr>
              <w:t>电池包塑料件</w:t>
            </w:r>
          </w:p>
        </w:tc>
        <w:tc>
          <w:tcPr>
            <w:tcW w:w="1224" w:type="pct"/>
            <w:vMerge w:val="continue"/>
            <w:vAlign w:val="center"/>
          </w:tcPr>
          <w:p>
            <w:pPr>
              <w:pStyle w:val="63"/>
            </w:pPr>
          </w:p>
        </w:tc>
        <w:tc>
          <w:tcPr>
            <w:tcW w:w="620" w:type="pct"/>
            <w:vMerge w:val="continue"/>
            <w:vAlign w:val="center"/>
          </w:tcPr>
          <w:p>
            <w:pPr>
              <w:pStyle w:val="63"/>
            </w:pPr>
          </w:p>
        </w:tc>
        <w:tc>
          <w:tcPr>
            <w:tcW w:w="1822"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7" w:type="pct"/>
            <w:vMerge w:val="continue"/>
            <w:vAlign w:val="center"/>
          </w:tcPr>
          <w:p>
            <w:pPr>
              <w:pStyle w:val="63"/>
            </w:pPr>
          </w:p>
        </w:tc>
        <w:tc>
          <w:tcPr>
            <w:tcW w:w="797" w:type="pct"/>
            <w:vAlign w:val="center"/>
          </w:tcPr>
          <w:p>
            <w:pPr>
              <w:pStyle w:val="63"/>
            </w:pPr>
            <w:r>
              <w:rPr>
                <w:lang w:val="zh-CN"/>
              </w:rPr>
              <w:t>废BMS模块</w:t>
            </w:r>
          </w:p>
        </w:tc>
        <w:tc>
          <w:tcPr>
            <w:tcW w:w="1224" w:type="pct"/>
            <w:vAlign w:val="center"/>
          </w:tcPr>
          <w:p>
            <w:pPr>
              <w:pStyle w:val="63"/>
            </w:pPr>
            <w:r>
              <w:t>交有资质的单位处理</w:t>
            </w:r>
          </w:p>
        </w:tc>
        <w:tc>
          <w:tcPr>
            <w:tcW w:w="620" w:type="pct"/>
            <w:vMerge w:val="continue"/>
            <w:vAlign w:val="center"/>
          </w:tcPr>
          <w:p>
            <w:pPr>
              <w:pStyle w:val="63"/>
            </w:pPr>
          </w:p>
        </w:tc>
        <w:tc>
          <w:tcPr>
            <w:tcW w:w="1822"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7" w:type="pct"/>
            <w:vMerge w:val="continue"/>
            <w:vAlign w:val="center"/>
          </w:tcPr>
          <w:p>
            <w:pPr>
              <w:pStyle w:val="63"/>
            </w:pPr>
          </w:p>
        </w:tc>
        <w:tc>
          <w:tcPr>
            <w:tcW w:w="797" w:type="pct"/>
            <w:vAlign w:val="center"/>
          </w:tcPr>
          <w:p>
            <w:pPr>
              <w:pStyle w:val="63"/>
            </w:pPr>
            <w:r>
              <w:rPr>
                <w:lang w:val="zh-CN"/>
              </w:rPr>
              <w:t>废电池</w:t>
            </w:r>
          </w:p>
        </w:tc>
        <w:tc>
          <w:tcPr>
            <w:tcW w:w="1224" w:type="pct"/>
            <w:vAlign w:val="center"/>
          </w:tcPr>
          <w:p>
            <w:pPr>
              <w:pStyle w:val="63"/>
            </w:pPr>
            <w:r>
              <w:rPr>
                <w:lang w:val="zh-CN"/>
              </w:rPr>
              <w:t>送预处理车间</w:t>
            </w:r>
          </w:p>
        </w:tc>
        <w:tc>
          <w:tcPr>
            <w:tcW w:w="620" w:type="pct"/>
            <w:vMerge w:val="continue"/>
            <w:vAlign w:val="center"/>
          </w:tcPr>
          <w:p>
            <w:pPr>
              <w:pStyle w:val="63"/>
            </w:pPr>
          </w:p>
        </w:tc>
        <w:tc>
          <w:tcPr>
            <w:tcW w:w="1822"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7" w:type="pct"/>
            <w:vMerge w:val="continue"/>
            <w:vAlign w:val="center"/>
          </w:tcPr>
          <w:p>
            <w:pPr>
              <w:pStyle w:val="63"/>
            </w:pPr>
          </w:p>
        </w:tc>
        <w:tc>
          <w:tcPr>
            <w:tcW w:w="797" w:type="pct"/>
            <w:vAlign w:val="center"/>
          </w:tcPr>
          <w:p>
            <w:pPr>
              <w:pStyle w:val="63"/>
            </w:pPr>
            <w:r>
              <w:t>生活垃圾</w:t>
            </w:r>
          </w:p>
        </w:tc>
        <w:tc>
          <w:tcPr>
            <w:tcW w:w="1224" w:type="pct"/>
            <w:vAlign w:val="center"/>
          </w:tcPr>
          <w:p>
            <w:pPr>
              <w:pStyle w:val="63"/>
            </w:pPr>
            <w:r>
              <w:t>交由环卫部门及时清运处理</w:t>
            </w:r>
          </w:p>
        </w:tc>
        <w:tc>
          <w:tcPr>
            <w:tcW w:w="620" w:type="pct"/>
            <w:vMerge w:val="continue"/>
            <w:vAlign w:val="center"/>
          </w:tcPr>
          <w:p>
            <w:pPr>
              <w:pStyle w:val="63"/>
            </w:pPr>
          </w:p>
        </w:tc>
        <w:tc>
          <w:tcPr>
            <w:tcW w:w="1822" w:type="pct"/>
            <w:gridSpan w:val="2"/>
            <w:vMerge w:val="continue"/>
            <w:vAlign w:val="center"/>
          </w:tcPr>
          <w:p>
            <w:pPr>
              <w:pStyle w:val="63"/>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7" w:type="pct"/>
            <w:vAlign w:val="center"/>
          </w:tcPr>
          <w:p>
            <w:pPr>
              <w:pStyle w:val="63"/>
            </w:pPr>
            <w:r>
              <w:t>风险及其它</w:t>
            </w:r>
          </w:p>
        </w:tc>
        <w:tc>
          <w:tcPr>
            <w:tcW w:w="4463" w:type="pct"/>
            <w:gridSpan w:val="5"/>
            <w:vAlign w:val="center"/>
          </w:tcPr>
          <w:p>
            <w:pPr>
              <w:pStyle w:val="63"/>
            </w:pPr>
            <w:r>
              <w:t>有完善的应急体系，具有可操作性，各项防护措施、纠正措施记录；电解液收集池、车间沟槽、厂区重点防渗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7" w:type="pct"/>
            <w:vAlign w:val="center"/>
          </w:tcPr>
          <w:p>
            <w:pPr>
              <w:pStyle w:val="63"/>
            </w:pPr>
            <w:r>
              <w:t>环境管理</w:t>
            </w:r>
          </w:p>
        </w:tc>
        <w:tc>
          <w:tcPr>
            <w:tcW w:w="4463" w:type="pct"/>
            <w:gridSpan w:val="5"/>
            <w:vAlign w:val="center"/>
          </w:tcPr>
          <w:p>
            <w:pPr>
              <w:pStyle w:val="63"/>
            </w:pPr>
            <w:r>
              <w:t>配备专门的环保专干、按照环境风险事故应急预案定期进行培训演练</w:t>
            </w:r>
          </w:p>
        </w:tc>
      </w:tr>
    </w:tbl>
    <w:p>
      <w:pPr>
        <w:spacing w:line="360" w:lineRule="auto"/>
        <w:ind w:firstLine="480" w:firstLineChars="200"/>
        <w:rPr>
          <w:rFonts w:ascii="Times New Roman" w:hAnsi="Times New Roman" w:cs="Times New Roman"/>
        </w:rPr>
      </w:pPr>
    </w:p>
    <w:p>
      <w:pPr>
        <w:spacing w:line="360" w:lineRule="auto"/>
        <w:rPr>
          <w:rFonts w:ascii="Times New Roman" w:hAnsi="Times New Roman" w:cs="Times New Roman"/>
        </w:rPr>
        <w:sectPr>
          <w:pgSz w:w="16840" w:h="11907" w:orient="landscape"/>
          <w:pgMar w:top="1418" w:right="1418" w:bottom="1418" w:left="1418" w:header="851" w:footer="992" w:gutter="0"/>
          <w:cols w:space="720" w:num="1"/>
          <w:docGrid w:linePitch="312" w:charSpace="0"/>
        </w:sectPr>
      </w:pPr>
    </w:p>
    <w:p>
      <w:pPr>
        <w:pStyle w:val="2"/>
        <w:spacing w:before="156" w:after="156"/>
        <w:rPr>
          <w:rFonts w:ascii="Times New Roman" w:hAnsi="Times New Roman" w:cs="Times New Roman"/>
        </w:rPr>
      </w:pPr>
      <w:bookmarkStart w:id="787" w:name="_Toc144236927"/>
      <w:bookmarkStart w:id="788" w:name="_Toc144277057"/>
      <w:bookmarkStart w:id="789" w:name="_Toc147848175"/>
      <w:r>
        <w:rPr>
          <w:rFonts w:ascii="Times New Roman" w:hAnsi="Times New Roman" w:cs="Times New Roman"/>
        </w:rPr>
        <w:t>第13章 结论</w:t>
      </w:r>
      <w:bookmarkEnd w:id="787"/>
      <w:r>
        <w:rPr>
          <w:rFonts w:hint="eastAsia" w:ascii="Times New Roman" w:hAnsi="Times New Roman" w:cs="Times New Roman"/>
        </w:rPr>
        <w:t>与建议</w:t>
      </w:r>
      <w:bookmarkEnd w:id="788"/>
      <w:bookmarkEnd w:id="789"/>
    </w:p>
    <w:p>
      <w:pPr>
        <w:pStyle w:val="3"/>
      </w:pPr>
      <w:bookmarkStart w:id="790" w:name="_Toc100908468"/>
      <w:bookmarkStart w:id="791" w:name="_Toc104095580"/>
      <w:bookmarkStart w:id="792" w:name="_Toc68766398"/>
      <w:bookmarkStart w:id="793" w:name="_Toc102658264"/>
      <w:bookmarkStart w:id="794" w:name="_Toc144236928"/>
      <w:bookmarkStart w:id="795" w:name="_Toc144277058"/>
      <w:bookmarkStart w:id="796" w:name="_Toc147848176"/>
      <w:bookmarkStart w:id="797" w:name="_Toc84931210"/>
      <w:bookmarkStart w:id="798" w:name="_Toc79477741"/>
      <w:r>
        <w:t>13.1 结论</w:t>
      </w:r>
      <w:bookmarkEnd w:id="790"/>
      <w:bookmarkEnd w:id="791"/>
      <w:bookmarkEnd w:id="792"/>
      <w:bookmarkEnd w:id="793"/>
      <w:bookmarkEnd w:id="794"/>
      <w:bookmarkEnd w:id="795"/>
      <w:bookmarkEnd w:id="796"/>
      <w:bookmarkEnd w:id="797"/>
      <w:bookmarkEnd w:id="798"/>
    </w:p>
    <w:p>
      <w:pPr>
        <w:pStyle w:val="4"/>
      </w:pPr>
      <w:bookmarkStart w:id="799" w:name="_Toc147848177"/>
      <w:bookmarkStart w:id="800" w:name="_Toc144236929"/>
      <w:bookmarkStart w:id="801" w:name="_Toc144277059"/>
      <w:r>
        <w:t xml:space="preserve">13.1.1 </w:t>
      </w:r>
      <w:r>
        <w:rPr>
          <w:rFonts w:hint="eastAsia"/>
        </w:rPr>
        <w:t>项目</w:t>
      </w:r>
      <w:r>
        <w:t>概况</w:t>
      </w:r>
      <w:bookmarkEnd w:id="799"/>
      <w:bookmarkEnd w:id="800"/>
      <w:bookmarkEnd w:id="801"/>
    </w:p>
    <w:p>
      <w:pPr>
        <w:autoSpaceDE w:val="0"/>
        <w:autoSpaceDN w:val="0"/>
        <w:spacing w:line="360" w:lineRule="auto"/>
        <w:ind w:firstLine="480" w:firstLineChars="200"/>
        <w:jc w:val="left"/>
        <w:rPr>
          <w:rFonts w:hAnsi="宋体"/>
        </w:rPr>
      </w:pPr>
      <w:r>
        <w:rPr>
          <w:rFonts w:hAnsi="宋体"/>
        </w:rPr>
        <w:t>（1）项目名称：</w:t>
      </w:r>
      <w:r>
        <w:rPr>
          <w:rFonts w:ascii="Times New Roman" w:hAnsi="Times New Roman" w:cs="Times New Roman"/>
        </w:rPr>
        <w:t>湖南中经锂电新材料科技有限公司年处理8万吨废旧锂电池及锂电池废料的综合回收利用项目（一期）</w:t>
      </w:r>
    </w:p>
    <w:p>
      <w:pPr>
        <w:autoSpaceDE w:val="0"/>
        <w:autoSpaceDN w:val="0"/>
        <w:spacing w:line="360" w:lineRule="auto"/>
        <w:ind w:firstLine="480" w:firstLineChars="200"/>
        <w:jc w:val="left"/>
        <w:rPr>
          <w:rFonts w:ascii="Times New Roman" w:hAnsi="Times New Roman" w:cs="Times New Roman"/>
        </w:rPr>
      </w:pPr>
      <w:r>
        <w:rPr>
          <w:rFonts w:hAnsi="宋体"/>
        </w:rPr>
        <w:t>（2）建设单位：</w:t>
      </w:r>
      <w:r>
        <w:rPr>
          <w:rFonts w:ascii="Times New Roman" w:hAnsi="Times New Roman" w:cs="Times New Roman"/>
        </w:rPr>
        <w:t>湖南中经锂电新材料科技有限公司</w:t>
      </w:r>
    </w:p>
    <w:p>
      <w:pPr>
        <w:autoSpaceDE w:val="0"/>
        <w:autoSpaceDN w:val="0"/>
        <w:spacing w:line="360" w:lineRule="auto"/>
        <w:ind w:firstLine="480" w:firstLineChars="200"/>
        <w:jc w:val="left"/>
      </w:pPr>
      <w:r>
        <w:t>（3）建设性质：新建</w:t>
      </w:r>
    </w:p>
    <w:p>
      <w:pPr>
        <w:spacing w:line="360" w:lineRule="auto"/>
        <w:ind w:firstLine="480" w:firstLineChars="200"/>
        <w:rPr>
          <w:rFonts w:ascii="Times New Roman" w:hAnsi="Times New Roman" w:cs="Times New Roman"/>
        </w:rPr>
      </w:pPr>
      <w:r>
        <w:rPr>
          <w:rFonts w:ascii="Times New Roman" w:hAnsi="Times New Roman" w:cs="Times New Roman"/>
        </w:rPr>
        <w:t>（4）建设内容：本项目为一期工程，主要包含：废旧动力电池梯次利用25000吨/年、处理废旧动力锂电池包40000t/a，其中磷酸铁锂电池包30000t/a，三元锂电池包10000t/a。</w:t>
      </w:r>
    </w:p>
    <w:p>
      <w:pPr>
        <w:spacing w:line="360" w:lineRule="auto"/>
        <w:ind w:firstLine="480" w:firstLineChars="200"/>
        <w:rPr>
          <w:rFonts w:ascii="Times New Roman" w:hAnsi="Times New Roman" w:cs="Times New Roman"/>
        </w:rPr>
      </w:pPr>
      <w:r>
        <w:rPr>
          <w:rFonts w:ascii="Times New Roman" w:hAnsi="Times New Roman" w:cs="Times New Roman"/>
        </w:rPr>
        <w:t>（5）建设地点：项目位于湖南衡东经济开发区内，占地总面积为80000m</w:t>
      </w:r>
      <w:r>
        <w:rPr>
          <w:rFonts w:ascii="Times New Roman" w:hAnsi="Times New Roman" w:cs="Times New Roman"/>
          <w:vertAlign w:val="superscript"/>
        </w:rPr>
        <w:t>2</w:t>
      </w:r>
      <w:r>
        <w:rPr>
          <w:rFonts w:ascii="Times New Roman" w:hAnsi="Times New Roman" w:cs="Times New Roman"/>
        </w:rPr>
        <w:t>（约120亩）</w:t>
      </w:r>
    </w:p>
    <w:p>
      <w:pPr>
        <w:spacing w:line="360" w:lineRule="auto"/>
        <w:ind w:firstLine="480" w:firstLineChars="200"/>
        <w:rPr>
          <w:rFonts w:ascii="Times New Roman" w:hAnsi="Times New Roman" w:cs="Times New Roman"/>
          <w:highlight w:val="yellow"/>
        </w:rPr>
      </w:pPr>
      <w:r>
        <w:rPr>
          <w:rFonts w:hAnsi="宋体"/>
        </w:rPr>
        <w:t>（6）</w:t>
      </w:r>
      <w:r>
        <w:rPr>
          <w:rFonts w:ascii="Times New Roman" w:hAnsi="Times New Roman" w:cs="Times New Roman"/>
        </w:rPr>
        <w:t>工程投资：项目总投资58362.23万元，环保投资3000万元，占本项目总投资的5.14%。</w:t>
      </w:r>
    </w:p>
    <w:p>
      <w:pPr>
        <w:autoSpaceDE w:val="0"/>
        <w:autoSpaceDN w:val="0"/>
        <w:spacing w:line="360" w:lineRule="auto"/>
        <w:ind w:firstLine="480" w:firstLineChars="200"/>
        <w:jc w:val="left"/>
        <w:rPr>
          <w:rFonts w:hAnsi="宋体"/>
        </w:rPr>
      </w:pPr>
      <w:r>
        <w:rPr>
          <w:rFonts w:hint="eastAsia" w:hAnsi="宋体"/>
        </w:rPr>
        <w:t>（</w:t>
      </w:r>
      <w:r>
        <w:rPr>
          <w:rFonts w:hAnsi="宋体"/>
        </w:rPr>
        <w:t>7</w:t>
      </w:r>
      <w:r>
        <w:rPr>
          <w:rFonts w:hint="eastAsia" w:hAnsi="宋体"/>
        </w:rPr>
        <w:t>）职工人数：1</w:t>
      </w:r>
      <w:r>
        <w:rPr>
          <w:rFonts w:hAnsi="宋体"/>
        </w:rPr>
        <w:t>88</w:t>
      </w:r>
      <w:r>
        <w:rPr>
          <w:rFonts w:hint="eastAsia" w:hAnsi="宋体"/>
        </w:rPr>
        <w:t>人。</w:t>
      </w:r>
    </w:p>
    <w:p>
      <w:pPr>
        <w:spacing w:line="360" w:lineRule="auto"/>
        <w:ind w:firstLine="480" w:firstLineChars="200"/>
        <w:rPr>
          <w:rFonts w:ascii="Times New Roman" w:hAnsi="Times New Roman" w:cs="Times New Roman"/>
        </w:rPr>
      </w:pPr>
      <w:r>
        <w:rPr>
          <w:rFonts w:hint="eastAsia"/>
        </w:rPr>
        <w:t>（</w:t>
      </w:r>
      <w:r>
        <w:t>8</w:t>
      </w:r>
      <w:r>
        <w:rPr>
          <w:rFonts w:hint="eastAsia"/>
        </w:rPr>
        <w:t>）建设内容：</w:t>
      </w:r>
      <w:r>
        <w:rPr>
          <w:rFonts w:ascii="Times New Roman" w:hAnsi="Times New Roman" w:cs="Times New Roman"/>
        </w:rPr>
        <w:t>主要有梯次利用厂区、拆解车间、破碎分选车间、浸出及净化车间、萃取车间、MVR车间，以及原辅料仓库、酸碱储罐、10KV配电室、循环水泵房、污水处理站、雨水收集池、事故应急池、洗车设施、地磅、综合管网等生产辅助设施。</w:t>
      </w:r>
    </w:p>
    <w:p>
      <w:pPr>
        <w:pStyle w:val="4"/>
      </w:pPr>
      <w:bookmarkStart w:id="802" w:name="_Toc144277060"/>
      <w:bookmarkStart w:id="803" w:name="_Toc144236930"/>
      <w:bookmarkStart w:id="804" w:name="_Toc147848178"/>
      <w:r>
        <w:t>13.1.</w:t>
      </w:r>
      <w:r>
        <w:rPr>
          <w:rFonts w:hint="eastAsia"/>
        </w:rPr>
        <w:t>2</w:t>
      </w:r>
      <w:r>
        <w:t xml:space="preserve"> </w:t>
      </w:r>
      <w:r>
        <w:rPr>
          <w:rFonts w:hint="eastAsia"/>
        </w:rPr>
        <w:t>产业政策符合性分析</w:t>
      </w:r>
      <w:bookmarkEnd w:id="802"/>
      <w:bookmarkEnd w:id="803"/>
      <w:bookmarkEnd w:id="804"/>
    </w:p>
    <w:p>
      <w:pPr>
        <w:autoSpaceDE w:val="0"/>
        <w:autoSpaceDN w:val="0"/>
        <w:spacing w:line="360" w:lineRule="auto"/>
        <w:ind w:firstLine="480" w:firstLineChars="200"/>
        <w:jc w:val="left"/>
        <w:rPr>
          <w:rFonts w:hAnsi="宋体"/>
        </w:rPr>
      </w:pPr>
      <w:r>
        <w:rPr>
          <w:rFonts w:hAnsi="宋体"/>
        </w:rPr>
        <w:t>根据中华人民共和国发展和改革委员会公布的《产业结构调整指导目录</w:t>
      </w:r>
      <w:r>
        <w:rPr>
          <w:rFonts w:hint="eastAsia" w:hAnsi="宋体"/>
        </w:rPr>
        <w:t>2024年本</w:t>
      </w:r>
      <w:r>
        <w:rPr>
          <w:rFonts w:hAnsi="宋体"/>
        </w:rPr>
        <w:t>》，本项目</w:t>
      </w:r>
      <w:r>
        <w:rPr>
          <w:rFonts w:hint="eastAsia" w:hAnsi="宋体"/>
        </w:rPr>
        <w:t>鼓励类项目。</w:t>
      </w:r>
      <w:r>
        <w:rPr>
          <w:rFonts w:hAnsi="宋体"/>
        </w:rPr>
        <w:t>因此，本项目符合国家产业政策。</w:t>
      </w:r>
    </w:p>
    <w:p>
      <w:pPr>
        <w:pStyle w:val="4"/>
      </w:pPr>
      <w:bookmarkStart w:id="805" w:name="_Toc147848179"/>
      <w:bookmarkStart w:id="806" w:name="_Toc144277061"/>
      <w:bookmarkStart w:id="807" w:name="_Toc144236931"/>
      <w:r>
        <w:t>13.1.</w:t>
      </w:r>
      <w:r>
        <w:rPr>
          <w:rFonts w:hint="eastAsia"/>
        </w:rPr>
        <w:t>3</w:t>
      </w:r>
      <w:r>
        <w:t xml:space="preserve"> </w:t>
      </w:r>
      <w:r>
        <w:rPr>
          <w:rFonts w:hint="eastAsia"/>
        </w:rPr>
        <w:t>区域环境质量现状</w:t>
      </w:r>
      <w:bookmarkEnd w:id="805"/>
      <w:bookmarkEnd w:id="806"/>
      <w:bookmarkEnd w:id="807"/>
    </w:p>
    <w:p>
      <w:pPr>
        <w:autoSpaceDE w:val="0"/>
        <w:autoSpaceDN w:val="0"/>
        <w:spacing w:line="360" w:lineRule="auto"/>
        <w:ind w:firstLine="480" w:firstLineChars="200"/>
        <w:rPr>
          <w:rFonts w:hAnsi="宋体"/>
          <w:kern w:val="0"/>
        </w:rPr>
      </w:pPr>
      <w:r>
        <w:rPr>
          <w:rFonts w:hint="eastAsia" w:hAnsi="宋体"/>
          <w:kern w:val="0"/>
        </w:rPr>
        <w:t>（1）环境空气</w:t>
      </w:r>
    </w:p>
    <w:p>
      <w:pPr>
        <w:autoSpaceDE w:val="0"/>
        <w:autoSpaceDN w:val="0"/>
        <w:spacing w:line="360" w:lineRule="auto"/>
        <w:ind w:firstLine="480" w:firstLineChars="200"/>
        <w:rPr>
          <w:rFonts w:hAnsi="宋体"/>
          <w:kern w:val="0"/>
        </w:rPr>
      </w:pPr>
      <w:r>
        <w:rPr>
          <w:rFonts w:hAnsi="宋体"/>
          <w:kern w:val="0"/>
        </w:rPr>
        <w:t>根据《环境影响评价技术导则大气环境》（HJ2.2-2018）第6.4.1.1条</w:t>
      </w:r>
      <w:r>
        <w:rPr>
          <w:rFonts w:hint="eastAsia" w:hAnsi="宋体"/>
          <w:kern w:val="0"/>
        </w:rPr>
        <w:t>“</w:t>
      </w:r>
      <w:r>
        <w:rPr>
          <w:rFonts w:hAnsi="宋体"/>
          <w:kern w:val="0"/>
        </w:rPr>
        <w:t>城市环境空气质量达标情况评价指标为SO</w:t>
      </w:r>
      <w:r>
        <w:rPr>
          <w:rFonts w:hAnsi="宋体"/>
          <w:kern w:val="0"/>
          <w:vertAlign w:val="subscript"/>
        </w:rPr>
        <w:t>2</w:t>
      </w:r>
      <w:r>
        <w:rPr>
          <w:rFonts w:hAnsi="宋体"/>
          <w:kern w:val="0"/>
        </w:rPr>
        <w:t>、NO</w:t>
      </w:r>
      <w:r>
        <w:rPr>
          <w:rFonts w:hAnsi="宋体"/>
          <w:kern w:val="0"/>
          <w:vertAlign w:val="subscript"/>
        </w:rPr>
        <w:t>2</w:t>
      </w:r>
      <w:r>
        <w:rPr>
          <w:rFonts w:hAnsi="宋体"/>
          <w:kern w:val="0"/>
        </w:rPr>
        <w:t>、PM</w:t>
      </w:r>
      <w:r>
        <w:rPr>
          <w:rFonts w:hAnsi="宋体"/>
          <w:kern w:val="0"/>
          <w:vertAlign w:val="subscript"/>
        </w:rPr>
        <w:t>10</w:t>
      </w:r>
      <w:r>
        <w:rPr>
          <w:rFonts w:hAnsi="宋体"/>
          <w:kern w:val="0"/>
        </w:rPr>
        <w:t>、PM</w:t>
      </w:r>
      <w:r>
        <w:rPr>
          <w:rFonts w:hAnsi="宋体"/>
          <w:kern w:val="0"/>
          <w:vertAlign w:val="subscript"/>
        </w:rPr>
        <w:t>2.5</w:t>
      </w:r>
      <w:r>
        <w:rPr>
          <w:rFonts w:hAnsi="宋体"/>
          <w:kern w:val="0"/>
        </w:rPr>
        <w:t>、CO和O</w:t>
      </w:r>
      <w:r>
        <w:rPr>
          <w:rFonts w:hAnsi="宋体"/>
          <w:kern w:val="0"/>
          <w:vertAlign w:val="subscript"/>
        </w:rPr>
        <w:t>3</w:t>
      </w:r>
      <w:r>
        <w:rPr>
          <w:rFonts w:hAnsi="宋体"/>
          <w:kern w:val="0"/>
        </w:rPr>
        <w:t>，六项污染物全部达标即为城市环境空气质量达标</w:t>
      </w:r>
      <w:r>
        <w:rPr>
          <w:rFonts w:hint="eastAsia" w:hAnsi="宋体"/>
          <w:kern w:val="0"/>
        </w:rPr>
        <w:t>”</w:t>
      </w:r>
      <w:r>
        <w:rPr>
          <w:rFonts w:hAnsi="宋体"/>
          <w:kern w:val="0"/>
        </w:rPr>
        <w:t>。本项目所在</w:t>
      </w:r>
      <w:r>
        <w:rPr>
          <w:rFonts w:ascii="Times New Roman" w:hAnsi="Times New Roman" w:cs="Times New Roman"/>
        </w:rPr>
        <w:t>衡东县</w:t>
      </w:r>
      <w:r>
        <w:rPr>
          <w:rFonts w:hAnsi="宋体"/>
          <w:kern w:val="0"/>
        </w:rPr>
        <w:t>2022年为环境空气质量达标区。</w:t>
      </w:r>
    </w:p>
    <w:p>
      <w:pPr>
        <w:autoSpaceDE w:val="0"/>
        <w:autoSpaceDN w:val="0"/>
        <w:spacing w:line="360" w:lineRule="auto"/>
        <w:ind w:firstLine="480" w:firstLineChars="200"/>
        <w:rPr>
          <w:rFonts w:hAnsi="宋体"/>
          <w:kern w:val="0"/>
        </w:rPr>
      </w:pPr>
      <w:r>
        <w:rPr>
          <w:rFonts w:hint="eastAsia" w:hAnsi="宋体"/>
          <w:kern w:val="0"/>
        </w:rPr>
        <w:t>根据对项目周边进行的补充监测可知，项目周边的各污染物的环境空气质量均能够满足《环境空气质量标准》（GB3095-2012）中二级标准、</w:t>
      </w:r>
      <w:r>
        <w:rPr>
          <w:rFonts w:ascii="Times New Roman" w:hAnsi="Times New Roman" w:cs="Times New Roman"/>
        </w:rPr>
        <w:t>《恶臭污染物排放标准》（GB14554-93）二级标准</w:t>
      </w:r>
      <w:r>
        <w:rPr>
          <w:rFonts w:hint="eastAsia" w:ascii="Times New Roman" w:hAnsi="Times New Roman" w:cs="Times New Roman"/>
        </w:rPr>
        <w:t>、</w:t>
      </w:r>
      <w:r>
        <w:rPr>
          <w:rFonts w:ascii="Times New Roman" w:hAnsi="Times New Roman" w:cs="Times New Roman"/>
        </w:rPr>
        <w:t>《环境空气质量标准》（GB3095-2012）二级标准及修改单中的相关标准</w:t>
      </w:r>
      <w:r>
        <w:rPr>
          <w:rFonts w:hint="eastAsia" w:ascii="Times New Roman" w:hAnsi="Times New Roman" w:cs="Times New Roman"/>
        </w:rPr>
        <w:t>、</w:t>
      </w:r>
      <w:r>
        <w:rPr>
          <w:rFonts w:ascii="Times New Roman" w:hAnsi="Times New Roman" w:cs="Times New Roman"/>
        </w:rPr>
        <w:t>《大气污染物综合排放标准详解》中的有关限值要求</w:t>
      </w:r>
    </w:p>
    <w:p>
      <w:pPr>
        <w:autoSpaceDE w:val="0"/>
        <w:autoSpaceDN w:val="0"/>
        <w:spacing w:line="360" w:lineRule="auto"/>
        <w:ind w:firstLine="480" w:firstLineChars="200"/>
        <w:jc w:val="left"/>
        <w:rPr>
          <w:rFonts w:hAnsi="宋体"/>
        </w:rPr>
      </w:pPr>
      <w:r>
        <w:rPr>
          <w:rFonts w:hint="eastAsia" w:hAnsi="宋体"/>
        </w:rPr>
        <w:t>（2）地表水环境</w:t>
      </w:r>
    </w:p>
    <w:p>
      <w:pPr>
        <w:autoSpaceDE w:val="0"/>
        <w:autoSpaceDN w:val="0"/>
        <w:spacing w:line="360" w:lineRule="auto"/>
        <w:ind w:firstLine="480" w:firstLineChars="200"/>
        <w:jc w:val="left"/>
        <w:rPr>
          <w:rFonts w:hAnsi="宋体"/>
        </w:rPr>
      </w:pPr>
      <w:r>
        <w:rPr>
          <w:rFonts w:hint="eastAsia" w:hAnsi="宋体"/>
        </w:rPr>
        <w:t>项目各监测点的各监测因子均能够满足</w:t>
      </w:r>
      <w:r>
        <w:rPr>
          <w:rFonts w:hAnsi="宋体"/>
        </w:rPr>
        <w:t>《地表水环境质量标准》（GB3838-2002）</w:t>
      </w:r>
      <w:r>
        <w:rPr>
          <w:rFonts w:hint="eastAsia" w:hAnsi="宋体"/>
        </w:rPr>
        <w:t>Ⅲ</w:t>
      </w:r>
      <w:r>
        <w:rPr>
          <w:rFonts w:hAnsi="宋体"/>
        </w:rPr>
        <w:t>类标准</w:t>
      </w:r>
      <w:r>
        <w:rPr>
          <w:rFonts w:hint="eastAsia" w:hAnsi="宋体"/>
        </w:rPr>
        <w:t>，地表水环境质量良好。</w:t>
      </w:r>
    </w:p>
    <w:p>
      <w:pPr>
        <w:autoSpaceDE w:val="0"/>
        <w:autoSpaceDN w:val="0"/>
        <w:spacing w:line="360" w:lineRule="auto"/>
        <w:ind w:firstLine="480" w:firstLineChars="200"/>
        <w:jc w:val="left"/>
        <w:rPr>
          <w:rFonts w:hAnsi="宋体"/>
        </w:rPr>
      </w:pPr>
      <w:r>
        <w:rPr>
          <w:rFonts w:hint="eastAsia" w:hAnsi="宋体"/>
        </w:rPr>
        <w:t>（3）地下水环境</w:t>
      </w:r>
    </w:p>
    <w:p>
      <w:pPr>
        <w:autoSpaceDE w:val="0"/>
        <w:autoSpaceDN w:val="0"/>
        <w:spacing w:line="360" w:lineRule="auto"/>
        <w:ind w:firstLine="480" w:firstLineChars="200"/>
        <w:jc w:val="left"/>
        <w:rPr>
          <w:rFonts w:hAnsi="宋体"/>
        </w:rPr>
      </w:pPr>
      <w:r>
        <w:rPr>
          <w:rFonts w:hint="eastAsia" w:hAnsi="宋体"/>
        </w:rPr>
        <w:t>项目各监测点的各监测因子均能够满足</w:t>
      </w:r>
      <w:r>
        <w:rPr>
          <w:rFonts w:hAnsi="宋体"/>
        </w:rPr>
        <w:t>《地下水质量标准》（GB/T14848-</w:t>
      </w:r>
      <w:r>
        <w:rPr>
          <w:rFonts w:hint="eastAsia" w:hAnsi="宋体"/>
        </w:rPr>
        <w:t>2017</w:t>
      </w:r>
      <w:r>
        <w:rPr>
          <w:rFonts w:hAnsi="宋体"/>
        </w:rPr>
        <w:t>）中的Ⅲ类标准，说明项目所在区域的地下水目前水质状况良好</w:t>
      </w:r>
      <w:r>
        <w:rPr>
          <w:rFonts w:hint="eastAsia" w:hAnsi="宋体"/>
        </w:rPr>
        <w:t>。</w:t>
      </w:r>
    </w:p>
    <w:p>
      <w:pPr>
        <w:autoSpaceDE w:val="0"/>
        <w:autoSpaceDN w:val="0"/>
        <w:spacing w:line="360" w:lineRule="auto"/>
        <w:ind w:firstLine="480" w:firstLineChars="200"/>
        <w:jc w:val="left"/>
        <w:rPr>
          <w:rFonts w:hAnsi="宋体"/>
        </w:rPr>
      </w:pPr>
      <w:r>
        <w:rPr>
          <w:rFonts w:hint="eastAsia" w:hAnsi="宋体"/>
        </w:rPr>
        <w:t>（4）声环境</w:t>
      </w:r>
    </w:p>
    <w:p>
      <w:pPr>
        <w:tabs>
          <w:tab w:val="left" w:pos="3119"/>
        </w:tabs>
        <w:spacing w:line="360" w:lineRule="auto"/>
        <w:ind w:firstLine="480" w:firstLineChars="200"/>
        <w:rPr>
          <w:rFonts w:ascii="Times New Roman" w:hAnsi="Times New Roman" w:cs="Times New Roman"/>
        </w:rPr>
      </w:pPr>
      <w:r>
        <w:rPr>
          <w:rFonts w:hAnsi="宋体"/>
        </w:rPr>
        <w:t>监测期间</w:t>
      </w:r>
      <w:r>
        <w:rPr>
          <w:rFonts w:hint="eastAsia" w:hAnsi="宋体"/>
        </w:rPr>
        <w:t>项目厂界昼夜</w:t>
      </w:r>
      <w:r>
        <w:rPr>
          <w:rFonts w:hAnsi="宋体"/>
        </w:rPr>
        <w:t>环境噪声均</w:t>
      </w:r>
      <w:r>
        <w:rPr>
          <w:rFonts w:hint="eastAsia" w:hAnsi="宋体"/>
        </w:rPr>
        <w:t>能满足</w:t>
      </w:r>
      <w:r>
        <w:rPr>
          <w:rFonts w:hAnsi="宋体"/>
        </w:rPr>
        <w:t>《声环境质量标准》（GB309</w:t>
      </w:r>
      <w:r>
        <w:rPr>
          <w:rFonts w:hint="eastAsia" w:hAnsi="宋体"/>
        </w:rPr>
        <w:t>-</w:t>
      </w:r>
      <w:r>
        <w:rPr>
          <w:rFonts w:hAnsi="宋体"/>
        </w:rPr>
        <w:t>2008）中的3类标准要求</w:t>
      </w:r>
      <w:r>
        <w:rPr>
          <w:rFonts w:hint="eastAsia" w:hAnsi="宋体"/>
        </w:rPr>
        <w:t>，</w:t>
      </w:r>
      <w:r>
        <w:rPr>
          <w:rFonts w:ascii="Times New Roman" w:hAnsi="Times New Roman" w:cs="Times New Roman"/>
        </w:rPr>
        <w:t>周边敏感点</w:t>
      </w:r>
      <w:r>
        <w:rPr>
          <w:rFonts w:hint="eastAsia" w:ascii="Times New Roman" w:hAnsi="Times New Roman" w:cs="Times New Roman"/>
        </w:rPr>
        <w:t>满足</w:t>
      </w:r>
      <w:r>
        <w:rPr>
          <w:rFonts w:ascii="Times New Roman" w:hAnsi="Times New Roman" w:cs="Times New Roman"/>
        </w:rPr>
        <w:t>《声环境质量标准》（GB3096-2008）2类区标准</w:t>
      </w:r>
      <w:r>
        <w:rPr>
          <w:rFonts w:hAnsi="宋体"/>
        </w:rPr>
        <w:t>要求</w:t>
      </w:r>
      <w:r>
        <w:rPr>
          <w:rFonts w:ascii="Times New Roman" w:hAnsi="Times New Roman" w:cs="Times New Roman"/>
        </w:rPr>
        <w:t>。</w:t>
      </w:r>
    </w:p>
    <w:p>
      <w:pPr>
        <w:autoSpaceDE w:val="0"/>
        <w:autoSpaceDN w:val="0"/>
        <w:spacing w:line="360" w:lineRule="auto"/>
        <w:ind w:firstLine="480" w:firstLineChars="200"/>
        <w:jc w:val="left"/>
        <w:rPr>
          <w:rFonts w:hAnsi="宋体"/>
        </w:rPr>
      </w:pPr>
      <w:r>
        <w:rPr>
          <w:rFonts w:hint="eastAsia" w:hAnsi="宋体"/>
        </w:rPr>
        <w:t>（5）土壤</w:t>
      </w:r>
    </w:p>
    <w:p>
      <w:pPr>
        <w:autoSpaceDE w:val="0"/>
        <w:autoSpaceDN w:val="0"/>
        <w:spacing w:line="360" w:lineRule="auto"/>
        <w:ind w:firstLine="480" w:firstLineChars="200"/>
        <w:jc w:val="left"/>
        <w:rPr>
          <w:rFonts w:hAnsi="宋体"/>
        </w:rPr>
      </w:pPr>
      <w:r>
        <w:rPr>
          <w:rFonts w:hint="eastAsia" w:hAnsi="宋体"/>
        </w:rPr>
        <w:t>本项目各土壤监测点的监测值能够满足《土壤环境质量建设用地土壤污染风险管控标准（试行）》（</w:t>
      </w:r>
      <w:r>
        <w:rPr>
          <w:rFonts w:hAnsi="宋体"/>
        </w:rPr>
        <w:t>GB</w:t>
      </w:r>
      <w:r>
        <w:rPr>
          <w:rFonts w:hint="eastAsia" w:hAnsi="宋体"/>
        </w:rPr>
        <w:t>36600</w:t>
      </w:r>
      <w:r>
        <w:rPr>
          <w:rFonts w:hAnsi="宋体"/>
        </w:rPr>
        <w:t>-2018</w:t>
      </w:r>
      <w:r>
        <w:rPr>
          <w:rFonts w:hint="eastAsia" w:hAnsi="宋体"/>
        </w:rPr>
        <w:t>）第二类用地筛选值标准。</w:t>
      </w:r>
    </w:p>
    <w:p>
      <w:pPr>
        <w:autoSpaceDE w:val="0"/>
        <w:autoSpaceDN w:val="0"/>
        <w:spacing w:line="360" w:lineRule="auto"/>
        <w:ind w:firstLine="480" w:firstLineChars="200"/>
        <w:jc w:val="left"/>
        <w:rPr>
          <w:rFonts w:hAnsi="宋体"/>
        </w:rPr>
      </w:pPr>
      <w:r>
        <w:rPr>
          <w:rFonts w:hint="eastAsia" w:hAnsi="宋体"/>
        </w:rPr>
        <w:t>（6）生态</w:t>
      </w:r>
    </w:p>
    <w:p>
      <w:pPr>
        <w:autoSpaceDE w:val="0"/>
        <w:autoSpaceDN w:val="0"/>
        <w:spacing w:line="360" w:lineRule="auto"/>
        <w:ind w:firstLine="480" w:firstLineChars="200"/>
        <w:jc w:val="left"/>
        <w:rPr>
          <w:rFonts w:hAnsi="宋体"/>
        </w:rPr>
      </w:pPr>
      <w:r>
        <w:rPr>
          <w:rFonts w:hint="eastAsia" w:hAnsi="宋体"/>
        </w:rPr>
        <w:t>本项目位于工业园内，项目周边生态环境质量现状一般。</w:t>
      </w:r>
    </w:p>
    <w:p>
      <w:pPr>
        <w:pStyle w:val="4"/>
      </w:pPr>
      <w:bookmarkStart w:id="808" w:name="_Toc147848180"/>
      <w:bookmarkStart w:id="809" w:name="_Toc144277062"/>
      <w:bookmarkStart w:id="810" w:name="_Toc144236932"/>
      <w:r>
        <w:t>13.1.</w:t>
      </w:r>
      <w:r>
        <w:rPr>
          <w:rFonts w:hint="eastAsia"/>
        </w:rPr>
        <w:t>4</w:t>
      </w:r>
      <w:r>
        <w:t xml:space="preserve"> </w:t>
      </w:r>
      <w:r>
        <w:rPr>
          <w:rFonts w:hint="eastAsia"/>
        </w:rPr>
        <w:t>环境影响评价结论</w:t>
      </w:r>
      <w:bookmarkEnd w:id="808"/>
      <w:bookmarkEnd w:id="809"/>
      <w:bookmarkEnd w:id="810"/>
    </w:p>
    <w:p>
      <w:pPr>
        <w:pStyle w:val="5"/>
        <w:ind w:firstLine="482"/>
      </w:pPr>
      <w:r>
        <w:rPr>
          <w:rFonts w:hint="eastAsia"/>
        </w:rPr>
        <w:t>1</w:t>
      </w:r>
      <w:r>
        <w:t>3</w:t>
      </w:r>
      <w:r>
        <w:rPr>
          <w:rFonts w:hint="eastAsia"/>
        </w:rPr>
        <w:t>.1.4.1</w:t>
      </w:r>
      <w:r>
        <w:t xml:space="preserve"> </w:t>
      </w:r>
      <w:r>
        <w:rPr>
          <w:rFonts w:hint="eastAsia"/>
        </w:rPr>
        <w:t>大气环境</w:t>
      </w:r>
    </w:p>
    <w:p>
      <w:pPr>
        <w:autoSpaceDE w:val="0"/>
        <w:autoSpaceDN w:val="0"/>
        <w:spacing w:line="360" w:lineRule="auto"/>
        <w:ind w:firstLine="480" w:firstLineChars="200"/>
        <w:jc w:val="left"/>
      </w:pPr>
      <w:r>
        <w:rPr>
          <w:rFonts w:hint="eastAsia"/>
        </w:rPr>
        <w:t>本项目建成后，项目废气主要为预处理废气、浸出车间废气、萃取车间废气、锅炉废气。</w:t>
      </w:r>
    </w:p>
    <w:p>
      <w:pPr>
        <w:autoSpaceDE w:val="0"/>
        <w:autoSpaceDN w:val="0"/>
        <w:spacing w:line="360" w:lineRule="auto"/>
        <w:ind w:firstLine="480" w:firstLineChars="200"/>
        <w:jc w:val="left"/>
        <w:rPr>
          <w:rFonts w:hAnsi="宋体"/>
        </w:rPr>
      </w:pPr>
      <w:bookmarkStart w:id="811" w:name="_Hlk87521775"/>
      <w:r>
        <w:rPr>
          <w:rFonts w:hint="eastAsia" w:hAnsi="宋体"/>
        </w:rPr>
        <w:t>预处理车间废气经“焚烧炉+急冷+布袋除尘+三级水洗+一级碱洗”处理后通过3</w:t>
      </w:r>
      <w:r>
        <w:rPr>
          <w:rFonts w:hAnsi="宋体"/>
        </w:rPr>
        <w:t>0</w:t>
      </w:r>
      <w:r>
        <w:rPr>
          <w:rFonts w:hint="eastAsia" w:hAnsi="宋体"/>
        </w:rPr>
        <w:t>m高排气筒排放。外排废气能够满足</w:t>
      </w:r>
      <w:r>
        <w:rPr>
          <w:rFonts w:hAnsi="宋体"/>
        </w:rPr>
        <w:t>《</w:t>
      </w:r>
      <w:r>
        <w:rPr>
          <w:rFonts w:hint="eastAsia" w:hAnsi="宋体"/>
        </w:rPr>
        <w:t>大气污染物综合排放标准</w:t>
      </w:r>
      <w:r>
        <w:rPr>
          <w:rFonts w:hAnsi="宋体"/>
        </w:rPr>
        <w:t>》</w:t>
      </w:r>
      <w:r>
        <w:rPr>
          <w:rFonts w:hint="eastAsia" w:hAnsi="宋体"/>
        </w:rPr>
        <w:t>（</w:t>
      </w:r>
      <w:r>
        <w:rPr>
          <w:rFonts w:hAnsi="宋体"/>
        </w:rPr>
        <w:t>GB</w:t>
      </w:r>
      <w:r>
        <w:rPr>
          <w:rFonts w:hint="eastAsia" w:hAnsi="宋体"/>
        </w:rPr>
        <w:t>16297-1996）</w:t>
      </w:r>
      <w:r>
        <w:rPr>
          <w:rFonts w:hAnsi="宋体"/>
        </w:rPr>
        <w:t>表</w:t>
      </w:r>
      <w:r>
        <w:rPr>
          <w:rFonts w:hint="eastAsia" w:hAnsi="宋体"/>
        </w:rPr>
        <w:t>2中二级标准。</w:t>
      </w:r>
    </w:p>
    <w:p>
      <w:pPr>
        <w:autoSpaceDE w:val="0"/>
        <w:autoSpaceDN w:val="0"/>
        <w:spacing w:line="360" w:lineRule="auto"/>
        <w:ind w:firstLine="480" w:firstLineChars="200"/>
        <w:jc w:val="left"/>
        <w:rPr>
          <w:rFonts w:hAnsi="宋体"/>
        </w:rPr>
      </w:pPr>
      <w:r>
        <w:rPr>
          <w:rFonts w:hint="eastAsia" w:hAnsi="宋体"/>
        </w:rPr>
        <w:t>浸出车间废气经“酸雾净化塔”处理后通过</w:t>
      </w:r>
      <w:r>
        <w:rPr>
          <w:rFonts w:hAnsi="宋体"/>
        </w:rPr>
        <w:t>20</w:t>
      </w:r>
      <w:r>
        <w:rPr>
          <w:rFonts w:hint="eastAsia" w:hAnsi="宋体"/>
        </w:rPr>
        <w:t>m高排气筒排放。外排废气中的硫酸雾能够满足</w:t>
      </w:r>
      <w:r>
        <w:rPr>
          <w:rFonts w:hAnsi="宋体"/>
        </w:rPr>
        <w:t>《</w:t>
      </w:r>
      <w:r>
        <w:rPr>
          <w:rFonts w:hint="eastAsia" w:hAnsi="宋体"/>
        </w:rPr>
        <w:t>大气污染物综合排放标准</w:t>
      </w:r>
      <w:r>
        <w:rPr>
          <w:rFonts w:hAnsi="宋体"/>
        </w:rPr>
        <w:t>》</w:t>
      </w:r>
      <w:r>
        <w:rPr>
          <w:rFonts w:hint="eastAsia" w:hAnsi="宋体"/>
        </w:rPr>
        <w:t>（</w:t>
      </w:r>
      <w:r>
        <w:rPr>
          <w:rFonts w:hAnsi="宋体"/>
        </w:rPr>
        <w:t>GB</w:t>
      </w:r>
      <w:r>
        <w:rPr>
          <w:rFonts w:hint="eastAsia" w:hAnsi="宋体"/>
        </w:rPr>
        <w:t>16297-1996）</w:t>
      </w:r>
      <w:r>
        <w:rPr>
          <w:rFonts w:hAnsi="宋体"/>
        </w:rPr>
        <w:t>表</w:t>
      </w:r>
      <w:r>
        <w:rPr>
          <w:rFonts w:hint="eastAsia" w:hAnsi="宋体"/>
        </w:rPr>
        <w:t>2中二级标准。</w:t>
      </w:r>
    </w:p>
    <w:p>
      <w:pPr>
        <w:autoSpaceDE w:val="0"/>
        <w:autoSpaceDN w:val="0"/>
        <w:spacing w:line="360" w:lineRule="auto"/>
        <w:ind w:firstLine="480" w:firstLineChars="200"/>
        <w:jc w:val="left"/>
        <w:rPr>
          <w:rFonts w:hAnsi="宋体"/>
        </w:rPr>
      </w:pPr>
      <w:r>
        <w:rPr>
          <w:rFonts w:hint="eastAsia" w:hAnsi="宋体"/>
        </w:rPr>
        <w:t>萃取车间废气经“酸雾净化塔+过滤棉+活性炭吸附”处理后通过</w:t>
      </w:r>
      <w:r>
        <w:rPr>
          <w:rFonts w:hAnsi="宋体"/>
        </w:rPr>
        <w:t>15</w:t>
      </w:r>
      <w:r>
        <w:rPr>
          <w:rFonts w:hint="eastAsia" w:hAnsi="宋体"/>
        </w:rPr>
        <w:t>m高排气筒排放。外排废气中的各污染物能够满足</w:t>
      </w:r>
      <w:r>
        <w:rPr>
          <w:rFonts w:hAnsi="宋体"/>
        </w:rPr>
        <w:t>《</w:t>
      </w:r>
      <w:r>
        <w:rPr>
          <w:rFonts w:hint="eastAsia" w:hAnsi="宋体"/>
        </w:rPr>
        <w:t>大气污染物综合排放标准</w:t>
      </w:r>
      <w:r>
        <w:rPr>
          <w:rFonts w:hAnsi="宋体"/>
        </w:rPr>
        <w:t>》</w:t>
      </w:r>
      <w:r>
        <w:rPr>
          <w:rFonts w:hint="eastAsia" w:hAnsi="宋体"/>
        </w:rPr>
        <w:t>（</w:t>
      </w:r>
      <w:r>
        <w:rPr>
          <w:rFonts w:hAnsi="宋体"/>
        </w:rPr>
        <w:t>GB</w:t>
      </w:r>
      <w:r>
        <w:rPr>
          <w:rFonts w:hint="eastAsia" w:hAnsi="宋体"/>
        </w:rPr>
        <w:t>16297-1996）</w:t>
      </w:r>
      <w:r>
        <w:rPr>
          <w:rFonts w:hAnsi="宋体"/>
        </w:rPr>
        <w:t>表</w:t>
      </w:r>
      <w:r>
        <w:rPr>
          <w:rFonts w:hint="eastAsia" w:hAnsi="宋体"/>
        </w:rPr>
        <w:t>2中二级标准。</w:t>
      </w:r>
    </w:p>
    <w:p>
      <w:pPr>
        <w:autoSpaceDE w:val="0"/>
        <w:autoSpaceDN w:val="0"/>
        <w:spacing w:line="360" w:lineRule="auto"/>
        <w:ind w:firstLine="480" w:firstLineChars="200"/>
        <w:jc w:val="left"/>
        <w:rPr>
          <w:rFonts w:hAnsi="宋体"/>
        </w:rPr>
      </w:pPr>
      <w:r>
        <w:rPr>
          <w:rFonts w:hint="eastAsia" w:hAnsi="宋体"/>
        </w:rPr>
        <w:t>锅炉废气通过</w:t>
      </w:r>
      <w:r>
        <w:rPr>
          <w:rFonts w:hAnsi="宋体"/>
        </w:rPr>
        <w:t>40</w:t>
      </w:r>
      <w:r>
        <w:rPr>
          <w:rFonts w:hint="eastAsia" w:hAnsi="宋体"/>
        </w:rPr>
        <w:t>m高排气筒排放，外排废气能够满足《锅炉大气污染物排放标准》（G</w:t>
      </w:r>
      <w:r>
        <w:rPr>
          <w:rFonts w:hAnsi="宋体"/>
        </w:rPr>
        <w:t>B13271-2014</w:t>
      </w:r>
      <w:r>
        <w:rPr>
          <w:rFonts w:hint="eastAsia" w:hAnsi="宋体"/>
        </w:rPr>
        <w:t>）标准要求。</w:t>
      </w:r>
    </w:p>
    <w:p>
      <w:pPr>
        <w:autoSpaceDE w:val="0"/>
        <w:autoSpaceDN w:val="0"/>
        <w:spacing w:line="360" w:lineRule="auto"/>
        <w:ind w:firstLine="480" w:firstLineChars="200"/>
        <w:jc w:val="left"/>
        <w:rPr>
          <w:rFonts w:hAnsi="宋体"/>
        </w:rPr>
      </w:pPr>
      <w:r>
        <w:rPr>
          <w:rFonts w:hint="eastAsia" w:hAnsi="宋体"/>
        </w:rPr>
        <w:t>项目厂界无组织废气中的硫酸雾以及非甲烷总烃能够满足</w:t>
      </w:r>
      <w:r>
        <w:rPr>
          <w:rFonts w:hAnsi="宋体"/>
        </w:rPr>
        <w:t>《</w:t>
      </w:r>
      <w:r>
        <w:rPr>
          <w:rFonts w:hint="eastAsia" w:hAnsi="宋体"/>
        </w:rPr>
        <w:t>大气污染物综合排放标准</w:t>
      </w:r>
      <w:r>
        <w:rPr>
          <w:rFonts w:hAnsi="宋体"/>
        </w:rPr>
        <w:t>》</w:t>
      </w:r>
      <w:r>
        <w:rPr>
          <w:rFonts w:hint="eastAsia" w:hAnsi="宋体"/>
        </w:rPr>
        <w:t>（</w:t>
      </w:r>
      <w:r>
        <w:rPr>
          <w:rFonts w:hAnsi="宋体"/>
        </w:rPr>
        <w:t>GB</w:t>
      </w:r>
      <w:r>
        <w:rPr>
          <w:rFonts w:hint="eastAsia" w:hAnsi="宋体"/>
        </w:rPr>
        <w:t>16297-1996）</w:t>
      </w:r>
      <w:r>
        <w:rPr>
          <w:rFonts w:hAnsi="宋体"/>
        </w:rPr>
        <w:t>表</w:t>
      </w:r>
      <w:r>
        <w:rPr>
          <w:rFonts w:hint="eastAsia" w:hAnsi="宋体"/>
        </w:rPr>
        <w:t>2中无组织排放监控浓度限值。</w:t>
      </w:r>
    </w:p>
    <w:bookmarkEnd w:id="811"/>
    <w:p>
      <w:pPr>
        <w:pStyle w:val="5"/>
        <w:ind w:firstLine="482"/>
      </w:pPr>
      <w:r>
        <w:rPr>
          <w:rFonts w:hint="eastAsia"/>
        </w:rPr>
        <w:t>1</w:t>
      </w:r>
      <w:r>
        <w:t>3</w:t>
      </w:r>
      <w:r>
        <w:rPr>
          <w:rFonts w:hint="eastAsia"/>
        </w:rPr>
        <w:t>.1.4.2</w:t>
      </w:r>
      <w:r>
        <w:t xml:space="preserve"> </w:t>
      </w:r>
      <w:r>
        <w:rPr>
          <w:rFonts w:hint="eastAsia"/>
        </w:rPr>
        <w:t>水环境</w:t>
      </w:r>
    </w:p>
    <w:p>
      <w:pPr>
        <w:spacing w:line="360" w:lineRule="auto"/>
        <w:ind w:firstLine="480" w:firstLineChars="200"/>
        <w:rPr>
          <w:rFonts w:ascii="Times New Roman" w:hAnsi="Times New Roman" w:cs="Times New Roman"/>
          <w:u w:val="single"/>
        </w:rPr>
      </w:pPr>
      <w:r>
        <w:rPr>
          <w:rFonts w:hint="eastAsia" w:hAnsi="宋体"/>
        </w:rPr>
        <w:t>本项目纯水制备废水、锅炉排污水、浸出车间酸雾洗涤废水、萃取车间酸雾洗涤废水、蒸发结晶离心分离废水、地面冲洗废水经厂区废水处理站处理后全部回用，不外排；预处理车间废气处理废水经预处理车间旁的除氟设施处理全部回用于废气预处理车间，不外排；浸出车间铁铝渣和铜渣洗涤废水送至浸出车间的制浆工序，不外排；生活污水经化粪池处理满足《污水综合排放标准》（G</w:t>
      </w:r>
      <w:r>
        <w:rPr>
          <w:rFonts w:hAnsi="宋体"/>
        </w:rPr>
        <w:t>B8978</w:t>
      </w:r>
      <w:r>
        <w:rPr>
          <w:rFonts w:hint="eastAsia" w:hAnsi="宋体"/>
        </w:rPr>
        <w:t>-</w:t>
      </w:r>
      <w:r>
        <w:rPr>
          <w:rFonts w:hAnsi="宋体"/>
        </w:rPr>
        <w:t>1996</w:t>
      </w:r>
      <w:r>
        <w:rPr>
          <w:rFonts w:hint="eastAsia" w:hAnsi="宋体"/>
        </w:rPr>
        <w:t>）表4中三级标准后排入衡东经开区污水处理厂，部分</w:t>
      </w:r>
      <w:r>
        <w:rPr>
          <w:rFonts w:hint="eastAsia" w:ascii="Times New Roman" w:hAnsi="Times New Roman" w:cs="Times New Roman"/>
          <w:u w:val="single"/>
        </w:rPr>
        <w:t>冷凝水水质符合《无机化学工业污染物排放标准》（GB31573-2015），可以</w:t>
      </w:r>
      <w:r>
        <w:rPr>
          <w:rFonts w:ascii="Times New Roman" w:hAnsi="Times New Roman" w:cs="Times New Roman"/>
          <w:u w:val="single"/>
        </w:rPr>
        <w:t>经市政污水管网排入园区污水处理厂进行深度处理。</w:t>
      </w:r>
    </w:p>
    <w:p>
      <w:pPr>
        <w:autoSpaceDE w:val="0"/>
        <w:autoSpaceDN w:val="0"/>
        <w:spacing w:line="360" w:lineRule="auto"/>
        <w:ind w:firstLine="480" w:firstLineChars="200"/>
        <w:jc w:val="left"/>
        <w:rPr>
          <w:rFonts w:hAnsi="宋体"/>
        </w:rPr>
      </w:pPr>
      <w:r>
        <w:rPr>
          <w:rFonts w:hint="eastAsia" w:hAnsi="宋体"/>
        </w:rPr>
        <w:t>综上，项目废水对周围环境影响较小。</w:t>
      </w:r>
    </w:p>
    <w:p>
      <w:pPr>
        <w:pStyle w:val="5"/>
        <w:ind w:firstLine="482"/>
      </w:pPr>
      <w:r>
        <w:rPr>
          <w:rFonts w:hint="eastAsia"/>
        </w:rPr>
        <w:t>1</w:t>
      </w:r>
      <w:r>
        <w:t>3</w:t>
      </w:r>
      <w:r>
        <w:rPr>
          <w:rFonts w:hint="eastAsia"/>
        </w:rPr>
        <w:t>.1.4.3</w:t>
      </w:r>
      <w:r>
        <w:t xml:space="preserve"> </w:t>
      </w:r>
      <w:r>
        <w:rPr>
          <w:rFonts w:hint="eastAsia"/>
        </w:rPr>
        <w:t>声环境影响分析</w:t>
      </w:r>
    </w:p>
    <w:p>
      <w:pPr>
        <w:adjustRightInd/>
        <w:snapToGrid/>
        <w:spacing w:line="360" w:lineRule="auto"/>
        <w:ind w:firstLine="480" w:firstLineChars="200"/>
        <w:rPr>
          <w:rFonts w:hAnsi="宋体"/>
        </w:rPr>
      </w:pPr>
      <w:r>
        <w:rPr>
          <w:rFonts w:hint="eastAsia" w:hAnsi="宋体"/>
        </w:rPr>
        <w:t>本项目运营期间，各边界噪声值均能达到《工业企业厂界环境噪声排放标准》（GB12348-2008）中</w:t>
      </w:r>
      <w:r>
        <w:rPr>
          <w:rFonts w:hAnsi="宋体"/>
        </w:rPr>
        <w:t>3</w:t>
      </w:r>
      <w:r>
        <w:rPr>
          <w:rFonts w:hint="eastAsia" w:hAnsi="宋体"/>
        </w:rPr>
        <w:t>类标准要求。</w:t>
      </w:r>
      <w:r>
        <w:rPr>
          <w:rFonts w:ascii="Times New Roman" w:hAnsi="Times New Roman" w:cs="Times New Roman"/>
        </w:rPr>
        <w:t>敏感点噪声能够满足《声环境质量标准》（GB3096-2008）2类标准要求。</w:t>
      </w:r>
      <w:r>
        <w:rPr>
          <w:rFonts w:hint="eastAsia" w:hAnsi="宋体"/>
        </w:rPr>
        <w:t>本项目的正常生产不会对外界环境造成明显影响。</w:t>
      </w:r>
    </w:p>
    <w:p>
      <w:pPr>
        <w:pStyle w:val="5"/>
        <w:ind w:firstLine="482"/>
      </w:pPr>
      <w:r>
        <w:rPr>
          <w:rFonts w:hint="eastAsia"/>
        </w:rPr>
        <w:t>1</w:t>
      </w:r>
      <w:r>
        <w:t>3</w:t>
      </w:r>
      <w:r>
        <w:rPr>
          <w:rFonts w:hint="eastAsia"/>
        </w:rPr>
        <w:t>.1.4.4</w:t>
      </w:r>
      <w:r>
        <w:t xml:space="preserve"> </w:t>
      </w:r>
      <w:r>
        <w:rPr>
          <w:rFonts w:hint="eastAsia"/>
        </w:rPr>
        <w:t>固体废物环境影响分析</w:t>
      </w:r>
    </w:p>
    <w:p>
      <w:pPr>
        <w:pStyle w:val="83"/>
        <w:spacing w:line="360" w:lineRule="auto"/>
        <w:ind w:firstLine="480"/>
        <w:rPr>
          <w:rFonts w:eastAsia="宋体"/>
        </w:rPr>
      </w:pPr>
      <w:r>
        <w:rPr>
          <w:rFonts w:hint="eastAsia" w:eastAsia="宋体"/>
        </w:rPr>
        <w:t>本项目运营期间产生的可在厂内回用的废弃物主要为布袋除尘器收集的粉尘，其送往浸出槽浸出；梯次利用产生的废电芯送预处理车间回收利用。</w:t>
      </w:r>
    </w:p>
    <w:p>
      <w:pPr>
        <w:spacing w:line="360" w:lineRule="auto"/>
        <w:ind w:firstLine="480" w:firstLineChars="200"/>
        <w:rPr>
          <w:rFonts w:ascii="Times New Roman" w:hAnsi="Times New Roman" w:cs="Times New Roman"/>
          <w:u w:val="single"/>
        </w:rPr>
      </w:pPr>
      <w:r>
        <w:rPr>
          <w:rFonts w:ascii="Times New Roman" w:hAnsi="Times New Roman" w:cs="Times New Roman"/>
          <w:u w:val="single"/>
        </w:rPr>
        <w:t>本项目运营期间产生的</w:t>
      </w:r>
      <w:r>
        <w:rPr>
          <w:rFonts w:hint="eastAsia" w:ascii="Times New Roman" w:hAnsi="Times New Roman" w:cs="Times New Roman"/>
          <w:u w:val="single"/>
        </w:rPr>
        <w:t>钠</w:t>
      </w:r>
      <w:r>
        <w:rPr>
          <w:rFonts w:ascii="Times New Roman" w:hAnsi="Times New Roman" w:cs="Times New Roman"/>
          <w:u w:val="single"/>
        </w:rPr>
        <w:t>盐类物质，主要为硫酸钠，可作为</w:t>
      </w:r>
      <w:r>
        <w:rPr>
          <w:rFonts w:hint="eastAsia" w:ascii="Times New Roman" w:hAnsi="Times New Roman" w:cs="Times New Roman"/>
          <w:u w:val="single"/>
        </w:rPr>
        <w:t>副产品外售，由于该部分固体废物的属性无法判断，因此环评要求，待该硫酸钠</w:t>
      </w:r>
      <w:r>
        <w:rPr>
          <w:rFonts w:ascii="Times New Roman" w:hAnsi="Times New Roman" w:cs="Times New Roman"/>
          <w:u w:val="single"/>
        </w:rPr>
        <w:t>盐类物质</w:t>
      </w:r>
      <w:r>
        <w:rPr>
          <w:rFonts w:hint="eastAsia" w:ascii="Times New Roman" w:hAnsi="Times New Roman" w:cs="Times New Roman"/>
          <w:u w:val="single"/>
        </w:rPr>
        <w:t>副产品产生后，</w:t>
      </w:r>
      <w:r>
        <w:rPr>
          <w:rFonts w:ascii="Times New Roman" w:hAnsi="Times New Roman" w:cs="Times New Roman"/>
          <w:u w:val="single"/>
        </w:rPr>
        <w:t>应</w:t>
      </w:r>
      <w:r>
        <w:rPr>
          <w:rFonts w:hint="eastAsia" w:ascii="Times New Roman" w:hAnsi="Times New Roman" w:cs="Times New Roman"/>
          <w:u w:val="single"/>
        </w:rPr>
        <w:t>进行鉴定</w:t>
      </w:r>
      <w:r>
        <w:rPr>
          <w:rFonts w:ascii="Times New Roman" w:hAnsi="Times New Roman" w:cs="Times New Roman"/>
          <w:u w:val="single"/>
        </w:rPr>
        <w:t>，若鉴别结果</w:t>
      </w:r>
      <w:r>
        <w:rPr>
          <w:rFonts w:hint="eastAsia" w:ascii="Times New Roman" w:hAnsi="Times New Roman" w:cs="Times New Roman"/>
          <w:u w:val="single"/>
        </w:rPr>
        <w:t>符合相关要求，可作为副产品外售。</w:t>
      </w:r>
    </w:p>
    <w:p>
      <w:pPr>
        <w:pStyle w:val="83"/>
        <w:spacing w:line="360" w:lineRule="auto"/>
        <w:ind w:firstLine="480"/>
        <w:rPr>
          <w:rFonts w:eastAsia="宋体"/>
        </w:rPr>
      </w:pPr>
      <w:r>
        <w:rPr>
          <w:rFonts w:hint="eastAsia" w:eastAsia="宋体"/>
        </w:rPr>
        <w:t>项目运营期间产生的危险废物包括：过滤棉、废活性炭、废布袋、废机油、含油抹布以及废B</w:t>
      </w:r>
      <w:r>
        <w:rPr>
          <w:rFonts w:eastAsia="宋体"/>
        </w:rPr>
        <w:t>MS</w:t>
      </w:r>
      <w:r>
        <w:rPr>
          <w:rFonts w:hint="eastAsia" w:eastAsia="宋体"/>
        </w:rPr>
        <w:t>。以上危险废物在厂区危废暂存间暂存后交由有资质的单位处理。</w:t>
      </w:r>
    </w:p>
    <w:p>
      <w:pPr>
        <w:pStyle w:val="83"/>
        <w:spacing w:line="360" w:lineRule="auto"/>
        <w:ind w:firstLine="480"/>
        <w:rPr>
          <w:rFonts w:eastAsia="宋体"/>
          <w:color w:val="FF0000"/>
          <w:u w:val="single"/>
        </w:rPr>
      </w:pPr>
      <w:r>
        <w:rPr>
          <w:rFonts w:hint="eastAsia" w:eastAsia="宋体"/>
          <w:color w:val="FF0000"/>
          <w:u w:val="single"/>
        </w:rPr>
        <w:t>本项目运营期间产生的一般工业固体废物包括：梯次利用工艺产生的电池包铁外壳、导流排（铜）、导流排（铝）、线材、电池包塑料件；预处理过程中产生的外壳及桩头、铜、铝、铁等废旧金属；纯水制备过程中产生的废弃的离子交换树脂、废活性炭。其中电池外壳、线缆、电池包拆解塑料、外壳及桩头、铜、铝、铁等废旧金属外售给物资回收部门；废弃离子交换树脂以及废弃活性炭交由环卫部门处理，锅炉燃烧产生的炉渣、布袋除尘产生的粉尘收集后暂存于一般固废暂存间，定期清运；</w:t>
      </w:r>
      <w:r>
        <w:rPr>
          <w:rFonts w:eastAsia="宋体"/>
          <w:color w:val="FF0000"/>
          <w:u w:val="single"/>
        </w:rPr>
        <w:t>浸出车间产生的石墨渣、浸出车间产生的铁铝渣和海绵铜渣、废气处理过程中产生的氟化钙</w:t>
      </w:r>
      <w:r>
        <w:rPr>
          <w:rFonts w:hint="eastAsia" w:eastAsia="宋体"/>
          <w:color w:val="FF0000"/>
          <w:u w:val="single"/>
        </w:rPr>
        <w:t>进行危险废物鉴定，若鉴别结果判定为危险废物，则需交由有危险废物处理资质的单位处置；若鉴定为一般固废，则交由相应的单位进行资源化、无害化处置；办公生活垃圾经厂区垃圾桶收集后交由环卫部门处理。</w:t>
      </w:r>
    </w:p>
    <w:p>
      <w:pPr>
        <w:autoSpaceDE w:val="0"/>
        <w:autoSpaceDN w:val="0"/>
        <w:spacing w:line="360" w:lineRule="auto"/>
        <w:ind w:firstLine="480" w:firstLineChars="200"/>
        <w:jc w:val="left"/>
        <w:rPr>
          <w:rFonts w:hAnsi="宋体"/>
        </w:rPr>
      </w:pPr>
      <w:r>
        <w:rPr>
          <w:rFonts w:hint="eastAsia" w:hAnsi="宋体"/>
        </w:rPr>
        <w:t>综上，项目产生的固体废物均得到合理处置，不外排，对周围环境影响很小。</w:t>
      </w:r>
    </w:p>
    <w:p>
      <w:pPr>
        <w:pStyle w:val="5"/>
        <w:ind w:firstLine="482"/>
      </w:pPr>
      <w:r>
        <w:rPr>
          <w:rFonts w:hint="eastAsia"/>
        </w:rPr>
        <w:t>1</w:t>
      </w:r>
      <w:r>
        <w:t>3</w:t>
      </w:r>
      <w:r>
        <w:rPr>
          <w:rFonts w:hint="eastAsia"/>
        </w:rPr>
        <w:t>.1.4.5</w:t>
      </w:r>
      <w:r>
        <w:t xml:space="preserve"> </w:t>
      </w:r>
      <w:r>
        <w:rPr>
          <w:rFonts w:hint="eastAsia"/>
        </w:rPr>
        <w:t>地下水环境影响分析与评价</w:t>
      </w:r>
    </w:p>
    <w:p>
      <w:pPr>
        <w:autoSpaceDE w:val="0"/>
        <w:autoSpaceDN w:val="0"/>
        <w:spacing w:line="360" w:lineRule="auto"/>
        <w:ind w:firstLine="480" w:firstLineChars="200"/>
        <w:jc w:val="left"/>
        <w:rPr>
          <w:rFonts w:hAnsi="宋体"/>
        </w:rPr>
      </w:pPr>
      <w:r>
        <w:rPr>
          <w:rFonts w:hint="eastAsia" w:hAnsi="宋体"/>
        </w:rPr>
        <w:t>建设单位将加强管理、提高环保意识并严格执行相关管理要求等。通过采取上述有效措施后，本项目的运行对周围地下水环境产生影响较小。</w:t>
      </w:r>
    </w:p>
    <w:p>
      <w:pPr>
        <w:pStyle w:val="4"/>
      </w:pPr>
      <w:bookmarkStart w:id="812" w:name="_Toc144236933"/>
      <w:bookmarkStart w:id="813" w:name="_Toc147848181"/>
      <w:bookmarkStart w:id="814" w:name="_Toc144277063"/>
      <w:r>
        <w:t>13.1.</w:t>
      </w:r>
      <w:r>
        <w:rPr>
          <w:rFonts w:hint="eastAsia"/>
        </w:rPr>
        <w:t>6</w:t>
      </w:r>
      <w:r>
        <w:t xml:space="preserve"> </w:t>
      </w:r>
      <w:r>
        <w:rPr>
          <w:rFonts w:hint="eastAsia"/>
        </w:rPr>
        <w:t>风险分析结论</w:t>
      </w:r>
      <w:bookmarkEnd w:id="812"/>
      <w:bookmarkEnd w:id="813"/>
      <w:bookmarkEnd w:id="814"/>
    </w:p>
    <w:p>
      <w:pPr>
        <w:autoSpaceDE w:val="0"/>
        <w:autoSpaceDN w:val="0"/>
        <w:spacing w:line="360" w:lineRule="auto"/>
        <w:ind w:firstLine="480" w:firstLineChars="200"/>
        <w:jc w:val="left"/>
        <w:rPr>
          <w:rFonts w:hAnsi="宋体"/>
        </w:rPr>
      </w:pPr>
      <w:r>
        <w:rPr>
          <w:rFonts w:hint="eastAsia" w:hAnsi="宋体"/>
        </w:rPr>
        <w:t>本项目的环境风险主要是危险化学品贮存、生产等过程发生泄漏、环保设施故障污染物超标排放、消防风险事故所引发的环境污染。为避免风险事故发生后对环境造成的污染，建设单位首先应树立安全风险意识，并在管理过程当中强化安全风险意识。在实际生产管理过程中，应按照安监、消防部门的要求，严格落实安全风险防范措施，并自觉接受安监、消防部门的监督管理。</w:t>
      </w:r>
    </w:p>
    <w:p>
      <w:pPr>
        <w:autoSpaceDE w:val="0"/>
        <w:autoSpaceDN w:val="0"/>
        <w:spacing w:line="360" w:lineRule="auto"/>
        <w:ind w:firstLine="480" w:firstLineChars="200"/>
        <w:jc w:val="left"/>
        <w:rPr>
          <w:rFonts w:hAnsi="宋体"/>
        </w:rPr>
      </w:pPr>
      <w:r>
        <w:rPr>
          <w:rFonts w:hint="eastAsia" w:hAnsi="宋体"/>
        </w:rPr>
        <w:t>同时，建设单位应制定切实可行的环境风险事故应急预案，当出现事故时，要采取应急措施，以控制事故和减少对环境造成的危害。总的来说，本项目的建设在严格按照安监、消防部门的要求，落实安全风险防范措施和应急措施后，环境风险水平是可以接受的。</w:t>
      </w:r>
    </w:p>
    <w:p>
      <w:pPr>
        <w:pStyle w:val="4"/>
      </w:pPr>
      <w:bookmarkStart w:id="815" w:name="_Toc144236934"/>
      <w:bookmarkStart w:id="816" w:name="_Toc144277064"/>
      <w:bookmarkStart w:id="817" w:name="_Toc147848182"/>
      <w:r>
        <w:t>13.1.</w:t>
      </w:r>
      <w:r>
        <w:rPr>
          <w:rFonts w:hint="eastAsia"/>
        </w:rPr>
        <w:t>7</w:t>
      </w:r>
      <w:r>
        <w:t xml:space="preserve"> </w:t>
      </w:r>
      <w:r>
        <w:rPr>
          <w:rFonts w:hint="eastAsia"/>
        </w:rPr>
        <w:t>总量控制</w:t>
      </w:r>
      <w:bookmarkEnd w:id="815"/>
      <w:bookmarkEnd w:id="816"/>
      <w:bookmarkEnd w:id="817"/>
    </w:p>
    <w:p>
      <w:pPr>
        <w:autoSpaceDE w:val="0"/>
        <w:autoSpaceDN w:val="0"/>
        <w:spacing w:line="360" w:lineRule="auto"/>
        <w:ind w:firstLine="480" w:firstLineChars="200"/>
        <w:jc w:val="left"/>
      </w:pPr>
      <w:r>
        <w:rPr>
          <w:rFonts w:hint="eastAsia" w:hAnsi="宋体"/>
        </w:rPr>
        <w:t>根据前述分析可知，本项目建成后，</w:t>
      </w:r>
      <w:r>
        <w:t>全厂</w:t>
      </w:r>
      <w:r>
        <w:rPr>
          <w:rFonts w:hint="eastAsia"/>
        </w:rPr>
        <w:t>需购买</w:t>
      </w:r>
      <w:r>
        <w:t>总量指标为SO</w:t>
      </w:r>
      <w:r>
        <w:rPr>
          <w:vertAlign w:val="subscript"/>
        </w:rPr>
        <w:t>2</w:t>
      </w:r>
      <w:r>
        <w:t>：</w:t>
      </w:r>
      <w:r>
        <w:rPr>
          <w:color w:val="000000"/>
        </w:rPr>
        <w:t>1.06</w:t>
      </w:r>
      <w:r>
        <w:t>t/a；NOx：</w:t>
      </w:r>
      <w:r>
        <w:rPr>
          <w:color w:val="000000"/>
        </w:rPr>
        <w:t>14.47</w:t>
      </w:r>
      <w:r>
        <w:t>t/a；COD：</w:t>
      </w:r>
      <w:r>
        <w:rPr>
          <w:rFonts w:hint="eastAsia"/>
        </w:rPr>
        <w:t>1.84</w:t>
      </w:r>
      <w:r>
        <w:t>t/a；氨氮：0.</w:t>
      </w:r>
      <w:r>
        <w:rPr>
          <w:rFonts w:hint="eastAsia"/>
        </w:rPr>
        <w:t>30</w:t>
      </w:r>
      <w:r>
        <w:t>t/a。</w:t>
      </w:r>
    </w:p>
    <w:p>
      <w:pPr>
        <w:pStyle w:val="4"/>
      </w:pPr>
      <w:bookmarkStart w:id="818" w:name="_Toc147848183"/>
      <w:bookmarkStart w:id="819" w:name="_Toc144236935"/>
      <w:bookmarkStart w:id="820" w:name="_Toc144277065"/>
      <w:r>
        <w:t>13.1.</w:t>
      </w:r>
      <w:r>
        <w:rPr>
          <w:rFonts w:hint="eastAsia"/>
        </w:rPr>
        <w:t>8</w:t>
      </w:r>
      <w:r>
        <w:t xml:space="preserve"> </w:t>
      </w:r>
      <w:r>
        <w:rPr>
          <w:rFonts w:hint="eastAsia"/>
        </w:rPr>
        <w:t>公众参与情况</w:t>
      </w:r>
      <w:bookmarkEnd w:id="818"/>
      <w:bookmarkEnd w:id="819"/>
      <w:bookmarkEnd w:id="820"/>
    </w:p>
    <w:p>
      <w:pPr>
        <w:autoSpaceDE w:val="0"/>
        <w:autoSpaceDN w:val="0"/>
        <w:spacing w:line="360" w:lineRule="auto"/>
        <w:ind w:firstLine="480" w:firstLineChars="200"/>
        <w:jc w:val="left"/>
        <w:rPr>
          <w:rFonts w:hAnsi="宋体"/>
        </w:rPr>
      </w:pPr>
      <w:r>
        <w:rPr>
          <w:rFonts w:hAnsi="宋体"/>
        </w:rPr>
        <w:t>建设方按照《环境影响评价公众参与办法》的相关要求，在环境影响报告书编制阶段开展了公众参与工作</w:t>
      </w:r>
      <w:r>
        <w:rPr>
          <w:rFonts w:hint="eastAsia" w:hAnsi="宋体"/>
        </w:rPr>
        <w:t>。项目</w:t>
      </w:r>
      <w:r>
        <w:rPr>
          <w:rFonts w:hAnsi="宋体"/>
        </w:rPr>
        <w:t>公示期间未收到居民对于本项目的公众意见调查表。</w:t>
      </w:r>
    </w:p>
    <w:p>
      <w:pPr>
        <w:pStyle w:val="4"/>
      </w:pPr>
      <w:bookmarkStart w:id="821" w:name="_Toc144236936"/>
      <w:bookmarkStart w:id="822" w:name="_Toc144277066"/>
      <w:bookmarkStart w:id="823" w:name="_Toc147848184"/>
      <w:r>
        <w:t>13.1.</w:t>
      </w:r>
      <w:r>
        <w:rPr>
          <w:rFonts w:hint="eastAsia"/>
        </w:rPr>
        <w:t>9</w:t>
      </w:r>
      <w:r>
        <w:t xml:space="preserve"> </w:t>
      </w:r>
      <w:r>
        <w:rPr>
          <w:rFonts w:hint="eastAsia"/>
        </w:rPr>
        <w:t>总结论</w:t>
      </w:r>
      <w:bookmarkEnd w:id="821"/>
      <w:bookmarkEnd w:id="822"/>
      <w:bookmarkEnd w:id="823"/>
    </w:p>
    <w:p>
      <w:pPr>
        <w:autoSpaceDE w:val="0"/>
        <w:autoSpaceDN w:val="0"/>
        <w:spacing w:line="360" w:lineRule="auto"/>
        <w:ind w:firstLine="480" w:firstLineChars="200"/>
        <w:jc w:val="left"/>
        <w:rPr>
          <w:rFonts w:hAnsi="宋体"/>
        </w:rPr>
      </w:pPr>
      <w:r>
        <w:rPr>
          <w:rFonts w:hAnsi="宋体"/>
        </w:rPr>
        <w:t>综上所述，</w:t>
      </w:r>
      <w:r>
        <w:rPr>
          <w:rFonts w:ascii="Times New Roman" w:hAnsi="Times New Roman" w:cs="Times New Roman"/>
        </w:rPr>
        <w:t>湖南中经锂电新材料科技有限公司年处理8万吨废旧锂电池及锂电池废料的综合回收利用项目（一期）</w:t>
      </w:r>
      <w:r>
        <w:rPr>
          <w:rFonts w:hAnsi="宋体"/>
        </w:rPr>
        <w:t>的建设符合国家相关产业政策，符合区域矿产资源规划和土地利用规划，本项目</w:t>
      </w:r>
      <w:r>
        <w:rPr>
          <w:rFonts w:hint="eastAsia" w:hAnsi="宋体"/>
        </w:rPr>
        <w:t>不涉及生态红线。</w:t>
      </w:r>
      <w:r>
        <w:rPr>
          <w:rFonts w:hAnsi="宋体"/>
        </w:rPr>
        <w:t>项目所在地环境质量现状监测结果良好，有一定的环境容量。虽然本项目建设将会对周边的生态环境、水环境、空气环境和声环境产生一定的不利影响，但只要认真落实设计和环评提出的各项减缓和保护措施，落实环保措施与主体工程建设的“三同时”制度</w:t>
      </w:r>
      <w:r>
        <w:rPr>
          <w:rFonts w:hint="eastAsia" w:hAnsi="宋体"/>
        </w:rPr>
        <w:t>和</w:t>
      </w:r>
      <w:r>
        <w:rPr>
          <w:rFonts w:hAnsi="宋体"/>
        </w:rPr>
        <w:t>环境保护管理制度</w:t>
      </w:r>
      <w:r>
        <w:rPr>
          <w:rFonts w:hint="eastAsia" w:hAnsi="宋体"/>
        </w:rPr>
        <w:t>及环境风险防范措施</w:t>
      </w:r>
      <w:r>
        <w:rPr>
          <w:rFonts w:hAnsi="宋体"/>
        </w:rPr>
        <w:t>、确保项目外排各类污染物达标排放，</w:t>
      </w:r>
      <w:r>
        <w:rPr>
          <w:rFonts w:hint="eastAsia" w:hAnsi="宋体"/>
        </w:rPr>
        <w:t>项目建设</w:t>
      </w:r>
      <w:r>
        <w:rPr>
          <w:rFonts w:hAnsi="宋体"/>
        </w:rPr>
        <w:t>的负面影响可以得到有效控制，并能为环境所接受。从环保角度分析，本项目的建设是可行的。</w:t>
      </w:r>
    </w:p>
    <w:p>
      <w:pPr>
        <w:pStyle w:val="3"/>
      </w:pPr>
      <w:bookmarkStart w:id="824" w:name="_Toc102658265"/>
      <w:bookmarkStart w:id="825" w:name="_Toc144236937"/>
      <w:bookmarkStart w:id="826" w:name="_Toc147848185"/>
      <w:bookmarkStart w:id="827" w:name="_Toc144277067"/>
      <w:r>
        <w:t>13.</w:t>
      </w:r>
      <w:r>
        <w:rPr>
          <w:rFonts w:hint="eastAsia"/>
        </w:rPr>
        <w:t>2</w:t>
      </w:r>
      <w:r>
        <w:t xml:space="preserve"> </w:t>
      </w:r>
      <w:r>
        <w:rPr>
          <w:rFonts w:hint="eastAsia"/>
        </w:rPr>
        <w:t>建议</w:t>
      </w:r>
      <w:bookmarkEnd w:id="824"/>
      <w:bookmarkEnd w:id="825"/>
      <w:bookmarkEnd w:id="826"/>
      <w:bookmarkEnd w:id="827"/>
    </w:p>
    <w:p>
      <w:pPr>
        <w:autoSpaceDE w:val="0"/>
        <w:autoSpaceDN w:val="0"/>
        <w:spacing w:line="360" w:lineRule="auto"/>
        <w:ind w:firstLine="480" w:firstLineChars="200"/>
        <w:jc w:val="left"/>
        <w:rPr>
          <w:rFonts w:hAnsi="宋体"/>
        </w:rPr>
      </w:pPr>
      <w:r>
        <w:rPr>
          <w:rFonts w:hint="eastAsia" w:hAnsi="宋体"/>
        </w:rPr>
        <w:t>（</w:t>
      </w:r>
      <w:r>
        <w:rPr>
          <w:rFonts w:hAnsi="宋体"/>
        </w:rPr>
        <w:t>1</w:t>
      </w:r>
      <w:r>
        <w:rPr>
          <w:rFonts w:hint="eastAsia" w:hAnsi="宋体"/>
        </w:rPr>
        <w:t>）、建设方应请有资质的单位各生产系统的废气处理系统进行设计、施工、安装、调试，确保本工程各废气</w:t>
      </w:r>
      <w:r>
        <w:rPr>
          <w:rFonts w:hint="eastAsia" w:hAnsi="宋体"/>
          <w:lang w:eastAsia="zh-CN"/>
        </w:rPr>
        <w:t>处理</w:t>
      </w:r>
      <w:r>
        <w:rPr>
          <w:rFonts w:hint="eastAsia" w:hAnsi="宋体"/>
        </w:rPr>
        <w:t>系统长期稳定、有效运行；</w:t>
      </w:r>
    </w:p>
    <w:p>
      <w:pPr>
        <w:autoSpaceDE w:val="0"/>
        <w:autoSpaceDN w:val="0"/>
        <w:spacing w:line="360" w:lineRule="auto"/>
        <w:ind w:firstLine="480" w:firstLineChars="200"/>
        <w:jc w:val="left"/>
        <w:rPr>
          <w:rFonts w:hAnsi="宋体"/>
        </w:rPr>
      </w:pPr>
      <w:r>
        <w:rPr>
          <w:rFonts w:hint="eastAsia" w:hAnsi="宋体"/>
        </w:rPr>
        <w:t>（</w:t>
      </w:r>
      <w:r>
        <w:rPr>
          <w:rFonts w:hAnsi="宋体"/>
        </w:rPr>
        <w:t>2</w:t>
      </w:r>
      <w:r>
        <w:rPr>
          <w:rFonts w:hint="eastAsia" w:hAnsi="宋体"/>
        </w:rPr>
        <w:t>）、工程营运期建议应加强各生产系统废气处理措施的管理，确保废气处理措施长期稳定、有效运行。</w:t>
      </w:r>
    </w:p>
    <w:p>
      <w:pPr>
        <w:autoSpaceDE w:val="0"/>
        <w:autoSpaceDN w:val="0"/>
        <w:spacing w:line="360" w:lineRule="auto"/>
        <w:ind w:firstLine="480" w:firstLineChars="200"/>
        <w:jc w:val="left"/>
        <w:rPr>
          <w:rFonts w:hAnsi="宋体"/>
        </w:rPr>
      </w:pPr>
      <w:r>
        <w:rPr>
          <w:rFonts w:hint="eastAsia" w:hAnsi="宋体"/>
        </w:rPr>
        <w:t>（</w:t>
      </w:r>
      <w:r>
        <w:rPr>
          <w:rFonts w:hAnsi="宋体"/>
        </w:rPr>
        <w:t>3</w:t>
      </w:r>
      <w:r>
        <w:rPr>
          <w:rFonts w:hint="eastAsia" w:hAnsi="宋体"/>
        </w:rPr>
        <w:t>）、定期对各废气处理系统进行检查，防止堵、冒、漏等现象产生，引起不必要环境污染事故发生。对各废气净化设施的易损易耗件应注重备用品的储存，确保设备发生故障时能得到及时的更换。一旦发现废气处理设施运行不正常时，应及时予以处理或维修，如确定适时间内不能恢复正常运行的，应立即停产检修，以避免对环境造成更大的污染影响。</w:t>
      </w:r>
    </w:p>
    <w:p>
      <w:pPr>
        <w:autoSpaceDE w:val="0"/>
        <w:autoSpaceDN w:val="0"/>
        <w:spacing w:line="360" w:lineRule="auto"/>
        <w:ind w:firstLine="480" w:firstLineChars="200"/>
        <w:jc w:val="left"/>
        <w:rPr>
          <w:rFonts w:hAnsi="宋体"/>
        </w:rPr>
      </w:pPr>
      <w:r>
        <w:rPr>
          <w:rFonts w:hint="eastAsia" w:hAnsi="宋体"/>
        </w:rPr>
        <w:t>（</w:t>
      </w:r>
      <w:r>
        <w:rPr>
          <w:rFonts w:hAnsi="宋体"/>
        </w:rPr>
        <w:t>4</w:t>
      </w:r>
      <w:r>
        <w:rPr>
          <w:rFonts w:hint="eastAsia" w:hAnsi="宋体"/>
        </w:rPr>
        <w:t>）、严格管理，强化生产装置的密闭性操作，杜绝生产过程中的跑、冒、滴、漏；针对本工程工程特点，制定一套科学、完整和严格的故障处理制度和应急措施，责任到人，以便发生故障时及时处理。</w:t>
      </w:r>
    </w:p>
    <w:p>
      <w:pPr>
        <w:autoSpaceDE w:val="0"/>
        <w:autoSpaceDN w:val="0"/>
        <w:spacing w:line="360" w:lineRule="auto"/>
        <w:ind w:firstLine="480" w:firstLineChars="200"/>
        <w:jc w:val="left"/>
        <w:rPr>
          <w:rFonts w:hAnsi="宋体"/>
        </w:rPr>
      </w:pPr>
      <w:r>
        <w:rPr>
          <w:rFonts w:hint="eastAsia" w:hAnsi="宋体"/>
        </w:rPr>
        <w:t>（</w:t>
      </w:r>
      <w:r>
        <w:rPr>
          <w:rFonts w:hAnsi="宋体"/>
        </w:rPr>
        <w:t>5</w:t>
      </w:r>
      <w:r>
        <w:rPr>
          <w:rFonts w:hint="eastAsia" w:hAnsi="宋体"/>
        </w:rPr>
        <w:t>）、本评价要求建设方应在项目建设、运行过程中，加强环保设施的监督管理，尽可能降低污染物的排放，严格控制污染事故的发生，以减轻对周边不利环境影响。加强对周边环境敏感点的大气及噪声日常监测，如发现大气污染因子、厂界噪声发生超标现象，应立即停产，并同时上报当地环境保护监管部门，分析超标原因，采取有效措施控制污染。</w:t>
      </w:r>
    </w:p>
    <w:p>
      <w:pPr>
        <w:autoSpaceDE w:val="0"/>
        <w:autoSpaceDN w:val="0"/>
        <w:spacing w:line="360" w:lineRule="auto"/>
        <w:ind w:firstLine="480" w:firstLineChars="200"/>
        <w:jc w:val="left"/>
        <w:rPr>
          <w:rFonts w:hAnsi="宋体"/>
        </w:rPr>
      </w:pPr>
      <w:r>
        <w:rPr>
          <w:rFonts w:hint="eastAsia" w:hAnsi="宋体"/>
        </w:rPr>
        <w:t>（</w:t>
      </w:r>
      <w:r>
        <w:rPr>
          <w:rFonts w:hAnsi="宋体"/>
        </w:rPr>
        <w:t>6</w:t>
      </w:r>
      <w:r>
        <w:rPr>
          <w:rFonts w:hint="eastAsia" w:hAnsi="宋体"/>
        </w:rPr>
        <w:t>）环评要求建设单位严格执行达标排放和总量控制制度。</w:t>
      </w:r>
    </w:p>
    <w:p>
      <w:pPr>
        <w:autoSpaceDE w:val="0"/>
        <w:autoSpaceDN w:val="0"/>
        <w:spacing w:line="360" w:lineRule="auto"/>
        <w:ind w:firstLine="480" w:firstLineChars="200"/>
        <w:jc w:val="left"/>
        <w:rPr>
          <w:rFonts w:ascii="Times New Roman" w:hAnsi="Times New Roman" w:cs="Times New Roman"/>
        </w:rPr>
      </w:pPr>
      <w:r>
        <w:rPr>
          <w:rFonts w:hint="eastAsia" w:hAnsi="宋体"/>
        </w:rPr>
        <w:t>（</w:t>
      </w:r>
      <w:r>
        <w:rPr>
          <w:rFonts w:hAnsi="宋体"/>
        </w:rPr>
        <w:t>7</w:t>
      </w:r>
      <w:r>
        <w:rPr>
          <w:rFonts w:hint="eastAsia" w:hAnsi="宋体"/>
        </w:rPr>
        <w:t>）、环评要求建设单位对厂区内的无法定性的固废属性进行鉴别，若发现其为危险废物，需要按危险废物的要求进行贮存和处置。</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Courier New">
    <w:panose1 w:val="02070309020205020404"/>
    <w:charset w:val="00"/>
    <w:family w:val="modern"/>
    <w:pitch w:val="default"/>
    <w:sig w:usb0="E0002EFF" w:usb1="C0007843" w:usb2="00000009" w:usb3="00000000" w:csb0="400001FF" w:csb1="FFFF0000"/>
  </w:font>
  <w:font w:name="仿宋_GB2312">
    <w:altName w:val="仿宋"/>
    <w:panose1 w:val="00000000000000000000"/>
    <w:charset w:val="86"/>
    <w:family w:val="modern"/>
    <w:pitch w:val="default"/>
    <w:sig w:usb0="00000000" w:usb1="00000000" w:usb2="00000010" w:usb3="00000000" w:csb0="00040000" w:csb1="00000000"/>
  </w:font>
  <w:font w:name="新宋体-18030">
    <w:altName w:val="微软雅黑"/>
    <w:panose1 w:val="00000000000000000000"/>
    <w:charset w:val="00"/>
    <w:family w:val="auto"/>
    <w:pitch w:val="default"/>
    <w:sig w:usb0="00000000" w:usb1="00000000" w:usb2="00000000" w:usb3="00000000" w:csb0="00040001" w:csb1="00000000"/>
  </w:font>
  <w:font w:name="微软雅黑">
    <w:panose1 w:val="020B0503020204020204"/>
    <w:charset w:val="86"/>
    <w:family w:val="auto"/>
    <w:pitch w:val="default"/>
    <w:sig w:usb0="80000287" w:usb1="2ACF3C50" w:usb2="00000016" w:usb3="00000000" w:csb0="0004001F" w:csb1="00000000"/>
  </w:font>
  <w:font w:name="Arial Black">
    <w:panose1 w:val="020B0A04020102020204"/>
    <w:charset w:val="00"/>
    <w:family w:val="swiss"/>
    <w:pitch w:val="default"/>
    <w:sig w:usb0="A00002AF" w:usb1="400078FB" w:usb2="00000000" w:usb3="00000000" w:csb0="6000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79364682"/>
      <w:docPartObj>
        <w:docPartGallery w:val="AutoText"/>
      </w:docPartObj>
    </w:sdtPr>
    <w:sdtContent>
      <w:p>
        <w:pPr>
          <w:pStyle w:val="22"/>
          <w:jc w:val="center"/>
        </w:pPr>
        <w:r>
          <w:fldChar w:fldCharType="begin"/>
        </w:r>
        <w:r>
          <w:instrText xml:space="preserve">PAGE   \* MERGEFORMAT</w:instrText>
        </w:r>
        <w:r>
          <w:fldChar w:fldCharType="separate"/>
        </w:r>
        <w:r>
          <w:rPr>
            <w:lang w:val="zh-CN"/>
          </w:rPr>
          <w:t>5</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46530848"/>
      <w:docPartObj>
        <w:docPartGallery w:val="AutoText"/>
      </w:docPartObj>
    </w:sdtPr>
    <w:sdtContent>
      <w:p>
        <w:pPr>
          <w:pStyle w:val="22"/>
          <w:jc w:val="center"/>
        </w:pPr>
        <w:r>
          <w:fldChar w:fldCharType="begin"/>
        </w:r>
        <w:r>
          <w:instrText xml:space="preserve">PAGE   \* MERGEFORMAT</w:instrText>
        </w:r>
        <w:r>
          <w:fldChar w:fldCharType="separate"/>
        </w:r>
        <w:r>
          <w:rPr>
            <w:lang w:val="zh-CN"/>
          </w:rPr>
          <w:t>108</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62811589"/>
      <w:docPartObj>
        <w:docPartGallery w:val="AutoText"/>
      </w:docPartObj>
    </w:sdtPr>
    <w:sdtContent>
      <w:p>
        <w:pPr>
          <w:pStyle w:val="22"/>
          <w:jc w:val="center"/>
        </w:pPr>
        <w:r>
          <w:fldChar w:fldCharType="begin"/>
        </w:r>
        <w:r>
          <w:instrText xml:space="preserve">PAGE   \* MERGEFORMAT</w:instrText>
        </w:r>
        <w:r>
          <w:fldChar w:fldCharType="separate"/>
        </w:r>
        <w:r>
          <w:rPr>
            <w:lang w:val="zh-CN"/>
          </w:rPr>
          <w:t>120</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52314300"/>
      <w:docPartObj>
        <w:docPartGallery w:val="AutoText"/>
      </w:docPartObj>
    </w:sdtPr>
    <w:sdtContent>
      <w:p>
        <w:pPr>
          <w:pStyle w:val="22"/>
          <w:jc w:val="center"/>
        </w:pPr>
        <w:r>
          <w:fldChar w:fldCharType="begin"/>
        </w:r>
        <w:r>
          <w:instrText xml:space="preserve">PAGE   \* MERGEFORMAT</w:instrText>
        </w:r>
        <w:r>
          <w:fldChar w:fldCharType="separate"/>
        </w:r>
        <w:r>
          <w:rPr>
            <w:lang w:val="zh-CN"/>
          </w:rPr>
          <w:t>240</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firstLine="600"/>
      <w:jc w:val="center"/>
    </w:pPr>
    <w:r>
      <w:fldChar w:fldCharType="begin"/>
    </w:r>
    <w:r>
      <w:instrText xml:space="preserve"> PAGE   \* MERGEFORMAT </w:instrText>
    </w:r>
    <w:r>
      <w:fldChar w:fldCharType="separate"/>
    </w:r>
    <w:r>
      <w:rPr>
        <w:lang w:val="zh-CN"/>
      </w:rPr>
      <w:t>302</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firstLine="600"/>
      <w:jc w:val="center"/>
    </w:pPr>
    <w:r>
      <w:fldChar w:fldCharType="begin"/>
    </w:r>
    <w:r>
      <w:instrText xml:space="preserve"> PAGE   \* MERGEFORMAT </w:instrText>
    </w:r>
    <w:r>
      <w:fldChar w:fldCharType="separate"/>
    </w:r>
    <w:r>
      <w:rPr>
        <w:lang w:val="zh-CN"/>
      </w:rPr>
      <w:t>359</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spacing w:line="14" w:lineRule="auto"/>
      <w:ind w:firstLine="400"/>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6C73451"/>
    <w:multiLevelType w:val="multilevel"/>
    <w:tmpl w:val="36C73451"/>
    <w:lvl w:ilvl="0" w:tentative="0">
      <w:start w:val="1"/>
      <w:numFmt w:val="decimal"/>
      <w:lvlText w:val="%1."/>
      <w:lvlJc w:val="left"/>
      <w:pPr>
        <w:ind w:left="420" w:hanging="420"/>
      </w:pPr>
    </w:lvl>
    <w:lvl w:ilvl="1" w:tentative="0">
      <w:start w:val="1"/>
      <w:numFmt w:val="lowerLetter"/>
      <w:lvlText w:val="%2."/>
      <w:lvlJc w:val="left"/>
      <w:pPr>
        <w:ind w:left="780" w:hanging="36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980" w:hanging="720"/>
      </w:pPr>
      <w:rPr>
        <w:rFonts w:hint="default"/>
      </w:rPr>
    </w:lvl>
    <w:lvl w:ilvl="4" w:tentative="0">
      <w:start w:val="1"/>
      <w:numFmt w:val="decimalEnclosedCircle"/>
      <w:lvlText w:val="%5"/>
      <w:lvlJc w:val="left"/>
      <w:pPr>
        <w:ind w:left="2040" w:hanging="360"/>
      </w:pPr>
      <w:rPr>
        <w:rFonts w:hint="default"/>
      </w:r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hideSpellingErrors/>
  <w:documentProtection w:enforcement="0"/>
  <w:defaultTabStop w:val="420"/>
  <w:drawingGridHorizontalSpacing w:val="120"/>
  <w:drawingGridVerticalSpacing w:val="163"/>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YwNTEyODM1NDQxNjYzN2JhYjFlZjYyNTZjMzA2ZjkifQ=="/>
    <w:docVar w:name="KSO_WPS_MARK_KEY" w:val="4b4f09a5-317d-4ae6-ad14-a1a0ffc1569a"/>
  </w:docVars>
  <w:rsids>
    <w:rsidRoot w:val="001B28D7"/>
    <w:rsid w:val="0000430B"/>
    <w:rsid w:val="00011272"/>
    <w:rsid w:val="00012386"/>
    <w:rsid w:val="00014433"/>
    <w:rsid w:val="00015847"/>
    <w:rsid w:val="00023710"/>
    <w:rsid w:val="00023F91"/>
    <w:rsid w:val="0002420B"/>
    <w:rsid w:val="00024225"/>
    <w:rsid w:val="00024CE4"/>
    <w:rsid w:val="00026826"/>
    <w:rsid w:val="00030EEE"/>
    <w:rsid w:val="00031661"/>
    <w:rsid w:val="00032793"/>
    <w:rsid w:val="00042AC6"/>
    <w:rsid w:val="00042ADA"/>
    <w:rsid w:val="00043BE0"/>
    <w:rsid w:val="00044E8E"/>
    <w:rsid w:val="00045F5A"/>
    <w:rsid w:val="00050F23"/>
    <w:rsid w:val="00051343"/>
    <w:rsid w:val="0005266E"/>
    <w:rsid w:val="00054C61"/>
    <w:rsid w:val="00056D27"/>
    <w:rsid w:val="0006043B"/>
    <w:rsid w:val="00060899"/>
    <w:rsid w:val="00060A92"/>
    <w:rsid w:val="00064C05"/>
    <w:rsid w:val="00070363"/>
    <w:rsid w:val="0007082B"/>
    <w:rsid w:val="0007278A"/>
    <w:rsid w:val="0008163C"/>
    <w:rsid w:val="00081845"/>
    <w:rsid w:val="0008213A"/>
    <w:rsid w:val="0008350B"/>
    <w:rsid w:val="000876DD"/>
    <w:rsid w:val="00090CCE"/>
    <w:rsid w:val="00090DF6"/>
    <w:rsid w:val="00092A35"/>
    <w:rsid w:val="000949EA"/>
    <w:rsid w:val="00095FE8"/>
    <w:rsid w:val="000A0FDE"/>
    <w:rsid w:val="000A5320"/>
    <w:rsid w:val="000A5642"/>
    <w:rsid w:val="000A649F"/>
    <w:rsid w:val="000A6E81"/>
    <w:rsid w:val="000B349D"/>
    <w:rsid w:val="000B37E2"/>
    <w:rsid w:val="000B58EF"/>
    <w:rsid w:val="000B5F95"/>
    <w:rsid w:val="000B6378"/>
    <w:rsid w:val="000B6678"/>
    <w:rsid w:val="000B6A5B"/>
    <w:rsid w:val="000B707F"/>
    <w:rsid w:val="000B7BA6"/>
    <w:rsid w:val="000C07BC"/>
    <w:rsid w:val="000C2839"/>
    <w:rsid w:val="000C4187"/>
    <w:rsid w:val="000C5344"/>
    <w:rsid w:val="000C6037"/>
    <w:rsid w:val="000C6060"/>
    <w:rsid w:val="000C7F4D"/>
    <w:rsid w:val="000D191E"/>
    <w:rsid w:val="000D20B1"/>
    <w:rsid w:val="000D3381"/>
    <w:rsid w:val="000D3C87"/>
    <w:rsid w:val="000D3FD6"/>
    <w:rsid w:val="000D54F8"/>
    <w:rsid w:val="000D6ADC"/>
    <w:rsid w:val="000D78B5"/>
    <w:rsid w:val="000E0DC4"/>
    <w:rsid w:val="000E51DA"/>
    <w:rsid w:val="000E5232"/>
    <w:rsid w:val="000E694B"/>
    <w:rsid w:val="000F0CCA"/>
    <w:rsid w:val="000F5092"/>
    <w:rsid w:val="001000C6"/>
    <w:rsid w:val="00101813"/>
    <w:rsid w:val="00102E34"/>
    <w:rsid w:val="00110CFC"/>
    <w:rsid w:val="00112FFF"/>
    <w:rsid w:val="00113DA4"/>
    <w:rsid w:val="001142D4"/>
    <w:rsid w:val="001155E0"/>
    <w:rsid w:val="001162BD"/>
    <w:rsid w:val="00116DCE"/>
    <w:rsid w:val="00121BA6"/>
    <w:rsid w:val="0012220B"/>
    <w:rsid w:val="00122F69"/>
    <w:rsid w:val="00123907"/>
    <w:rsid w:val="001245E0"/>
    <w:rsid w:val="001248B2"/>
    <w:rsid w:val="00125874"/>
    <w:rsid w:val="00125D0D"/>
    <w:rsid w:val="00127A23"/>
    <w:rsid w:val="00131704"/>
    <w:rsid w:val="00131A0B"/>
    <w:rsid w:val="001328BF"/>
    <w:rsid w:val="00132F45"/>
    <w:rsid w:val="0013315A"/>
    <w:rsid w:val="00134D0A"/>
    <w:rsid w:val="00134E2F"/>
    <w:rsid w:val="0013767B"/>
    <w:rsid w:val="0014250D"/>
    <w:rsid w:val="00143B2F"/>
    <w:rsid w:val="00145264"/>
    <w:rsid w:val="00147E32"/>
    <w:rsid w:val="00151F5C"/>
    <w:rsid w:val="00156986"/>
    <w:rsid w:val="00157B0C"/>
    <w:rsid w:val="00160559"/>
    <w:rsid w:val="00162F2E"/>
    <w:rsid w:val="00163EC1"/>
    <w:rsid w:val="0016438E"/>
    <w:rsid w:val="001646DC"/>
    <w:rsid w:val="00166035"/>
    <w:rsid w:val="00167663"/>
    <w:rsid w:val="00172CEE"/>
    <w:rsid w:val="00175F0A"/>
    <w:rsid w:val="00176265"/>
    <w:rsid w:val="0018216C"/>
    <w:rsid w:val="001831BD"/>
    <w:rsid w:val="00183E9A"/>
    <w:rsid w:val="0018624B"/>
    <w:rsid w:val="00186DF6"/>
    <w:rsid w:val="00187446"/>
    <w:rsid w:val="00187B72"/>
    <w:rsid w:val="001931AB"/>
    <w:rsid w:val="00194C51"/>
    <w:rsid w:val="0019619F"/>
    <w:rsid w:val="0019723E"/>
    <w:rsid w:val="00197A59"/>
    <w:rsid w:val="001A00CF"/>
    <w:rsid w:val="001A186F"/>
    <w:rsid w:val="001A1E0D"/>
    <w:rsid w:val="001A2A84"/>
    <w:rsid w:val="001A55D6"/>
    <w:rsid w:val="001B1023"/>
    <w:rsid w:val="001B28D7"/>
    <w:rsid w:val="001B38C0"/>
    <w:rsid w:val="001B543B"/>
    <w:rsid w:val="001B694F"/>
    <w:rsid w:val="001B70C2"/>
    <w:rsid w:val="001C1360"/>
    <w:rsid w:val="001C17BC"/>
    <w:rsid w:val="001C1B69"/>
    <w:rsid w:val="001C3F61"/>
    <w:rsid w:val="001C403F"/>
    <w:rsid w:val="001C4D17"/>
    <w:rsid w:val="001C4E7D"/>
    <w:rsid w:val="001C72EE"/>
    <w:rsid w:val="001C7BDB"/>
    <w:rsid w:val="001D1E24"/>
    <w:rsid w:val="001D5E1B"/>
    <w:rsid w:val="001D7315"/>
    <w:rsid w:val="001D7A10"/>
    <w:rsid w:val="001E0E75"/>
    <w:rsid w:val="001E1C8B"/>
    <w:rsid w:val="001E4D30"/>
    <w:rsid w:val="001E5292"/>
    <w:rsid w:val="001E5A92"/>
    <w:rsid w:val="001F2B50"/>
    <w:rsid w:val="001F2EE7"/>
    <w:rsid w:val="001F3655"/>
    <w:rsid w:val="001F3950"/>
    <w:rsid w:val="001F44E0"/>
    <w:rsid w:val="002016F7"/>
    <w:rsid w:val="0020325F"/>
    <w:rsid w:val="00203562"/>
    <w:rsid w:val="002049DF"/>
    <w:rsid w:val="00213661"/>
    <w:rsid w:val="00214A7F"/>
    <w:rsid w:val="00222293"/>
    <w:rsid w:val="0022230D"/>
    <w:rsid w:val="00223FAE"/>
    <w:rsid w:val="002242C3"/>
    <w:rsid w:val="002258C9"/>
    <w:rsid w:val="00232A1F"/>
    <w:rsid w:val="00233D5A"/>
    <w:rsid w:val="0023735B"/>
    <w:rsid w:val="002378E0"/>
    <w:rsid w:val="0024164D"/>
    <w:rsid w:val="00241CC3"/>
    <w:rsid w:val="00242E7E"/>
    <w:rsid w:val="00243283"/>
    <w:rsid w:val="002435C0"/>
    <w:rsid w:val="00245A1F"/>
    <w:rsid w:val="00252305"/>
    <w:rsid w:val="0025371B"/>
    <w:rsid w:val="002543EA"/>
    <w:rsid w:val="00256459"/>
    <w:rsid w:val="00256B83"/>
    <w:rsid w:val="00260328"/>
    <w:rsid w:val="002608BC"/>
    <w:rsid w:val="00260C40"/>
    <w:rsid w:val="00262665"/>
    <w:rsid w:val="00263827"/>
    <w:rsid w:val="00263B1A"/>
    <w:rsid w:val="00264785"/>
    <w:rsid w:val="00264FE3"/>
    <w:rsid w:val="002651E8"/>
    <w:rsid w:val="00265E0A"/>
    <w:rsid w:val="002706D3"/>
    <w:rsid w:val="002731D9"/>
    <w:rsid w:val="00275A0E"/>
    <w:rsid w:val="00275CDE"/>
    <w:rsid w:val="00280036"/>
    <w:rsid w:val="0028115F"/>
    <w:rsid w:val="002834FB"/>
    <w:rsid w:val="00286C71"/>
    <w:rsid w:val="002921E4"/>
    <w:rsid w:val="002938CA"/>
    <w:rsid w:val="00294C50"/>
    <w:rsid w:val="00294CD4"/>
    <w:rsid w:val="00297407"/>
    <w:rsid w:val="00297949"/>
    <w:rsid w:val="002A1174"/>
    <w:rsid w:val="002A12B0"/>
    <w:rsid w:val="002A1462"/>
    <w:rsid w:val="002A1A49"/>
    <w:rsid w:val="002A2798"/>
    <w:rsid w:val="002A5B11"/>
    <w:rsid w:val="002B06FC"/>
    <w:rsid w:val="002B0C7F"/>
    <w:rsid w:val="002B0E30"/>
    <w:rsid w:val="002B161E"/>
    <w:rsid w:val="002B18BF"/>
    <w:rsid w:val="002B1964"/>
    <w:rsid w:val="002B2A5F"/>
    <w:rsid w:val="002B6416"/>
    <w:rsid w:val="002B6738"/>
    <w:rsid w:val="002B6B22"/>
    <w:rsid w:val="002B6D51"/>
    <w:rsid w:val="002B76C9"/>
    <w:rsid w:val="002C026B"/>
    <w:rsid w:val="002C05F8"/>
    <w:rsid w:val="002C37FB"/>
    <w:rsid w:val="002C484C"/>
    <w:rsid w:val="002C5234"/>
    <w:rsid w:val="002C5F8C"/>
    <w:rsid w:val="002C63CA"/>
    <w:rsid w:val="002C7DA5"/>
    <w:rsid w:val="002D2965"/>
    <w:rsid w:val="002D2A9D"/>
    <w:rsid w:val="002D5E3F"/>
    <w:rsid w:val="002E09B7"/>
    <w:rsid w:val="002E3B13"/>
    <w:rsid w:val="002E4474"/>
    <w:rsid w:val="002E7A2B"/>
    <w:rsid w:val="002F4F26"/>
    <w:rsid w:val="002F5BE1"/>
    <w:rsid w:val="002F6016"/>
    <w:rsid w:val="002F6211"/>
    <w:rsid w:val="002F79F6"/>
    <w:rsid w:val="0030262B"/>
    <w:rsid w:val="00303D85"/>
    <w:rsid w:val="00303ED5"/>
    <w:rsid w:val="003045EB"/>
    <w:rsid w:val="00307AC7"/>
    <w:rsid w:val="00307C90"/>
    <w:rsid w:val="0031197B"/>
    <w:rsid w:val="003120B4"/>
    <w:rsid w:val="00314AE5"/>
    <w:rsid w:val="00314F5A"/>
    <w:rsid w:val="00320602"/>
    <w:rsid w:val="0032303B"/>
    <w:rsid w:val="00323FAE"/>
    <w:rsid w:val="003247E1"/>
    <w:rsid w:val="00324CFE"/>
    <w:rsid w:val="003254E8"/>
    <w:rsid w:val="00325939"/>
    <w:rsid w:val="0032627D"/>
    <w:rsid w:val="0033016C"/>
    <w:rsid w:val="0033040C"/>
    <w:rsid w:val="00331232"/>
    <w:rsid w:val="003324D5"/>
    <w:rsid w:val="0033313F"/>
    <w:rsid w:val="003340FF"/>
    <w:rsid w:val="003351A7"/>
    <w:rsid w:val="003357C3"/>
    <w:rsid w:val="00336914"/>
    <w:rsid w:val="00336DED"/>
    <w:rsid w:val="003370EA"/>
    <w:rsid w:val="0034141D"/>
    <w:rsid w:val="003414E3"/>
    <w:rsid w:val="00341964"/>
    <w:rsid w:val="00343815"/>
    <w:rsid w:val="00345CF7"/>
    <w:rsid w:val="003507E3"/>
    <w:rsid w:val="00353182"/>
    <w:rsid w:val="00353DB3"/>
    <w:rsid w:val="00355198"/>
    <w:rsid w:val="003619DF"/>
    <w:rsid w:val="00361FC5"/>
    <w:rsid w:val="00363C2E"/>
    <w:rsid w:val="00366024"/>
    <w:rsid w:val="00366DBA"/>
    <w:rsid w:val="00367B19"/>
    <w:rsid w:val="003701DE"/>
    <w:rsid w:val="00370FDE"/>
    <w:rsid w:val="003710B2"/>
    <w:rsid w:val="003741A3"/>
    <w:rsid w:val="00374F42"/>
    <w:rsid w:val="003759EF"/>
    <w:rsid w:val="00376EF8"/>
    <w:rsid w:val="003775AE"/>
    <w:rsid w:val="00385B1A"/>
    <w:rsid w:val="00390757"/>
    <w:rsid w:val="003919B6"/>
    <w:rsid w:val="003920D0"/>
    <w:rsid w:val="003925C3"/>
    <w:rsid w:val="003966B2"/>
    <w:rsid w:val="003A00A7"/>
    <w:rsid w:val="003A0E0B"/>
    <w:rsid w:val="003A20A4"/>
    <w:rsid w:val="003A76AC"/>
    <w:rsid w:val="003B0972"/>
    <w:rsid w:val="003B4A9B"/>
    <w:rsid w:val="003B6FA2"/>
    <w:rsid w:val="003B7B5C"/>
    <w:rsid w:val="003B7F94"/>
    <w:rsid w:val="003D1625"/>
    <w:rsid w:val="003D2D7D"/>
    <w:rsid w:val="003D34B0"/>
    <w:rsid w:val="003D3BC0"/>
    <w:rsid w:val="003D7444"/>
    <w:rsid w:val="003D781A"/>
    <w:rsid w:val="003E2602"/>
    <w:rsid w:val="003E2E36"/>
    <w:rsid w:val="003E31C0"/>
    <w:rsid w:val="003E33DE"/>
    <w:rsid w:val="003E4D43"/>
    <w:rsid w:val="003E66C0"/>
    <w:rsid w:val="003F089B"/>
    <w:rsid w:val="003F15A9"/>
    <w:rsid w:val="003F3244"/>
    <w:rsid w:val="003F35CF"/>
    <w:rsid w:val="003F6779"/>
    <w:rsid w:val="00403216"/>
    <w:rsid w:val="0040667A"/>
    <w:rsid w:val="0040677E"/>
    <w:rsid w:val="0040742F"/>
    <w:rsid w:val="00411064"/>
    <w:rsid w:val="00413A46"/>
    <w:rsid w:val="00415EE9"/>
    <w:rsid w:val="00424FAF"/>
    <w:rsid w:val="0043092E"/>
    <w:rsid w:val="004337F5"/>
    <w:rsid w:val="00435B2E"/>
    <w:rsid w:val="0043612B"/>
    <w:rsid w:val="0044209D"/>
    <w:rsid w:val="0044356C"/>
    <w:rsid w:val="004435D9"/>
    <w:rsid w:val="0044682E"/>
    <w:rsid w:val="0044688C"/>
    <w:rsid w:val="004508AF"/>
    <w:rsid w:val="0045652C"/>
    <w:rsid w:val="00460B80"/>
    <w:rsid w:val="00461711"/>
    <w:rsid w:val="0046531E"/>
    <w:rsid w:val="0046724B"/>
    <w:rsid w:val="00470BD8"/>
    <w:rsid w:val="00472600"/>
    <w:rsid w:val="00472631"/>
    <w:rsid w:val="00474A2B"/>
    <w:rsid w:val="00475649"/>
    <w:rsid w:val="004770B1"/>
    <w:rsid w:val="00480124"/>
    <w:rsid w:val="00480DDB"/>
    <w:rsid w:val="00483581"/>
    <w:rsid w:val="00484D3C"/>
    <w:rsid w:val="00486176"/>
    <w:rsid w:val="00490948"/>
    <w:rsid w:val="00493512"/>
    <w:rsid w:val="0049700E"/>
    <w:rsid w:val="004A1491"/>
    <w:rsid w:val="004A37EC"/>
    <w:rsid w:val="004A63ED"/>
    <w:rsid w:val="004A6807"/>
    <w:rsid w:val="004A6CF1"/>
    <w:rsid w:val="004B02F0"/>
    <w:rsid w:val="004B0CC9"/>
    <w:rsid w:val="004B26A7"/>
    <w:rsid w:val="004B2BD8"/>
    <w:rsid w:val="004B5777"/>
    <w:rsid w:val="004B5CE5"/>
    <w:rsid w:val="004B7457"/>
    <w:rsid w:val="004B7D9E"/>
    <w:rsid w:val="004C0B0E"/>
    <w:rsid w:val="004C60FB"/>
    <w:rsid w:val="004D1156"/>
    <w:rsid w:val="004D203C"/>
    <w:rsid w:val="004D4334"/>
    <w:rsid w:val="004D7666"/>
    <w:rsid w:val="004D7703"/>
    <w:rsid w:val="004E22B2"/>
    <w:rsid w:val="004E5588"/>
    <w:rsid w:val="004E5D3B"/>
    <w:rsid w:val="004E6180"/>
    <w:rsid w:val="004F0D59"/>
    <w:rsid w:val="004F1636"/>
    <w:rsid w:val="004F3BB1"/>
    <w:rsid w:val="004F615B"/>
    <w:rsid w:val="00500B7B"/>
    <w:rsid w:val="00500D03"/>
    <w:rsid w:val="00503BC6"/>
    <w:rsid w:val="00504268"/>
    <w:rsid w:val="0050682E"/>
    <w:rsid w:val="00507007"/>
    <w:rsid w:val="00510A18"/>
    <w:rsid w:val="00512E03"/>
    <w:rsid w:val="005147F8"/>
    <w:rsid w:val="00514F1D"/>
    <w:rsid w:val="00515700"/>
    <w:rsid w:val="00515E94"/>
    <w:rsid w:val="0051642D"/>
    <w:rsid w:val="00521E4B"/>
    <w:rsid w:val="00523759"/>
    <w:rsid w:val="00526FAB"/>
    <w:rsid w:val="00530AC1"/>
    <w:rsid w:val="00531B65"/>
    <w:rsid w:val="00531BBE"/>
    <w:rsid w:val="00531E6B"/>
    <w:rsid w:val="00532542"/>
    <w:rsid w:val="00543D01"/>
    <w:rsid w:val="005449EF"/>
    <w:rsid w:val="005450D6"/>
    <w:rsid w:val="005454F5"/>
    <w:rsid w:val="00552B64"/>
    <w:rsid w:val="00552D7A"/>
    <w:rsid w:val="00555ACC"/>
    <w:rsid w:val="00556F00"/>
    <w:rsid w:val="00561682"/>
    <w:rsid w:val="00561ED5"/>
    <w:rsid w:val="00562B02"/>
    <w:rsid w:val="00566ACF"/>
    <w:rsid w:val="0057180E"/>
    <w:rsid w:val="00573005"/>
    <w:rsid w:val="00574F1B"/>
    <w:rsid w:val="0057627C"/>
    <w:rsid w:val="00577150"/>
    <w:rsid w:val="00580D44"/>
    <w:rsid w:val="0058128E"/>
    <w:rsid w:val="00581929"/>
    <w:rsid w:val="00582636"/>
    <w:rsid w:val="00583466"/>
    <w:rsid w:val="00587F57"/>
    <w:rsid w:val="005900C4"/>
    <w:rsid w:val="005945F0"/>
    <w:rsid w:val="005950A7"/>
    <w:rsid w:val="00595197"/>
    <w:rsid w:val="00597A2D"/>
    <w:rsid w:val="005A1B91"/>
    <w:rsid w:val="005A36BE"/>
    <w:rsid w:val="005A3FF7"/>
    <w:rsid w:val="005A4127"/>
    <w:rsid w:val="005A4FAD"/>
    <w:rsid w:val="005A6BD6"/>
    <w:rsid w:val="005A77BD"/>
    <w:rsid w:val="005B034B"/>
    <w:rsid w:val="005B2389"/>
    <w:rsid w:val="005B386D"/>
    <w:rsid w:val="005B65A9"/>
    <w:rsid w:val="005B6E34"/>
    <w:rsid w:val="005B6FA3"/>
    <w:rsid w:val="005C66B2"/>
    <w:rsid w:val="005C75B4"/>
    <w:rsid w:val="005D41A7"/>
    <w:rsid w:val="005D4C63"/>
    <w:rsid w:val="005D4C75"/>
    <w:rsid w:val="005D67C3"/>
    <w:rsid w:val="005D6953"/>
    <w:rsid w:val="005D6AC9"/>
    <w:rsid w:val="005E0C42"/>
    <w:rsid w:val="005E1622"/>
    <w:rsid w:val="005E1A36"/>
    <w:rsid w:val="005E2918"/>
    <w:rsid w:val="005E29AA"/>
    <w:rsid w:val="005E690C"/>
    <w:rsid w:val="005E7538"/>
    <w:rsid w:val="005F1A7A"/>
    <w:rsid w:val="005F26DB"/>
    <w:rsid w:val="005F31B1"/>
    <w:rsid w:val="005F4334"/>
    <w:rsid w:val="005F659C"/>
    <w:rsid w:val="005F6B92"/>
    <w:rsid w:val="005F6EF5"/>
    <w:rsid w:val="005F7C2F"/>
    <w:rsid w:val="006026B4"/>
    <w:rsid w:val="00605CB5"/>
    <w:rsid w:val="00605F1B"/>
    <w:rsid w:val="00606E5F"/>
    <w:rsid w:val="00612782"/>
    <w:rsid w:val="00615297"/>
    <w:rsid w:val="00616635"/>
    <w:rsid w:val="006169D2"/>
    <w:rsid w:val="00616B0D"/>
    <w:rsid w:val="006179EC"/>
    <w:rsid w:val="00621AAE"/>
    <w:rsid w:val="00621C41"/>
    <w:rsid w:val="0062436E"/>
    <w:rsid w:val="006264BD"/>
    <w:rsid w:val="006274BD"/>
    <w:rsid w:val="00631553"/>
    <w:rsid w:val="00633F5A"/>
    <w:rsid w:val="00635EFF"/>
    <w:rsid w:val="00637D53"/>
    <w:rsid w:val="006415D1"/>
    <w:rsid w:val="006526D1"/>
    <w:rsid w:val="00654396"/>
    <w:rsid w:val="00654B0D"/>
    <w:rsid w:val="00657A8D"/>
    <w:rsid w:val="00660066"/>
    <w:rsid w:val="00661622"/>
    <w:rsid w:val="00662A77"/>
    <w:rsid w:val="00664F5C"/>
    <w:rsid w:val="00671D60"/>
    <w:rsid w:val="00672544"/>
    <w:rsid w:val="00675BC2"/>
    <w:rsid w:val="00677A82"/>
    <w:rsid w:val="00681E85"/>
    <w:rsid w:val="006853D2"/>
    <w:rsid w:val="00685FD1"/>
    <w:rsid w:val="00692E5C"/>
    <w:rsid w:val="00695D57"/>
    <w:rsid w:val="006A1322"/>
    <w:rsid w:val="006A15FD"/>
    <w:rsid w:val="006A32FD"/>
    <w:rsid w:val="006A75FA"/>
    <w:rsid w:val="006B05C3"/>
    <w:rsid w:val="006B0A77"/>
    <w:rsid w:val="006B2715"/>
    <w:rsid w:val="006B3920"/>
    <w:rsid w:val="006B5EB6"/>
    <w:rsid w:val="006B65FB"/>
    <w:rsid w:val="006C2C76"/>
    <w:rsid w:val="006C36EE"/>
    <w:rsid w:val="006C3782"/>
    <w:rsid w:val="006C5D5E"/>
    <w:rsid w:val="006C67DA"/>
    <w:rsid w:val="006C6F7A"/>
    <w:rsid w:val="006D12E6"/>
    <w:rsid w:val="006D2E5A"/>
    <w:rsid w:val="006D34DA"/>
    <w:rsid w:val="006D6CA3"/>
    <w:rsid w:val="006D6E3D"/>
    <w:rsid w:val="006D76B5"/>
    <w:rsid w:val="006D7CAE"/>
    <w:rsid w:val="006E2796"/>
    <w:rsid w:val="006E2CAB"/>
    <w:rsid w:val="006E4513"/>
    <w:rsid w:val="006E51C7"/>
    <w:rsid w:val="006E5CD0"/>
    <w:rsid w:val="006E60A3"/>
    <w:rsid w:val="006F0EB3"/>
    <w:rsid w:val="006F3F32"/>
    <w:rsid w:val="007012A6"/>
    <w:rsid w:val="007017C8"/>
    <w:rsid w:val="007022ED"/>
    <w:rsid w:val="007049F3"/>
    <w:rsid w:val="007058A5"/>
    <w:rsid w:val="007066D1"/>
    <w:rsid w:val="007125D2"/>
    <w:rsid w:val="00712983"/>
    <w:rsid w:val="0071399B"/>
    <w:rsid w:val="00714E1A"/>
    <w:rsid w:val="007152DF"/>
    <w:rsid w:val="00715C8A"/>
    <w:rsid w:val="00716801"/>
    <w:rsid w:val="00716823"/>
    <w:rsid w:val="00721DA6"/>
    <w:rsid w:val="00722B46"/>
    <w:rsid w:val="00725356"/>
    <w:rsid w:val="007304B6"/>
    <w:rsid w:val="00732387"/>
    <w:rsid w:val="00734B1B"/>
    <w:rsid w:val="007368D2"/>
    <w:rsid w:val="00740195"/>
    <w:rsid w:val="007423FE"/>
    <w:rsid w:val="00742DCA"/>
    <w:rsid w:val="00743EC4"/>
    <w:rsid w:val="007453BE"/>
    <w:rsid w:val="0075484E"/>
    <w:rsid w:val="00754944"/>
    <w:rsid w:val="00754C93"/>
    <w:rsid w:val="0075761D"/>
    <w:rsid w:val="00761075"/>
    <w:rsid w:val="00761182"/>
    <w:rsid w:val="00761BE8"/>
    <w:rsid w:val="00763FA5"/>
    <w:rsid w:val="00765A5B"/>
    <w:rsid w:val="00765EE1"/>
    <w:rsid w:val="0077112E"/>
    <w:rsid w:val="00771338"/>
    <w:rsid w:val="00772FCA"/>
    <w:rsid w:val="0077317A"/>
    <w:rsid w:val="00774097"/>
    <w:rsid w:val="007740B7"/>
    <w:rsid w:val="0077681E"/>
    <w:rsid w:val="00781BA5"/>
    <w:rsid w:val="007836D5"/>
    <w:rsid w:val="007840AC"/>
    <w:rsid w:val="007849F5"/>
    <w:rsid w:val="00784F75"/>
    <w:rsid w:val="00787401"/>
    <w:rsid w:val="007876D5"/>
    <w:rsid w:val="007909CC"/>
    <w:rsid w:val="00792A98"/>
    <w:rsid w:val="00792E9F"/>
    <w:rsid w:val="0079353B"/>
    <w:rsid w:val="007945D2"/>
    <w:rsid w:val="00794636"/>
    <w:rsid w:val="007948B8"/>
    <w:rsid w:val="007A00DD"/>
    <w:rsid w:val="007A0142"/>
    <w:rsid w:val="007A1EF8"/>
    <w:rsid w:val="007A35E3"/>
    <w:rsid w:val="007A51FB"/>
    <w:rsid w:val="007A5924"/>
    <w:rsid w:val="007A71C9"/>
    <w:rsid w:val="007B0B4F"/>
    <w:rsid w:val="007B1356"/>
    <w:rsid w:val="007B2287"/>
    <w:rsid w:val="007B32F8"/>
    <w:rsid w:val="007B6855"/>
    <w:rsid w:val="007B799E"/>
    <w:rsid w:val="007C10D8"/>
    <w:rsid w:val="007C3333"/>
    <w:rsid w:val="007C35AE"/>
    <w:rsid w:val="007D16EE"/>
    <w:rsid w:val="007D5004"/>
    <w:rsid w:val="007D529B"/>
    <w:rsid w:val="007E0A0B"/>
    <w:rsid w:val="007E10FD"/>
    <w:rsid w:val="007E1F5D"/>
    <w:rsid w:val="007E45C1"/>
    <w:rsid w:val="007E5069"/>
    <w:rsid w:val="007E524F"/>
    <w:rsid w:val="007E5399"/>
    <w:rsid w:val="007E5EC2"/>
    <w:rsid w:val="007E5FFB"/>
    <w:rsid w:val="007E779D"/>
    <w:rsid w:val="007F0463"/>
    <w:rsid w:val="007F4BE6"/>
    <w:rsid w:val="008024EE"/>
    <w:rsid w:val="00803EDD"/>
    <w:rsid w:val="00803F42"/>
    <w:rsid w:val="0080601D"/>
    <w:rsid w:val="00810169"/>
    <w:rsid w:val="00812CF0"/>
    <w:rsid w:val="00813B60"/>
    <w:rsid w:val="00814A5A"/>
    <w:rsid w:val="00816E14"/>
    <w:rsid w:val="0081718A"/>
    <w:rsid w:val="00817D5F"/>
    <w:rsid w:val="0082207D"/>
    <w:rsid w:val="00823F1E"/>
    <w:rsid w:val="00827A19"/>
    <w:rsid w:val="008339C0"/>
    <w:rsid w:val="00837E0B"/>
    <w:rsid w:val="00840C7D"/>
    <w:rsid w:val="00842254"/>
    <w:rsid w:val="0084265D"/>
    <w:rsid w:val="00843C6C"/>
    <w:rsid w:val="00843FC3"/>
    <w:rsid w:val="00844224"/>
    <w:rsid w:val="00844393"/>
    <w:rsid w:val="00845D15"/>
    <w:rsid w:val="00846D00"/>
    <w:rsid w:val="008549FA"/>
    <w:rsid w:val="008563D2"/>
    <w:rsid w:val="00860D1A"/>
    <w:rsid w:val="00861313"/>
    <w:rsid w:val="00861C1E"/>
    <w:rsid w:val="008635E8"/>
    <w:rsid w:val="00863900"/>
    <w:rsid w:val="0086582E"/>
    <w:rsid w:val="00865AFD"/>
    <w:rsid w:val="00866AAE"/>
    <w:rsid w:val="00875339"/>
    <w:rsid w:val="008757AA"/>
    <w:rsid w:val="00876EEB"/>
    <w:rsid w:val="00881CEB"/>
    <w:rsid w:val="008832E2"/>
    <w:rsid w:val="008856EA"/>
    <w:rsid w:val="00885879"/>
    <w:rsid w:val="00885973"/>
    <w:rsid w:val="00886A1A"/>
    <w:rsid w:val="00887634"/>
    <w:rsid w:val="00887B4E"/>
    <w:rsid w:val="00890E1D"/>
    <w:rsid w:val="00891438"/>
    <w:rsid w:val="0089158D"/>
    <w:rsid w:val="00892FAE"/>
    <w:rsid w:val="0089653F"/>
    <w:rsid w:val="008A1A10"/>
    <w:rsid w:val="008A572C"/>
    <w:rsid w:val="008A6261"/>
    <w:rsid w:val="008A674F"/>
    <w:rsid w:val="008A7A32"/>
    <w:rsid w:val="008A7F6F"/>
    <w:rsid w:val="008B2034"/>
    <w:rsid w:val="008B3CAB"/>
    <w:rsid w:val="008B3EA5"/>
    <w:rsid w:val="008B6889"/>
    <w:rsid w:val="008C039D"/>
    <w:rsid w:val="008C1DD2"/>
    <w:rsid w:val="008D0A17"/>
    <w:rsid w:val="008D5ED3"/>
    <w:rsid w:val="008D5FB5"/>
    <w:rsid w:val="008D757E"/>
    <w:rsid w:val="008D7AEF"/>
    <w:rsid w:val="008E2117"/>
    <w:rsid w:val="008E5B8C"/>
    <w:rsid w:val="008F3A26"/>
    <w:rsid w:val="008F4CB7"/>
    <w:rsid w:val="008F5613"/>
    <w:rsid w:val="008F74F9"/>
    <w:rsid w:val="008F7E49"/>
    <w:rsid w:val="00900D04"/>
    <w:rsid w:val="00906F2F"/>
    <w:rsid w:val="00907236"/>
    <w:rsid w:val="00910C92"/>
    <w:rsid w:val="00916A11"/>
    <w:rsid w:val="009246B0"/>
    <w:rsid w:val="00925301"/>
    <w:rsid w:val="0092692E"/>
    <w:rsid w:val="00930468"/>
    <w:rsid w:val="00931F77"/>
    <w:rsid w:val="009324C0"/>
    <w:rsid w:val="00932EED"/>
    <w:rsid w:val="00933B32"/>
    <w:rsid w:val="00937780"/>
    <w:rsid w:val="00941BC2"/>
    <w:rsid w:val="00941CD4"/>
    <w:rsid w:val="00942FCC"/>
    <w:rsid w:val="0094323E"/>
    <w:rsid w:val="009432D5"/>
    <w:rsid w:val="00945B01"/>
    <w:rsid w:val="0094699A"/>
    <w:rsid w:val="009474B8"/>
    <w:rsid w:val="00952D66"/>
    <w:rsid w:val="009530D8"/>
    <w:rsid w:val="00954E57"/>
    <w:rsid w:val="00957190"/>
    <w:rsid w:val="00957850"/>
    <w:rsid w:val="00960054"/>
    <w:rsid w:val="0096017A"/>
    <w:rsid w:val="009607BE"/>
    <w:rsid w:val="00961209"/>
    <w:rsid w:val="0096220F"/>
    <w:rsid w:val="009645E5"/>
    <w:rsid w:val="00965A1A"/>
    <w:rsid w:val="00965B6E"/>
    <w:rsid w:val="00965CF2"/>
    <w:rsid w:val="00966E6D"/>
    <w:rsid w:val="00966FEF"/>
    <w:rsid w:val="009673C8"/>
    <w:rsid w:val="00970752"/>
    <w:rsid w:val="00971DED"/>
    <w:rsid w:val="00973404"/>
    <w:rsid w:val="009737EF"/>
    <w:rsid w:val="009748C3"/>
    <w:rsid w:val="00977C91"/>
    <w:rsid w:val="0098045E"/>
    <w:rsid w:val="00980E8D"/>
    <w:rsid w:val="00981A9D"/>
    <w:rsid w:val="00983A0D"/>
    <w:rsid w:val="0098527F"/>
    <w:rsid w:val="00985A2C"/>
    <w:rsid w:val="009861BE"/>
    <w:rsid w:val="009862D7"/>
    <w:rsid w:val="009872EB"/>
    <w:rsid w:val="00994B91"/>
    <w:rsid w:val="00994DE8"/>
    <w:rsid w:val="009972D8"/>
    <w:rsid w:val="00997C99"/>
    <w:rsid w:val="009A30D4"/>
    <w:rsid w:val="009A3119"/>
    <w:rsid w:val="009A3F79"/>
    <w:rsid w:val="009A41C7"/>
    <w:rsid w:val="009A7DD2"/>
    <w:rsid w:val="009B2315"/>
    <w:rsid w:val="009B6079"/>
    <w:rsid w:val="009B6301"/>
    <w:rsid w:val="009B7B97"/>
    <w:rsid w:val="009B7BC1"/>
    <w:rsid w:val="009C14B5"/>
    <w:rsid w:val="009C23DD"/>
    <w:rsid w:val="009C48E7"/>
    <w:rsid w:val="009C4EBB"/>
    <w:rsid w:val="009C60AA"/>
    <w:rsid w:val="009D2505"/>
    <w:rsid w:val="009D2C44"/>
    <w:rsid w:val="009D45AB"/>
    <w:rsid w:val="009D760D"/>
    <w:rsid w:val="009E3243"/>
    <w:rsid w:val="009E341B"/>
    <w:rsid w:val="009E757C"/>
    <w:rsid w:val="009F2755"/>
    <w:rsid w:val="009F2DF2"/>
    <w:rsid w:val="009F5435"/>
    <w:rsid w:val="00A0107D"/>
    <w:rsid w:val="00A018C8"/>
    <w:rsid w:val="00A036E4"/>
    <w:rsid w:val="00A04C2F"/>
    <w:rsid w:val="00A05325"/>
    <w:rsid w:val="00A067C9"/>
    <w:rsid w:val="00A10215"/>
    <w:rsid w:val="00A11B2A"/>
    <w:rsid w:val="00A133B4"/>
    <w:rsid w:val="00A14603"/>
    <w:rsid w:val="00A14F84"/>
    <w:rsid w:val="00A1532C"/>
    <w:rsid w:val="00A15E7E"/>
    <w:rsid w:val="00A20551"/>
    <w:rsid w:val="00A22E03"/>
    <w:rsid w:val="00A24A91"/>
    <w:rsid w:val="00A2522A"/>
    <w:rsid w:val="00A2689B"/>
    <w:rsid w:val="00A26A0C"/>
    <w:rsid w:val="00A27BBC"/>
    <w:rsid w:val="00A27E9C"/>
    <w:rsid w:val="00A308D3"/>
    <w:rsid w:val="00A30CF2"/>
    <w:rsid w:val="00A3149D"/>
    <w:rsid w:val="00A37518"/>
    <w:rsid w:val="00A40AB3"/>
    <w:rsid w:val="00A42538"/>
    <w:rsid w:val="00A42D27"/>
    <w:rsid w:val="00A4403E"/>
    <w:rsid w:val="00A46443"/>
    <w:rsid w:val="00A503E3"/>
    <w:rsid w:val="00A5326F"/>
    <w:rsid w:val="00A53C37"/>
    <w:rsid w:val="00A54496"/>
    <w:rsid w:val="00A54A0D"/>
    <w:rsid w:val="00A63D61"/>
    <w:rsid w:val="00A64575"/>
    <w:rsid w:val="00A65425"/>
    <w:rsid w:val="00A704D4"/>
    <w:rsid w:val="00A71866"/>
    <w:rsid w:val="00A71979"/>
    <w:rsid w:val="00A731E8"/>
    <w:rsid w:val="00A80497"/>
    <w:rsid w:val="00A81176"/>
    <w:rsid w:val="00A81582"/>
    <w:rsid w:val="00A820F9"/>
    <w:rsid w:val="00A85E0B"/>
    <w:rsid w:val="00A86175"/>
    <w:rsid w:val="00A862F9"/>
    <w:rsid w:val="00A87CF6"/>
    <w:rsid w:val="00A9224B"/>
    <w:rsid w:val="00A9479E"/>
    <w:rsid w:val="00AA10B8"/>
    <w:rsid w:val="00AA247F"/>
    <w:rsid w:val="00AA343C"/>
    <w:rsid w:val="00AA3F27"/>
    <w:rsid w:val="00AB139F"/>
    <w:rsid w:val="00AB360A"/>
    <w:rsid w:val="00AB38C3"/>
    <w:rsid w:val="00AB3CF7"/>
    <w:rsid w:val="00AB3DF0"/>
    <w:rsid w:val="00AB4BBD"/>
    <w:rsid w:val="00AB698E"/>
    <w:rsid w:val="00AB6A20"/>
    <w:rsid w:val="00AB790C"/>
    <w:rsid w:val="00AC0040"/>
    <w:rsid w:val="00AC0633"/>
    <w:rsid w:val="00AC0AA6"/>
    <w:rsid w:val="00AC0CD6"/>
    <w:rsid w:val="00AC42C0"/>
    <w:rsid w:val="00AC6DA3"/>
    <w:rsid w:val="00AD3063"/>
    <w:rsid w:val="00AD41EA"/>
    <w:rsid w:val="00AD4A92"/>
    <w:rsid w:val="00AD50C3"/>
    <w:rsid w:val="00AD5942"/>
    <w:rsid w:val="00AD6939"/>
    <w:rsid w:val="00AD6B18"/>
    <w:rsid w:val="00AD6D0B"/>
    <w:rsid w:val="00AE0EA1"/>
    <w:rsid w:val="00AE28C2"/>
    <w:rsid w:val="00AE713F"/>
    <w:rsid w:val="00AE79A6"/>
    <w:rsid w:val="00AF1E5A"/>
    <w:rsid w:val="00AF412D"/>
    <w:rsid w:val="00AF5623"/>
    <w:rsid w:val="00AF6184"/>
    <w:rsid w:val="00B0007C"/>
    <w:rsid w:val="00B06CEB"/>
    <w:rsid w:val="00B07A7D"/>
    <w:rsid w:val="00B07F01"/>
    <w:rsid w:val="00B131E1"/>
    <w:rsid w:val="00B14BBE"/>
    <w:rsid w:val="00B14E60"/>
    <w:rsid w:val="00B15A32"/>
    <w:rsid w:val="00B15BA1"/>
    <w:rsid w:val="00B2029E"/>
    <w:rsid w:val="00B205FB"/>
    <w:rsid w:val="00B20F3C"/>
    <w:rsid w:val="00B22B81"/>
    <w:rsid w:val="00B22C84"/>
    <w:rsid w:val="00B23730"/>
    <w:rsid w:val="00B24471"/>
    <w:rsid w:val="00B319BC"/>
    <w:rsid w:val="00B323F0"/>
    <w:rsid w:val="00B3254F"/>
    <w:rsid w:val="00B32E8A"/>
    <w:rsid w:val="00B3341A"/>
    <w:rsid w:val="00B3486D"/>
    <w:rsid w:val="00B36A16"/>
    <w:rsid w:val="00B42FE9"/>
    <w:rsid w:val="00B44BC8"/>
    <w:rsid w:val="00B45450"/>
    <w:rsid w:val="00B454B7"/>
    <w:rsid w:val="00B50FD6"/>
    <w:rsid w:val="00B51209"/>
    <w:rsid w:val="00B52DD4"/>
    <w:rsid w:val="00B531A5"/>
    <w:rsid w:val="00B5413B"/>
    <w:rsid w:val="00B54561"/>
    <w:rsid w:val="00B62120"/>
    <w:rsid w:val="00B66109"/>
    <w:rsid w:val="00B661DE"/>
    <w:rsid w:val="00B66F3C"/>
    <w:rsid w:val="00B70F7A"/>
    <w:rsid w:val="00B72972"/>
    <w:rsid w:val="00B76C81"/>
    <w:rsid w:val="00B777AF"/>
    <w:rsid w:val="00B805B9"/>
    <w:rsid w:val="00B81FEA"/>
    <w:rsid w:val="00B82344"/>
    <w:rsid w:val="00B84339"/>
    <w:rsid w:val="00B8471C"/>
    <w:rsid w:val="00B850B3"/>
    <w:rsid w:val="00B864D9"/>
    <w:rsid w:val="00BA1905"/>
    <w:rsid w:val="00BA315F"/>
    <w:rsid w:val="00BA3B5F"/>
    <w:rsid w:val="00BA4AF2"/>
    <w:rsid w:val="00BA5B39"/>
    <w:rsid w:val="00BB2160"/>
    <w:rsid w:val="00BB24F2"/>
    <w:rsid w:val="00BB53B0"/>
    <w:rsid w:val="00BB58DC"/>
    <w:rsid w:val="00BB62CC"/>
    <w:rsid w:val="00BB6EA0"/>
    <w:rsid w:val="00BB7217"/>
    <w:rsid w:val="00BB7541"/>
    <w:rsid w:val="00BC1545"/>
    <w:rsid w:val="00BC7E96"/>
    <w:rsid w:val="00BD3366"/>
    <w:rsid w:val="00BD3AB4"/>
    <w:rsid w:val="00BD42AF"/>
    <w:rsid w:val="00BD76B1"/>
    <w:rsid w:val="00BE05F7"/>
    <w:rsid w:val="00BE5581"/>
    <w:rsid w:val="00BE67A3"/>
    <w:rsid w:val="00BE7568"/>
    <w:rsid w:val="00BF13A6"/>
    <w:rsid w:val="00BF24BD"/>
    <w:rsid w:val="00BF25F7"/>
    <w:rsid w:val="00BF285A"/>
    <w:rsid w:val="00BF337D"/>
    <w:rsid w:val="00BF484C"/>
    <w:rsid w:val="00BF4A6F"/>
    <w:rsid w:val="00BF4F44"/>
    <w:rsid w:val="00BF6088"/>
    <w:rsid w:val="00BF79F4"/>
    <w:rsid w:val="00C01997"/>
    <w:rsid w:val="00C02016"/>
    <w:rsid w:val="00C043D3"/>
    <w:rsid w:val="00C04EFE"/>
    <w:rsid w:val="00C071B2"/>
    <w:rsid w:val="00C077F9"/>
    <w:rsid w:val="00C10351"/>
    <w:rsid w:val="00C12342"/>
    <w:rsid w:val="00C13377"/>
    <w:rsid w:val="00C14226"/>
    <w:rsid w:val="00C173E5"/>
    <w:rsid w:val="00C17608"/>
    <w:rsid w:val="00C17F33"/>
    <w:rsid w:val="00C22C1C"/>
    <w:rsid w:val="00C25E70"/>
    <w:rsid w:val="00C269D0"/>
    <w:rsid w:val="00C30036"/>
    <w:rsid w:val="00C31503"/>
    <w:rsid w:val="00C34517"/>
    <w:rsid w:val="00C36A9A"/>
    <w:rsid w:val="00C374F6"/>
    <w:rsid w:val="00C37B0C"/>
    <w:rsid w:val="00C4023A"/>
    <w:rsid w:val="00C4059D"/>
    <w:rsid w:val="00C42729"/>
    <w:rsid w:val="00C43BAA"/>
    <w:rsid w:val="00C441C2"/>
    <w:rsid w:val="00C46025"/>
    <w:rsid w:val="00C50E52"/>
    <w:rsid w:val="00C512E2"/>
    <w:rsid w:val="00C5297F"/>
    <w:rsid w:val="00C5362E"/>
    <w:rsid w:val="00C548A0"/>
    <w:rsid w:val="00C617EC"/>
    <w:rsid w:val="00C63353"/>
    <w:rsid w:val="00C64A46"/>
    <w:rsid w:val="00C71D7C"/>
    <w:rsid w:val="00C721DA"/>
    <w:rsid w:val="00C73A61"/>
    <w:rsid w:val="00C812D2"/>
    <w:rsid w:val="00C824E7"/>
    <w:rsid w:val="00C85B49"/>
    <w:rsid w:val="00C93252"/>
    <w:rsid w:val="00C97F33"/>
    <w:rsid w:val="00CA0156"/>
    <w:rsid w:val="00CA30AA"/>
    <w:rsid w:val="00CA35E1"/>
    <w:rsid w:val="00CA518D"/>
    <w:rsid w:val="00CA5466"/>
    <w:rsid w:val="00CA5530"/>
    <w:rsid w:val="00CA5A5A"/>
    <w:rsid w:val="00CA6F32"/>
    <w:rsid w:val="00CA72AF"/>
    <w:rsid w:val="00CB05BE"/>
    <w:rsid w:val="00CB4EDB"/>
    <w:rsid w:val="00CB601E"/>
    <w:rsid w:val="00CB6549"/>
    <w:rsid w:val="00CC08E1"/>
    <w:rsid w:val="00CC413D"/>
    <w:rsid w:val="00CC4B14"/>
    <w:rsid w:val="00CC634F"/>
    <w:rsid w:val="00CC79BE"/>
    <w:rsid w:val="00CD01F4"/>
    <w:rsid w:val="00CD3D5A"/>
    <w:rsid w:val="00CD3EC4"/>
    <w:rsid w:val="00CE03D6"/>
    <w:rsid w:val="00CE1BF0"/>
    <w:rsid w:val="00CE33B9"/>
    <w:rsid w:val="00CE4194"/>
    <w:rsid w:val="00CE6501"/>
    <w:rsid w:val="00CE7906"/>
    <w:rsid w:val="00CF1090"/>
    <w:rsid w:val="00CF1113"/>
    <w:rsid w:val="00CF2590"/>
    <w:rsid w:val="00CF5AA9"/>
    <w:rsid w:val="00CF5E18"/>
    <w:rsid w:val="00CF7679"/>
    <w:rsid w:val="00CF7C03"/>
    <w:rsid w:val="00D0061A"/>
    <w:rsid w:val="00D011C4"/>
    <w:rsid w:val="00D016BA"/>
    <w:rsid w:val="00D01800"/>
    <w:rsid w:val="00D0260D"/>
    <w:rsid w:val="00D027F1"/>
    <w:rsid w:val="00D075B0"/>
    <w:rsid w:val="00D11C2E"/>
    <w:rsid w:val="00D138F3"/>
    <w:rsid w:val="00D177AD"/>
    <w:rsid w:val="00D17EB2"/>
    <w:rsid w:val="00D22B30"/>
    <w:rsid w:val="00D25F2E"/>
    <w:rsid w:val="00D263A9"/>
    <w:rsid w:val="00D26D63"/>
    <w:rsid w:val="00D30223"/>
    <w:rsid w:val="00D31E7A"/>
    <w:rsid w:val="00D338E9"/>
    <w:rsid w:val="00D33BFB"/>
    <w:rsid w:val="00D3471B"/>
    <w:rsid w:val="00D34938"/>
    <w:rsid w:val="00D351D6"/>
    <w:rsid w:val="00D37C8B"/>
    <w:rsid w:val="00D40CE8"/>
    <w:rsid w:val="00D41DDC"/>
    <w:rsid w:val="00D4283E"/>
    <w:rsid w:val="00D42D83"/>
    <w:rsid w:val="00D44F5E"/>
    <w:rsid w:val="00D45619"/>
    <w:rsid w:val="00D46AEA"/>
    <w:rsid w:val="00D470D3"/>
    <w:rsid w:val="00D57BE1"/>
    <w:rsid w:val="00D57CF0"/>
    <w:rsid w:val="00D62B84"/>
    <w:rsid w:val="00D63560"/>
    <w:rsid w:val="00D63663"/>
    <w:rsid w:val="00D6521E"/>
    <w:rsid w:val="00D67E6D"/>
    <w:rsid w:val="00D712CF"/>
    <w:rsid w:val="00D71427"/>
    <w:rsid w:val="00D71641"/>
    <w:rsid w:val="00D73662"/>
    <w:rsid w:val="00D74213"/>
    <w:rsid w:val="00D75544"/>
    <w:rsid w:val="00D806F9"/>
    <w:rsid w:val="00D8128D"/>
    <w:rsid w:val="00D8447A"/>
    <w:rsid w:val="00D8593A"/>
    <w:rsid w:val="00D8777A"/>
    <w:rsid w:val="00D87859"/>
    <w:rsid w:val="00D909D1"/>
    <w:rsid w:val="00D90B92"/>
    <w:rsid w:val="00D92DEF"/>
    <w:rsid w:val="00D94009"/>
    <w:rsid w:val="00D9445B"/>
    <w:rsid w:val="00D94C9E"/>
    <w:rsid w:val="00D9513E"/>
    <w:rsid w:val="00D97946"/>
    <w:rsid w:val="00DA0198"/>
    <w:rsid w:val="00DA2FDD"/>
    <w:rsid w:val="00DA3640"/>
    <w:rsid w:val="00DA3E7C"/>
    <w:rsid w:val="00DA71B8"/>
    <w:rsid w:val="00DB0EAD"/>
    <w:rsid w:val="00DB11F5"/>
    <w:rsid w:val="00DB1DC0"/>
    <w:rsid w:val="00DB5850"/>
    <w:rsid w:val="00DC2068"/>
    <w:rsid w:val="00DC3014"/>
    <w:rsid w:val="00DC41F7"/>
    <w:rsid w:val="00DC4C47"/>
    <w:rsid w:val="00DC74C0"/>
    <w:rsid w:val="00DD2203"/>
    <w:rsid w:val="00DD23DB"/>
    <w:rsid w:val="00DD5849"/>
    <w:rsid w:val="00DE1A8D"/>
    <w:rsid w:val="00DE337D"/>
    <w:rsid w:val="00DE3637"/>
    <w:rsid w:val="00DE46DF"/>
    <w:rsid w:val="00DE4A24"/>
    <w:rsid w:val="00DE6064"/>
    <w:rsid w:val="00DE670D"/>
    <w:rsid w:val="00DE76E6"/>
    <w:rsid w:val="00DE7BA7"/>
    <w:rsid w:val="00DF24E1"/>
    <w:rsid w:val="00DF5BD6"/>
    <w:rsid w:val="00E01785"/>
    <w:rsid w:val="00E01D0F"/>
    <w:rsid w:val="00E0413E"/>
    <w:rsid w:val="00E05554"/>
    <w:rsid w:val="00E06400"/>
    <w:rsid w:val="00E071C5"/>
    <w:rsid w:val="00E111B6"/>
    <w:rsid w:val="00E128DD"/>
    <w:rsid w:val="00E12C3D"/>
    <w:rsid w:val="00E13186"/>
    <w:rsid w:val="00E1355A"/>
    <w:rsid w:val="00E14F1D"/>
    <w:rsid w:val="00E16C43"/>
    <w:rsid w:val="00E174FB"/>
    <w:rsid w:val="00E17F88"/>
    <w:rsid w:val="00E22352"/>
    <w:rsid w:val="00E27AC9"/>
    <w:rsid w:val="00E27DCD"/>
    <w:rsid w:val="00E303EE"/>
    <w:rsid w:val="00E33781"/>
    <w:rsid w:val="00E344F9"/>
    <w:rsid w:val="00E34E32"/>
    <w:rsid w:val="00E3704E"/>
    <w:rsid w:val="00E4026C"/>
    <w:rsid w:val="00E40D4B"/>
    <w:rsid w:val="00E43BDD"/>
    <w:rsid w:val="00E50623"/>
    <w:rsid w:val="00E52735"/>
    <w:rsid w:val="00E54251"/>
    <w:rsid w:val="00E54FB4"/>
    <w:rsid w:val="00E56613"/>
    <w:rsid w:val="00E648B6"/>
    <w:rsid w:val="00E65B1C"/>
    <w:rsid w:val="00E65DB0"/>
    <w:rsid w:val="00E70AB7"/>
    <w:rsid w:val="00E72CF4"/>
    <w:rsid w:val="00E7422C"/>
    <w:rsid w:val="00E74C64"/>
    <w:rsid w:val="00E77FF1"/>
    <w:rsid w:val="00E81791"/>
    <w:rsid w:val="00E81F22"/>
    <w:rsid w:val="00E8325B"/>
    <w:rsid w:val="00E83648"/>
    <w:rsid w:val="00E9379D"/>
    <w:rsid w:val="00E93BED"/>
    <w:rsid w:val="00E96D02"/>
    <w:rsid w:val="00EA2C9B"/>
    <w:rsid w:val="00EA2DDC"/>
    <w:rsid w:val="00EA3EE7"/>
    <w:rsid w:val="00EB3F34"/>
    <w:rsid w:val="00EB5721"/>
    <w:rsid w:val="00EB7731"/>
    <w:rsid w:val="00EC0E45"/>
    <w:rsid w:val="00EC1D44"/>
    <w:rsid w:val="00EC26B6"/>
    <w:rsid w:val="00EC3340"/>
    <w:rsid w:val="00EC51FE"/>
    <w:rsid w:val="00EC65E9"/>
    <w:rsid w:val="00EC699B"/>
    <w:rsid w:val="00ED3AA8"/>
    <w:rsid w:val="00ED47C9"/>
    <w:rsid w:val="00EE200A"/>
    <w:rsid w:val="00EE2ADC"/>
    <w:rsid w:val="00EE372C"/>
    <w:rsid w:val="00EE3E44"/>
    <w:rsid w:val="00EE69E2"/>
    <w:rsid w:val="00EE759A"/>
    <w:rsid w:val="00EF0F94"/>
    <w:rsid w:val="00EF1055"/>
    <w:rsid w:val="00F036E1"/>
    <w:rsid w:val="00F03A35"/>
    <w:rsid w:val="00F04E40"/>
    <w:rsid w:val="00F0596B"/>
    <w:rsid w:val="00F0615D"/>
    <w:rsid w:val="00F100B6"/>
    <w:rsid w:val="00F10874"/>
    <w:rsid w:val="00F10A35"/>
    <w:rsid w:val="00F10DA4"/>
    <w:rsid w:val="00F11CBC"/>
    <w:rsid w:val="00F15E20"/>
    <w:rsid w:val="00F1611D"/>
    <w:rsid w:val="00F20AF7"/>
    <w:rsid w:val="00F211A4"/>
    <w:rsid w:val="00F212A6"/>
    <w:rsid w:val="00F23DB9"/>
    <w:rsid w:val="00F27093"/>
    <w:rsid w:val="00F277EA"/>
    <w:rsid w:val="00F306C9"/>
    <w:rsid w:val="00F30730"/>
    <w:rsid w:val="00F31562"/>
    <w:rsid w:val="00F31D74"/>
    <w:rsid w:val="00F33227"/>
    <w:rsid w:val="00F33DFE"/>
    <w:rsid w:val="00F359AF"/>
    <w:rsid w:val="00F418F5"/>
    <w:rsid w:val="00F42508"/>
    <w:rsid w:val="00F452E7"/>
    <w:rsid w:val="00F501AF"/>
    <w:rsid w:val="00F5180B"/>
    <w:rsid w:val="00F51CF4"/>
    <w:rsid w:val="00F614A1"/>
    <w:rsid w:val="00F62CCF"/>
    <w:rsid w:val="00F649F7"/>
    <w:rsid w:val="00F65967"/>
    <w:rsid w:val="00F65DEE"/>
    <w:rsid w:val="00F70D2B"/>
    <w:rsid w:val="00F71702"/>
    <w:rsid w:val="00F72579"/>
    <w:rsid w:val="00F74F08"/>
    <w:rsid w:val="00F75084"/>
    <w:rsid w:val="00F75E8A"/>
    <w:rsid w:val="00F827AD"/>
    <w:rsid w:val="00F8325F"/>
    <w:rsid w:val="00F838CE"/>
    <w:rsid w:val="00F83940"/>
    <w:rsid w:val="00F852E9"/>
    <w:rsid w:val="00F853F0"/>
    <w:rsid w:val="00F8747A"/>
    <w:rsid w:val="00F92938"/>
    <w:rsid w:val="00F9697C"/>
    <w:rsid w:val="00FA235F"/>
    <w:rsid w:val="00FA2727"/>
    <w:rsid w:val="00FA2D60"/>
    <w:rsid w:val="00FA48C6"/>
    <w:rsid w:val="00FA4CF8"/>
    <w:rsid w:val="00FA4EC6"/>
    <w:rsid w:val="00FA6B01"/>
    <w:rsid w:val="00FB0153"/>
    <w:rsid w:val="00FB17BC"/>
    <w:rsid w:val="00FB4390"/>
    <w:rsid w:val="00FB69D1"/>
    <w:rsid w:val="00FB7E48"/>
    <w:rsid w:val="00FC025C"/>
    <w:rsid w:val="00FC0A75"/>
    <w:rsid w:val="00FC1631"/>
    <w:rsid w:val="00FC2BCA"/>
    <w:rsid w:val="00FC4830"/>
    <w:rsid w:val="00FD2A6D"/>
    <w:rsid w:val="00FD4C0D"/>
    <w:rsid w:val="00FE0C7E"/>
    <w:rsid w:val="00FE13B8"/>
    <w:rsid w:val="00FE54CB"/>
    <w:rsid w:val="00FE5C83"/>
    <w:rsid w:val="00FE5E2C"/>
    <w:rsid w:val="00FE60DD"/>
    <w:rsid w:val="00FF57FE"/>
    <w:rsid w:val="795076B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9" w:semiHidden="0" w:name="heading 5"/>
    <w:lsdException w:uiPriority="9" w:semiHidden="0" w:name="heading 6"/>
    <w:lsdException w:uiPriority="0" w:semiHidden="0" w:name="heading 7"/>
    <w:lsdException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39" w:semiHidden="0" w:name="toc 1"/>
    <w:lsdException w:unhideWhenUsed="0" w:uiPriority="39" w:semiHidden="0" w:name="toc 2"/>
    <w:lsdException w:unhideWhenUsed="0" w:uiPriority="39" w:semiHidden="0" w:name="toc 3"/>
    <w:lsdException w:uiPriority="39" w:semiHidden="0" w:name="toc 4"/>
    <w:lsdException w:uiPriority="39" w:semiHidden="0" w:name="toc 5"/>
    <w:lsdException w:uiPriority="39" w:semiHidden="0" w:name="toc 6"/>
    <w:lsdException w:uiPriority="39" w:semiHidden="0" w:name="toc 7"/>
    <w:lsdException w:uiPriority="39" w:semiHidden="0" w:name="toc 8"/>
    <w:lsdException w:uiPriority="39" w:semiHidden="0" w:name="toc 9"/>
    <w:lsdException w:unhideWhenUsed="0" w:uiPriority="0" w:semiHidden="0" w:name="Normal Indent"/>
    <w:lsdException w:uiPriority="99" w:name="footnote text"/>
    <w:lsdException w:uiPriority="99" w:semiHidden="0" w:name="annotation text"/>
    <w:lsdException w:uiPriority="0" w:semiHidden="0" w:name="header"/>
    <w:lsdException w:uiPriority="99" w:semiHidden="0" w:name="footer"/>
    <w:lsdException w:uiPriority="99" w:name="index heading"/>
    <w:lsdException w:unhideWhenUsed="0" w:uiPriority="0" w:semiHidden="0" w:name="caption"/>
    <w:lsdException w:uiPriority="99" w:name="table of figures"/>
    <w:lsdException w:uiPriority="99" w:name="envelope address"/>
    <w:lsdException w:uiPriority="99" w:name="envelope return"/>
    <w:lsdException w:uiPriority="99" w:name="footnote reference"/>
    <w:lsdException w:uiPriority="99" w:semiHidden="0" w:name="annotation reference"/>
    <w:lsdException w:uiPriority="99" w:name="line number"/>
    <w:lsdException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unhideWhenUsed="0" w:uiPriority="10" w:semiHidden="0" w:name="Title"/>
    <w:lsdException w:uiPriority="99" w:name="Closing"/>
    <w:lsdException w:uiPriority="99" w:name="Signature"/>
    <w:lsdException w:qFormat="1" w:uiPriority="1" w:name="Default Paragraph Font"/>
    <w:lsdException w:unhideWhenUsed="0" w:uiPriority="99" w:semiHidden="0" w:name="Body Text"/>
    <w:lsdException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uiPriority="99" w:name="Salutation"/>
    <w:lsdException w:uiPriority="99" w:name="Date"/>
    <w:lsdException w:uiPriority="0" w:semiHidden="0" w:name="Body Text First Indent"/>
    <w:lsdException w:uiPriority="0" w:semiHidden="0" w:name="Body Text First Indent 2"/>
    <w:lsdException w:uiPriority="99" w:name="Note Heading"/>
    <w:lsdException w:uiPriority="99" w:name="Body Text 2"/>
    <w:lsdException w:uiPriority="99" w:name="Body Text 3"/>
    <w:lsdException w:unhideWhenUsed="0" w:uiPriority="0" w:semiHidden="0" w:name="Body Text Indent 2"/>
    <w:lsdException w:uiPriority="99" w:name="Body Text Indent 3"/>
    <w:lsdException w:uiPriority="99" w:name="Block Text"/>
    <w:lsdException w:uiPriority="99" w:semiHidden="0" w:name="Hyperlink"/>
    <w:lsdException w:uiPriority="99" w:name="FollowedHyperlink"/>
    <w:lsdException w:unhideWhenUsed="0" w:uiPriority="22" w:semiHidden="0" w:name="Strong"/>
    <w:lsdException w:unhideWhenUsed="0" w:uiPriority="20" w:semiHidden="0" w:name="Emphasis"/>
    <w:lsdException w:uiPriority="99" w:name="Document Map"/>
    <w:lsdException w:uiPriority="99" w:semiHidden="0" w:name="Plain Text"/>
    <w:lsdException w:uiPriority="99" w:name="E-mail Signature"/>
    <w:lsdException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0" w:semiHidden="0" w:name="Balloon Text"/>
    <w:lsdException w:unhideWhenUsed="0" w:uiPriority="0" w:semiHidden="0" w:name="Table Grid"/>
    <w:lsdException w:uiPriority="99" w:name="Table Theme"/>
    <w:lsdException w:unhideWhenUsed="0" w:uiPriority="99" w:name="Placeholder Text"/>
    <w:lsdException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jc w:val="both"/>
    </w:pPr>
    <w:rPr>
      <w:rFonts w:asciiTheme="minorHAnsi" w:hAnsiTheme="minorHAnsi" w:eastAsiaTheme="minorEastAsia" w:cstheme="minorBidi"/>
      <w:kern w:val="2"/>
      <w:sz w:val="24"/>
      <w:szCs w:val="22"/>
      <w:lang w:val="en-US" w:eastAsia="zh-CN" w:bidi="ar-SA"/>
    </w:rPr>
  </w:style>
  <w:style w:type="paragraph" w:styleId="2">
    <w:name w:val="heading 1"/>
    <w:basedOn w:val="1"/>
    <w:next w:val="1"/>
    <w:link w:val="48"/>
    <w:qFormat/>
    <w:uiPriority w:val="0"/>
    <w:pPr>
      <w:keepNext/>
      <w:keepLines/>
      <w:spacing w:before="50" w:beforeLines="50" w:after="50" w:afterLines="50" w:line="360" w:lineRule="auto"/>
      <w:jc w:val="center"/>
      <w:outlineLvl w:val="0"/>
    </w:pPr>
    <w:rPr>
      <w:b/>
      <w:bCs/>
      <w:kern w:val="44"/>
      <w:sz w:val="32"/>
      <w:szCs w:val="44"/>
    </w:rPr>
  </w:style>
  <w:style w:type="paragraph" w:styleId="3">
    <w:name w:val="heading 2"/>
    <w:basedOn w:val="1"/>
    <w:next w:val="1"/>
    <w:link w:val="49"/>
    <w:unhideWhenUsed/>
    <w:qFormat/>
    <w:uiPriority w:val="0"/>
    <w:pPr>
      <w:keepNext/>
      <w:keepLines/>
      <w:spacing w:line="360" w:lineRule="auto"/>
      <w:outlineLvl w:val="1"/>
    </w:pPr>
    <w:rPr>
      <w:rFonts w:asciiTheme="majorHAnsi" w:hAnsiTheme="majorHAnsi" w:eastAsiaTheme="majorEastAsia" w:cstheme="majorBidi"/>
      <w:b/>
      <w:bCs/>
      <w:sz w:val="30"/>
      <w:szCs w:val="32"/>
    </w:rPr>
  </w:style>
  <w:style w:type="paragraph" w:styleId="4">
    <w:name w:val="heading 3"/>
    <w:basedOn w:val="1"/>
    <w:next w:val="1"/>
    <w:link w:val="50"/>
    <w:unhideWhenUsed/>
    <w:qFormat/>
    <w:uiPriority w:val="0"/>
    <w:pPr>
      <w:keepNext/>
      <w:keepLines/>
      <w:spacing w:line="360" w:lineRule="auto"/>
      <w:outlineLvl w:val="2"/>
    </w:pPr>
    <w:rPr>
      <w:b/>
      <w:bCs/>
      <w:sz w:val="28"/>
      <w:szCs w:val="32"/>
    </w:rPr>
  </w:style>
  <w:style w:type="paragraph" w:styleId="5">
    <w:name w:val="heading 4"/>
    <w:basedOn w:val="1"/>
    <w:next w:val="1"/>
    <w:link w:val="58"/>
    <w:unhideWhenUsed/>
    <w:qFormat/>
    <w:uiPriority w:val="0"/>
    <w:pPr>
      <w:keepNext/>
      <w:keepLines/>
      <w:spacing w:line="360" w:lineRule="auto"/>
      <w:ind w:firstLine="200" w:firstLineChars="200"/>
      <w:outlineLvl w:val="3"/>
    </w:pPr>
    <w:rPr>
      <w:rFonts w:asciiTheme="majorHAnsi" w:hAnsiTheme="majorHAnsi" w:eastAsiaTheme="majorEastAsia" w:cstheme="majorBidi"/>
      <w:b/>
      <w:bCs/>
      <w:szCs w:val="28"/>
    </w:rPr>
  </w:style>
  <w:style w:type="paragraph" w:styleId="6">
    <w:name w:val="heading 5"/>
    <w:basedOn w:val="1"/>
    <w:next w:val="1"/>
    <w:link w:val="61"/>
    <w:unhideWhenUsed/>
    <w:qFormat/>
    <w:uiPriority w:val="9"/>
    <w:pPr>
      <w:keepLines/>
      <w:spacing w:line="360" w:lineRule="auto"/>
      <w:jc w:val="center"/>
      <w:outlineLvl w:val="4"/>
    </w:pPr>
    <w:rPr>
      <w:b/>
      <w:bCs/>
      <w:szCs w:val="28"/>
    </w:rPr>
  </w:style>
  <w:style w:type="paragraph" w:styleId="7">
    <w:name w:val="heading 6"/>
    <w:basedOn w:val="1"/>
    <w:next w:val="1"/>
    <w:link w:val="62"/>
    <w:unhideWhenUsed/>
    <w:uiPriority w:val="9"/>
    <w:pPr>
      <w:keepNext/>
      <w:keepLines/>
      <w:spacing w:before="240" w:after="64" w:line="320" w:lineRule="auto"/>
      <w:outlineLvl w:val="5"/>
    </w:pPr>
    <w:rPr>
      <w:rFonts w:asciiTheme="majorHAnsi" w:hAnsiTheme="majorHAnsi" w:eastAsiaTheme="majorEastAsia" w:cstheme="majorBidi"/>
      <w:b/>
      <w:bCs/>
      <w:szCs w:val="24"/>
    </w:rPr>
  </w:style>
  <w:style w:type="paragraph" w:styleId="8">
    <w:name w:val="heading 7"/>
    <w:basedOn w:val="1"/>
    <w:next w:val="1"/>
    <w:link w:val="93"/>
    <w:unhideWhenUsed/>
    <w:uiPriority w:val="0"/>
    <w:pPr>
      <w:keepNext/>
      <w:keepLines/>
      <w:spacing w:before="240" w:after="64" w:line="320" w:lineRule="auto"/>
      <w:outlineLvl w:val="6"/>
    </w:pPr>
    <w:rPr>
      <w:b/>
      <w:bCs/>
      <w:szCs w:val="24"/>
    </w:rPr>
  </w:style>
  <w:style w:type="character" w:default="1" w:styleId="37">
    <w:name w:val="Default Paragraph Font"/>
    <w:semiHidden/>
    <w:unhideWhenUsed/>
    <w:qFormat/>
    <w:uiPriority w:val="1"/>
  </w:style>
  <w:style w:type="table" w:default="1" w:styleId="35">
    <w:name w:val="Normal Table"/>
    <w:semiHidden/>
    <w:unhideWhenUsed/>
    <w:uiPriority w:val="99"/>
    <w:tblPr>
      <w:tblCellMar>
        <w:top w:w="0" w:type="dxa"/>
        <w:left w:w="108" w:type="dxa"/>
        <w:bottom w:w="0" w:type="dxa"/>
        <w:right w:w="108" w:type="dxa"/>
      </w:tblCellMar>
    </w:tblPr>
  </w:style>
  <w:style w:type="paragraph" w:styleId="9">
    <w:name w:val="toc 7"/>
    <w:basedOn w:val="1"/>
    <w:next w:val="1"/>
    <w:unhideWhenUsed/>
    <w:uiPriority w:val="39"/>
    <w:pPr>
      <w:adjustRightInd/>
      <w:snapToGrid/>
      <w:ind w:left="2520" w:leftChars="1200"/>
    </w:pPr>
    <w:rPr>
      <w:sz w:val="21"/>
    </w:rPr>
  </w:style>
  <w:style w:type="paragraph" w:styleId="10">
    <w:name w:val="Normal Indent"/>
    <w:basedOn w:val="1"/>
    <w:link w:val="64"/>
    <w:uiPriority w:val="0"/>
    <w:pPr>
      <w:tabs>
        <w:tab w:val="left" w:pos="1021"/>
      </w:tabs>
      <w:spacing w:line="360" w:lineRule="auto"/>
      <w:ind w:firstLine="420" w:firstLineChars="200"/>
    </w:pPr>
    <w:rPr>
      <w:rFonts w:eastAsia="宋体"/>
      <w:szCs w:val="24"/>
    </w:rPr>
  </w:style>
  <w:style w:type="paragraph" w:styleId="11">
    <w:name w:val="caption"/>
    <w:basedOn w:val="1"/>
    <w:next w:val="1"/>
    <w:uiPriority w:val="0"/>
    <w:pPr>
      <w:jc w:val="center"/>
    </w:pPr>
    <w:rPr>
      <w:rFonts w:ascii="Calibri" w:hAnsi="Calibri" w:eastAsia="宋体" w:cs="Times New Roman"/>
      <w:b/>
      <w:color w:val="000000"/>
      <w:szCs w:val="21"/>
    </w:rPr>
  </w:style>
  <w:style w:type="paragraph" w:styleId="12">
    <w:name w:val="annotation text"/>
    <w:basedOn w:val="1"/>
    <w:link w:val="78"/>
    <w:unhideWhenUsed/>
    <w:uiPriority w:val="99"/>
    <w:pPr>
      <w:jc w:val="left"/>
    </w:pPr>
  </w:style>
  <w:style w:type="paragraph" w:styleId="13">
    <w:name w:val="Body Text"/>
    <w:basedOn w:val="1"/>
    <w:next w:val="1"/>
    <w:link w:val="53"/>
    <w:uiPriority w:val="99"/>
    <w:rPr>
      <w:rFonts w:ascii="宋体" w:hAnsi="Times New Roman" w:eastAsia="宋体" w:cs="Times New Roman"/>
      <w:sz w:val="18"/>
      <w:szCs w:val="20"/>
    </w:rPr>
  </w:style>
  <w:style w:type="paragraph" w:styleId="14">
    <w:name w:val="Body Text Indent"/>
    <w:basedOn w:val="1"/>
    <w:link w:val="72"/>
    <w:unhideWhenUsed/>
    <w:uiPriority w:val="0"/>
    <w:pPr>
      <w:spacing w:after="120"/>
      <w:ind w:left="420" w:leftChars="200"/>
    </w:pPr>
  </w:style>
  <w:style w:type="paragraph" w:styleId="15">
    <w:name w:val="toc 5"/>
    <w:basedOn w:val="1"/>
    <w:next w:val="1"/>
    <w:unhideWhenUsed/>
    <w:uiPriority w:val="39"/>
    <w:pPr>
      <w:adjustRightInd/>
      <w:snapToGrid/>
      <w:ind w:left="1680" w:leftChars="800"/>
    </w:pPr>
    <w:rPr>
      <w:sz w:val="21"/>
    </w:rPr>
  </w:style>
  <w:style w:type="paragraph" w:styleId="16">
    <w:name w:val="toc 3"/>
    <w:basedOn w:val="1"/>
    <w:next w:val="1"/>
    <w:uiPriority w:val="39"/>
    <w:pPr>
      <w:ind w:left="840" w:leftChars="400"/>
    </w:pPr>
    <w:rPr>
      <w:rFonts w:ascii="Calibri" w:hAnsi="Calibri" w:eastAsia="宋体" w:cs="Times New Roman"/>
      <w:sz w:val="21"/>
      <w:szCs w:val="24"/>
    </w:rPr>
  </w:style>
  <w:style w:type="paragraph" w:styleId="17">
    <w:name w:val="Plain Text"/>
    <w:basedOn w:val="1"/>
    <w:link w:val="59"/>
    <w:unhideWhenUsed/>
    <w:uiPriority w:val="99"/>
    <w:rPr>
      <w:rFonts w:ascii="宋体" w:hAnsi="Courier New" w:eastAsia="宋体" w:cs="Courier New"/>
      <w:sz w:val="21"/>
      <w:szCs w:val="21"/>
    </w:rPr>
  </w:style>
  <w:style w:type="paragraph" w:styleId="18">
    <w:name w:val="toc 8"/>
    <w:basedOn w:val="1"/>
    <w:next w:val="1"/>
    <w:unhideWhenUsed/>
    <w:uiPriority w:val="39"/>
    <w:pPr>
      <w:adjustRightInd/>
      <w:snapToGrid/>
      <w:ind w:left="2940" w:leftChars="1400"/>
    </w:pPr>
    <w:rPr>
      <w:sz w:val="21"/>
    </w:rPr>
  </w:style>
  <w:style w:type="paragraph" w:styleId="19">
    <w:name w:val="Date"/>
    <w:basedOn w:val="1"/>
    <w:next w:val="1"/>
    <w:link w:val="125"/>
    <w:semiHidden/>
    <w:unhideWhenUsed/>
    <w:uiPriority w:val="99"/>
    <w:pPr>
      <w:ind w:left="100" w:leftChars="2500"/>
    </w:pPr>
  </w:style>
  <w:style w:type="paragraph" w:styleId="20">
    <w:name w:val="Body Text Indent 2"/>
    <w:basedOn w:val="1"/>
    <w:link w:val="95"/>
    <w:uiPriority w:val="0"/>
    <w:pPr>
      <w:tabs>
        <w:tab w:val="left" w:pos="2190"/>
        <w:tab w:val="left" w:pos="2520"/>
        <w:tab w:val="left" w:pos="2940"/>
        <w:tab w:val="left" w:pos="3495"/>
      </w:tabs>
      <w:spacing w:line="600" w:lineRule="exact"/>
      <w:ind w:firstLine="560" w:firstLineChars="200"/>
    </w:pPr>
    <w:rPr>
      <w:rFonts w:ascii="宋体" w:hAnsi="Calibri" w:eastAsia="宋体" w:cs="Times New Roman"/>
      <w:sz w:val="28"/>
      <w:szCs w:val="24"/>
    </w:rPr>
  </w:style>
  <w:style w:type="paragraph" w:styleId="21">
    <w:name w:val="Balloon Text"/>
    <w:basedOn w:val="1"/>
    <w:link w:val="47"/>
    <w:unhideWhenUsed/>
    <w:uiPriority w:val="0"/>
    <w:rPr>
      <w:sz w:val="18"/>
      <w:szCs w:val="18"/>
    </w:rPr>
  </w:style>
  <w:style w:type="paragraph" w:styleId="22">
    <w:name w:val="footer"/>
    <w:basedOn w:val="1"/>
    <w:link w:val="42"/>
    <w:unhideWhenUsed/>
    <w:uiPriority w:val="99"/>
    <w:pPr>
      <w:tabs>
        <w:tab w:val="center" w:pos="4153"/>
        <w:tab w:val="right" w:pos="8306"/>
      </w:tabs>
      <w:jc w:val="left"/>
    </w:pPr>
    <w:rPr>
      <w:sz w:val="18"/>
      <w:szCs w:val="18"/>
    </w:rPr>
  </w:style>
  <w:style w:type="paragraph" w:styleId="23">
    <w:name w:val="header"/>
    <w:basedOn w:val="1"/>
    <w:link w:val="41"/>
    <w:unhideWhenUsed/>
    <w:uiPriority w:val="0"/>
    <w:pPr>
      <w:pBdr>
        <w:bottom w:val="single" w:color="auto" w:sz="6" w:space="1"/>
      </w:pBdr>
      <w:tabs>
        <w:tab w:val="center" w:pos="4153"/>
        <w:tab w:val="right" w:pos="8306"/>
      </w:tabs>
      <w:jc w:val="center"/>
    </w:pPr>
    <w:rPr>
      <w:sz w:val="18"/>
      <w:szCs w:val="18"/>
    </w:rPr>
  </w:style>
  <w:style w:type="paragraph" w:styleId="24">
    <w:name w:val="toc 1"/>
    <w:basedOn w:val="1"/>
    <w:next w:val="1"/>
    <w:uiPriority w:val="39"/>
    <w:rPr>
      <w:rFonts w:ascii="Calibri" w:hAnsi="Calibri" w:eastAsia="宋体" w:cs="Times New Roman"/>
      <w:sz w:val="21"/>
      <w:szCs w:val="24"/>
    </w:rPr>
  </w:style>
  <w:style w:type="paragraph" w:styleId="25">
    <w:name w:val="toc 4"/>
    <w:basedOn w:val="1"/>
    <w:next w:val="1"/>
    <w:unhideWhenUsed/>
    <w:uiPriority w:val="39"/>
    <w:pPr>
      <w:adjustRightInd/>
      <w:snapToGrid/>
      <w:ind w:left="1260" w:leftChars="600"/>
    </w:pPr>
    <w:rPr>
      <w:sz w:val="21"/>
    </w:rPr>
  </w:style>
  <w:style w:type="paragraph" w:styleId="26">
    <w:name w:val="toc 6"/>
    <w:basedOn w:val="1"/>
    <w:next w:val="1"/>
    <w:unhideWhenUsed/>
    <w:uiPriority w:val="39"/>
    <w:pPr>
      <w:adjustRightInd/>
      <w:snapToGrid/>
      <w:ind w:left="2100" w:leftChars="1000"/>
    </w:pPr>
    <w:rPr>
      <w:sz w:val="21"/>
    </w:rPr>
  </w:style>
  <w:style w:type="paragraph" w:styleId="27">
    <w:name w:val="toc 2"/>
    <w:basedOn w:val="1"/>
    <w:next w:val="1"/>
    <w:uiPriority w:val="39"/>
    <w:pPr>
      <w:ind w:firstLine="200" w:firstLineChars="200"/>
    </w:pPr>
    <w:rPr>
      <w:rFonts w:ascii="Times New Roman" w:hAnsi="Times New Roman" w:eastAsia="宋体" w:cs="Times New Roman"/>
      <w:sz w:val="21"/>
      <w:szCs w:val="24"/>
    </w:rPr>
  </w:style>
  <w:style w:type="paragraph" w:styleId="28">
    <w:name w:val="toc 9"/>
    <w:basedOn w:val="1"/>
    <w:next w:val="1"/>
    <w:unhideWhenUsed/>
    <w:uiPriority w:val="39"/>
    <w:pPr>
      <w:adjustRightInd/>
      <w:snapToGrid/>
      <w:ind w:left="3360" w:leftChars="1600"/>
    </w:pPr>
    <w:rPr>
      <w:sz w:val="21"/>
    </w:rPr>
  </w:style>
  <w:style w:type="paragraph" w:styleId="29">
    <w:name w:val="Body Text 2"/>
    <w:basedOn w:val="1"/>
    <w:link w:val="80"/>
    <w:semiHidden/>
    <w:unhideWhenUsed/>
    <w:uiPriority w:val="99"/>
    <w:pPr>
      <w:spacing w:after="120" w:line="480" w:lineRule="auto"/>
    </w:pPr>
  </w:style>
  <w:style w:type="paragraph" w:styleId="30">
    <w:name w:val="Normal (Web)"/>
    <w:basedOn w:val="1"/>
    <w:uiPriority w:val="0"/>
    <w:pPr>
      <w:widowControl/>
      <w:spacing w:before="100" w:beforeAutospacing="1" w:after="100" w:afterAutospacing="1"/>
      <w:jc w:val="left"/>
    </w:pPr>
    <w:rPr>
      <w:rFonts w:ascii="Cambria Math" w:hAnsi="Cambria Math" w:eastAsia="宋体" w:cs="Courier New"/>
      <w:kern w:val="0"/>
      <w:szCs w:val="24"/>
    </w:rPr>
  </w:style>
  <w:style w:type="paragraph" w:styleId="31">
    <w:name w:val="Title"/>
    <w:basedOn w:val="1"/>
    <w:next w:val="1"/>
    <w:link w:val="87"/>
    <w:uiPriority w:val="10"/>
    <w:pPr>
      <w:spacing w:before="240" w:after="60"/>
      <w:jc w:val="center"/>
      <w:outlineLvl w:val="0"/>
    </w:pPr>
    <w:rPr>
      <w:rFonts w:asciiTheme="majorHAnsi" w:hAnsiTheme="majorHAnsi" w:eastAsiaTheme="majorEastAsia" w:cstheme="majorBidi"/>
      <w:b/>
      <w:bCs/>
      <w:sz w:val="32"/>
      <w:szCs w:val="32"/>
    </w:rPr>
  </w:style>
  <w:style w:type="paragraph" w:styleId="32">
    <w:name w:val="annotation subject"/>
    <w:basedOn w:val="12"/>
    <w:next w:val="12"/>
    <w:link w:val="79"/>
    <w:unhideWhenUsed/>
    <w:uiPriority w:val="0"/>
    <w:rPr>
      <w:b/>
      <w:bCs/>
    </w:rPr>
  </w:style>
  <w:style w:type="paragraph" w:styleId="33">
    <w:name w:val="Body Text First Indent"/>
    <w:basedOn w:val="13"/>
    <w:link w:val="60"/>
    <w:unhideWhenUsed/>
    <w:uiPriority w:val="0"/>
    <w:pPr>
      <w:spacing w:after="120"/>
      <w:ind w:firstLine="420" w:firstLineChars="100"/>
    </w:pPr>
    <w:rPr>
      <w:rFonts w:asciiTheme="minorHAnsi" w:hAnsiTheme="minorHAnsi" w:eastAsiaTheme="minorEastAsia" w:cstheme="minorBidi"/>
      <w:sz w:val="24"/>
      <w:szCs w:val="22"/>
    </w:rPr>
  </w:style>
  <w:style w:type="paragraph" w:styleId="34">
    <w:name w:val="Body Text First Indent 2"/>
    <w:basedOn w:val="14"/>
    <w:next w:val="1"/>
    <w:link w:val="96"/>
    <w:unhideWhenUsed/>
    <w:uiPriority w:val="0"/>
    <w:pPr>
      <w:ind w:firstLine="420" w:firstLineChars="200"/>
    </w:pPr>
    <w:rPr>
      <w:rFonts w:ascii="Calibri" w:hAnsi="Calibri" w:eastAsia="宋体" w:cs="Times New Roman"/>
      <w:sz w:val="21"/>
      <w:szCs w:val="24"/>
    </w:rPr>
  </w:style>
  <w:style w:type="table" w:styleId="36">
    <w:name w:val="Table Grid"/>
    <w:basedOn w:val="35"/>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8">
    <w:name w:val="page number"/>
    <w:uiPriority w:val="0"/>
  </w:style>
  <w:style w:type="character" w:styleId="39">
    <w:name w:val="Hyperlink"/>
    <w:basedOn w:val="37"/>
    <w:unhideWhenUsed/>
    <w:uiPriority w:val="99"/>
    <w:rPr>
      <w:color w:val="0000FF" w:themeColor="hyperlink"/>
      <w:u w:val="single"/>
      <w14:textFill>
        <w14:solidFill>
          <w14:schemeClr w14:val="hlink"/>
        </w14:solidFill>
      </w14:textFill>
    </w:rPr>
  </w:style>
  <w:style w:type="character" w:styleId="40">
    <w:name w:val="annotation reference"/>
    <w:basedOn w:val="37"/>
    <w:unhideWhenUsed/>
    <w:uiPriority w:val="99"/>
    <w:rPr>
      <w:sz w:val="21"/>
      <w:szCs w:val="21"/>
    </w:rPr>
  </w:style>
  <w:style w:type="character" w:customStyle="1" w:styleId="41">
    <w:name w:val="页眉 Char"/>
    <w:basedOn w:val="37"/>
    <w:link w:val="23"/>
    <w:uiPriority w:val="99"/>
    <w:rPr>
      <w:sz w:val="18"/>
      <w:szCs w:val="18"/>
    </w:rPr>
  </w:style>
  <w:style w:type="character" w:customStyle="1" w:styleId="42">
    <w:name w:val="页脚 Char"/>
    <w:basedOn w:val="37"/>
    <w:link w:val="22"/>
    <w:qFormat/>
    <w:uiPriority w:val="99"/>
    <w:rPr>
      <w:sz w:val="18"/>
      <w:szCs w:val="18"/>
    </w:rPr>
  </w:style>
  <w:style w:type="paragraph" w:styleId="43">
    <w:name w:val="No Spacing"/>
    <w:link w:val="44"/>
    <w:uiPriority w:val="1"/>
    <w:pPr>
      <w:widowControl w:val="0"/>
      <w:jc w:val="center"/>
    </w:pPr>
    <w:rPr>
      <w:rFonts w:ascii="Times New Roman" w:hAnsi="Times New Roman" w:eastAsia="宋体" w:cs="Times New Roman"/>
      <w:kern w:val="2"/>
      <w:sz w:val="21"/>
      <w:szCs w:val="22"/>
      <w:lang w:val="en-US" w:eastAsia="zh-CN" w:bidi="ar-SA"/>
    </w:rPr>
  </w:style>
  <w:style w:type="character" w:customStyle="1" w:styleId="44">
    <w:name w:val="无间隔 Char"/>
    <w:link w:val="43"/>
    <w:qFormat/>
    <w:uiPriority w:val="99"/>
    <w:rPr>
      <w:rFonts w:ascii="Times New Roman" w:hAnsi="Times New Roman" w:eastAsia="宋体" w:cs="Times New Roman"/>
    </w:rPr>
  </w:style>
  <w:style w:type="paragraph" w:customStyle="1" w:styleId="45">
    <w:name w:val="_Style 3"/>
    <w:uiPriority w:val="1"/>
    <w:pPr>
      <w:widowControl w:val="0"/>
      <w:jc w:val="center"/>
    </w:pPr>
    <w:rPr>
      <w:rFonts w:ascii="Calibri" w:hAnsi="Calibri" w:eastAsia="仿宋" w:cs="Times New Roman"/>
      <w:kern w:val="2"/>
      <w:sz w:val="21"/>
      <w:szCs w:val="22"/>
      <w:lang w:val="en-US" w:eastAsia="zh-CN" w:bidi="ar-SA"/>
    </w:rPr>
  </w:style>
  <w:style w:type="paragraph" w:customStyle="1" w:styleId="46">
    <w:name w:val="正文魏"/>
    <w:basedOn w:val="1"/>
    <w:uiPriority w:val="0"/>
    <w:pPr>
      <w:spacing w:line="360" w:lineRule="auto"/>
      <w:ind w:firstLine="200" w:firstLineChars="200"/>
    </w:pPr>
    <w:rPr>
      <w:rFonts w:ascii="等线" w:hAnsi="等线" w:eastAsia="宋体" w:cs="Times New Roman"/>
      <w:szCs w:val="24"/>
    </w:rPr>
  </w:style>
  <w:style w:type="character" w:customStyle="1" w:styleId="47">
    <w:name w:val="批注框文本 Char"/>
    <w:basedOn w:val="37"/>
    <w:link w:val="21"/>
    <w:uiPriority w:val="0"/>
    <w:rPr>
      <w:sz w:val="18"/>
      <w:szCs w:val="18"/>
    </w:rPr>
  </w:style>
  <w:style w:type="character" w:customStyle="1" w:styleId="48">
    <w:name w:val="标题 1 Char"/>
    <w:basedOn w:val="37"/>
    <w:link w:val="2"/>
    <w:uiPriority w:val="0"/>
    <w:rPr>
      <w:b/>
      <w:bCs/>
      <w:kern w:val="44"/>
      <w:sz w:val="32"/>
      <w:szCs w:val="44"/>
    </w:rPr>
  </w:style>
  <w:style w:type="character" w:customStyle="1" w:styleId="49">
    <w:name w:val="标题 2 Char"/>
    <w:basedOn w:val="37"/>
    <w:link w:val="3"/>
    <w:uiPriority w:val="9"/>
    <w:rPr>
      <w:rFonts w:asciiTheme="majorHAnsi" w:hAnsiTheme="majorHAnsi" w:eastAsiaTheme="majorEastAsia" w:cstheme="majorBidi"/>
      <w:b/>
      <w:bCs/>
      <w:sz w:val="30"/>
      <w:szCs w:val="32"/>
    </w:rPr>
  </w:style>
  <w:style w:type="character" w:customStyle="1" w:styleId="50">
    <w:name w:val="标题 3 Char"/>
    <w:basedOn w:val="37"/>
    <w:link w:val="4"/>
    <w:uiPriority w:val="9"/>
    <w:rPr>
      <w:b/>
      <w:bCs/>
      <w:sz w:val="28"/>
      <w:szCs w:val="32"/>
    </w:rPr>
  </w:style>
  <w:style w:type="paragraph" w:customStyle="1" w:styleId="51">
    <w:name w:val="图表名"/>
    <w:basedOn w:val="1"/>
    <w:next w:val="1"/>
    <w:uiPriority w:val="0"/>
    <w:pPr>
      <w:spacing w:before="50" w:beforeLines="50" w:after="50" w:afterLines="50" w:line="360" w:lineRule="auto"/>
      <w:jc w:val="center"/>
    </w:pPr>
    <w:rPr>
      <w:b/>
      <w:szCs w:val="28"/>
    </w:rPr>
  </w:style>
  <w:style w:type="paragraph" w:customStyle="1" w:styleId="52">
    <w:name w:val="p0"/>
    <w:basedOn w:val="1"/>
    <w:uiPriority w:val="0"/>
    <w:pPr>
      <w:widowControl/>
    </w:pPr>
    <w:rPr>
      <w:rFonts w:ascii="等线" w:hAnsi="等线" w:eastAsia="宋体" w:cs="Courier New"/>
      <w:kern w:val="0"/>
      <w:sz w:val="28"/>
      <w:szCs w:val="28"/>
    </w:rPr>
  </w:style>
  <w:style w:type="character" w:customStyle="1" w:styleId="53">
    <w:name w:val="正文文本 Char"/>
    <w:basedOn w:val="37"/>
    <w:link w:val="13"/>
    <w:uiPriority w:val="0"/>
    <w:rPr>
      <w:rFonts w:ascii="宋体" w:hAnsi="Times New Roman" w:eastAsia="宋体" w:cs="Times New Roman"/>
      <w:sz w:val="18"/>
      <w:szCs w:val="20"/>
    </w:rPr>
  </w:style>
  <w:style w:type="character" w:customStyle="1" w:styleId="54">
    <w:name w:val="font31"/>
    <w:basedOn w:val="37"/>
    <w:uiPriority w:val="0"/>
    <w:rPr>
      <w:rFonts w:ascii="Times New Roman" w:hAnsi="Times New Roman" w:cs="Times New Roman"/>
      <w:color w:val="000000"/>
      <w:sz w:val="20"/>
      <w:szCs w:val="20"/>
      <w:u w:val="none"/>
      <w:lang w:bidi="ar-SA"/>
    </w:rPr>
  </w:style>
  <w:style w:type="character" w:customStyle="1" w:styleId="55">
    <w:name w:val="font11"/>
    <w:basedOn w:val="37"/>
    <w:uiPriority w:val="0"/>
    <w:rPr>
      <w:rFonts w:ascii="宋体" w:eastAsia="宋体" w:cs="宋体"/>
      <w:color w:val="000000"/>
      <w:sz w:val="20"/>
      <w:szCs w:val="20"/>
      <w:u w:val="none"/>
      <w:lang w:bidi="ar-SA"/>
    </w:rPr>
  </w:style>
  <w:style w:type="character" w:customStyle="1" w:styleId="56">
    <w:name w:val="font41"/>
    <w:basedOn w:val="37"/>
    <w:uiPriority w:val="0"/>
    <w:rPr>
      <w:rFonts w:ascii="宋体" w:eastAsia="宋体" w:cs="宋体"/>
      <w:color w:val="000000"/>
      <w:sz w:val="20"/>
      <w:szCs w:val="20"/>
      <w:u w:val="none"/>
      <w:lang w:bidi="ar-SA"/>
    </w:rPr>
  </w:style>
  <w:style w:type="character" w:styleId="57">
    <w:name w:val="Placeholder Text"/>
    <w:basedOn w:val="37"/>
    <w:semiHidden/>
    <w:uiPriority w:val="99"/>
    <w:rPr>
      <w:color w:val="808080"/>
    </w:rPr>
  </w:style>
  <w:style w:type="character" w:customStyle="1" w:styleId="58">
    <w:name w:val="标题 4 Char"/>
    <w:basedOn w:val="37"/>
    <w:link w:val="5"/>
    <w:uiPriority w:val="0"/>
    <w:rPr>
      <w:rFonts w:asciiTheme="majorHAnsi" w:hAnsiTheme="majorHAnsi" w:eastAsiaTheme="majorEastAsia" w:cstheme="majorBidi"/>
      <w:b/>
      <w:bCs/>
      <w:sz w:val="24"/>
      <w:szCs w:val="28"/>
    </w:rPr>
  </w:style>
  <w:style w:type="character" w:customStyle="1" w:styleId="59">
    <w:name w:val="纯文本 Char"/>
    <w:basedOn w:val="37"/>
    <w:link w:val="17"/>
    <w:uiPriority w:val="99"/>
    <w:rPr>
      <w:rFonts w:ascii="宋体" w:hAnsi="Courier New" w:eastAsia="宋体" w:cs="Courier New"/>
      <w:szCs w:val="21"/>
    </w:rPr>
  </w:style>
  <w:style w:type="character" w:customStyle="1" w:styleId="60">
    <w:name w:val="正文首行缩进 Char"/>
    <w:basedOn w:val="53"/>
    <w:link w:val="33"/>
    <w:semiHidden/>
    <w:uiPriority w:val="99"/>
    <w:rPr>
      <w:rFonts w:ascii="宋体" w:hAnsi="Times New Roman" w:eastAsia="宋体" w:cs="Times New Roman"/>
      <w:sz w:val="24"/>
      <w:szCs w:val="20"/>
    </w:rPr>
  </w:style>
  <w:style w:type="character" w:customStyle="1" w:styleId="61">
    <w:name w:val="标题 5 Char"/>
    <w:basedOn w:val="37"/>
    <w:link w:val="6"/>
    <w:uiPriority w:val="9"/>
    <w:rPr>
      <w:b/>
      <w:bCs/>
      <w:sz w:val="24"/>
      <w:szCs w:val="28"/>
    </w:rPr>
  </w:style>
  <w:style w:type="character" w:customStyle="1" w:styleId="62">
    <w:name w:val="标题 6 Char"/>
    <w:basedOn w:val="37"/>
    <w:link w:val="7"/>
    <w:uiPriority w:val="9"/>
    <w:rPr>
      <w:rFonts w:asciiTheme="majorHAnsi" w:hAnsiTheme="majorHAnsi" w:eastAsiaTheme="majorEastAsia" w:cstheme="majorBidi"/>
      <w:b/>
      <w:bCs/>
      <w:sz w:val="24"/>
      <w:szCs w:val="24"/>
    </w:rPr>
  </w:style>
  <w:style w:type="paragraph" w:customStyle="1" w:styleId="63">
    <w:name w:val="表"/>
    <w:basedOn w:val="1"/>
    <w:next w:val="1"/>
    <w:link w:val="92"/>
    <w:qFormat/>
    <w:uiPriority w:val="0"/>
    <w:pPr>
      <w:jc w:val="center"/>
    </w:pPr>
    <w:rPr>
      <w:rFonts w:ascii="Times New Roman" w:hAnsi="Times New Roman" w:cs="Times New Roman"/>
      <w:sz w:val="21"/>
    </w:rPr>
  </w:style>
  <w:style w:type="character" w:customStyle="1" w:styleId="64">
    <w:name w:val="正文缩进 Char"/>
    <w:link w:val="10"/>
    <w:uiPriority w:val="0"/>
    <w:rPr>
      <w:rFonts w:eastAsia="宋体"/>
      <w:sz w:val="24"/>
      <w:szCs w:val="24"/>
    </w:rPr>
  </w:style>
  <w:style w:type="paragraph" w:customStyle="1" w:styleId="65">
    <w:name w:val="Default"/>
    <w:uiPriority w:val="0"/>
    <w:pPr>
      <w:widowControl w:val="0"/>
      <w:autoSpaceDE w:val="0"/>
      <w:autoSpaceDN w:val="0"/>
      <w:adjustRightInd w:val="0"/>
    </w:pPr>
    <w:rPr>
      <w:rFonts w:ascii="宋体" w:hAnsi="Times New Roman" w:eastAsia="宋体" w:cs="宋体"/>
      <w:color w:val="000000"/>
      <w:kern w:val="0"/>
      <w:sz w:val="24"/>
      <w:szCs w:val="24"/>
      <w:lang w:val="en-US" w:eastAsia="zh-CN" w:bidi="ar-SA"/>
    </w:rPr>
  </w:style>
  <w:style w:type="paragraph" w:customStyle="1" w:styleId="66">
    <w:name w:val="表文字"/>
    <w:basedOn w:val="1"/>
    <w:link w:val="67"/>
    <w:uiPriority w:val="0"/>
    <w:pPr>
      <w:spacing w:line="360" w:lineRule="auto"/>
      <w:jc w:val="center"/>
    </w:pPr>
    <w:rPr>
      <w:rFonts w:ascii="Times New Roman" w:hAnsi="Times New Roman" w:eastAsia="宋体" w:cs="Times New Roman"/>
      <w:kern w:val="10"/>
      <w:szCs w:val="20"/>
    </w:rPr>
  </w:style>
  <w:style w:type="character" w:customStyle="1" w:styleId="67">
    <w:name w:val="表文字 Char"/>
    <w:link w:val="66"/>
    <w:uiPriority w:val="0"/>
    <w:rPr>
      <w:rFonts w:ascii="Times New Roman" w:hAnsi="Times New Roman" w:eastAsia="宋体" w:cs="Times New Roman"/>
      <w:kern w:val="10"/>
      <w:sz w:val="24"/>
      <w:szCs w:val="20"/>
    </w:rPr>
  </w:style>
  <w:style w:type="character" w:customStyle="1" w:styleId="68">
    <w:name w:val="ENFI正文 Char Char"/>
    <w:link w:val="69"/>
    <w:qFormat/>
    <w:locked/>
    <w:uiPriority w:val="99"/>
    <w:rPr>
      <w:rFonts w:eastAsia="仿宋_GB2312"/>
      <w:snapToGrid w:val="0"/>
      <w:color w:val="000000"/>
      <w:kern w:val="0"/>
      <w:sz w:val="28"/>
      <w:szCs w:val="28"/>
    </w:rPr>
  </w:style>
  <w:style w:type="paragraph" w:customStyle="1" w:styleId="69">
    <w:name w:val="ENFI正文"/>
    <w:basedOn w:val="1"/>
    <w:link w:val="68"/>
    <w:uiPriority w:val="0"/>
    <w:pPr>
      <w:tabs>
        <w:tab w:val="left" w:pos="1021"/>
      </w:tabs>
      <w:spacing w:line="500" w:lineRule="exact"/>
      <w:ind w:firstLine="567" w:firstLineChars="200"/>
    </w:pPr>
    <w:rPr>
      <w:rFonts w:eastAsia="仿宋_GB2312"/>
      <w:snapToGrid w:val="0"/>
      <w:color w:val="000000"/>
      <w:kern w:val="0"/>
      <w:sz w:val="28"/>
      <w:szCs w:val="28"/>
    </w:rPr>
  </w:style>
  <w:style w:type="character" w:customStyle="1" w:styleId="70">
    <w:name w:val="font71"/>
    <w:basedOn w:val="37"/>
    <w:uiPriority w:val="0"/>
    <w:rPr>
      <w:rFonts w:hint="default" w:ascii="Times New Roman" w:hAnsi="Times New Roman" w:cs="Times New Roman"/>
      <w:color w:val="000000"/>
      <w:sz w:val="18"/>
      <w:szCs w:val="18"/>
      <w:u w:val="none"/>
      <w:vertAlign w:val="superscript"/>
    </w:rPr>
  </w:style>
  <w:style w:type="paragraph" w:customStyle="1" w:styleId="71">
    <w:name w:val="0正文"/>
    <w:basedOn w:val="14"/>
    <w:semiHidden/>
    <w:uiPriority w:val="0"/>
    <w:pPr>
      <w:tabs>
        <w:tab w:val="left" w:pos="1021"/>
      </w:tabs>
      <w:overflowPunct w:val="0"/>
      <w:autoSpaceDE w:val="0"/>
      <w:autoSpaceDN w:val="0"/>
      <w:spacing w:after="0" w:line="480" w:lineRule="exact"/>
      <w:ind w:left="0" w:leftChars="0" w:firstLine="561" w:firstLineChars="200"/>
      <w:textAlignment w:val="baseline"/>
    </w:pPr>
    <w:rPr>
      <w:rFonts w:ascii="宋体" w:hAnsi="宋体" w:eastAsia="仿宋_GB2312" w:cs="Times New Roman"/>
      <w:color w:val="000000"/>
      <w:sz w:val="28"/>
      <w:szCs w:val="24"/>
    </w:rPr>
  </w:style>
  <w:style w:type="character" w:customStyle="1" w:styleId="72">
    <w:name w:val="正文文本缩进 Char"/>
    <w:basedOn w:val="37"/>
    <w:link w:val="14"/>
    <w:semiHidden/>
    <w:uiPriority w:val="99"/>
    <w:rPr>
      <w:sz w:val="24"/>
    </w:rPr>
  </w:style>
  <w:style w:type="paragraph" w:customStyle="1" w:styleId="73">
    <w:name w:val="7表格文字"/>
    <w:basedOn w:val="1"/>
    <w:link w:val="74"/>
    <w:uiPriority w:val="0"/>
    <w:pPr>
      <w:tabs>
        <w:tab w:val="left" w:pos="1021"/>
      </w:tabs>
      <w:jc w:val="center"/>
    </w:pPr>
    <w:rPr>
      <w:rFonts w:ascii="Times New Roman" w:hAnsi="Times New Roman" w:eastAsia="宋体" w:cs="Times New Roman"/>
      <w:color w:val="FF0000"/>
      <w:sz w:val="21"/>
      <w:szCs w:val="24"/>
      <w:lang w:val="zh-CN"/>
    </w:rPr>
  </w:style>
  <w:style w:type="character" w:customStyle="1" w:styleId="74">
    <w:name w:val="7表格文字 Char"/>
    <w:link w:val="73"/>
    <w:qFormat/>
    <w:uiPriority w:val="0"/>
    <w:rPr>
      <w:rFonts w:ascii="Times New Roman" w:hAnsi="Times New Roman" w:eastAsia="宋体" w:cs="Times New Roman"/>
      <w:color w:val="FF0000"/>
      <w:szCs w:val="24"/>
      <w:lang w:val="zh-CN"/>
    </w:rPr>
  </w:style>
  <w:style w:type="paragraph" w:customStyle="1" w:styleId="75">
    <w:name w:val="样式1"/>
    <w:basedOn w:val="1"/>
    <w:link w:val="76"/>
    <w:uiPriority w:val="0"/>
    <w:pPr>
      <w:spacing w:line="360" w:lineRule="auto"/>
    </w:pPr>
    <w:rPr>
      <w:rFonts w:ascii="Times New Roman" w:hAnsi="Times New Roman" w:cs="宋体"/>
      <w:szCs w:val="24"/>
      <w:shd w:val="clear" w:color="auto" w:fill="FFFFFF"/>
    </w:rPr>
  </w:style>
  <w:style w:type="character" w:customStyle="1" w:styleId="76">
    <w:name w:val="样式1 字符"/>
    <w:basedOn w:val="37"/>
    <w:link w:val="75"/>
    <w:qFormat/>
    <w:uiPriority w:val="0"/>
    <w:rPr>
      <w:rFonts w:ascii="Times New Roman" w:hAnsi="Times New Roman" w:cs="宋体"/>
      <w:sz w:val="24"/>
      <w:szCs w:val="24"/>
    </w:rPr>
  </w:style>
  <w:style w:type="paragraph" w:customStyle="1" w:styleId="77">
    <w:name w:val="段落"/>
    <w:basedOn w:val="1"/>
    <w:uiPriority w:val="0"/>
    <w:pPr>
      <w:jc w:val="center"/>
    </w:pPr>
    <w:rPr>
      <w:rFonts w:ascii="宋体" w:hAnsi="宋体" w:eastAsia="宋体" w:cs="Times New Roman"/>
      <w:b/>
      <w:szCs w:val="20"/>
    </w:rPr>
  </w:style>
  <w:style w:type="character" w:customStyle="1" w:styleId="78">
    <w:name w:val="批注文字 Char"/>
    <w:basedOn w:val="37"/>
    <w:link w:val="12"/>
    <w:uiPriority w:val="99"/>
    <w:rPr>
      <w:sz w:val="24"/>
    </w:rPr>
  </w:style>
  <w:style w:type="character" w:customStyle="1" w:styleId="79">
    <w:name w:val="批注主题 Char"/>
    <w:basedOn w:val="78"/>
    <w:link w:val="32"/>
    <w:uiPriority w:val="0"/>
    <w:rPr>
      <w:b/>
      <w:bCs/>
      <w:sz w:val="24"/>
    </w:rPr>
  </w:style>
  <w:style w:type="character" w:customStyle="1" w:styleId="80">
    <w:name w:val="正文文本 2 Char"/>
    <w:basedOn w:val="37"/>
    <w:link w:val="29"/>
    <w:semiHidden/>
    <w:uiPriority w:val="99"/>
    <w:rPr>
      <w:sz w:val="24"/>
    </w:rPr>
  </w:style>
  <w:style w:type="paragraph" w:customStyle="1" w:styleId="81">
    <w:name w:val="_Style 65"/>
    <w:basedOn w:val="1"/>
    <w:next w:val="1"/>
    <w:qFormat/>
    <w:uiPriority w:val="39"/>
    <w:pPr>
      <w:tabs>
        <w:tab w:val="right" w:leader="middleDot" w:pos="9062"/>
      </w:tabs>
      <w:spacing w:line="360" w:lineRule="exact"/>
      <w:ind w:left="420" w:leftChars="200"/>
    </w:pPr>
    <w:rPr>
      <w:rFonts w:ascii="Times New Roman" w:hAnsi="Times New Roman" w:eastAsia="宋体" w:cs="Times New Roman"/>
      <w:sz w:val="21"/>
      <w:szCs w:val="24"/>
    </w:rPr>
  </w:style>
  <w:style w:type="paragraph" w:customStyle="1" w:styleId="82">
    <w:name w:val="样式 样式 正文文本缩进 + 段前: 7.8 磅 段后: 7.8 磅 + 段前: 0.5 行 段后: 0.5 行"/>
    <w:basedOn w:val="1"/>
    <w:uiPriority w:val="0"/>
    <w:pPr>
      <w:spacing w:before="50" w:beforeLines="50" w:after="50" w:afterLines="50" w:line="360" w:lineRule="auto"/>
      <w:ind w:firstLine="200" w:firstLineChars="200"/>
    </w:pPr>
    <w:rPr>
      <w:rFonts w:ascii="Times New Roman" w:hAnsi="Times New Roman" w:eastAsia="宋体" w:cs="宋体"/>
      <w:szCs w:val="20"/>
    </w:rPr>
  </w:style>
  <w:style w:type="paragraph" w:customStyle="1" w:styleId="83">
    <w:name w:val="段落1"/>
    <w:basedOn w:val="1"/>
    <w:uiPriority w:val="0"/>
    <w:pPr>
      <w:spacing w:line="450" w:lineRule="exact"/>
      <w:ind w:firstLine="560" w:firstLineChars="200"/>
    </w:pPr>
    <w:rPr>
      <w:rFonts w:ascii="Times New Roman" w:hAnsi="Times New Roman" w:eastAsia="仿宋_GB2312" w:cs="Times New Roman"/>
      <w:szCs w:val="24"/>
    </w:rPr>
  </w:style>
  <w:style w:type="paragraph" w:customStyle="1" w:styleId="84">
    <w:name w:val="XZW"/>
    <w:basedOn w:val="1"/>
    <w:uiPriority w:val="0"/>
    <w:pPr>
      <w:spacing w:line="360" w:lineRule="auto"/>
      <w:ind w:firstLine="200" w:firstLineChars="200"/>
    </w:pPr>
    <w:rPr>
      <w:rFonts w:ascii="Times New Roman" w:hAnsi="Times New Roman" w:eastAsia="仿宋_GB2312" w:cs="Times New Roman"/>
      <w:kern w:val="0"/>
      <w:sz w:val="28"/>
      <w:szCs w:val="24"/>
    </w:rPr>
  </w:style>
  <w:style w:type="paragraph" w:customStyle="1" w:styleId="85">
    <w:name w:val="标准表内文字"/>
    <w:basedOn w:val="1"/>
    <w:uiPriority w:val="0"/>
    <w:pPr>
      <w:jc w:val="center"/>
    </w:pPr>
    <w:rPr>
      <w:rFonts w:ascii="Times New Roman" w:hAnsi="Times New Roman" w:eastAsia="宋体" w:cs="Times New Roman"/>
      <w:bCs/>
      <w:color w:val="000000"/>
      <w:kern w:val="18"/>
      <w:sz w:val="21"/>
      <w:szCs w:val="20"/>
    </w:rPr>
  </w:style>
  <w:style w:type="paragraph" w:customStyle="1" w:styleId="86">
    <w:name w:val="BT1"/>
    <w:basedOn w:val="31"/>
    <w:uiPriority w:val="0"/>
    <w:pPr>
      <w:tabs>
        <w:tab w:val="left" w:pos="1021"/>
      </w:tabs>
      <w:spacing w:beforeLines="50" w:afterLines="50" w:line="360" w:lineRule="auto"/>
    </w:pPr>
    <w:rPr>
      <w:rFonts w:ascii="Times New Roman" w:hAnsi="Times New Roman" w:eastAsia="宋体" w:cs="Times New Roman"/>
      <w:bCs w:val="0"/>
      <w:kern w:val="0"/>
      <w:sz w:val="44"/>
      <w:szCs w:val="20"/>
    </w:rPr>
  </w:style>
  <w:style w:type="character" w:customStyle="1" w:styleId="87">
    <w:name w:val="标题 Char"/>
    <w:basedOn w:val="37"/>
    <w:link w:val="31"/>
    <w:uiPriority w:val="10"/>
    <w:rPr>
      <w:rFonts w:asciiTheme="majorHAnsi" w:hAnsiTheme="majorHAnsi" w:eastAsiaTheme="majorEastAsia" w:cstheme="majorBidi"/>
      <w:b/>
      <w:bCs/>
      <w:sz w:val="32"/>
      <w:szCs w:val="32"/>
    </w:rPr>
  </w:style>
  <w:style w:type="paragraph" w:styleId="88">
    <w:name w:val="List Paragraph"/>
    <w:basedOn w:val="1"/>
    <w:uiPriority w:val="99"/>
    <w:pPr>
      <w:ind w:firstLine="420" w:firstLineChars="200"/>
    </w:pPr>
  </w:style>
  <w:style w:type="character" w:customStyle="1" w:styleId="89">
    <w:name w:val="干法乙炔00 Char Char"/>
    <w:link w:val="90"/>
    <w:qFormat/>
    <w:uiPriority w:val="0"/>
    <w:rPr>
      <w:rFonts w:ascii="宋体" w:hAnsi="宋体"/>
      <w:color w:val="FF0000"/>
      <w:sz w:val="24"/>
      <w:szCs w:val="24"/>
    </w:rPr>
  </w:style>
  <w:style w:type="paragraph" w:customStyle="1" w:styleId="90">
    <w:name w:val="干法乙炔00"/>
    <w:basedOn w:val="1"/>
    <w:link w:val="89"/>
    <w:uiPriority w:val="0"/>
    <w:pPr>
      <w:widowControl/>
      <w:autoSpaceDE w:val="0"/>
      <w:autoSpaceDN w:val="0"/>
      <w:spacing w:line="560" w:lineRule="exact"/>
      <w:ind w:firstLine="480"/>
      <w:jc w:val="left"/>
    </w:pPr>
    <w:rPr>
      <w:rFonts w:ascii="宋体" w:hAnsi="宋体"/>
      <w:color w:val="FF0000"/>
      <w:szCs w:val="24"/>
    </w:rPr>
  </w:style>
  <w:style w:type="paragraph" w:customStyle="1" w:styleId="91">
    <w:name w:val="天硕酒业正文"/>
    <w:basedOn w:val="1"/>
    <w:uiPriority w:val="0"/>
    <w:pPr>
      <w:spacing w:line="500" w:lineRule="exact"/>
      <w:ind w:firstLine="480" w:firstLineChars="200"/>
    </w:pPr>
    <w:rPr>
      <w:rFonts w:ascii="Arial" w:hAnsi="Arial" w:eastAsia="宋体" w:cs="Arial"/>
      <w:szCs w:val="24"/>
    </w:rPr>
  </w:style>
  <w:style w:type="character" w:customStyle="1" w:styleId="92">
    <w:name w:val="表 Char"/>
    <w:link w:val="63"/>
    <w:qFormat/>
    <w:uiPriority w:val="0"/>
    <w:rPr>
      <w:rFonts w:ascii="Times New Roman" w:hAnsi="Times New Roman" w:cs="Times New Roman"/>
    </w:rPr>
  </w:style>
  <w:style w:type="character" w:customStyle="1" w:styleId="93">
    <w:name w:val="标题 7 Char"/>
    <w:basedOn w:val="37"/>
    <w:link w:val="8"/>
    <w:semiHidden/>
    <w:uiPriority w:val="9"/>
    <w:rPr>
      <w:b/>
      <w:bCs/>
      <w:sz w:val="24"/>
      <w:szCs w:val="24"/>
    </w:rPr>
  </w:style>
  <w:style w:type="paragraph" w:customStyle="1" w:styleId="94">
    <w:name w:val="xl27"/>
    <w:basedOn w:val="1"/>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sz w:val="21"/>
      <w:szCs w:val="24"/>
    </w:rPr>
  </w:style>
  <w:style w:type="character" w:customStyle="1" w:styleId="95">
    <w:name w:val="正文文本缩进 2 Char"/>
    <w:basedOn w:val="37"/>
    <w:link w:val="20"/>
    <w:uiPriority w:val="0"/>
    <w:rPr>
      <w:rFonts w:ascii="宋体" w:hAnsi="Calibri" w:eastAsia="宋体" w:cs="Times New Roman"/>
      <w:sz w:val="28"/>
      <w:szCs w:val="24"/>
    </w:rPr>
  </w:style>
  <w:style w:type="character" w:customStyle="1" w:styleId="96">
    <w:name w:val="正文首行缩进 2 Char"/>
    <w:basedOn w:val="72"/>
    <w:link w:val="34"/>
    <w:uiPriority w:val="0"/>
    <w:rPr>
      <w:rFonts w:ascii="Calibri" w:hAnsi="Calibri" w:eastAsia="宋体" w:cs="Times New Roman"/>
      <w:sz w:val="24"/>
      <w:szCs w:val="24"/>
    </w:rPr>
  </w:style>
  <w:style w:type="paragraph" w:customStyle="1" w:styleId="97">
    <w:name w:val="纯文本1"/>
    <w:basedOn w:val="1"/>
    <w:uiPriority w:val="0"/>
    <w:pPr>
      <w:tabs>
        <w:tab w:val="left" w:pos="1021"/>
      </w:tabs>
      <w:textAlignment w:val="baseline"/>
    </w:pPr>
    <w:rPr>
      <w:rFonts w:ascii="宋体" w:hAnsi="Courier New" w:eastAsia="宋体" w:cs="Times New Roman"/>
      <w:sz w:val="21"/>
      <w:szCs w:val="24"/>
    </w:rPr>
  </w:style>
  <w:style w:type="paragraph" w:customStyle="1" w:styleId="98">
    <w:name w:val="正文首行缩进1"/>
    <w:basedOn w:val="13"/>
    <w:uiPriority w:val="0"/>
    <w:pPr>
      <w:spacing w:line="460" w:lineRule="exact"/>
      <w:ind w:firstLine="420" w:firstLineChars="100"/>
      <w:jc w:val="center"/>
    </w:pPr>
    <w:rPr>
      <w:rFonts w:hAnsi="Calibri"/>
      <w:spacing w:val="6"/>
      <w:sz w:val="28"/>
      <w:szCs w:val="24"/>
    </w:rPr>
  </w:style>
  <w:style w:type="paragraph" w:customStyle="1" w:styleId="99">
    <w:name w:val="列出段落1"/>
    <w:basedOn w:val="1"/>
    <w:uiPriority w:val="0"/>
    <w:pPr>
      <w:ind w:firstLine="420" w:firstLineChars="200"/>
    </w:pPr>
    <w:rPr>
      <w:rFonts w:ascii="Calibri" w:hAnsi="Calibri" w:eastAsia="宋体" w:cs="Times New Roman"/>
      <w:sz w:val="21"/>
      <w:szCs w:val="21"/>
    </w:rPr>
  </w:style>
  <w:style w:type="paragraph" w:customStyle="1" w:styleId="100">
    <w:name w:val="_Style 23"/>
    <w:basedOn w:val="14"/>
    <w:next w:val="34"/>
    <w:uiPriority w:val="0"/>
    <w:pPr>
      <w:ind w:firstLine="420" w:firstLineChars="200"/>
    </w:pPr>
    <w:rPr>
      <w:rFonts w:ascii="Calibri" w:hAnsi="Calibri" w:eastAsia="宋体" w:cs="Times New Roman"/>
      <w:sz w:val="21"/>
      <w:szCs w:val="20"/>
    </w:rPr>
  </w:style>
  <w:style w:type="paragraph" w:customStyle="1" w:styleId="101">
    <w:name w:val="Table Paragraph"/>
    <w:basedOn w:val="1"/>
    <w:uiPriority w:val="0"/>
    <w:pPr>
      <w:spacing w:line="360" w:lineRule="auto"/>
    </w:pPr>
    <w:rPr>
      <w:rFonts w:ascii="宋体" w:hAnsi="宋体" w:eastAsia="宋体" w:cs="宋体"/>
      <w:szCs w:val="24"/>
    </w:rPr>
  </w:style>
  <w:style w:type="paragraph" w:customStyle="1" w:styleId="102">
    <w:name w:val="可研正文"/>
    <w:basedOn w:val="30"/>
    <w:uiPriority w:val="0"/>
    <w:pPr>
      <w:spacing w:before="0" w:beforeAutospacing="0" w:after="0" w:afterAutospacing="0" w:line="400" w:lineRule="exact"/>
      <w:ind w:firstLine="480" w:firstLineChars="200"/>
      <w:jc w:val="both"/>
      <w:textAlignment w:val="baseline"/>
    </w:pPr>
    <w:rPr>
      <w:rFonts w:ascii="Times New Roman" w:hAnsi="宋体" w:cs="Times New Roman"/>
    </w:rPr>
  </w:style>
  <w:style w:type="paragraph" w:customStyle="1" w:styleId="103">
    <w:name w:val="投标"/>
    <w:basedOn w:val="1"/>
    <w:uiPriority w:val="0"/>
    <w:pPr>
      <w:autoSpaceDE w:val="0"/>
      <w:autoSpaceDN w:val="0"/>
      <w:spacing w:line="500" w:lineRule="exact"/>
      <w:ind w:firstLine="200" w:firstLineChars="200"/>
    </w:pPr>
    <w:rPr>
      <w:rFonts w:ascii="Arial" w:hAnsi="Arial" w:eastAsia="宋体" w:cs="Times New Roman"/>
      <w:szCs w:val="24"/>
    </w:rPr>
  </w:style>
  <w:style w:type="paragraph" w:customStyle="1" w:styleId="104">
    <w:name w:val="图/表"/>
    <w:basedOn w:val="1"/>
    <w:uiPriority w:val="1"/>
    <w:pPr>
      <w:autoSpaceDE w:val="0"/>
      <w:autoSpaceDN w:val="0"/>
      <w:jc w:val="center"/>
      <w:textAlignment w:val="baseline"/>
    </w:pPr>
    <w:rPr>
      <w:rFonts w:ascii="Times New Roman" w:hAnsi="Times New Roman" w:eastAsia="黑体" w:cs="Times New Roman"/>
      <w:kern w:val="0"/>
      <w:sz w:val="21"/>
      <w:szCs w:val="24"/>
    </w:rPr>
  </w:style>
  <w:style w:type="paragraph" w:customStyle="1" w:styleId="105">
    <w:name w:val="表格"/>
    <w:basedOn w:val="1"/>
    <w:next w:val="1"/>
    <w:uiPriority w:val="1"/>
    <w:pPr>
      <w:spacing w:line="360" w:lineRule="auto"/>
    </w:pPr>
    <w:rPr>
      <w:rFonts w:ascii="Calibri" w:hAnsi="Calibri" w:eastAsia="宋体" w:cs="Times New Roman"/>
      <w:bCs/>
      <w:kern w:val="0"/>
      <w:sz w:val="20"/>
      <w:szCs w:val="24"/>
    </w:rPr>
  </w:style>
  <w:style w:type="paragraph" w:customStyle="1" w:styleId="106">
    <w:name w:val="一级正文"/>
    <w:basedOn w:val="1"/>
    <w:uiPriority w:val="0"/>
    <w:pPr>
      <w:widowControl/>
      <w:spacing w:line="360" w:lineRule="auto"/>
      <w:ind w:firstLine="200" w:firstLineChars="200"/>
      <w:jc w:val="left"/>
    </w:pPr>
    <w:rPr>
      <w:rFonts w:ascii="Calibri" w:hAnsi="Calibri" w:eastAsia="宋体" w:cs="Times New Roman"/>
      <w:snapToGrid w:val="0"/>
      <w:kern w:val="0"/>
    </w:rPr>
  </w:style>
  <w:style w:type="paragraph" w:customStyle="1" w:styleId="107">
    <w:name w:val="环评正文文字"/>
    <w:basedOn w:val="1"/>
    <w:uiPriority w:val="0"/>
    <w:pPr>
      <w:spacing w:line="360" w:lineRule="auto"/>
      <w:ind w:firstLine="480" w:firstLineChars="200"/>
    </w:pPr>
    <w:rPr>
      <w:rFonts w:ascii="Calibri" w:hAnsi="Calibri" w:eastAsia="宋体" w:cs="Times New Roman"/>
      <w:kern w:val="0"/>
      <w:szCs w:val="20"/>
    </w:rPr>
  </w:style>
  <w:style w:type="paragraph" w:customStyle="1" w:styleId="108">
    <w:name w:val="表格文字"/>
    <w:basedOn w:val="17"/>
    <w:next w:val="109"/>
    <w:uiPriority w:val="0"/>
    <w:pPr>
      <w:spacing w:line="360" w:lineRule="auto"/>
      <w:jc w:val="center"/>
    </w:pPr>
    <w:rPr>
      <w:rFonts w:ascii="仿宋_GB2312" w:hAnsi="Arial Black" w:eastAsia="仿宋_GB2312" w:cs="Times New Roman"/>
      <w:kern w:val="44"/>
      <w:sz w:val="24"/>
      <w:szCs w:val="20"/>
    </w:rPr>
  </w:style>
  <w:style w:type="paragraph" w:customStyle="1" w:styleId="109">
    <w:name w:val="样式 标题 2H2He + 首行缩进:  0.5 字符"/>
    <w:basedOn w:val="3"/>
    <w:uiPriority w:val="0"/>
    <w:pPr>
      <w:keepNext w:val="0"/>
      <w:keepLines w:val="0"/>
      <w:tabs>
        <w:tab w:val="left" w:pos="648"/>
      </w:tabs>
      <w:overflowPunct w:val="0"/>
      <w:autoSpaceDE w:val="0"/>
      <w:autoSpaceDN w:val="0"/>
      <w:spacing w:before="40" w:after="40" w:line="400" w:lineRule="exact"/>
      <w:ind w:firstLine="221" w:firstLineChars="50"/>
      <w:textAlignment w:val="baseline"/>
    </w:pPr>
    <w:rPr>
      <w:rFonts w:ascii="宋体" w:hAnsi="宋体" w:eastAsia="宋体" w:cs="宋体"/>
      <w:bCs w:val="0"/>
      <w:color w:val="000000"/>
      <w:kern w:val="32"/>
      <w:sz w:val="32"/>
      <w:szCs w:val="20"/>
    </w:rPr>
  </w:style>
  <w:style w:type="paragraph" w:customStyle="1" w:styleId="110">
    <w:name w:val="样式 样式 (符号) 宋体 小四 行距: 固定值 26 磅 + 宋体"/>
    <w:basedOn w:val="1"/>
    <w:uiPriority w:val="0"/>
    <w:pPr>
      <w:spacing w:line="520" w:lineRule="exact"/>
      <w:ind w:firstLine="480" w:firstLineChars="200"/>
    </w:pPr>
    <w:rPr>
      <w:rFonts w:ascii="宋体" w:hAnsi="宋体" w:eastAsia="宋体" w:cs="宋体"/>
      <w:kern w:val="0"/>
      <w:szCs w:val="24"/>
    </w:rPr>
  </w:style>
  <w:style w:type="paragraph" w:customStyle="1" w:styleId="111">
    <w:name w:val="ENFI表体"/>
    <w:basedOn w:val="1"/>
    <w:uiPriority w:val="0"/>
    <w:pPr>
      <w:widowControl/>
      <w:spacing w:line="240" w:lineRule="atLeast"/>
      <w:jc w:val="center"/>
    </w:pPr>
    <w:rPr>
      <w:rFonts w:ascii="Calibri" w:hAnsi="Calibri" w:eastAsia="仿宋_GB2312" w:cs="Times New Roman"/>
      <w:kern w:val="0"/>
      <w:sz w:val="21"/>
      <w:szCs w:val="24"/>
    </w:rPr>
  </w:style>
  <w:style w:type="paragraph" w:customStyle="1" w:styleId="112">
    <w:name w:val="aa正文"/>
    <w:basedOn w:val="1"/>
    <w:uiPriority w:val="0"/>
    <w:pPr>
      <w:spacing w:line="360" w:lineRule="auto"/>
      <w:ind w:firstLine="200" w:firstLineChars="200"/>
    </w:pPr>
    <w:rPr>
      <w:rFonts w:ascii="Calibri" w:hAnsi="Calibri" w:eastAsia="宋体" w:cs="Times New Roman"/>
      <w:szCs w:val="24"/>
    </w:rPr>
  </w:style>
  <w:style w:type="paragraph" w:customStyle="1" w:styleId="113">
    <w:name w:val="w三级标题"/>
    <w:basedOn w:val="1"/>
    <w:next w:val="1"/>
    <w:uiPriority w:val="0"/>
    <w:pPr>
      <w:widowControl/>
      <w:spacing w:line="360" w:lineRule="auto"/>
      <w:outlineLvl w:val="2"/>
    </w:pPr>
    <w:rPr>
      <w:rFonts w:ascii="黑体" w:hAnsi="黑体" w:eastAsia="黑体" w:cs="Times New Roman"/>
      <w:b/>
      <w:color w:val="000000"/>
      <w:kern w:val="0"/>
      <w:sz w:val="28"/>
      <w:szCs w:val="24"/>
    </w:rPr>
  </w:style>
  <w:style w:type="paragraph" w:customStyle="1" w:styleId="114">
    <w:name w:val="A正文"/>
    <w:basedOn w:val="115"/>
    <w:uiPriority w:val="0"/>
    <w:pPr>
      <w:widowControl/>
      <w:ind w:firstLine="480"/>
    </w:pPr>
    <w:rPr>
      <w:rFonts w:ascii="Times New Roman"/>
      <w:spacing w:val="0"/>
    </w:rPr>
  </w:style>
  <w:style w:type="paragraph" w:customStyle="1" w:styleId="115">
    <w:name w:val="正文格式"/>
    <w:basedOn w:val="1"/>
    <w:next w:val="88"/>
    <w:uiPriority w:val="0"/>
    <w:pPr>
      <w:spacing w:line="360" w:lineRule="auto"/>
      <w:ind w:firstLine="200" w:firstLineChars="200"/>
    </w:pPr>
    <w:rPr>
      <w:rFonts w:ascii="宋体" w:hAnsi="Calibri" w:eastAsia="宋体" w:cs="Times New Roman"/>
      <w:spacing w:val="8"/>
      <w:kern w:val="0"/>
      <w:szCs w:val="24"/>
    </w:rPr>
  </w:style>
  <w:style w:type="paragraph" w:customStyle="1" w:styleId="116">
    <w:name w:val="表格内容"/>
    <w:basedOn w:val="1"/>
    <w:uiPriority w:val="0"/>
    <w:pPr>
      <w:jc w:val="center"/>
    </w:pPr>
    <w:rPr>
      <w:rFonts w:ascii="Calibri" w:hAnsi="Calibri" w:eastAsia="宋体" w:cs="宋体"/>
      <w:sz w:val="21"/>
      <w:szCs w:val="20"/>
    </w:rPr>
  </w:style>
  <w:style w:type="paragraph" w:customStyle="1" w:styleId="117">
    <w:name w:val="表头"/>
    <w:uiPriority w:val="0"/>
    <w:pPr>
      <w:spacing w:beforeLines="50" w:line="360" w:lineRule="auto"/>
      <w:jc w:val="center"/>
    </w:pPr>
    <w:rPr>
      <w:rFonts w:ascii="Times New Roman" w:hAnsi="Times New Roman" w:eastAsia="宋体" w:cs="宋体"/>
      <w:b/>
      <w:color w:val="000000"/>
      <w:kern w:val="0"/>
      <w:sz w:val="24"/>
      <w:szCs w:val="20"/>
      <w:lang w:val="en-US" w:eastAsia="zh-CN" w:bidi="ar-SA"/>
    </w:rPr>
  </w:style>
  <w:style w:type="paragraph" w:customStyle="1" w:styleId="118">
    <w:name w:val="表格文本"/>
    <w:uiPriority w:val="0"/>
    <w:pPr>
      <w:widowControl w:val="0"/>
      <w:snapToGrid w:val="0"/>
      <w:jc w:val="center"/>
    </w:pPr>
    <w:rPr>
      <w:rFonts w:ascii="Times New Roman" w:hAnsi="Times New Roman" w:eastAsia="宋体" w:cs="Times New Roman"/>
      <w:kern w:val="0"/>
      <w:sz w:val="21"/>
      <w:szCs w:val="21"/>
      <w:lang w:val="en-US" w:eastAsia="zh-CN" w:bidi="ar-SA"/>
    </w:rPr>
  </w:style>
  <w:style w:type="paragraph" w:customStyle="1" w:styleId="119">
    <w:name w:val="表格正文2"/>
    <w:uiPriority w:val="0"/>
    <w:pPr>
      <w:jc w:val="center"/>
    </w:pPr>
    <w:rPr>
      <w:rFonts w:ascii="宋体" w:hAnsi="宋体" w:eastAsia="宋体" w:cs="宋体"/>
      <w:kern w:val="0"/>
      <w:sz w:val="21"/>
      <w:szCs w:val="21"/>
      <w:lang w:val="en-US" w:eastAsia="zh-CN" w:bidi="ar-SA"/>
    </w:rPr>
  </w:style>
  <w:style w:type="paragraph" w:customStyle="1" w:styleId="120">
    <w:name w:val="段落(G)"/>
    <w:basedOn w:val="1"/>
    <w:uiPriority w:val="0"/>
    <w:pPr>
      <w:tabs>
        <w:tab w:val="left" w:pos="1021"/>
        <w:tab w:val="left" w:pos="1320"/>
      </w:tabs>
      <w:spacing w:line="360" w:lineRule="auto"/>
      <w:ind w:firstLine="480" w:firstLineChars="200"/>
    </w:pPr>
    <w:rPr>
      <w:rFonts w:ascii="Calibri" w:hAnsi="Calibri" w:eastAsia="宋体" w:cs="Times New Roman"/>
      <w:color w:val="000000"/>
      <w:kern w:val="24"/>
      <w:szCs w:val="24"/>
      <w:lang w:val="zh-CN"/>
    </w:rPr>
  </w:style>
  <w:style w:type="paragraph" w:customStyle="1" w:styleId="121">
    <w:name w:val="正文古"/>
    <w:basedOn w:val="1"/>
    <w:uiPriority w:val="0"/>
    <w:pPr>
      <w:spacing w:line="480" w:lineRule="exact"/>
      <w:ind w:firstLine="200" w:firstLineChars="200"/>
    </w:pPr>
    <w:rPr>
      <w:rFonts w:ascii="Calibri" w:hAnsi="Calibri" w:eastAsia="宋体" w:cs="Times New Roman"/>
      <w:kern w:val="0"/>
      <w:szCs w:val="24"/>
      <w:lang w:val="zh-CN"/>
    </w:rPr>
  </w:style>
  <w:style w:type="paragraph" w:customStyle="1" w:styleId="122">
    <w:name w:val="样式3"/>
    <w:basedOn w:val="4"/>
    <w:uiPriority w:val="0"/>
    <w:pPr>
      <w:keepNext w:val="0"/>
      <w:tabs>
        <w:tab w:val="left" w:pos="692"/>
        <w:tab w:val="left" w:pos="1021"/>
      </w:tabs>
      <w:overflowPunct w:val="0"/>
      <w:autoSpaceDE w:val="0"/>
      <w:autoSpaceDN w:val="0"/>
      <w:spacing w:before="20" w:after="20"/>
      <w:ind w:hanging="1021"/>
      <w:jc w:val="left"/>
      <w:textAlignment w:val="baseline"/>
    </w:pPr>
    <w:rPr>
      <w:rFonts w:ascii="Times New Roman" w:hAnsi="Times New Roman" w:eastAsia="宋体" w:cs="Times New Roman"/>
      <w:bCs w:val="0"/>
      <w:color w:val="000000"/>
      <w:sz w:val="24"/>
      <w:szCs w:val="28"/>
    </w:rPr>
  </w:style>
  <w:style w:type="paragraph" w:customStyle="1" w:styleId="123">
    <w:name w:val="表中字"/>
    <w:uiPriority w:val="0"/>
    <w:pPr>
      <w:jc w:val="center"/>
    </w:pPr>
    <w:rPr>
      <w:rFonts w:ascii="Times New Roman" w:hAnsi="Times New Roman" w:eastAsia="宋体" w:cs="Times New Roman"/>
      <w:kern w:val="2"/>
      <w:sz w:val="21"/>
      <w:szCs w:val="24"/>
      <w:lang w:val="en-US" w:eastAsia="zh-CN" w:bidi="ar-SA"/>
    </w:rPr>
  </w:style>
  <w:style w:type="paragraph" w:customStyle="1" w:styleId="124">
    <w:name w:val="TOC Heading"/>
    <w:basedOn w:val="2"/>
    <w:next w:val="1"/>
    <w:unhideWhenUsed/>
    <w:uiPriority w:val="39"/>
    <w:pPr>
      <w:widowControl/>
      <w:adjustRightInd/>
      <w:snapToGrid/>
      <w:spacing w:before="240" w:beforeLines="0" w:after="0" w:afterLines="0" w:line="259" w:lineRule="auto"/>
      <w:jc w:val="left"/>
      <w:outlineLvl w:val="9"/>
    </w:pPr>
    <w:rPr>
      <w:rFonts w:asciiTheme="majorHAnsi" w:hAnsiTheme="majorHAnsi" w:eastAsiaTheme="majorEastAsia" w:cstheme="majorBidi"/>
      <w:b w:val="0"/>
      <w:bCs w:val="0"/>
      <w:color w:val="376092" w:themeColor="accent1" w:themeShade="BF"/>
      <w:kern w:val="0"/>
      <w:szCs w:val="32"/>
    </w:rPr>
  </w:style>
  <w:style w:type="character" w:customStyle="1" w:styleId="125">
    <w:name w:val="日期 Char"/>
    <w:basedOn w:val="37"/>
    <w:link w:val="19"/>
    <w:semiHidden/>
    <w:uiPriority w:val="99"/>
    <w:rPr>
      <w:sz w:val="24"/>
    </w:rPr>
  </w:style>
  <w:style w:type="character" w:customStyle="1" w:styleId="126">
    <w:name w:val="报告正文 Char"/>
    <w:link w:val="127"/>
    <w:qFormat/>
    <w:uiPriority w:val="0"/>
    <w:rPr>
      <w:rFonts w:ascii="宋体"/>
      <w:sz w:val="28"/>
    </w:rPr>
  </w:style>
  <w:style w:type="paragraph" w:customStyle="1" w:styleId="127">
    <w:name w:val="报告正文"/>
    <w:basedOn w:val="1"/>
    <w:link w:val="126"/>
    <w:uiPriority w:val="0"/>
    <w:pPr>
      <w:spacing w:line="300" w:lineRule="auto"/>
      <w:ind w:firstLine="560" w:firstLineChars="200"/>
    </w:pPr>
    <w:rPr>
      <w:rFonts w:ascii="宋体"/>
      <w:sz w:val="28"/>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9.bin"/><Relationship Id="rId98" Type="http://schemas.openxmlformats.org/officeDocument/2006/relationships/image" Target="media/image74.jpeg"/><Relationship Id="rId97" Type="http://schemas.openxmlformats.org/officeDocument/2006/relationships/image" Target="media/image73.png"/><Relationship Id="rId96" Type="http://schemas.openxmlformats.org/officeDocument/2006/relationships/image" Target="media/image72.png"/><Relationship Id="rId95" Type="http://schemas.openxmlformats.org/officeDocument/2006/relationships/image" Target="media/image71.png"/><Relationship Id="rId94" Type="http://schemas.openxmlformats.org/officeDocument/2006/relationships/image" Target="media/image70.png"/><Relationship Id="rId93" Type="http://schemas.openxmlformats.org/officeDocument/2006/relationships/image" Target="media/image69.png"/><Relationship Id="rId92" Type="http://schemas.openxmlformats.org/officeDocument/2006/relationships/image" Target="media/image68.png"/><Relationship Id="rId91" Type="http://schemas.openxmlformats.org/officeDocument/2006/relationships/image" Target="media/image67.png"/><Relationship Id="rId90" Type="http://schemas.openxmlformats.org/officeDocument/2006/relationships/image" Target="media/image66.png"/><Relationship Id="rId9" Type="http://schemas.openxmlformats.org/officeDocument/2006/relationships/footer" Target="footer4.xml"/><Relationship Id="rId89" Type="http://schemas.openxmlformats.org/officeDocument/2006/relationships/image" Target="media/image65.png"/><Relationship Id="rId88" Type="http://schemas.openxmlformats.org/officeDocument/2006/relationships/image" Target="media/image64.png"/><Relationship Id="rId87" Type="http://schemas.openxmlformats.org/officeDocument/2006/relationships/image" Target="media/image63.png"/><Relationship Id="rId86" Type="http://schemas.openxmlformats.org/officeDocument/2006/relationships/image" Target="media/image62.png"/><Relationship Id="rId85" Type="http://schemas.openxmlformats.org/officeDocument/2006/relationships/image" Target="media/image61.png"/><Relationship Id="rId84" Type="http://schemas.openxmlformats.org/officeDocument/2006/relationships/image" Target="media/image60.png"/><Relationship Id="rId83" Type="http://schemas.openxmlformats.org/officeDocument/2006/relationships/image" Target="media/image59.png"/><Relationship Id="rId82" Type="http://schemas.openxmlformats.org/officeDocument/2006/relationships/image" Target="media/image58.png"/><Relationship Id="rId81" Type="http://schemas.openxmlformats.org/officeDocument/2006/relationships/image" Target="media/image57.png"/><Relationship Id="rId80" Type="http://schemas.openxmlformats.org/officeDocument/2006/relationships/image" Target="media/image56.png"/><Relationship Id="rId8" Type="http://schemas.openxmlformats.org/officeDocument/2006/relationships/header" Target="header3.xml"/><Relationship Id="rId79" Type="http://schemas.openxmlformats.org/officeDocument/2006/relationships/image" Target="media/image55.png"/><Relationship Id="rId78" Type="http://schemas.openxmlformats.org/officeDocument/2006/relationships/image" Target="media/image54.png"/><Relationship Id="rId77" Type="http://schemas.openxmlformats.org/officeDocument/2006/relationships/image" Target="media/image53.png"/><Relationship Id="rId76" Type="http://schemas.openxmlformats.org/officeDocument/2006/relationships/image" Target="media/image52.png"/><Relationship Id="rId75" Type="http://schemas.openxmlformats.org/officeDocument/2006/relationships/image" Target="media/image51.png"/><Relationship Id="rId74" Type="http://schemas.openxmlformats.org/officeDocument/2006/relationships/image" Target="media/image50.png"/><Relationship Id="rId73" Type="http://schemas.openxmlformats.org/officeDocument/2006/relationships/image" Target="media/image49.emf"/><Relationship Id="rId72" Type="http://schemas.openxmlformats.org/officeDocument/2006/relationships/image" Target="media/image48.emf"/><Relationship Id="rId71" Type="http://schemas.openxmlformats.org/officeDocument/2006/relationships/image" Target="media/image47.png"/><Relationship Id="rId70" Type="http://schemas.openxmlformats.org/officeDocument/2006/relationships/image" Target="media/image46.png"/><Relationship Id="rId7" Type="http://schemas.openxmlformats.org/officeDocument/2006/relationships/header" Target="header2.xml"/><Relationship Id="rId69" Type="http://schemas.openxmlformats.org/officeDocument/2006/relationships/image" Target="media/image45.png"/><Relationship Id="rId68" Type="http://schemas.openxmlformats.org/officeDocument/2006/relationships/image" Target="media/image44.png"/><Relationship Id="rId67" Type="http://schemas.openxmlformats.org/officeDocument/2006/relationships/image" Target="media/image43.png"/><Relationship Id="rId66" Type="http://schemas.openxmlformats.org/officeDocument/2006/relationships/image" Target="media/image42.png"/><Relationship Id="rId65" Type="http://schemas.openxmlformats.org/officeDocument/2006/relationships/image" Target="media/image41.png"/><Relationship Id="rId64" Type="http://schemas.openxmlformats.org/officeDocument/2006/relationships/image" Target="media/image40.png"/><Relationship Id="rId63" Type="http://schemas.openxmlformats.org/officeDocument/2006/relationships/image" Target="media/image39.png"/><Relationship Id="rId62" Type="http://schemas.openxmlformats.org/officeDocument/2006/relationships/image" Target="media/image38.png"/><Relationship Id="rId61" Type="http://schemas.openxmlformats.org/officeDocument/2006/relationships/image" Target="media/image37.png"/><Relationship Id="rId60" Type="http://schemas.openxmlformats.org/officeDocument/2006/relationships/image" Target="media/image36.png"/><Relationship Id="rId6" Type="http://schemas.openxmlformats.org/officeDocument/2006/relationships/header" Target="header1.xml"/><Relationship Id="rId59" Type="http://schemas.openxmlformats.org/officeDocument/2006/relationships/image" Target="media/image35.png"/><Relationship Id="rId58" Type="http://schemas.openxmlformats.org/officeDocument/2006/relationships/image" Target="media/image34.png"/><Relationship Id="rId57" Type="http://schemas.openxmlformats.org/officeDocument/2006/relationships/image" Target="media/image33.png"/><Relationship Id="rId56" Type="http://schemas.openxmlformats.org/officeDocument/2006/relationships/image" Target="media/image32.png"/><Relationship Id="rId55" Type="http://schemas.openxmlformats.org/officeDocument/2006/relationships/image" Target="media/image31.png"/><Relationship Id="rId54" Type="http://schemas.openxmlformats.org/officeDocument/2006/relationships/image" Target="media/image30.pn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png"/><Relationship Id="rId50" Type="http://schemas.openxmlformats.org/officeDocument/2006/relationships/image" Target="media/image26.png"/><Relationship Id="rId5" Type="http://schemas.openxmlformats.org/officeDocument/2006/relationships/footer" Target="footer3.xml"/><Relationship Id="rId49" Type="http://schemas.openxmlformats.org/officeDocument/2006/relationships/image" Target="media/image25.png"/><Relationship Id="rId48" Type="http://schemas.openxmlformats.org/officeDocument/2006/relationships/image" Target="media/image24.png"/><Relationship Id="rId47"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21.png"/><Relationship Id="rId44" Type="http://schemas.openxmlformats.org/officeDocument/2006/relationships/image" Target="media/image20.png"/><Relationship Id="rId43" Type="http://schemas.openxmlformats.org/officeDocument/2006/relationships/image" Target="media/image19.emf"/><Relationship Id="rId42" Type="http://schemas.openxmlformats.org/officeDocument/2006/relationships/oleObject" Target="embeddings/oleObject8.bin"/><Relationship Id="rId41" Type="http://schemas.openxmlformats.org/officeDocument/2006/relationships/image" Target="media/image18.emf"/><Relationship Id="rId40" Type="http://schemas.openxmlformats.org/officeDocument/2006/relationships/oleObject" Target="embeddings/oleObject7.bin"/><Relationship Id="rId4" Type="http://schemas.openxmlformats.org/officeDocument/2006/relationships/footer" Target="footer2.xml"/><Relationship Id="rId39" Type="http://schemas.openxmlformats.org/officeDocument/2006/relationships/image" Target="media/image17.emf"/><Relationship Id="rId38" Type="http://schemas.openxmlformats.org/officeDocument/2006/relationships/oleObject" Target="embeddings/oleObject6.bin"/><Relationship Id="rId37" Type="http://schemas.openxmlformats.org/officeDocument/2006/relationships/image" Target="media/image16.emf"/><Relationship Id="rId36" Type="http://schemas.openxmlformats.org/officeDocument/2006/relationships/oleObject" Target="embeddings/oleObject5.bin"/><Relationship Id="rId35" Type="http://schemas.openxmlformats.org/officeDocument/2006/relationships/image" Target="media/image15.png"/><Relationship Id="rId34" Type="http://schemas.openxmlformats.org/officeDocument/2006/relationships/image" Target="media/image14.png"/><Relationship Id="rId33" Type="http://schemas.openxmlformats.org/officeDocument/2006/relationships/image" Target="media/image13.emf"/><Relationship Id="rId32" Type="http://schemas.openxmlformats.org/officeDocument/2006/relationships/oleObject" Target="embeddings/oleObject4.bin"/><Relationship Id="rId31" Type="http://schemas.openxmlformats.org/officeDocument/2006/relationships/image" Target="media/image12.emf"/><Relationship Id="rId30" Type="http://schemas.openxmlformats.org/officeDocument/2006/relationships/oleObject" Target="embeddings/oleObject3.bin"/><Relationship Id="rId3" Type="http://schemas.openxmlformats.org/officeDocument/2006/relationships/footer" Target="footer1.xml"/><Relationship Id="rId29" Type="http://schemas.openxmlformats.org/officeDocument/2006/relationships/image" Target="media/image11.emf"/><Relationship Id="rId28" Type="http://schemas.openxmlformats.org/officeDocument/2006/relationships/oleObject" Target="embeddings/oleObject2.bin"/><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png"/><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wmf"/><Relationship Id="rId18" Type="http://schemas.openxmlformats.org/officeDocument/2006/relationships/image" Target="media/image1.emf"/><Relationship Id="rId172" Type="http://schemas.openxmlformats.org/officeDocument/2006/relationships/fontTable" Target="fontTable.xml"/><Relationship Id="rId171" Type="http://schemas.openxmlformats.org/officeDocument/2006/relationships/customXml" Target="../customXml/item2.xml"/><Relationship Id="rId170" Type="http://schemas.openxmlformats.org/officeDocument/2006/relationships/numbering" Target="numbering.xml"/><Relationship Id="rId17" Type="http://schemas.openxmlformats.org/officeDocument/2006/relationships/oleObject" Target="embeddings/oleObject1.bin"/><Relationship Id="rId169" Type="http://schemas.openxmlformats.org/officeDocument/2006/relationships/customXml" Target="../customXml/item1.xml"/><Relationship Id="rId168" Type="http://schemas.openxmlformats.org/officeDocument/2006/relationships/image" Target="media/image117.png"/><Relationship Id="rId167" Type="http://schemas.openxmlformats.org/officeDocument/2006/relationships/image" Target="media/image116.png"/><Relationship Id="rId166" Type="http://schemas.openxmlformats.org/officeDocument/2006/relationships/image" Target="media/image115.png"/><Relationship Id="rId165" Type="http://schemas.openxmlformats.org/officeDocument/2006/relationships/image" Target="media/image114.png"/><Relationship Id="rId164" Type="http://schemas.openxmlformats.org/officeDocument/2006/relationships/image" Target="media/image113.png"/><Relationship Id="rId163" Type="http://schemas.openxmlformats.org/officeDocument/2006/relationships/image" Target="media/image112.png"/><Relationship Id="rId162" Type="http://schemas.openxmlformats.org/officeDocument/2006/relationships/image" Target="media/image111.png"/><Relationship Id="rId161" Type="http://schemas.openxmlformats.org/officeDocument/2006/relationships/image" Target="media/image110.png"/><Relationship Id="rId160" Type="http://schemas.openxmlformats.org/officeDocument/2006/relationships/image" Target="media/image109.png"/><Relationship Id="rId16" Type="http://schemas.openxmlformats.org/officeDocument/2006/relationships/theme" Target="theme/theme1.xml"/><Relationship Id="rId159" Type="http://schemas.openxmlformats.org/officeDocument/2006/relationships/image" Target="media/image108.png"/><Relationship Id="rId158" Type="http://schemas.openxmlformats.org/officeDocument/2006/relationships/image" Target="media/image107.emf"/><Relationship Id="rId157" Type="http://schemas.openxmlformats.org/officeDocument/2006/relationships/image" Target="media/image106.png"/><Relationship Id="rId156" Type="http://schemas.openxmlformats.org/officeDocument/2006/relationships/image" Target="media/image105.png"/><Relationship Id="rId155" Type="http://schemas.openxmlformats.org/officeDocument/2006/relationships/image" Target="media/image104.png"/><Relationship Id="rId154" Type="http://schemas.openxmlformats.org/officeDocument/2006/relationships/image" Target="media/image103.png"/><Relationship Id="rId153" Type="http://schemas.openxmlformats.org/officeDocument/2006/relationships/image" Target="media/image102.png"/><Relationship Id="rId152" Type="http://schemas.openxmlformats.org/officeDocument/2006/relationships/image" Target="media/image101.wmf"/><Relationship Id="rId151" Type="http://schemas.openxmlformats.org/officeDocument/2006/relationships/image" Target="media/image100.png"/><Relationship Id="rId150" Type="http://schemas.openxmlformats.org/officeDocument/2006/relationships/image" Target="media/image99.wmf"/><Relationship Id="rId15" Type="http://schemas.openxmlformats.org/officeDocument/2006/relationships/footer" Target="footer8.xml"/><Relationship Id="rId149" Type="http://schemas.openxmlformats.org/officeDocument/2006/relationships/oleObject" Target="embeddings/oleObject35.bin"/><Relationship Id="rId148" Type="http://schemas.openxmlformats.org/officeDocument/2006/relationships/image" Target="media/image98.wmf"/><Relationship Id="rId147" Type="http://schemas.openxmlformats.org/officeDocument/2006/relationships/oleObject" Target="embeddings/oleObject34.bin"/><Relationship Id="rId146" Type="http://schemas.openxmlformats.org/officeDocument/2006/relationships/image" Target="media/image97.wmf"/><Relationship Id="rId145" Type="http://schemas.openxmlformats.org/officeDocument/2006/relationships/oleObject" Target="embeddings/oleObject33.bin"/><Relationship Id="rId144" Type="http://schemas.openxmlformats.org/officeDocument/2006/relationships/image" Target="media/image96.wmf"/><Relationship Id="rId143" Type="http://schemas.openxmlformats.org/officeDocument/2006/relationships/oleObject" Target="embeddings/oleObject32.bin"/><Relationship Id="rId142" Type="http://schemas.openxmlformats.org/officeDocument/2006/relationships/image" Target="media/image95.wmf"/><Relationship Id="rId141" Type="http://schemas.openxmlformats.org/officeDocument/2006/relationships/oleObject" Target="embeddings/oleObject31.bin"/><Relationship Id="rId140" Type="http://schemas.openxmlformats.org/officeDocument/2006/relationships/oleObject" Target="embeddings/oleObject30.bin"/><Relationship Id="rId14" Type="http://schemas.openxmlformats.org/officeDocument/2006/relationships/header" Target="header5.xml"/><Relationship Id="rId139" Type="http://schemas.openxmlformats.org/officeDocument/2006/relationships/image" Target="media/image94.wmf"/><Relationship Id="rId138" Type="http://schemas.openxmlformats.org/officeDocument/2006/relationships/oleObject" Target="embeddings/oleObject29.bin"/><Relationship Id="rId137" Type="http://schemas.openxmlformats.org/officeDocument/2006/relationships/image" Target="media/image93.wmf"/><Relationship Id="rId136" Type="http://schemas.openxmlformats.org/officeDocument/2006/relationships/oleObject" Target="embeddings/oleObject28.bin"/><Relationship Id="rId135" Type="http://schemas.openxmlformats.org/officeDocument/2006/relationships/image" Target="media/image92.wmf"/><Relationship Id="rId134" Type="http://schemas.openxmlformats.org/officeDocument/2006/relationships/oleObject" Target="embeddings/oleObject27.bin"/><Relationship Id="rId133" Type="http://schemas.openxmlformats.org/officeDocument/2006/relationships/image" Target="media/image91.wmf"/><Relationship Id="rId132" Type="http://schemas.openxmlformats.org/officeDocument/2006/relationships/oleObject" Target="embeddings/oleObject26.bin"/><Relationship Id="rId131" Type="http://schemas.openxmlformats.org/officeDocument/2006/relationships/image" Target="media/image90.wmf"/><Relationship Id="rId130" Type="http://schemas.openxmlformats.org/officeDocument/2006/relationships/oleObject" Target="embeddings/oleObject25.bin"/><Relationship Id="rId13" Type="http://schemas.openxmlformats.org/officeDocument/2006/relationships/footer" Target="footer7.xml"/><Relationship Id="rId129" Type="http://schemas.openxmlformats.org/officeDocument/2006/relationships/image" Target="media/image89.wmf"/><Relationship Id="rId128" Type="http://schemas.openxmlformats.org/officeDocument/2006/relationships/oleObject" Target="embeddings/oleObject24.bin"/><Relationship Id="rId127" Type="http://schemas.openxmlformats.org/officeDocument/2006/relationships/image" Target="media/image88.wmf"/><Relationship Id="rId126" Type="http://schemas.openxmlformats.org/officeDocument/2006/relationships/oleObject" Target="embeddings/oleObject23.bin"/><Relationship Id="rId125" Type="http://schemas.openxmlformats.org/officeDocument/2006/relationships/image" Target="media/image87.wmf"/><Relationship Id="rId124" Type="http://schemas.openxmlformats.org/officeDocument/2006/relationships/oleObject" Target="embeddings/oleObject22.bin"/><Relationship Id="rId123" Type="http://schemas.openxmlformats.org/officeDocument/2006/relationships/image" Target="media/image86.wmf"/><Relationship Id="rId122" Type="http://schemas.openxmlformats.org/officeDocument/2006/relationships/oleObject" Target="embeddings/oleObject21.bin"/><Relationship Id="rId121" Type="http://schemas.openxmlformats.org/officeDocument/2006/relationships/image" Target="media/image85.wmf"/><Relationship Id="rId120" Type="http://schemas.openxmlformats.org/officeDocument/2006/relationships/oleObject" Target="embeddings/oleObject20.bin"/><Relationship Id="rId12" Type="http://schemas.openxmlformats.org/officeDocument/2006/relationships/header" Target="header4.xml"/><Relationship Id="rId119" Type="http://schemas.openxmlformats.org/officeDocument/2006/relationships/image" Target="media/image84.wmf"/><Relationship Id="rId118" Type="http://schemas.openxmlformats.org/officeDocument/2006/relationships/oleObject" Target="embeddings/oleObject19.bin"/><Relationship Id="rId117" Type="http://schemas.openxmlformats.org/officeDocument/2006/relationships/image" Target="media/image83.wmf"/><Relationship Id="rId116" Type="http://schemas.openxmlformats.org/officeDocument/2006/relationships/oleObject" Target="embeddings/oleObject18.bin"/><Relationship Id="rId115" Type="http://schemas.openxmlformats.org/officeDocument/2006/relationships/oleObject" Target="embeddings/oleObject17.bin"/><Relationship Id="rId114" Type="http://schemas.openxmlformats.org/officeDocument/2006/relationships/image" Target="media/image82.wmf"/><Relationship Id="rId113" Type="http://schemas.openxmlformats.org/officeDocument/2006/relationships/oleObject" Target="embeddings/oleObject16.bin"/><Relationship Id="rId112" Type="http://schemas.openxmlformats.org/officeDocument/2006/relationships/image" Target="media/image81.wmf"/><Relationship Id="rId111" Type="http://schemas.openxmlformats.org/officeDocument/2006/relationships/oleObject" Target="embeddings/oleObject15.bin"/><Relationship Id="rId110" Type="http://schemas.openxmlformats.org/officeDocument/2006/relationships/image" Target="media/image80.wmf"/><Relationship Id="rId11" Type="http://schemas.openxmlformats.org/officeDocument/2006/relationships/footer" Target="footer6.xml"/><Relationship Id="rId109" Type="http://schemas.openxmlformats.org/officeDocument/2006/relationships/oleObject" Target="embeddings/oleObject14.bin"/><Relationship Id="rId108" Type="http://schemas.openxmlformats.org/officeDocument/2006/relationships/image" Target="media/image79.wmf"/><Relationship Id="rId107" Type="http://schemas.openxmlformats.org/officeDocument/2006/relationships/oleObject" Target="embeddings/oleObject13.bin"/><Relationship Id="rId106" Type="http://schemas.openxmlformats.org/officeDocument/2006/relationships/image" Target="media/image78.wmf"/><Relationship Id="rId105" Type="http://schemas.openxmlformats.org/officeDocument/2006/relationships/oleObject" Target="embeddings/oleObject12.bin"/><Relationship Id="rId104" Type="http://schemas.openxmlformats.org/officeDocument/2006/relationships/image" Target="media/image77.wmf"/><Relationship Id="rId103" Type="http://schemas.openxmlformats.org/officeDocument/2006/relationships/oleObject" Target="embeddings/oleObject11.bin"/><Relationship Id="rId102" Type="http://schemas.openxmlformats.org/officeDocument/2006/relationships/image" Target="media/image76.wmf"/><Relationship Id="rId101" Type="http://schemas.openxmlformats.org/officeDocument/2006/relationships/oleObject" Target="embeddings/oleObject10.bin"/><Relationship Id="rId100" Type="http://schemas.openxmlformats.org/officeDocument/2006/relationships/image" Target="media/image75.wmf"/><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3B75447-0734-4E85-9298-542A8048C6E5}">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370</Pages>
  <Words>194837</Words>
  <Characters>240475</Characters>
  <Lines>2019</Lines>
  <Paragraphs>568</Paragraphs>
  <TotalTime>1163</TotalTime>
  <ScaleCrop>false</ScaleCrop>
  <LinksUpToDate>false</LinksUpToDate>
  <CharactersWithSpaces>243810</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2023-10-10T00:47:00Z</dcterms:created>
  <dc:creator>Administrator</dc:creator>
  <cp:lastModifiedBy>蒋阔</cp:lastModifiedBy>
  <cp:lastPrinted>2018-05-28T01:54:00Z</cp:lastPrinted>
  <dcterms:modified xsi:type="dcterms:W3CDTF">2024-10-21T09:20:54Z</dcterms:modified>
  <cp:revision>152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608DF055255842A2A66315EF9B6EF8EC</vt:lpwstr>
  </property>
</Properties>
</file>