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ascii="Times New Roman" w:hAnsi="Times New Roman"/>
          <w:sz w:val="32"/>
        </w:rPr>
      </w:pPr>
      <w:bookmarkStart w:id="0" w:name="_GoBack"/>
      <w:bookmarkEnd w:id="0"/>
      <w:r>
        <w:rPr>
          <w:rFonts w:hint="eastAsia" w:ascii="宋体" w:hAnsi="宋体" w:cs="宋体"/>
          <w:sz w:val="32"/>
        </w:rPr>
        <w:t>附件</w:t>
      </w:r>
      <w:r>
        <w:rPr>
          <w:rFonts w:ascii="Times New Roman" w:hAnsi="Times New Roman"/>
          <w:sz w:val="32"/>
        </w:rPr>
        <w:t>3</w:t>
      </w:r>
    </w:p>
    <w:p>
      <w:pPr>
        <w:jc w:val="center"/>
        <w:rPr>
          <w:rFonts w:ascii="宋体" w:cs="宋体"/>
          <w:sz w:val="32"/>
        </w:rPr>
      </w:pPr>
      <w:r>
        <w:rPr>
          <w:rFonts w:hint="eastAsia" w:ascii="宋体" w:hAnsi="宋体" w:cs="宋体"/>
          <w:b/>
          <w:sz w:val="36"/>
        </w:rPr>
        <w:t>部门整体支出绩效目标申报表</w:t>
      </w:r>
      <w:r>
        <w:rPr>
          <w:rFonts w:ascii="宋体" w:cs="宋体"/>
          <w:b/>
          <w:sz w:val="36"/>
        </w:rPr>
        <w:br w:type="textWrapping"/>
      </w:r>
      <w:r>
        <w:rPr>
          <w:rFonts w:hint="eastAsia" w:ascii="宋体" w:hAnsi="宋体" w:cs="宋体"/>
          <w:sz w:val="32"/>
        </w:rPr>
        <w:t>（</w:t>
      </w:r>
      <w:r>
        <w:rPr>
          <w:rFonts w:ascii="宋体" w:hAnsi="宋体" w:cs="宋体"/>
          <w:sz w:val="32"/>
        </w:rPr>
        <w:t xml:space="preserve"> 2020 </w:t>
      </w:r>
      <w:r>
        <w:rPr>
          <w:rFonts w:hint="eastAsia" w:ascii="宋体" w:hAnsi="宋体" w:cs="宋体"/>
          <w:sz w:val="32"/>
        </w:rPr>
        <w:t>年度）</w:t>
      </w:r>
    </w:p>
    <w:p>
      <w:pPr>
        <w:spacing w:line="360" w:lineRule="auto"/>
        <w:ind w:left="-420" w:firstLine="480" w:firstLineChars="200"/>
        <w:rPr>
          <w:rFonts w:ascii="Times New Roman" w:hAnsi="Times New Roman"/>
          <w:sz w:val="24"/>
        </w:rPr>
      </w:pPr>
      <w:r>
        <w:rPr>
          <w:rFonts w:hint="eastAsia" w:ascii="宋体" w:hAnsi="宋体" w:cs="宋体"/>
          <w:sz w:val="24"/>
        </w:rPr>
        <w:t>填报单位（盖章）：衡东县中医医院</w:t>
      </w:r>
      <w:r>
        <w:rPr>
          <w:rFonts w:ascii="Times New Roman" w:hAnsi="Times New Roman"/>
          <w:sz w:val="24"/>
        </w:rPr>
        <w:tab/>
      </w:r>
      <w:r>
        <w:rPr>
          <w:rFonts w:ascii="Times New Roman" w:hAnsi="Times New Roman"/>
          <w:sz w:val="24"/>
        </w:rPr>
        <w:t xml:space="preserve">             </w:t>
      </w:r>
      <w:r>
        <w:rPr>
          <w:rFonts w:hint="eastAsia" w:ascii="宋体" w:hAnsi="宋体" w:cs="宋体"/>
          <w:sz w:val="24"/>
        </w:rPr>
        <w:t>单位负责人（签名）：</w:t>
      </w:r>
    </w:p>
    <w:tbl>
      <w:tblPr>
        <w:tblStyle w:val="4"/>
        <w:tblW w:w="0" w:type="auto"/>
        <w:tblInd w:w="0" w:type="dxa"/>
        <w:tblLayout w:type="autofit"/>
        <w:tblCellMar>
          <w:top w:w="0" w:type="dxa"/>
          <w:left w:w="10" w:type="dxa"/>
          <w:bottom w:w="0" w:type="dxa"/>
          <w:right w:w="10" w:type="dxa"/>
        </w:tblCellMar>
      </w:tblPr>
      <w:tblGrid>
        <w:gridCol w:w="773"/>
        <w:gridCol w:w="1106"/>
        <w:gridCol w:w="597"/>
        <w:gridCol w:w="606"/>
        <w:gridCol w:w="1677"/>
        <w:gridCol w:w="723"/>
        <w:gridCol w:w="923"/>
        <w:gridCol w:w="1048"/>
        <w:gridCol w:w="1069"/>
      </w:tblGrid>
      <w:tr>
        <w:tblPrEx>
          <w:tblCellMar>
            <w:top w:w="0" w:type="dxa"/>
            <w:left w:w="10" w:type="dxa"/>
            <w:bottom w:w="0" w:type="dxa"/>
            <w:right w:w="10" w:type="dxa"/>
          </w:tblCellMar>
        </w:tblPrEx>
        <w:tc>
          <w:tcPr>
            <w:tcW w:w="7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部门名称</w:t>
            </w:r>
          </w:p>
        </w:tc>
        <w:tc>
          <w:tcPr>
            <w:tcW w:w="774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衡东县中医医院</w:t>
            </w:r>
          </w:p>
        </w:tc>
      </w:tr>
      <w:tr>
        <w:tblPrEx>
          <w:tblCellMar>
            <w:top w:w="0" w:type="dxa"/>
            <w:left w:w="10" w:type="dxa"/>
            <w:bottom w:w="0" w:type="dxa"/>
            <w:right w:w="10" w:type="dxa"/>
          </w:tblCellMar>
        </w:tblPrEx>
        <w:tc>
          <w:tcPr>
            <w:tcW w:w="77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年度预算申请</w:t>
            </w:r>
            <w:r>
              <w:rPr>
                <w:rFonts w:ascii="宋体" w:cs="宋体"/>
                <w:b/>
                <w:sz w:val="24"/>
              </w:rPr>
              <w:br w:type="textWrapping"/>
            </w:r>
            <w:r>
              <w:rPr>
                <w:rFonts w:hint="eastAsia" w:ascii="宋体" w:hAnsi="宋体" w:cs="宋体"/>
                <w:b/>
                <w:sz w:val="24"/>
              </w:rPr>
              <w:t>（万元）</w:t>
            </w:r>
          </w:p>
        </w:tc>
        <w:tc>
          <w:tcPr>
            <w:tcW w:w="774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资金总额：</w:t>
            </w:r>
            <w:r>
              <w:rPr>
                <w:rFonts w:ascii="宋体" w:hAnsi="宋体" w:cs="宋体"/>
                <w:sz w:val="24"/>
                <w:szCs w:val="24"/>
              </w:rPr>
              <w:t xml:space="preserve">   161</w:t>
            </w:r>
            <w:r>
              <w:rPr>
                <w:rFonts w:hint="eastAsia" w:ascii="宋体" w:hAnsi="宋体" w:cs="宋体"/>
                <w:sz w:val="24"/>
                <w:szCs w:val="24"/>
              </w:rPr>
              <w:t>万元</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470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按收入性质分</w:t>
            </w:r>
          </w:p>
        </w:tc>
        <w:tc>
          <w:tcPr>
            <w:tcW w:w="304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按支出性质分</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470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其中：公共财政拨款：</w:t>
            </w:r>
            <w:r>
              <w:rPr>
                <w:rFonts w:ascii="宋体" w:hAnsi="宋体" w:cs="宋体"/>
                <w:sz w:val="24"/>
                <w:szCs w:val="24"/>
              </w:rPr>
              <w:t>161</w:t>
            </w:r>
            <w:r>
              <w:rPr>
                <w:rFonts w:hint="eastAsia" w:ascii="宋体" w:hAnsi="宋体" w:cs="宋体"/>
                <w:sz w:val="24"/>
                <w:szCs w:val="24"/>
              </w:rPr>
              <w:t>万元</w:t>
            </w:r>
          </w:p>
          <w:p>
            <w:pPr>
              <w:jc w:val="left"/>
              <w:rPr>
                <w:rFonts w:ascii="宋体" w:cs="宋体"/>
                <w:sz w:val="24"/>
                <w:szCs w:val="24"/>
              </w:rPr>
            </w:pPr>
          </w:p>
        </w:tc>
        <w:tc>
          <w:tcPr>
            <w:tcW w:w="304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其中：基本支出：</w:t>
            </w:r>
            <w:r>
              <w:rPr>
                <w:rFonts w:ascii="宋体" w:hAnsi="宋体" w:cs="宋体"/>
                <w:sz w:val="24"/>
                <w:szCs w:val="24"/>
              </w:rPr>
              <w:t>161</w:t>
            </w:r>
            <w:r>
              <w:rPr>
                <w:rFonts w:hint="eastAsia" w:ascii="宋体" w:hAnsi="宋体" w:cs="宋体"/>
                <w:sz w:val="24"/>
                <w:szCs w:val="24"/>
              </w:rPr>
              <w:t>万元</w:t>
            </w:r>
          </w:p>
          <w:p>
            <w:pPr>
              <w:jc w:val="left"/>
              <w:rPr>
                <w:rFonts w:ascii="宋体" w:cs="宋体"/>
                <w:sz w:val="24"/>
                <w:szCs w:val="24"/>
              </w:rPr>
            </w:pPr>
          </w:p>
          <w:p>
            <w:pPr>
              <w:jc w:val="left"/>
              <w:rPr>
                <w:rFonts w:ascii="宋体" w:cs="宋体"/>
                <w:sz w:val="24"/>
                <w:szCs w:val="24"/>
              </w:rPr>
            </w:pPr>
          </w:p>
          <w:p>
            <w:pPr>
              <w:ind w:firstLine="720"/>
              <w:jc w:val="left"/>
              <w:rPr>
                <w:rFonts w:ascii="宋体" w:cs="宋体"/>
                <w:sz w:val="24"/>
                <w:szCs w:val="24"/>
              </w:rPr>
            </w:pPr>
            <w:r>
              <w:rPr>
                <w:rFonts w:hint="eastAsia" w:ascii="宋体" w:hAnsi="宋体" w:cs="宋体"/>
                <w:sz w:val="24"/>
                <w:szCs w:val="24"/>
              </w:rPr>
              <w:t>项目支出：</w:t>
            </w:r>
            <w:r>
              <w:rPr>
                <w:rFonts w:ascii="宋体" w:hAnsi="宋体" w:cs="宋体"/>
                <w:sz w:val="24"/>
                <w:szCs w:val="24"/>
              </w:rPr>
              <w:t>0</w:t>
            </w:r>
            <w:r>
              <w:rPr>
                <w:rFonts w:hint="eastAsia" w:ascii="宋体" w:hAnsi="宋体" w:cs="宋体"/>
                <w:sz w:val="24"/>
                <w:szCs w:val="24"/>
              </w:rPr>
              <w:t>万元</w:t>
            </w:r>
          </w:p>
          <w:p>
            <w:pPr>
              <w:jc w:val="left"/>
              <w:rPr>
                <w:rFonts w:ascii="宋体" w:cs="宋体"/>
                <w:sz w:val="24"/>
                <w:szCs w:val="24"/>
              </w:rPr>
            </w:pPr>
          </w:p>
          <w:p>
            <w:pPr>
              <w:jc w:val="left"/>
              <w:rPr>
                <w:rFonts w:ascii="宋体" w:cs="宋体"/>
                <w:sz w:val="24"/>
                <w:szCs w:val="24"/>
              </w:rPr>
            </w:pPr>
            <w:r>
              <w:rPr>
                <w:rFonts w:ascii="宋体" w:hAnsi="宋体" w:cs="宋体"/>
                <w:sz w:val="24"/>
                <w:szCs w:val="24"/>
              </w:rPr>
              <w:t xml:space="preserve">      </w:t>
            </w:r>
          </w:p>
        </w:tc>
      </w:tr>
      <w:tr>
        <w:tblPrEx>
          <w:tblCellMar>
            <w:top w:w="0" w:type="dxa"/>
            <w:left w:w="10" w:type="dxa"/>
            <w:bottom w:w="0" w:type="dxa"/>
            <w:right w:w="10" w:type="dxa"/>
          </w:tblCellMar>
        </w:tblPrEx>
        <w:tc>
          <w:tcPr>
            <w:tcW w:w="7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部门职能职责概述</w:t>
            </w:r>
          </w:p>
        </w:tc>
        <w:tc>
          <w:tcPr>
            <w:tcW w:w="774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rPr>
                <w:rFonts w:ascii="宋体" w:cs="宋体"/>
                <w:sz w:val="24"/>
                <w:szCs w:val="24"/>
              </w:rPr>
            </w:pPr>
            <w:r>
              <w:rPr>
                <w:rFonts w:hint="eastAsia" w:ascii="宋体" w:hAnsi="宋体" w:cs="宋体"/>
                <w:sz w:val="24"/>
                <w:szCs w:val="24"/>
              </w:rPr>
              <w:t>为人民群众提供中西医医疗、预防、保健、计划生育、康复等医疗卫生服务。</w:t>
            </w:r>
          </w:p>
          <w:p>
            <w:pPr>
              <w:numPr>
                <w:ilvl w:val="0"/>
                <w:numId w:val="1"/>
              </w:numPr>
              <w:rPr>
                <w:rFonts w:ascii="宋体" w:cs="宋体"/>
                <w:sz w:val="24"/>
                <w:szCs w:val="24"/>
              </w:rPr>
            </w:pPr>
            <w:r>
              <w:rPr>
                <w:rFonts w:hint="eastAsia" w:ascii="宋体" w:hAnsi="宋体" w:cs="宋体"/>
                <w:sz w:val="24"/>
                <w:szCs w:val="24"/>
              </w:rPr>
              <w:t>贯彻落实医药卫生体制改革、中西医并重方针和国家中医药法律法规，执行中医药政策；拟定实施中医药、民族医药和中西医结合发展战略、规划；指导全县各医疗机构发展中医药和中西医结合业务建设。</w:t>
            </w:r>
          </w:p>
          <w:p>
            <w:pPr>
              <w:numPr>
                <w:ilvl w:val="0"/>
                <w:numId w:val="1"/>
              </w:numPr>
              <w:rPr>
                <w:rFonts w:ascii="宋体" w:cs="宋体"/>
                <w:sz w:val="24"/>
                <w:szCs w:val="24"/>
              </w:rPr>
            </w:pPr>
            <w:r>
              <w:rPr>
                <w:rFonts w:hint="eastAsia" w:ascii="宋体" w:hAnsi="宋体" w:cs="宋体"/>
                <w:sz w:val="24"/>
                <w:szCs w:val="24"/>
              </w:rPr>
              <w:t>确保全县人民中西医疗健康需求，建立与地方经济发展相适应的中西医结合医疗环境。加强中医医标准化管理</w:t>
            </w:r>
            <w:r>
              <w:rPr>
                <w:rFonts w:ascii="宋体" w:hAnsi="宋体" w:cs="宋体"/>
                <w:sz w:val="24"/>
                <w:szCs w:val="24"/>
              </w:rPr>
              <w:t xml:space="preserve"> </w:t>
            </w:r>
            <w:r>
              <w:rPr>
                <w:rFonts w:hint="eastAsia" w:ascii="宋体" w:hAnsi="宋体" w:cs="宋体"/>
                <w:sz w:val="24"/>
                <w:szCs w:val="24"/>
              </w:rPr>
              <w:t>。</w:t>
            </w:r>
          </w:p>
          <w:p>
            <w:pPr>
              <w:numPr>
                <w:ilvl w:val="0"/>
                <w:numId w:val="1"/>
              </w:numPr>
              <w:rPr>
                <w:rFonts w:ascii="宋体" w:cs="宋体"/>
                <w:sz w:val="24"/>
                <w:szCs w:val="24"/>
              </w:rPr>
            </w:pPr>
            <w:r>
              <w:rPr>
                <w:rFonts w:hint="eastAsia" w:ascii="宋体" w:hAnsi="宋体" w:cs="宋体"/>
                <w:sz w:val="24"/>
                <w:szCs w:val="24"/>
              </w:rPr>
              <w:t>贯彻落实国家基本药物制度和药品集中采购工作，执行医用耗材集中采购工作；负责医院内部的药品和医疗器械管理工作。</w:t>
            </w:r>
          </w:p>
          <w:p>
            <w:pPr>
              <w:numPr>
                <w:ilvl w:val="0"/>
                <w:numId w:val="1"/>
              </w:numPr>
              <w:rPr>
                <w:rFonts w:ascii="宋体" w:cs="宋体"/>
                <w:sz w:val="24"/>
                <w:szCs w:val="24"/>
              </w:rPr>
            </w:pPr>
            <w:r>
              <w:rPr>
                <w:rFonts w:hint="eastAsia" w:ascii="宋体" w:hAnsi="宋体" w:cs="宋体"/>
                <w:sz w:val="24"/>
                <w:szCs w:val="24"/>
              </w:rPr>
              <w:t>承担意外灾害事故、疫情等突发公共卫生事件的医疗急救及社区预防、保健和康复医疗服务工作，开展各种医疗保健卫生知识宣传普及。</w:t>
            </w:r>
          </w:p>
          <w:p>
            <w:pPr>
              <w:numPr>
                <w:ilvl w:val="0"/>
                <w:numId w:val="1"/>
              </w:numPr>
              <w:rPr>
                <w:rFonts w:ascii="宋体" w:cs="宋体"/>
                <w:sz w:val="24"/>
                <w:szCs w:val="24"/>
              </w:rPr>
            </w:pPr>
            <w:r>
              <w:rPr>
                <w:rFonts w:hint="eastAsia" w:ascii="宋体" w:hAnsi="宋体" w:cs="宋体"/>
                <w:sz w:val="24"/>
                <w:szCs w:val="24"/>
              </w:rPr>
              <w:t>充分发挥中医药在国家基本公共卫生服务中的优势和作用，负责全县基本公共卫生服务中医药健康管理项目的实施和日常管理。</w:t>
            </w:r>
          </w:p>
          <w:p>
            <w:pPr>
              <w:numPr>
                <w:ilvl w:val="0"/>
                <w:numId w:val="1"/>
              </w:numPr>
              <w:rPr>
                <w:rFonts w:ascii="宋体" w:cs="宋体"/>
                <w:sz w:val="24"/>
                <w:szCs w:val="24"/>
              </w:rPr>
            </w:pPr>
            <w:r>
              <w:rPr>
                <w:rFonts w:hint="eastAsia" w:ascii="宋体" w:hAnsi="宋体" w:cs="宋体"/>
                <w:sz w:val="24"/>
                <w:szCs w:val="24"/>
              </w:rPr>
              <w:t>组织实施中西医药科学研究，推进医学科技成果转化和推广应用；承担中医药人才培养，中医药继承医学教育工作。</w:t>
            </w:r>
          </w:p>
          <w:p>
            <w:pPr>
              <w:numPr>
                <w:ilvl w:val="0"/>
                <w:numId w:val="1"/>
              </w:numPr>
              <w:rPr>
                <w:rFonts w:ascii="宋体" w:cs="宋体"/>
                <w:sz w:val="24"/>
                <w:szCs w:val="24"/>
              </w:rPr>
            </w:pPr>
            <w:r>
              <w:rPr>
                <w:rFonts w:hint="eastAsia" w:ascii="宋体" w:hAnsi="宋体" w:cs="宋体"/>
                <w:sz w:val="24"/>
                <w:szCs w:val="24"/>
              </w:rPr>
              <w:t>做好城镇职工基本医疗保险、城镇居民基本医疗保险和新型农村合作医疗保险等定点医疗机构和各项工作。</w:t>
            </w:r>
          </w:p>
          <w:p>
            <w:pPr>
              <w:numPr>
                <w:ilvl w:val="0"/>
                <w:numId w:val="1"/>
              </w:numPr>
              <w:rPr>
                <w:rFonts w:ascii="宋体" w:cs="宋体"/>
                <w:sz w:val="24"/>
                <w:szCs w:val="24"/>
              </w:rPr>
            </w:pPr>
            <w:r>
              <w:rPr>
                <w:rFonts w:hint="eastAsia" w:ascii="宋体" w:hAnsi="宋体" w:cs="宋体"/>
                <w:sz w:val="24"/>
                <w:szCs w:val="24"/>
              </w:rPr>
              <w:t>参与卫生扶贫、重要会议与重大活动的医疗卫生保障工作。</w:t>
            </w:r>
          </w:p>
          <w:p>
            <w:pPr>
              <w:numPr>
                <w:ilvl w:val="0"/>
                <w:numId w:val="1"/>
              </w:numPr>
              <w:rPr>
                <w:rFonts w:ascii="宋体" w:cs="宋体"/>
                <w:sz w:val="24"/>
                <w:szCs w:val="24"/>
              </w:rPr>
            </w:pPr>
            <w:r>
              <w:rPr>
                <w:rFonts w:hint="eastAsia" w:ascii="宋体" w:hAnsi="宋体" w:cs="宋体"/>
                <w:sz w:val="24"/>
                <w:szCs w:val="24"/>
              </w:rPr>
              <w:t>承担</w:t>
            </w:r>
            <w:r>
              <w:rPr>
                <w:rFonts w:hint="eastAsia" w:ascii="宋体" w:hAnsi="宋体" w:cs="宋体"/>
                <w:sz w:val="24"/>
                <w:szCs w:val="24"/>
                <w:lang w:eastAsia="zh-CN"/>
              </w:rPr>
              <w:t>县委县政府</w:t>
            </w:r>
            <w:r>
              <w:rPr>
                <w:rFonts w:hint="eastAsia" w:ascii="宋体" w:hAnsi="宋体" w:cs="宋体"/>
                <w:sz w:val="24"/>
                <w:szCs w:val="24"/>
              </w:rPr>
              <w:t>及县卫健局交办的其他卫生工作。</w:t>
            </w:r>
          </w:p>
          <w:p>
            <w:pPr>
              <w:rPr>
                <w:rFonts w:ascii="宋体" w:cs="宋体"/>
                <w:sz w:val="24"/>
                <w:szCs w:val="24"/>
              </w:rPr>
            </w:pPr>
          </w:p>
        </w:tc>
      </w:tr>
      <w:tr>
        <w:tblPrEx>
          <w:tblCellMar>
            <w:top w:w="0" w:type="dxa"/>
            <w:left w:w="10" w:type="dxa"/>
            <w:bottom w:w="0" w:type="dxa"/>
            <w:right w:w="10" w:type="dxa"/>
          </w:tblCellMar>
        </w:tblPrEx>
        <w:tc>
          <w:tcPr>
            <w:tcW w:w="77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年度主要任务</w:t>
            </w:r>
          </w:p>
        </w:tc>
        <w:tc>
          <w:tcPr>
            <w:tcW w:w="1703"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任务名称</w:t>
            </w:r>
          </w:p>
        </w:tc>
        <w:tc>
          <w:tcPr>
            <w:tcW w:w="3006"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主要内容</w:t>
            </w:r>
          </w:p>
        </w:tc>
        <w:tc>
          <w:tcPr>
            <w:tcW w:w="304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预算金额（万元）</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703"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3006" w:type="dxa"/>
            <w:gridSpan w:val="3"/>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9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总额</w:t>
            </w:r>
          </w:p>
        </w:tc>
        <w:tc>
          <w:tcPr>
            <w:tcW w:w="10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财政拨款</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其他资金</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7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工资福利支出</w:t>
            </w:r>
          </w:p>
        </w:tc>
        <w:tc>
          <w:tcPr>
            <w:tcW w:w="3006"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为全县人民提供满意的医疗卫生服务</w:t>
            </w:r>
            <w:r>
              <w:rPr>
                <w:rFonts w:hint="eastAsia" w:ascii="宋体" w:hAnsi="宋体"/>
                <w:sz w:val="24"/>
                <w:shd w:val="clear" w:color="auto" w:fill="FFFFFF"/>
              </w:rPr>
              <w:t>基本工资、津贴补贴、社会保障费、住房公积金、独生子女奖励金、其他工资福利支出等</w:t>
            </w:r>
            <w:r>
              <w:rPr>
                <w:rFonts w:ascii="宋体" w:hAnsi="宋体"/>
                <w:sz w:val="24"/>
                <w:shd w:val="clear" w:color="auto" w:fill="FFFFFF"/>
              </w:rPr>
              <w:t>.</w:t>
            </w:r>
          </w:p>
        </w:tc>
        <w:tc>
          <w:tcPr>
            <w:tcW w:w="9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161</w:t>
            </w:r>
          </w:p>
        </w:tc>
        <w:tc>
          <w:tcPr>
            <w:tcW w:w="10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161</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4709"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金额合计</w:t>
            </w:r>
          </w:p>
        </w:tc>
        <w:tc>
          <w:tcPr>
            <w:tcW w:w="9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161</w:t>
            </w:r>
          </w:p>
        </w:tc>
        <w:tc>
          <w:tcPr>
            <w:tcW w:w="10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161</w:t>
            </w:r>
          </w:p>
        </w:tc>
        <w:tc>
          <w:tcPr>
            <w:tcW w:w="1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r>
      <w:tr>
        <w:tblPrEx>
          <w:tblCellMar>
            <w:top w:w="0" w:type="dxa"/>
            <w:left w:w="10" w:type="dxa"/>
            <w:bottom w:w="0" w:type="dxa"/>
            <w:right w:w="10" w:type="dxa"/>
          </w:tblCellMar>
        </w:tblPrEx>
        <w:tc>
          <w:tcPr>
            <w:tcW w:w="7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年度总体目标</w:t>
            </w:r>
          </w:p>
        </w:tc>
        <w:tc>
          <w:tcPr>
            <w:tcW w:w="774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r>
              <w:rPr>
                <w:rFonts w:hint="eastAsia" w:ascii="宋体" w:hAnsi="宋体" w:cs="宋体"/>
                <w:sz w:val="24"/>
                <w:szCs w:val="24"/>
              </w:rPr>
              <w:t>目标</w:t>
            </w:r>
            <w:r>
              <w:rPr>
                <w:rFonts w:ascii="宋体" w:hAnsi="宋体" w:cs="宋体"/>
                <w:sz w:val="24"/>
                <w:szCs w:val="24"/>
              </w:rPr>
              <w:t>1</w:t>
            </w:r>
            <w:r>
              <w:rPr>
                <w:rFonts w:hint="eastAsia" w:ascii="宋体" w:hAnsi="宋体" w:cs="宋体"/>
                <w:sz w:val="24"/>
                <w:szCs w:val="24"/>
              </w:rPr>
              <w:t>：通过预算执行，保证正常工作运转。</w:t>
            </w:r>
          </w:p>
          <w:p>
            <w:pPr>
              <w:jc w:val="left"/>
              <w:rPr>
                <w:rFonts w:ascii="宋体" w:cs="宋体"/>
                <w:sz w:val="24"/>
                <w:szCs w:val="24"/>
              </w:rPr>
            </w:pPr>
            <w:r>
              <w:rPr>
                <w:rFonts w:hint="eastAsia" w:ascii="宋体" w:hAnsi="宋体" w:cs="宋体"/>
                <w:sz w:val="24"/>
                <w:szCs w:val="24"/>
              </w:rPr>
              <w:t>目标</w:t>
            </w:r>
            <w:r>
              <w:rPr>
                <w:rFonts w:ascii="宋体" w:hAnsi="宋体" w:cs="宋体"/>
                <w:sz w:val="24"/>
                <w:szCs w:val="24"/>
              </w:rPr>
              <w:t>2</w:t>
            </w:r>
            <w:r>
              <w:rPr>
                <w:rFonts w:hint="eastAsia" w:ascii="宋体" w:hAnsi="宋体" w:cs="宋体"/>
                <w:sz w:val="24"/>
                <w:szCs w:val="24"/>
              </w:rPr>
              <w:t>：发挥中医诊疗特色，立足重点专科，持续提升核心竞争力，积极开展医联体建设，进一步提升服务质量，做好社区保康和康复任务。</w:t>
            </w:r>
          </w:p>
        </w:tc>
      </w:tr>
      <w:tr>
        <w:tblPrEx>
          <w:tblCellMar>
            <w:top w:w="0" w:type="dxa"/>
            <w:left w:w="10" w:type="dxa"/>
            <w:bottom w:w="0" w:type="dxa"/>
            <w:right w:w="10" w:type="dxa"/>
          </w:tblCellMar>
        </w:tblPrEx>
        <w:tc>
          <w:tcPr>
            <w:tcW w:w="77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b/>
                <w:sz w:val="24"/>
              </w:rPr>
            </w:pPr>
            <w:r>
              <w:rPr>
                <w:rFonts w:hint="eastAsia" w:ascii="宋体" w:hAnsi="宋体" w:cs="宋体"/>
                <w:b/>
                <w:sz w:val="24"/>
              </w:rPr>
              <w:t>部门整体支出</w:t>
            </w:r>
          </w:p>
          <w:p>
            <w:pPr>
              <w:jc w:val="center"/>
              <w:rPr>
                <w:rFonts w:ascii="宋体" w:cs="宋体"/>
              </w:rPr>
            </w:pPr>
            <w:r>
              <w:rPr>
                <w:rFonts w:hint="eastAsia" w:ascii="宋体" w:hAnsi="宋体" w:cs="宋体"/>
                <w:b/>
                <w:sz w:val="24"/>
              </w:rPr>
              <w:t>年度绩效指标</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一级指标</w:t>
            </w: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二级指标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三级指标</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指标值（包含数字及文字描述）</w:t>
            </w:r>
          </w:p>
        </w:tc>
      </w:tr>
      <w:tr>
        <w:tblPrEx>
          <w:tblCellMar>
            <w:top w:w="0" w:type="dxa"/>
            <w:left w:w="10" w:type="dxa"/>
            <w:bottom w:w="0" w:type="dxa"/>
            <w:right w:w="10" w:type="dxa"/>
          </w:tblCellMar>
        </w:tblPrEx>
        <w:trPr>
          <w:trHeight w:val="31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产出指标</w:t>
            </w:r>
          </w:p>
        </w:tc>
        <w:tc>
          <w:tcPr>
            <w:tcW w:w="1203" w:type="dxa"/>
            <w:gridSpan w:val="2"/>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仿宋" w:hAnsi="仿宋" w:eastAsia="仿宋" w:cs="仿宋"/>
                <w:sz w:val="24"/>
                <w:szCs w:val="24"/>
              </w:rPr>
              <w:t>财政供养人员</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269</w:t>
            </w:r>
            <w:r>
              <w:rPr>
                <w:rFonts w:hint="eastAsia" w:ascii="宋体" w:hAnsi="宋体" w:cs="宋体"/>
                <w:sz w:val="24"/>
                <w:szCs w:val="24"/>
              </w:rPr>
              <w:t>人</w:t>
            </w:r>
          </w:p>
        </w:tc>
      </w:tr>
      <w:tr>
        <w:tblPrEx>
          <w:tblCellMar>
            <w:top w:w="0" w:type="dxa"/>
            <w:left w:w="10" w:type="dxa"/>
            <w:bottom w:w="0" w:type="dxa"/>
            <w:right w:w="10" w:type="dxa"/>
          </w:tblCellMar>
        </w:tblPrEx>
        <w:trPr>
          <w:trHeight w:val="311"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p>
        </w:tc>
        <w:tc>
          <w:tcPr>
            <w:tcW w:w="1106" w:type="dxa"/>
            <w:vMerge w:val="continue"/>
            <w:tcBorders>
              <w:left w:val="single" w:color="000000" w:sz="4" w:space="0"/>
              <w:right w:val="single" w:color="000000" w:sz="4" w:space="0"/>
            </w:tcBorders>
            <w:shd w:val="clear" w:color="000000" w:fill="FFFFFF"/>
            <w:tcMar>
              <w:left w:w="108" w:type="dxa"/>
              <w:right w:w="108" w:type="dxa"/>
            </w:tcMar>
            <w:vAlign w:val="center"/>
          </w:tcPr>
          <w:p>
            <w:pPr>
              <w:jc w:val="center"/>
            </w:pPr>
          </w:p>
        </w:tc>
        <w:tc>
          <w:tcPr>
            <w:tcW w:w="1203" w:type="dxa"/>
            <w:gridSpan w:val="2"/>
            <w:vMerge w:val="continue"/>
            <w:tcBorders>
              <w:left w:val="single" w:color="000000" w:sz="4" w:space="0"/>
              <w:right w:val="single" w:color="000000" w:sz="4" w:space="0"/>
            </w:tcBorders>
            <w:shd w:val="clear" w:color="000000" w:fill="FFFFFF"/>
            <w:tcMar>
              <w:left w:w="108" w:type="dxa"/>
              <w:right w:w="108" w:type="dxa"/>
            </w:tcMar>
            <w:vAlign w:val="center"/>
          </w:tcPr>
          <w:p>
            <w:pPr>
              <w:jc w:val="cente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公用经费、基本支出控制率</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w:t>
            </w:r>
            <w:r>
              <w:rPr>
                <w:rFonts w:ascii="宋体" w:hAnsi="宋体" w:cs="宋体"/>
                <w:sz w:val="24"/>
                <w:szCs w:val="24"/>
              </w:rPr>
              <w:t>100%</w:t>
            </w:r>
          </w:p>
        </w:tc>
      </w:tr>
      <w:tr>
        <w:tblPrEx>
          <w:tblCellMar>
            <w:top w:w="0" w:type="dxa"/>
            <w:left w:w="10" w:type="dxa"/>
            <w:bottom w:w="0" w:type="dxa"/>
            <w:right w:w="10" w:type="dxa"/>
          </w:tblCellMar>
        </w:tblPrEx>
        <w:trPr>
          <w:trHeight w:val="466"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tc>
        <w:tc>
          <w:tcPr>
            <w:tcW w:w="1106" w:type="dxa"/>
            <w:vMerge w:val="continue"/>
            <w:tcBorders>
              <w:left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p>
        </w:tc>
        <w:tc>
          <w:tcPr>
            <w:tcW w:w="1203" w:type="dxa"/>
            <w:gridSpan w:val="2"/>
            <w:vMerge w:val="continue"/>
            <w:tcBorders>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诊疗服务人次</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目标计划完成诊疗人次</w:t>
            </w:r>
            <w:r>
              <w:rPr>
                <w:rFonts w:ascii="宋体" w:hAnsi="宋体" w:cs="宋体"/>
                <w:sz w:val="24"/>
                <w:szCs w:val="24"/>
              </w:rPr>
              <w:t>10</w:t>
            </w:r>
            <w:r>
              <w:rPr>
                <w:rFonts w:hint="eastAsia" w:ascii="宋体" w:hAnsi="宋体" w:cs="宋体"/>
                <w:sz w:val="24"/>
                <w:szCs w:val="24"/>
              </w:rPr>
              <w:t>万人次</w:t>
            </w:r>
          </w:p>
        </w:tc>
      </w:tr>
      <w:tr>
        <w:tblPrEx>
          <w:tblCellMar>
            <w:top w:w="0" w:type="dxa"/>
            <w:left w:w="10" w:type="dxa"/>
            <w:bottom w:w="0" w:type="dxa"/>
            <w:right w:w="10" w:type="dxa"/>
          </w:tblCellMar>
        </w:tblPrEx>
        <w:trPr>
          <w:trHeight w:val="230"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医疗服务收入（不含药品、耗材、检</w:t>
            </w:r>
            <w:r>
              <w:rPr>
                <w:rFonts w:ascii="宋体" w:hAnsi="宋体" w:cs="宋体"/>
                <w:sz w:val="24"/>
                <w:szCs w:val="24"/>
              </w:rPr>
              <w:t xml:space="preserve"> </w:t>
            </w:r>
            <w:r>
              <w:rPr>
                <w:rFonts w:hint="eastAsia" w:ascii="宋体" w:hAnsi="宋体" w:cs="宋体"/>
                <w:sz w:val="24"/>
                <w:szCs w:val="24"/>
              </w:rPr>
              <w:t>查、化验收入）占</w:t>
            </w:r>
            <w:r>
              <w:rPr>
                <w:rFonts w:ascii="宋体" w:hAnsi="宋体" w:cs="宋体"/>
                <w:sz w:val="24"/>
                <w:szCs w:val="24"/>
              </w:rPr>
              <w:t xml:space="preserve"> </w:t>
            </w:r>
            <w:r>
              <w:rPr>
                <w:rFonts w:hint="eastAsia" w:ascii="宋体" w:hAnsi="宋体" w:cs="宋体"/>
                <w:sz w:val="24"/>
                <w:szCs w:val="24"/>
              </w:rPr>
              <w:t>比情况</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30%</w:t>
            </w:r>
          </w:p>
        </w:tc>
      </w:tr>
      <w:tr>
        <w:tblPrEx>
          <w:tblCellMar>
            <w:top w:w="0" w:type="dxa"/>
            <w:left w:w="10" w:type="dxa"/>
            <w:bottom w:w="0" w:type="dxa"/>
            <w:right w:w="10" w:type="dxa"/>
          </w:tblCellMar>
        </w:tblPrEx>
        <w:trPr>
          <w:trHeight w:val="155"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药品收入占医疗收</w:t>
            </w:r>
            <w:r>
              <w:rPr>
                <w:rFonts w:ascii="宋体" w:hAnsi="宋体" w:cs="宋体"/>
                <w:sz w:val="24"/>
                <w:szCs w:val="24"/>
              </w:rPr>
              <w:t xml:space="preserve"> </w:t>
            </w:r>
            <w:r>
              <w:rPr>
                <w:rFonts w:hint="eastAsia" w:ascii="宋体" w:hAnsi="宋体" w:cs="宋体"/>
                <w:sz w:val="24"/>
                <w:szCs w:val="24"/>
              </w:rPr>
              <w:t>入（不含中药饮</w:t>
            </w:r>
            <w:r>
              <w:rPr>
                <w:rFonts w:ascii="宋体" w:hAnsi="宋体" w:cs="宋体"/>
                <w:sz w:val="24"/>
                <w:szCs w:val="24"/>
              </w:rPr>
              <w:t xml:space="preserve"> </w:t>
            </w:r>
            <w:r>
              <w:rPr>
                <w:rFonts w:hint="eastAsia" w:ascii="宋体" w:hAnsi="宋体" w:cs="宋体"/>
                <w:sz w:val="24"/>
                <w:szCs w:val="24"/>
              </w:rPr>
              <w:t>片）占</w:t>
            </w:r>
            <w:r>
              <w:rPr>
                <w:rFonts w:ascii="宋体" w:hAnsi="宋体" w:cs="宋体"/>
                <w:sz w:val="24"/>
                <w:szCs w:val="24"/>
              </w:rPr>
              <w:t xml:space="preserve"> </w:t>
            </w:r>
            <w:r>
              <w:rPr>
                <w:rFonts w:hint="eastAsia" w:ascii="宋体" w:hAnsi="宋体" w:cs="宋体"/>
                <w:sz w:val="24"/>
                <w:szCs w:val="24"/>
              </w:rPr>
              <w:t>比情况</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color w:val="000000"/>
                <w:sz w:val="24"/>
                <w:szCs w:val="24"/>
              </w:rPr>
              <w:t>40%</w:t>
            </w:r>
          </w:p>
        </w:tc>
      </w:tr>
      <w:tr>
        <w:tblPrEx>
          <w:tblCellMar>
            <w:top w:w="0" w:type="dxa"/>
            <w:left w:w="10" w:type="dxa"/>
            <w:bottom w:w="0" w:type="dxa"/>
            <w:right w:w="10" w:type="dxa"/>
          </w:tblCellMar>
        </w:tblPrEx>
        <w:trPr>
          <w:trHeight w:val="311"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出院患者手术占比</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15%</w:t>
            </w:r>
          </w:p>
        </w:tc>
      </w:tr>
      <w:tr>
        <w:tblPrEx>
          <w:tblCellMar>
            <w:top w:w="0" w:type="dxa"/>
            <w:left w:w="10" w:type="dxa"/>
            <w:bottom w:w="0" w:type="dxa"/>
            <w:right w:w="10" w:type="dxa"/>
          </w:tblCellMar>
        </w:tblPrEx>
        <w:trPr>
          <w:trHeight w:val="311"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大型医用设备检查阳性率</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&gt;85%</w:t>
            </w:r>
          </w:p>
        </w:tc>
      </w:tr>
      <w:tr>
        <w:tblPrEx>
          <w:tblCellMar>
            <w:top w:w="0" w:type="dxa"/>
            <w:left w:w="10" w:type="dxa"/>
            <w:bottom w:w="0" w:type="dxa"/>
            <w:right w:w="10" w:type="dxa"/>
          </w:tblCellMar>
        </w:tblPrEx>
        <w:trPr>
          <w:trHeight w:val="311"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抗菌药物使用强度（</w:t>
            </w:r>
            <w:r>
              <w:rPr>
                <w:rFonts w:ascii="宋体" w:hAnsi="宋体" w:cs="宋体"/>
                <w:sz w:val="24"/>
                <w:szCs w:val="24"/>
              </w:rPr>
              <w:t>DDDS</w:t>
            </w:r>
            <w:r>
              <w:rPr>
                <w:rFonts w:hint="eastAsia" w:ascii="宋体" w:hAnsi="宋体" w:cs="宋体"/>
                <w:sz w:val="24"/>
                <w:szCs w:val="24"/>
              </w:rPr>
              <w:t>）</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&lt;40%</w:t>
            </w:r>
          </w:p>
        </w:tc>
      </w:tr>
      <w:tr>
        <w:tblPrEx>
          <w:tblCellMar>
            <w:top w:w="0" w:type="dxa"/>
            <w:left w:w="10" w:type="dxa"/>
            <w:bottom w:w="0" w:type="dxa"/>
            <w:right w:w="10" w:type="dxa"/>
          </w:tblCellMar>
        </w:tblPrEx>
        <w:trPr>
          <w:trHeight w:val="532"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质量指标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仿宋" w:hAnsi="仿宋" w:eastAsia="仿宋" w:cs="仿宋"/>
                <w:sz w:val="24"/>
                <w:szCs w:val="24"/>
              </w:rPr>
              <w:t>在职人员控制率</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100%</w:t>
            </w:r>
          </w:p>
        </w:tc>
      </w:tr>
      <w:tr>
        <w:tblPrEx>
          <w:tblCellMar>
            <w:top w:w="0" w:type="dxa"/>
            <w:left w:w="10" w:type="dxa"/>
            <w:bottom w:w="0" w:type="dxa"/>
            <w:right w:w="10" w:type="dxa"/>
          </w:tblCellMar>
        </w:tblPrEx>
        <w:trPr>
          <w:trHeight w:val="532"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p>
        </w:tc>
        <w:tc>
          <w:tcPr>
            <w:tcW w:w="1203" w:type="dxa"/>
            <w:gridSpan w:val="2"/>
            <w:vMerge w:val="continue"/>
            <w:tcBorders>
              <w:left w:val="single" w:color="000000" w:sz="4" w:space="0"/>
              <w:right w:val="single" w:color="000000" w:sz="4" w:space="0"/>
            </w:tcBorders>
            <w:shd w:val="clear" w:color="000000" w:fill="FFFFFF"/>
            <w:tcMar>
              <w:left w:w="108" w:type="dxa"/>
              <w:right w:w="108" w:type="dxa"/>
            </w:tcMar>
            <w:vAlign w:val="center"/>
          </w:tcPr>
          <w:p>
            <w:pPr>
              <w:jc w:val="cente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单位运转、人员经费</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予以保障</w:t>
            </w:r>
          </w:p>
        </w:tc>
      </w:tr>
      <w:tr>
        <w:tblPrEx>
          <w:tblCellMar>
            <w:top w:w="0" w:type="dxa"/>
            <w:left w:w="10" w:type="dxa"/>
            <w:bottom w:w="0" w:type="dxa"/>
            <w:right w:w="10" w:type="dxa"/>
          </w:tblCellMar>
        </w:tblPrEx>
        <w:trPr>
          <w:trHeight w:val="532"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诊疗人员治愈率</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90%</w:t>
            </w:r>
            <w:r>
              <w:rPr>
                <w:rFonts w:hint="eastAsia" w:ascii="宋体" w:hAnsi="宋体" w:cs="宋体"/>
                <w:sz w:val="24"/>
                <w:szCs w:val="24"/>
              </w:rPr>
              <w:t>以上</w:t>
            </w:r>
          </w:p>
        </w:tc>
      </w:tr>
      <w:tr>
        <w:tblPrEx>
          <w:tblCellMar>
            <w:top w:w="0" w:type="dxa"/>
            <w:left w:w="10" w:type="dxa"/>
            <w:bottom w:w="0" w:type="dxa"/>
            <w:right w:w="10" w:type="dxa"/>
          </w:tblCellMar>
        </w:tblPrEx>
        <w:trPr>
          <w:trHeight w:val="266"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医疗服务收入（不</w:t>
            </w:r>
            <w:r>
              <w:rPr>
                <w:rFonts w:ascii="宋体" w:hAnsi="宋体" w:cs="宋体"/>
                <w:sz w:val="24"/>
                <w:szCs w:val="24"/>
              </w:rPr>
              <w:t xml:space="preserve"> </w:t>
            </w:r>
            <w:r>
              <w:rPr>
                <w:rFonts w:hint="eastAsia" w:ascii="宋体" w:hAnsi="宋体" w:cs="宋体"/>
                <w:sz w:val="24"/>
                <w:szCs w:val="24"/>
              </w:rPr>
              <w:t>含药品、耗材、检</w:t>
            </w:r>
            <w:r>
              <w:rPr>
                <w:rFonts w:ascii="宋体" w:hAnsi="宋体" w:cs="宋体"/>
                <w:sz w:val="24"/>
                <w:szCs w:val="24"/>
              </w:rPr>
              <w:t xml:space="preserve"> </w:t>
            </w:r>
            <w:r>
              <w:rPr>
                <w:rFonts w:hint="eastAsia" w:ascii="宋体" w:hAnsi="宋体" w:cs="宋体"/>
                <w:sz w:val="24"/>
                <w:szCs w:val="24"/>
              </w:rPr>
              <w:t>查、化验收入）占医疗收入比例</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w:t>
            </w:r>
            <w:r>
              <w:rPr>
                <w:rFonts w:ascii="宋体" w:hAnsi="宋体" w:cs="宋体"/>
                <w:sz w:val="24"/>
                <w:szCs w:val="24"/>
              </w:rPr>
              <w:t>30%</w:t>
            </w:r>
          </w:p>
        </w:tc>
      </w:tr>
      <w:tr>
        <w:tblPrEx>
          <w:tblCellMar>
            <w:top w:w="0" w:type="dxa"/>
            <w:left w:w="10" w:type="dxa"/>
            <w:bottom w:w="0" w:type="dxa"/>
            <w:right w:w="10" w:type="dxa"/>
          </w:tblCellMar>
        </w:tblPrEx>
        <w:trPr>
          <w:trHeight w:val="136"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药品收入占医疗收</w:t>
            </w:r>
            <w:r>
              <w:rPr>
                <w:rFonts w:ascii="宋体" w:hAnsi="宋体" w:cs="宋体"/>
                <w:sz w:val="24"/>
                <w:szCs w:val="24"/>
              </w:rPr>
              <w:t xml:space="preserve"> </w:t>
            </w:r>
            <w:r>
              <w:rPr>
                <w:rFonts w:hint="eastAsia" w:ascii="宋体" w:hAnsi="宋体" w:cs="宋体"/>
                <w:sz w:val="24"/>
                <w:szCs w:val="24"/>
              </w:rPr>
              <w:t>入（不含中药饮</w:t>
            </w:r>
            <w:r>
              <w:rPr>
                <w:rFonts w:ascii="宋体" w:hAnsi="宋体" w:cs="宋体"/>
                <w:sz w:val="24"/>
                <w:szCs w:val="24"/>
              </w:rPr>
              <w:t xml:space="preserve"> </w:t>
            </w:r>
            <w:r>
              <w:rPr>
                <w:rFonts w:hint="eastAsia" w:ascii="宋体" w:hAnsi="宋体" w:cs="宋体"/>
                <w:sz w:val="24"/>
                <w:szCs w:val="24"/>
              </w:rPr>
              <w:t>片）的比重</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w:t>
            </w:r>
            <w:r>
              <w:rPr>
                <w:rFonts w:ascii="宋体" w:hAnsi="宋体" w:cs="宋体"/>
                <w:sz w:val="24"/>
                <w:szCs w:val="24"/>
              </w:rPr>
              <w:t>40%</w:t>
            </w:r>
          </w:p>
        </w:tc>
      </w:tr>
      <w:tr>
        <w:tblPrEx>
          <w:tblCellMar>
            <w:top w:w="0" w:type="dxa"/>
            <w:left w:w="10" w:type="dxa"/>
            <w:bottom w:w="0" w:type="dxa"/>
            <w:right w:w="10" w:type="dxa"/>
          </w:tblCellMar>
        </w:tblPrEx>
        <w:trPr>
          <w:trHeight w:val="155"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实院出院患者手术占比数应为上年度完成值</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宋体" w:hAnsi="宋体" w:cs="宋体"/>
                <w:sz w:val="24"/>
                <w:szCs w:val="24"/>
              </w:rPr>
              <w:t>100%</w:t>
            </w:r>
          </w:p>
        </w:tc>
      </w:tr>
      <w:tr>
        <w:tblPrEx>
          <w:tblCellMar>
            <w:top w:w="0" w:type="dxa"/>
            <w:left w:w="10" w:type="dxa"/>
            <w:bottom w:w="0" w:type="dxa"/>
            <w:right w:w="10" w:type="dxa"/>
          </w:tblCellMar>
        </w:tblPrEx>
        <w:trPr>
          <w:trHeight w:val="155"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大型医用设备检查病人阳性率应大于规定目标值</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Arial" w:hAnsi="Arial" w:cs="Arial"/>
                <w:sz w:val="24"/>
                <w:szCs w:val="24"/>
              </w:rPr>
              <w:t>≥</w:t>
            </w:r>
            <w:r>
              <w:rPr>
                <w:rFonts w:ascii="宋体" w:hAnsi="宋体" w:cs="宋体"/>
                <w:sz w:val="24"/>
                <w:szCs w:val="24"/>
              </w:rPr>
              <w:t>95%</w:t>
            </w:r>
          </w:p>
        </w:tc>
      </w:tr>
      <w:tr>
        <w:tblPrEx>
          <w:tblCellMar>
            <w:top w:w="0" w:type="dxa"/>
            <w:left w:w="10" w:type="dxa"/>
            <w:bottom w:w="0" w:type="dxa"/>
            <w:right w:w="10" w:type="dxa"/>
          </w:tblCellMar>
        </w:tblPrEx>
        <w:trPr>
          <w:trHeight w:val="155"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p>
        </w:tc>
        <w:tc>
          <w:tcPr>
            <w:tcW w:w="1106"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抗菌药物使用强度（</w:t>
            </w:r>
            <w:r>
              <w:rPr>
                <w:rFonts w:ascii="宋体" w:hAnsi="宋体" w:cs="宋体"/>
                <w:sz w:val="24"/>
                <w:szCs w:val="24"/>
              </w:rPr>
              <w:t>DDDS</w:t>
            </w:r>
            <w:r>
              <w:rPr>
                <w:rFonts w:hint="eastAsia" w:ascii="宋体" w:hAnsi="宋体" w:cs="宋体"/>
                <w:sz w:val="24"/>
                <w:szCs w:val="24"/>
              </w:rPr>
              <w:t>）应小于目标值</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Arial" w:hAnsi="Arial" w:cs="Arial"/>
                <w:sz w:val="24"/>
                <w:szCs w:val="24"/>
              </w:rPr>
              <w:t>≤</w:t>
            </w:r>
            <w:r>
              <w:rPr>
                <w:rFonts w:ascii="宋体" w:hAnsi="宋体" w:cs="宋体"/>
                <w:sz w:val="24"/>
                <w:szCs w:val="24"/>
              </w:rPr>
              <w:t>35%</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时效指标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计划完成时间</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ascii="宋体" w:hAnsi="宋体" w:cs="宋体"/>
                <w:sz w:val="24"/>
                <w:szCs w:val="24"/>
              </w:rPr>
              <w:t>2020.1-12</w:t>
            </w:r>
            <w:r>
              <w:rPr>
                <w:rFonts w:hint="eastAsia" w:ascii="宋体" w:hAnsi="宋体" w:cs="宋体"/>
                <w:sz w:val="24"/>
                <w:szCs w:val="24"/>
              </w:rPr>
              <w:t>月完成任务。</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sz w:val="24"/>
              </w:rPr>
            </w:pPr>
            <w:r>
              <w:rPr>
                <w:rFonts w:hint="eastAsia" w:ascii="宋体" w:hAnsi="宋体"/>
                <w:sz w:val="24"/>
              </w:rPr>
              <w:t>严格按预算执行</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color w:val="000000"/>
                <w:sz w:val="24"/>
              </w:rPr>
              <w:t>医院实行成本核算，降低运行成本，实行科室成本核算。</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效益指标</w:t>
            </w: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经济效益指标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医疗收入</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稳步增长</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社会效益指标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提供满意的医疗卫生服务</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cs="宋体"/>
                <w:sz w:val="24"/>
                <w:szCs w:val="24"/>
              </w:rPr>
            </w:pPr>
            <w:r>
              <w:rPr>
                <w:rFonts w:hint="eastAsia" w:ascii="宋体" w:hAnsi="宋体" w:cs="宋体"/>
                <w:sz w:val="24"/>
                <w:szCs w:val="24"/>
              </w:rPr>
              <w:t>创建和谐科室、创建和谐的医患关系的理念贯彻到每位职工的服务意识中</w:t>
            </w:r>
          </w:p>
        </w:tc>
      </w:tr>
      <w:tr>
        <w:tblPrEx>
          <w:tblCellMar>
            <w:top w:w="0" w:type="dxa"/>
            <w:left w:w="10" w:type="dxa"/>
            <w:bottom w:w="0" w:type="dxa"/>
            <w:right w:w="10" w:type="dxa"/>
          </w:tblCellMar>
        </w:tblPrEx>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生态效益指标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医疗废弃物专业公司集中处理，保护生态环境。</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医疗废物由衡兴公司统一拖运集中烧毁处理，以保障医疗废物对环境无污染。</w:t>
            </w:r>
          </w:p>
        </w:tc>
      </w:tr>
      <w:tr>
        <w:tblPrEx>
          <w:tblCellMar>
            <w:top w:w="0" w:type="dxa"/>
            <w:left w:w="10" w:type="dxa"/>
            <w:bottom w:w="0" w:type="dxa"/>
            <w:right w:w="10" w:type="dxa"/>
          </w:tblCellMar>
        </w:tblPrEx>
        <w:trPr>
          <w:trHeight w:val="461" w:hRule="atLeast"/>
        </w:trPr>
        <w:tc>
          <w:tcPr>
            <w:tcW w:w="77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cs="宋体"/>
                <w:sz w:val="24"/>
                <w:szCs w:val="24"/>
              </w:rPr>
            </w:pPr>
          </w:p>
        </w:tc>
        <w:tc>
          <w:tcPr>
            <w:tcW w:w="1203" w:type="dxa"/>
            <w:gridSpan w:val="2"/>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可持续影响指标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医疗质量安全</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逐步提升</w:t>
            </w:r>
          </w:p>
        </w:tc>
      </w:tr>
      <w:tr>
        <w:tblPrEx>
          <w:tblCellMar>
            <w:top w:w="0" w:type="dxa"/>
            <w:left w:w="10" w:type="dxa"/>
            <w:bottom w:w="0" w:type="dxa"/>
            <w:right w:w="10" w:type="dxa"/>
          </w:tblCellMar>
        </w:tblPrEx>
        <w:trPr>
          <w:trHeight w:val="461" w:hRule="atLeast"/>
        </w:trPr>
        <w:tc>
          <w:tcPr>
            <w:tcW w:w="773"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tc>
        <w:tc>
          <w:tcPr>
            <w:tcW w:w="1106" w:type="dxa"/>
            <w:vMerge w:val="continue"/>
            <w:tcBorders>
              <w:left w:val="single" w:color="000000" w:sz="4" w:space="0"/>
              <w:bottom w:val="single" w:color="auto" w:sz="4" w:space="0"/>
              <w:right w:val="single" w:color="000000" w:sz="4" w:space="0"/>
            </w:tcBorders>
            <w:shd w:val="clear" w:color="000000" w:fill="FFFFFF"/>
            <w:tcMar>
              <w:left w:w="108" w:type="dxa"/>
              <w:right w:w="108" w:type="dxa"/>
            </w:tcMar>
            <w:vAlign w:val="center"/>
          </w:tcPr>
          <w:p>
            <w:pPr>
              <w:rPr>
                <w:rFonts w:ascii="宋体" w:cs="宋体"/>
                <w:sz w:val="24"/>
                <w:szCs w:val="24"/>
              </w:rPr>
            </w:pPr>
          </w:p>
        </w:tc>
        <w:tc>
          <w:tcPr>
            <w:tcW w:w="1203" w:type="dxa"/>
            <w:gridSpan w:val="2"/>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医疗服务保障能力</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lang w:val="zh-CN"/>
              </w:rPr>
              <w:t>逐步提升</w:t>
            </w:r>
          </w:p>
        </w:tc>
      </w:tr>
      <w:tr>
        <w:tblPrEx>
          <w:tblCellMar>
            <w:top w:w="0" w:type="dxa"/>
            <w:left w:w="10" w:type="dxa"/>
            <w:bottom w:w="0" w:type="dxa"/>
            <w:right w:w="10" w:type="dxa"/>
          </w:tblCellMar>
        </w:tblPrEx>
        <w:trPr>
          <w:trHeight w:val="663" w:hRule="atLeast"/>
        </w:trPr>
        <w:tc>
          <w:tcPr>
            <w:tcW w:w="773" w:type="dxa"/>
            <w:vMerge w:val="continue"/>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after="200" w:line="276" w:lineRule="auto"/>
              <w:jc w:val="left"/>
              <w:rPr>
                <w:rFonts w:ascii="宋体" w:cs="宋体"/>
                <w:sz w:val="22"/>
              </w:rPr>
            </w:pPr>
          </w:p>
        </w:tc>
        <w:tc>
          <w:tcPr>
            <w:tcW w:w="1106" w:type="dxa"/>
            <w:vMerge w:val="restart"/>
            <w:tcBorders>
              <w:top w:val="single" w:color="auto" w:sz="4" w:space="0"/>
              <w:left w:val="single" w:color="auto" w:sz="4" w:space="0"/>
              <w:right w:val="single" w:color="auto"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hAnsi="宋体" w:cs="宋体"/>
                <w:sz w:val="24"/>
                <w:szCs w:val="24"/>
              </w:rPr>
              <w:t>满意度指标</w:t>
            </w:r>
          </w:p>
        </w:tc>
        <w:tc>
          <w:tcPr>
            <w:tcW w:w="1203" w:type="dxa"/>
            <w:gridSpan w:val="2"/>
            <w:vMerge w:val="restart"/>
            <w:tcBorders>
              <w:top w:val="single" w:color="000000" w:sz="4" w:space="0"/>
              <w:left w:val="single" w:color="auto" w:sz="4" w:space="0"/>
              <w:right w:val="single" w:color="000000" w:sz="4" w:space="0"/>
            </w:tcBorders>
            <w:shd w:val="clear" w:color="000000" w:fill="FFFFFF"/>
            <w:tcMar>
              <w:left w:w="108" w:type="dxa"/>
              <w:right w:w="108" w:type="dxa"/>
            </w:tcMar>
            <w:vAlign w:val="center"/>
          </w:tcPr>
          <w:p>
            <w:pPr>
              <w:ind w:right="120"/>
              <w:jc w:val="center"/>
              <w:rPr>
                <w:rFonts w:ascii="宋体" w:cs="宋体"/>
                <w:sz w:val="24"/>
                <w:szCs w:val="24"/>
              </w:rPr>
            </w:pPr>
            <w:r>
              <w:rPr>
                <w:rFonts w:hint="eastAsia" w:ascii="宋体" w:hAnsi="宋体" w:cs="宋体"/>
                <w:sz w:val="24"/>
                <w:szCs w:val="24"/>
              </w:rPr>
              <w:t>服务对象满意度指标</w:t>
            </w: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cs="宋体"/>
                <w:sz w:val="24"/>
                <w:szCs w:val="24"/>
                <w:lang w:val="zh-CN"/>
              </w:rPr>
              <w:t>医务人员满意度</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Arial" w:hAnsi="Arial" w:cs="Arial"/>
                <w:sz w:val="24"/>
                <w:szCs w:val="24"/>
              </w:rPr>
              <w:t>≥</w:t>
            </w:r>
            <w:r>
              <w:rPr>
                <w:rFonts w:ascii="宋体" w:hAnsi="宋体" w:cs="宋体"/>
                <w:sz w:val="24"/>
                <w:szCs w:val="24"/>
              </w:rPr>
              <w:t>90%</w:t>
            </w:r>
          </w:p>
        </w:tc>
      </w:tr>
      <w:tr>
        <w:tblPrEx>
          <w:tblCellMar>
            <w:top w:w="0" w:type="dxa"/>
            <w:left w:w="10" w:type="dxa"/>
            <w:bottom w:w="0" w:type="dxa"/>
            <w:right w:w="10" w:type="dxa"/>
          </w:tblCellMar>
        </w:tblPrEx>
        <w:trPr>
          <w:trHeight w:val="306" w:hRule="atLeast"/>
        </w:trPr>
        <w:tc>
          <w:tcPr>
            <w:tcW w:w="773" w:type="dxa"/>
            <w:vMerge w:val="continue"/>
            <w:tcBorders>
              <w:left w:val="single" w:color="000000" w:sz="4" w:space="0"/>
              <w:bottom w:val="single" w:color="000000" w:sz="4" w:space="0"/>
              <w:right w:val="single" w:color="auto" w:sz="4" w:space="0"/>
            </w:tcBorders>
            <w:shd w:val="clear" w:color="000000" w:fill="FFFFFF"/>
            <w:tcMar>
              <w:left w:w="108" w:type="dxa"/>
              <w:right w:w="108" w:type="dxa"/>
            </w:tcMar>
            <w:vAlign w:val="center"/>
          </w:tcPr>
          <w:p>
            <w:pPr>
              <w:jc w:val="center"/>
            </w:pPr>
          </w:p>
        </w:tc>
        <w:tc>
          <w:tcPr>
            <w:tcW w:w="1106" w:type="dxa"/>
            <w:vMerge w:val="continue"/>
            <w:tcBorders>
              <w:left w:val="single" w:color="auto" w:sz="4" w:space="0"/>
              <w:bottom w:val="single" w:color="auto" w:sz="4" w:space="0"/>
              <w:right w:val="single" w:color="auto" w:sz="4" w:space="0"/>
            </w:tcBorders>
            <w:shd w:val="clear" w:color="000000" w:fill="FFFFFF"/>
            <w:tcMar>
              <w:left w:w="108" w:type="dxa"/>
              <w:right w:w="108" w:type="dxa"/>
            </w:tcMar>
            <w:vAlign w:val="center"/>
          </w:tcPr>
          <w:p>
            <w:pPr>
              <w:jc w:val="center"/>
              <w:rPr>
                <w:rFonts w:ascii="宋体" w:cs="宋体"/>
                <w:sz w:val="24"/>
                <w:szCs w:val="24"/>
              </w:rPr>
            </w:pPr>
          </w:p>
        </w:tc>
        <w:tc>
          <w:tcPr>
            <w:tcW w:w="1203" w:type="dxa"/>
            <w:gridSpan w:val="2"/>
            <w:vMerge w:val="continue"/>
            <w:tcBorders>
              <w:left w:val="single" w:color="auto"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p>
        </w:tc>
        <w:tc>
          <w:tcPr>
            <w:tcW w:w="16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hint="eastAsia" w:ascii="宋体" w:cs="宋体"/>
                <w:sz w:val="24"/>
                <w:szCs w:val="24"/>
                <w:lang w:val="zh-CN"/>
              </w:rPr>
              <w:t>门诊和住院患者满意度</w:t>
            </w:r>
          </w:p>
        </w:tc>
        <w:tc>
          <w:tcPr>
            <w:tcW w:w="3763"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sz w:val="24"/>
                <w:szCs w:val="24"/>
              </w:rPr>
            </w:pPr>
            <w:r>
              <w:rPr>
                <w:rFonts w:ascii="Arial" w:hAnsi="Arial" w:cs="Arial"/>
                <w:sz w:val="24"/>
                <w:szCs w:val="24"/>
              </w:rPr>
              <w:t>≥</w:t>
            </w:r>
            <w:r>
              <w:rPr>
                <w:rFonts w:ascii="宋体" w:hAnsi="宋体" w:cs="宋体"/>
                <w:sz w:val="24"/>
                <w:szCs w:val="24"/>
              </w:rPr>
              <w:t>90%</w:t>
            </w:r>
          </w:p>
        </w:tc>
      </w:tr>
      <w:tr>
        <w:tblPrEx>
          <w:tblCellMar>
            <w:top w:w="0" w:type="dxa"/>
            <w:left w:w="10" w:type="dxa"/>
            <w:bottom w:w="0" w:type="dxa"/>
            <w:right w:w="10" w:type="dxa"/>
          </w:tblCellMar>
        </w:tblPrEx>
        <w:tc>
          <w:tcPr>
            <w:tcW w:w="7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cs="宋体"/>
              </w:rPr>
            </w:pPr>
            <w:r>
              <w:rPr>
                <w:rFonts w:hint="eastAsia" w:ascii="宋体" w:hAnsi="宋体" w:cs="宋体"/>
                <w:b/>
                <w:sz w:val="24"/>
              </w:rPr>
              <w:t>财政部门</w:t>
            </w:r>
            <w:r>
              <w:rPr>
                <w:rFonts w:ascii="宋体" w:hAnsi="宋体" w:cs="宋体"/>
                <w:b/>
                <w:sz w:val="24"/>
              </w:rPr>
              <w:t xml:space="preserve"> </w:t>
            </w:r>
            <w:r>
              <w:rPr>
                <w:rFonts w:hint="eastAsia" w:ascii="宋体" w:hAnsi="宋体" w:cs="宋体"/>
                <w:b/>
                <w:sz w:val="24"/>
              </w:rPr>
              <w:t>审核意见</w:t>
            </w:r>
          </w:p>
        </w:tc>
        <w:tc>
          <w:tcPr>
            <w:tcW w:w="7749" w:type="dxa"/>
            <w:gridSpan w:val="8"/>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宋体" w:cs="宋体"/>
                <w:sz w:val="24"/>
                <w:szCs w:val="24"/>
              </w:rPr>
            </w:pPr>
          </w:p>
          <w:p>
            <w:pPr>
              <w:jc w:val="right"/>
              <w:rPr>
                <w:rFonts w:ascii="宋体" w:cs="宋体"/>
                <w:sz w:val="24"/>
                <w:szCs w:val="24"/>
              </w:rPr>
            </w:pPr>
          </w:p>
          <w:p>
            <w:pPr>
              <w:jc w:val="right"/>
              <w:rPr>
                <w:rFonts w:ascii="宋体" w:cs="宋体"/>
                <w:sz w:val="24"/>
                <w:szCs w:val="24"/>
              </w:rPr>
            </w:pPr>
            <w:r>
              <w:rPr>
                <w:rFonts w:hint="eastAsia" w:ascii="宋体" w:hAnsi="宋体" w:cs="宋体"/>
                <w:sz w:val="24"/>
                <w:szCs w:val="24"/>
              </w:rPr>
              <w:t>审核部门（签章）</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tabs>
          <w:tab w:val="left" w:pos="1875"/>
        </w:tabs>
        <w:spacing w:line="600" w:lineRule="auto"/>
        <w:rPr>
          <w:rFonts w:ascii="仿宋_GB2312" w:hAnsi="仿宋_GB2312" w:eastAsia="仿宋_GB2312" w:cs="仿宋_GB2312"/>
          <w:sz w:val="32"/>
        </w:rPr>
      </w:pPr>
      <w:r>
        <w:rPr>
          <w:rFonts w:hint="eastAsia" w:ascii="宋体" w:hAnsi="宋体" w:cs="宋体"/>
          <w:sz w:val="24"/>
        </w:rPr>
        <w:t>填表人（签名）：赵梅</w:t>
      </w:r>
      <w:r>
        <w:rPr>
          <w:rFonts w:ascii="Times New Roman" w:hAnsi="Times New Roman"/>
          <w:sz w:val="24"/>
        </w:rPr>
        <w:t xml:space="preserve"> </w:t>
      </w:r>
      <w:r>
        <w:rPr>
          <w:rFonts w:hint="eastAsia" w:ascii="宋体" w:hAnsi="宋体" w:cs="宋体"/>
          <w:sz w:val="24"/>
        </w:rPr>
        <w:t>联系电话</w:t>
      </w:r>
      <w:r>
        <w:rPr>
          <w:rFonts w:ascii="Times New Roman" w:hAnsi="Times New Roman"/>
          <w:sz w:val="24"/>
        </w:rPr>
        <w:t xml:space="preserve">0734-5231330 </w:t>
      </w:r>
      <w:r>
        <w:rPr>
          <w:rFonts w:hint="eastAsia" w:ascii="宋体" w:hAnsi="宋体" w:cs="宋体"/>
          <w:sz w:val="24"/>
        </w:rPr>
        <w:t>填表日期：</w:t>
      </w:r>
      <w:r>
        <w:rPr>
          <w:rFonts w:ascii="Times New Roman" w:hAnsi="Times New Roman"/>
          <w:sz w:val="24"/>
        </w:rPr>
        <w:t xml:space="preserve">2020 </w:t>
      </w:r>
      <w:r>
        <w:rPr>
          <w:rFonts w:hint="eastAsia" w:ascii="宋体" w:hAnsi="宋体" w:cs="宋体"/>
          <w:sz w:val="24"/>
        </w:rPr>
        <w:t>年</w:t>
      </w:r>
      <w:r>
        <w:rPr>
          <w:rFonts w:ascii="Times New Roman" w:hAnsi="Times New Roman"/>
          <w:sz w:val="24"/>
        </w:rPr>
        <w:t>6</w:t>
      </w:r>
      <w:r>
        <w:rPr>
          <w:rFonts w:hint="eastAsia" w:ascii="宋体" w:hAnsi="宋体" w:cs="宋体"/>
          <w:sz w:val="24"/>
        </w:rPr>
        <w:t>月</w:t>
      </w:r>
      <w:r>
        <w:rPr>
          <w:rFonts w:ascii="Times New Roman" w:hAnsi="Times New Roman"/>
          <w:sz w:val="24"/>
        </w:rPr>
        <w:t xml:space="preserve">12 </w:t>
      </w:r>
      <w:r>
        <w:rPr>
          <w:rFonts w:hint="eastAsia" w:ascii="宋体" w:hAnsi="宋体" w:cs="宋体"/>
          <w:sz w:val="24"/>
        </w:rPr>
        <w:t>日</w:t>
      </w:r>
      <w:r>
        <w:rPr>
          <w:rFonts w:ascii="Times New Roman" w:hAnsi="Times New Roman"/>
          <w:sz w:val="24"/>
        </w:rPr>
        <w:t xml:space="preserve"> </w:t>
      </w: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tabs>
          <w:tab w:val="left" w:pos="2203"/>
          <w:tab w:val="left" w:pos="4145"/>
          <w:tab w:val="left" w:pos="5718"/>
          <w:tab w:val="left" w:pos="6938"/>
          <w:tab w:val="left" w:pos="8139"/>
        </w:tabs>
        <w:spacing w:line="540" w:lineRule="auto"/>
        <w:ind w:left="93"/>
        <w:jc w:val="left"/>
        <w:rPr>
          <w:rFonts w:ascii="Times New Roman" w:hAnsi="Times New Roman"/>
          <w:sz w:val="32"/>
        </w:rPr>
      </w:pPr>
    </w:p>
    <w:p>
      <w:pPr>
        <w:rPr>
          <w:rFonts w:ascii="Times New Roman" w:hAnsi="Times New Roman"/>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characterSpacingControl w:val="doNotCompress"/>
  <w:noLineBreaksAfter w:lang="zh-CN" w:val="$([{£¥·‘“〈《「『【〔〖〝﹙﹛﹝＄（．［｛￡￥"/>
  <w:noLineBreaksBefore w:lang="zh-CN" w:val="!%),.:;&gt;?]}¢¨°·ˇˉ―‖’”…‰′″›℃∶、。〃〉》」』】〕〗〞︶︺︾﹀﹄﹚﹜﹞！＂％＇），．：；？］｀｜｝～￠"/>
  <w:compat>
    <w:useFELayout/>
    <w:compatSetting w:name="compatibilityMode" w:uri="http://schemas.microsoft.com/office/word" w:val="12"/>
  </w:compat>
  <w:docVars>
    <w:docVar w:name="commondata" w:val="eyJoZGlkIjoiZWYwNTEyODM1NDQxNjYzN2JhYjFlZjYyNTZjMzA2ZjkifQ=="/>
    <w:docVar w:name="KSO_WPS_MARK_KEY" w:val="0815da06-94fb-4de4-8468-abcd6fbc3fe9"/>
  </w:docVars>
  <w:rsids>
    <w:rsidRoot w:val="00A67522"/>
    <w:rsid w:val="001654C6"/>
    <w:rsid w:val="002448E2"/>
    <w:rsid w:val="005F1E38"/>
    <w:rsid w:val="00886228"/>
    <w:rsid w:val="009B01EF"/>
    <w:rsid w:val="00A67522"/>
    <w:rsid w:val="00BC5927"/>
    <w:rsid w:val="00CF742B"/>
    <w:rsid w:val="01F202B9"/>
    <w:rsid w:val="02732531"/>
    <w:rsid w:val="05770F22"/>
    <w:rsid w:val="070F54C1"/>
    <w:rsid w:val="0F5866F0"/>
    <w:rsid w:val="1345175E"/>
    <w:rsid w:val="15414179"/>
    <w:rsid w:val="191860B2"/>
    <w:rsid w:val="281F1EED"/>
    <w:rsid w:val="28DF12AC"/>
    <w:rsid w:val="2EFF0134"/>
    <w:rsid w:val="3742598A"/>
    <w:rsid w:val="3E452F22"/>
    <w:rsid w:val="51E060D2"/>
    <w:rsid w:val="6FBC008C"/>
    <w:rsid w:val="79042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kern w:val="0"/>
      <w:sz w:val="18"/>
      <w:szCs w:val="18"/>
    </w:rPr>
  </w:style>
  <w:style w:type="character" w:customStyle="1" w:styleId="7">
    <w:name w:val="页脚 Char"/>
    <w:basedOn w:val="5"/>
    <w:link w:val="2"/>
    <w:semiHidden/>
    <w:uiPriority w:val="99"/>
    <w:rPr>
      <w:rFonts w:ascii="Calibri" w:hAnsi="Calibri"/>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1415</Words>
  <Characters>1503</Characters>
  <Lines>12</Lines>
  <Paragraphs>3</Paragraphs>
  <TotalTime>0</TotalTime>
  <ScaleCrop>false</ScaleCrop>
  <LinksUpToDate>false</LinksUpToDate>
  <CharactersWithSpaces>1563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2021-06-03T12:53:00Z</dcterms:created>
  <dc:creator>Administrator</dc:creator>
  <cp:lastModifiedBy>蒋阔</cp:lastModifiedBy>
  <cp:lastPrinted>2020-07-09T02:03:00Z</cp:lastPrinted>
  <dcterms:modified xsi:type="dcterms:W3CDTF">2024-10-21T03:48:47Z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88A1A1A740244CB8B8B7CC905C0F0C0D</vt:lpwstr>
  </property>
</Properties>
</file>