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衡东县路灯管理站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衡东县路灯站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528.87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289.97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218.87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38.9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（一）.负责制订城区道路照明及亮化方案。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（二）.负责城区道路照明工程的新建，改建任务。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（三）.参与城区道路照明亮化工程及新、改建工程的材料采购和验收工作。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（四）.负责城区道路照明及亮化设施、设备的日常维护、管理与安全工作。</w:t>
            </w:r>
          </w:p>
          <w:p>
            <w:pPr>
              <w:widowControl/>
              <w:spacing w:before="75" w:after="75" w:line="480" w:lineRule="exact"/>
              <w:ind w:firstLine="600"/>
              <w:jc w:val="left"/>
              <w:rPr>
                <w:rFonts w:ascii="仿宋" w:hAnsi="仿宋" w:eastAsia="仿宋" w:cs="仿宋"/>
                <w:color w:val="000000"/>
                <w:spacing w:val="3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30"/>
                <w:kern w:val="0"/>
                <w:szCs w:val="21"/>
              </w:rPr>
              <w:t>（五）.完成上级交办的其他工作。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通过预算执行，保障单位履职、运转。积极推进项目建设，充分发挥管理、服务、协调作用，收集信息提出建议，为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提供决策参考依据</w:t>
            </w:r>
            <w:r>
              <w:rPr>
                <w:rFonts w:hint="eastAsia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在职人员21人，退休4人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维护管理路灯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盏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6900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路灯设施完好率和亮灯率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维护管理公共亮化设施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1223.33</w:t>
            </w:r>
            <w:r>
              <w:rPr>
                <w:rFonts w:hint="eastAsia" w:ascii="仿宋_GB2312" w:eastAsia="仿宋_GB2312"/>
                <w:kern w:val="0"/>
                <w:szCs w:val="21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工程质量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优良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190.47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28.4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车辆油料、保险及维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路灯电费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路灯维护维修费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完成单位职责及上级交办的各项任务时限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维护城市道路状况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保障市民出行安全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保障市民财产安全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保障城区道路夜间照明正常运行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极大支持城市建设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改善城市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亮化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景观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改善城市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亮化</w:t>
            </w:r>
            <w:r>
              <w:rPr>
                <w:rFonts w:hint="eastAsia" w:ascii="仿宋_GB2312" w:eastAsia="仿宋_GB2312"/>
                <w:kern w:val="0"/>
                <w:szCs w:val="21"/>
              </w:rPr>
              <w:t>景观，市民安居乐业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维护城市亮化工程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维护城市亮化工程，让市民出行安全，提升城市经济繁荣度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市民满意率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:刘飞辉         联系电话:13975422017         填报日期:2019年5月18日       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3a98a1d2-eb93-4d28-b27b-100ffceb6a16"/>
  </w:docVars>
  <w:rsids>
    <w:rsidRoot w:val="25E26C38"/>
    <w:rsid w:val="076E386F"/>
    <w:rsid w:val="0C354F7F"/>
    <w:rsid w:val="1021417B"/>
    <w:rsid w:val="127C48E2"/>
    <w:rsid w:val="178C3093"/>
    <w:rsid w:val="17B73EA2"/>
    <w:rsid w:val="186C16C7"/>
    <w:rsid w:val="19CF280F"/>
    <w:rsid w:val="206855DB"/>
    <w:rsid w:val="23740D5F"/>
    <w:rsid w:val="25E26C38"/>
    <w:rsid w:val="2ACC7445"/>
    <w:rsid w:val="2C55785F"/>
    <w:rsid w:val="2F1477B8"/>
    <w:rsid w:val="2F8276DA"/>
    <w:rsid w:val="2F9C6092"/>
    <w:rsid w:val="32EB2DB6"/>
    <w:rsid w:val="3B7874B8"/>
    <w:rsid w:val="421C2EC4"/>
    <w:rsid w:val="4DBE5EA9"/>
    <w:rsid w:val="59175DE5"/>
    <w:rsid w:val="60B35282"/>
    <w:rsid w:val="617B2A88"/>
    <w:rsid w:val="6B4B12B1"/>
    <w:rsid w:val="6CBD1E1F"/>
    <w:rsid w:val="71BD102D"/>
    <w:rsid w:val="75350F18"/>
    <w:rsid w:val="768C2F70"/>
    <w:rsid w:val="77C25CE0"/>
    <w:rsid w:val="78DE6FED"/>
    <w:rsid w:val="7B3E68C7"/>
    <w:rsid w:val="7BF92C58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782</Characters>
  <Lines>0</Lines>
  <Paragraphs>0</Paragraphs>
  <TotalTime>7</TotalTime>
  <ScaleCrop>false</ScaleCrop>
  <LinksUpToDate>false</LinksUpToDate>
  <CharactersWithSpaces>811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蒋阔</cp:lastModifiedBy>
  <dcterms:modified xsi:type="dcterms:W3CDTF">2024-10-21T01:52:42Z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