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2019年度</w:t>
      </w:r>
    </w:p>
    <w:p>
      <w:pPr>
        <w:pStyle w:val="9"/>
        <w:jc w:val="center"/>
        <w:rPr>
          <w:sz w:val="56"/>
          <w:szCs w:val="56"/>
        </w:rPr>
      </w:pPr>
      <w:r>
        <w:rPr>
          <w:rFonts w:hint="eastAsia"/>
          <w:sz w:val="84"/>
          <w:szCs w:val="84"/>
          <w:lang w:eastAsia="zh-CN"/>
        </w:rPr>
        <w:t>荣桓镇人民政府</w:t>
      </w:r>
      <w:r>
        <w:rPr>
          <w:rFonts w:hint="eastAsia"/>
          <w:sz w:val="84"/>
          <w:szCs w:val="84"/>
        </w:rPr>
        <w:t>部门决算</w:t>
      </w:r>
    </w:p>
    <w:p>
      <w:pPr>
        <w:pStyle w:val="9"/>
        <w:spacing w:line="540" w:lineRule="exact"/>
        <w:jc w:val="both"/>
        <w:rPr>
          <w:sz w:val="56"/>
          <w:szCs w:val="56"/>
        </w:rPr>
      </w:pPr>
    </w:p>
    <w:p>
      <w:pPr>
        <w:pStyle w:val="9"/>
        <w:spacing w:line="520" w:lineRule="exact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目录</w:t>
      </w:r>
    </w:p>
    <w:p>
      <w:pPr>
        <w:pStyle w:val="9"/>
        <w:spacing w:line="52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eastAsia="zh-CN"/>
        </w:rPr>
        <w:t>荣桓镇人民政府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</w:p>
    <w:p>
      <w:pPr>
        <w:pStyle w:val="9"/>
        <w:spacing w:line="52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Ansi="仿宋_GB2312"/>
          <w:b/>
          <w:sz w:val="28"/>
          <w:szCs w:val="28"/>
        </w:rPr>
        <w:t>2019</w:t>
      </w:r>
      <w:r>
        <w:rPr>
          <w:rFonts w:hint="eastAsia" w:hAnsi="仿宋_GB2312"/>
          <w:b/>
          <w:sz w:val="28"/>
          <w:szCs w:val="28"/>
        </w:rPr>
        <w:t>年度部门决算情况说明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spacing w:line="520" w:lineRule="exact"/>
        <w:ind w:firstLine="700" w:firstLineChars="25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七、一般公共预算财政拨款三公经费支出决算情况说明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、预算绩效情况说明</w:t>
      </w:r>
    </w:p>
    <w:p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、其他重要事项情况说明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部分名词解释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部分附件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Ansi="仿宋_GB2312"/>
          <w:b/>
          <w:sz w:val="28"/>
          <w:szCs w:val="28"/>
        </w:rPr>
        <w:t>2019</w:t>
      </w:r>
      <w:r>
        <w:rPr>
          <w:rFonts w:hint="eastAsia" w:hAnsi="仿宋_GB2312"/>
          <w:b/>
          <w:sz w:val="28"/>
          <w:szCs w:val="28"/>
        </w:rPr>
        <w:t>年度部门决算表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9"/>
        <w:spacing w:line="52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spacing w:line="52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荣桓镇人民政府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0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根据国家有关法律法规，党委、政府通过组织群众、宣传群众、教育群众、服务群众，切实贯彻落实党和国家在农村的各项方针政策和法律法规，围绕农业、农村、农民搞好服务，全面履行和承担五项职能：一是促进经济发展，增加农民收入；二是强化公共服务，着力改善民生；三是加强社会管理，维护农村稳定；四是推进基层民主，促进农村和谐;五是加强基层党建，巩固基层政权。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 xml:space="preserve">    （一）宣传贯彻落实法律法规和党的各项方针政策，坚持依法行政，推进民主政治发展，促进村民自治，加强基层党组织和政权建设。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　　（二）促进经济发展，增加农民收入。负责镇村发展规划，培育主导产业，推动产业结构调整，加快旅游开发进程，提高农业综合生产能力。建立新型农业社会化服务体系，发展农民专业合作组织，提高农产品质量安全水平。稳定和完善农村基本经营制度，探索集体经济有效实现形式，引导农民珍惜土地、增加投入，发展集约经营。加强农村基础设施建设和新型农村服务体系建设，落实强农惠农措施，确保农民受益。促进民营经济发展，引导农民多渠道转移就业，增加农民收入，不断提高人民生活水平。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　　（三）强化公共服务，着力改善民生。拓宽服务渠道，改进服务方式，通过“一站式”服务等多种形式，形成管理有序、服务完善、文明祥和的社会生活共同体。落实计划生育基本国策，推进优生优育，保持人口适度增长，保护妇女、儿童和老人的合法权益。促进农村义务教育均衡发展，推动农村公共卫生体系和基本医疗体系建设，丰富农民群众文化生活，发展农村体育事业，培养社会主义新型农民。做好防灾减灾、五保供养、优抚安置、低保、扶贫救济、社会保险和其他社会救助工作。发展农村老龄服务。加强农村残疾预防和残疾人康复工作。组织开展农村基础设施建设，完善农民生产生活条件。做好外出务工人员技能培训等服务工作，促进城乡劳动者平等就业。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（四）加强社会管理，维护农村稳定。推进依法行政，严格依法履行职责。加强民主法制宣传教育。加强社会治安综合治理，完善农村治安防控体系，保障人民生命财产安全。做好农村信访工作，畅通诉求渠道，及时掌握社情民意，排查化解矛盾纠纷，妥善处理人民内部矛盾。建立健全农村应急管理体制，提高危机处置能力。依法管理宗教事务，反对和制止利用宗教和宗教势力干预农村公共事务。承担安全生产、环境保护工作，协助县级有关部门做好市场监管、劳动监察等方面的工作,保证社会公正，维护社会秩序和社会稳定。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（五）推动基层民主，促进农村和谐。健全以村（社区）党组织为核心的村民自治机制，加强对村民委员会工作的指导。健全村级民主选举、民主决策、民主管理、民主监督制度，全面推行村民代表议事制度，健全和完善村民自治章程和村规民约。规范和完善村账镇代管工作，推进村务公开、财务公开，引导农民有序参与村级事务管理。推动农村社区建设，促进社会组织健康发展，增强社会自治功能。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（六）强化基层党建，巩固基层政权。加强农村党的基层组织建设、农村基层干部队伍建设、农村党员队伍建设，发挥基层党组织的战斗堡垒作用和党员的先锋模范作用。严格党组织生活，加强后备力量培养，抓好党员发展教育管理。加强农村党风廉政建设，推进农村惩治和预防腐败建设。加强党管武装工作。加强和改进对工会、共青团和妇联等群团工作的领导，推动党群共建。按照干部管理权限，负责干部的教育、培养、选拔和监督工作，协助管理上级有关单位的驻镇干部。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完成上级交办的其他工作任务。</w:t>
      </w:r>
    </w:p>
    <w:p>
      <w:pPr>
        <w:jc w:val="left"/>
        <w:rPr>
          <w:rFonts w:ascii="仿宋_GB2312" w:eastAsia="仿宋_GB2312" w:hAnsiTheme="minorEastAsia"/>
          <w:sz w:val="28"/>
          <w:szCs w:val="32"/>
        </w:rPr>
      </w:pP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spacing w:line="500" w:lineRule="exact"/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一）内设机构设置。下设人大、政府、政协、党委、财政、计生、文化、广播、社会保障、城建、农业、水利、林业、交通运输、国土等部门及二级机构，纳入本单位预算编制范围的归口管理部门及单位包括：人大、政府、政协、党委、财政、计生、文化、广播、社会保障、城建、农业、水利、林业、交通运输、国土，以上部门一并进行预算公开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。荣桓镇人民政府是财政全额拨款单位，行政编制25个，全额事业编制33个，在职人员58人，退休人员20人，长期聘用人员5人。</w:t>
      </w:r>
    </w:p>
    <w:p>
      <w:pPr>
        <w:widowControl/>
        <w:spacing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（二）决算单位构成。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荣桓镇人民政府</w:t>
      </w:r>
      <w:r>
        <w:rPr>
          <w:rFonts w:asciiTheme="minorEastAsia" w:hAnsiTheme="minorEastAsia"/>
          <w:bCs/>
          <w:kern w:val="0"/>
          <w:sz w:val="32"/>
          <w:szCs w:val="32"/>
        </w:rPr>
        <w:t>2019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年部门决算汇总公开单位构成包括：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荣桓镇人民政府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本级</w:t>
      </w:r>
    </w:p>
    <w:p>
      <w:pPr>
        <w:pStyle w:val="9"/>
        <w:rPr>
          <w:sz w:val="72"/>
          <w:szCs w:val="7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9"/>
        <w:rPr>
          <w:sz w:val="72"/>
          <w:szCs w:val="72"/>
        </w:rPr>
      </w:pPr>
    </w:p>
    <w:p>
      <w:pPr>
        <w:pStyle w:val="9"/>
        <w:rPr>
          <w:sz w:val="72"/>
          <w:szCs w:val="72"/>
        </w:rPr>
      </w:pPr>
    </w:p>
    <w:p>
      <w:pPr>
        <w:pStyle w:val="9"/>
        <w:rPr>
          <w:sz w:val="72"/>
          <w:szCs w:val="72"/>
        </w:rPr>
      </w:pPr>
    </w:p>
    <w:p>
      <w:pPr>
        <w:pStyle w:val="9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</w:t>
      </w:r>
      <w:r>
        <w:rPr>
          <w:rFonts w:hint="eastAsia"/>
          <w:sz w:val="72"/>
          <w:szCs w:val="72"/>
          <w:lang w:val="en-US" w:eastAsia="zh-CN"/>
        </w:rPr>
        <w:t>二</w:t>
      </w:r>
      <w:r>
        <w:rPr>
          <w:rFonts w:hint="eastAsia"/>
          <w:sz w:val="72"/>
          <w:szCs w:val="72"/>
        </w:rPr>
        <w:t>部分</w:t>
      </w:r>
    </w:p>
    <w:p>
      <w:pPr>
        <w:pStyle w:val="9"/>
        <w:jc w:val="center"/>
        <w:rPr>
          <w:sz w:val="70"/>
          <w:szCs w:val="70"/>
        </w:rPr>
      </w:pPr>
    </w:p>
    <w:p>
      <w:pPr>
        <w:pStyle w:val="9"/>
        <w:jc w:val="center"/>
        <w:rPr>
          <w:sz w:val="70"/>
          <w:szCs w:val="70"/>
        </w:rPr>
      </w:pPr>
      <w:r>
        <w:rPr>
          <w:sz w:val="70"/>
          <w:szCs w:val="70"/>
        </w:rPr>
        <w:t>2019</w:t>
      </w:r>
      <w:r>
        <w:rPr>
          <w:rFonts w:hint="eastAsia"/>
          <w:sz w:val="70"/>
          <w:szCs w:val="70"/>
        </w:rPr>
        <w:t>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9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 年度收、支总计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2826.87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万元。与2018年相比，减少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313.35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压缩预算收支。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1438.5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1388.87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96.5</w:t>
      </w:r>
      <w:r>
        <w:rPr>
          <w:rFonts w:hint="eastAsia" w:asciiTheme="minorEastAsia" w:hAnsiTheme="minorEastAsia" w:eastAsiaTheme="minorEastAsia"/>
          <w:sz w:val="32"/>
          <w:szCs w:val="32"/>
        </w:rPr>
        <w:t>%；；其他收入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49.63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3.5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1388.37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750.74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54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637.63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46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2019年度财政拨款收、支总计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2720.82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万元，与2018年相比，减少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410.58</w:t>
      </w:r>
      <w:r>
        <w:rPr>
          <w:rFonts w:hint="eastAsia" w:asciiTheme="minorEastAsia" w:hAnsiTheme="minorEastAsia" w:eastAsiaTheme="minorEastAsia"/>
          <w:sz w:val="32"/>
          <w:szCs w:val="32"/>
        </w:rPr>
        <w:t>万元,减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压缩预算收支。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1331.96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95.9</w:t>
      </w:r>
      <w:r>
        <w:rPr>
          <w:rFonts w:hint="eastAsia" w:asciiTheme="minorEastAsia" w:hAnsiTheme="minorEastAsia" w:eastAsiaTheme="minorEastAsia"/>
          <w:sz w:val="32"/>
          <w:szCs w:val="32"/>
        </w:rPr>
        <w:t>%，与2018年相比，财政拨款支出增加减少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482.94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压缩财政拨款收支。</w:t>
      </w:r>
    </w:p>
    <w:p>
      <w:pPr>
        <w:pStyle w:val="9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1331.96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万元，主要用于以下方面：一般公共服务（类）支出496.35万元，占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37.3</w:t>
      </w:r>
      <w:r>
        <w:rPr>
          <w:rFonts w:hint="eastAsia" w:asciiTheme="minorEastAsia" w:hAnsiTheme="minorEastAsia" w:eastAsiaTheme="minorEastAsia"/>
          <w:sz w:val="32"/>
          <w:szCs w:val="32"/>
        </w:rPr>
        <w:t>%；文化旅游体育与传媒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支出6.21万元，占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0.5%；社会保障和就业支出65.11万元，占4.9%；卫生健康支出45.66万元，占3.4%；节能环保支出36.82万元，占2.7%；城乡社区支出200.42万元，占15%；农林水支出430.89，占32.5%；自然资源海洋气象等支出9.91万元，占0.7%；灾害防治及应急管理支出40.6万元，占3%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830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1331.96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1、一般公共服务（类）人大事务（款）行政运行（项）。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481.3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万元，支出决算为11.85万元，完成年初预算的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2.4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%，决算数小于年初预算数的主要原因是：年初预算全部安排到一般公共服务大类支出，支出决算按照不同项目分类支出，占比小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2、一般公共服务（类）政协事务（款）行政运行（项）。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481.3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万元，支出决算为5.83万元，完成年初预算的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1.2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%，决算数小于年初预算数的主要原因是：年初预算全部安排到一般公共服务大类支出，支出决算按照不同项目分类支出，占比小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2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一般公共服务（类）政府办公厅（室）及相关机构事务（款）行政运行（项）。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481.3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万元，支出决算为403.95万元，完成年初预算的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83.9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%，决算数小于年初预算数的主要原因是：年初预算全部安排到一般公共服务大类支出，支出决算按照不同项目分类支出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2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一般公共服务（类）财政事务（款）行政运行（项）。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481.3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万元，支出决算为42.06万元，完成年初预算的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8.7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%，决算数小于年初预算数的主要原因是：年初预算全部安排到一般公共服务大类支出，支出决算按照不同项目分类支出，占比小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2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一般公共服务（类）财政事务（款）一般行政管理事务（项）。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481.3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万元，支出决算为31.36万元，完成年初预算的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6.5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%，决算数小于年初预算数的主要原因是：年初预算全部安排到一般公共服务大类支出，支出决算按照不同项目分类支出，占比小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2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一般公共服务（类）党委办公厅（室）及相关机构事务（款）行政运行（项）。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481.3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万元，支出决算为1.3万元，完成年初预算的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0.2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%，决算数小于年初预算数的主要原因是：年初预算全部安排到一般公共服务大类支出，支出决算按照不同项目分类支出，占比小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2019年度财政拨款基本支出694.33万元，其中：人员经费501.47万元，占基本支出的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72.2</w:t>
      </w:r>
      <w:r>
        <w:rPr>
          <w:rFonts w:hint="eastAsia" w:asciiTheme="minorEastAsia" w:hAnsiTheme="minorEastAsia" w:eastAsiaTheme="minorEastAsia"/>
          <w:sz w:val="32"/>
          <w:szCs w:val="32"/>
        </w:rPr>
        <w:t>%,,主要包括基本工资、津贴补贴、奖金、伙食补助费、绩效工资、机关事业单位基本养老保险缴费、职业年金缴费、职工基本医疗保险缴费、其他社会保障缴费、住房公积金、医疗费、其他工资福利支出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192.86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27.8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办公费、印刷费、水费、电费、邮电费、差旅费、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会议费、</w:t>
      </w:r>
      <w:r>
        <w:rPr>
          <w:rFonts w:hint="eastAsia" w:asciiTheme="minorEastAsia" w:hAnsiTheme="minorEastAsia" w:eastAsiaTheme="minorEastAsia"/>
          <w:sz w:val="32"/>
          <w:szCs w:val="32"/>
        </w:rPr>
        <w:t>维修（护）费、培训费、劳务费、公务接待费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 工会经费、</w:t>
      </w:r>
      <w:r>
        <w:rPr>
          <w:rFonts w:hint="eastAsia" w:asciiTheme="minorEastAsia" w:hAnsiTheme="minorEastAsia" w:eastAsiaTheme="minorEastAsia"/>
          <w:sz w:val="32"/>
          <w:szCs w:val="32"/>
        </w:rPr>
        <w:t>其他交通费用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、其他商品和服务支出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七、一般公共预算财政拨款三公经费支出决算情况说明</w:t>
      </w:r>
    </w:p>
    <w:p>
      <w:pPr>
        <w:pStyle w:val="9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2.9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1.97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67.9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%，决算数等于年初预算数的主要原因是未有职工因公出国（境），与上年相比减少0万元，减少0%,减少的主要原因是未有职工因公出国（境）。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2.9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1.97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67.9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%，决算数小于年初预算数的主要原因是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压缩公务接待次数及人数</w:t>
      </w:r>
      <w:r>
        <w:rPr>
          <w:rFonts w:hint="eastAsia" w:asciiTheme="minorEastAsia" w:hAnsiTheme="minorEastAsia" w:eastAsiaTheme="minorEastAsia"/>
          <w:sz w:val="32"/>
          <w:szCs w:val="32"/>
        </w:rPr>
        <w:t>，与上年相比减少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0.21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9.6</w:t>
      </w:r>
      <w:r>
        <w:rPr>
          <w:rFonts w:hint="eastAsia" w:asciiTheme="minorEastAsia" w:hAnsiTheme="minorEastAsia" w:eastAsiaTheme="minorEastAsia"/>
          <w:sz w:val="32"/>
          <w:szCs w:val="32"/>
        </w:rPr>
        <w:t>%,减少的主要原因是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压缩公务接待次数及人数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公务用车购置费及运行维护费支出预算为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%，决算数等于年初预算数的主要原因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单位未购买公车</w:t>
      </w:r>
      <w:r>
        <w:rPr>
          <w:rFonts w:hint="eastAsia" w:asciiTheme="minorEastAsia" w:hAnsiTheme="minorEastAsia" w:eastAsiaTheme="minorEastAsia"/>
          <w:sz w:val="32"/>
          <w:szCs w:val="32"/>
        </w:rPr>
        <w:t>，与上年相比减少0万元，减少0%,减少的主要原因是我单位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未购买</w:t>
      </w:r>
      <w:r>
        <w:rPr>
          <w:rFonts w:hint="eastAsia" w:asciiTheme="minorEastAsia" w:hAnsiTheme="minorEastAsia" w:eastAsiaTheme="minorEastAsia"/>
          <w:sz w:val="32"/>
          <w:szCs w:val="32"/>
        </w:rPr>
        <w:t>公车。</w:t>
      </w:r>
    </w:p>
    <w:p>
      <w:pPr>
        <w:pStyle w:val="9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1.97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%,因公出国（境）费支出决算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%。其中：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1、因公出国（境）费支出决算为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万元，全年安排因公出国（境）团组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个，累计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人次,开支内容包括：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1.97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656</w:t>
      </w:r>
      <w:r>
        <w:rPr>
          <w:rFonts w:hint="eastAsia" w:asciiTheme="minorEastAsia" w:hAnsiTheme="minorEastAsia" w:eastAsiaTheme="minorEastAsia"/>
          <w:sz w:val="32"/>
          <w:szCs w:val="32"/>
        </w:rPr>
        <w:t>人次，主要是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招商引资、敬老院捐款</w:t>
      </w:r>
      <w:r>
        <w:rPr>
          <w:rFonts w:hint="eastAsia" w:asciiTheme="minorEastAsia" w:hAnsiTheme="minorEastAsia" w:eastAsiaTheme="minorEastAsia"/>
          <w:sz w:val="32"/>
          <w:szCs w:val="32"/>
        </w:rPr>
        <w:t>发生的接待支出。</w:t>
      </w:r>
    </w:p>
    <w:p>
      <w:pPr>
        <w:ind w:firstLine="800" w:firstLineChars="250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万元，其中：公务用车购置费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万元，更新公务用车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辆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sz w:val="32"/>
          <w:szCs w:val="32"/>
        </w:rPr>
        <w:t>公务用车运行维护费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万元，截止2019年12月31日，我单位开支财政拨款的公务用车保有量为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辆。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9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2019年度政府性基金预算财政拨款收入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195.54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万元；年初结转和结余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195.54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195.54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万元；年末结转和结余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九、关于2019年度预算绩效情况说明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本部门预算绩效管理开展情况、绩效目标和绩效评价报告等（</w:t>
      </w:r>
    </w:p>
    <w:p>
      <w:pPr>
        <w:pStyle w:val="9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按照财政绩效部门要求已公开）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十、其他重要事项情况说明</w:t>
      </w:r>
    </w:p>
    <w:p>
      <w:pPr>
        <w:ind w:firstLine="480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（一）机关运行经费支出情况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本部门2019 年度机关运行经费支出192.86万元，比年初预算数增加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37.46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万元，增长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%。主要原因是：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人员增加日常公用经费增加。</w:t>
      </w:r>
    </w:p>
    <w:p>
      <w:pPr>
        <w:ind w:firstLine="640" w:firstLineChars="200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（二）一般性支出情况</w:t>
      </w:r>
    </w:p>
    <w:p>
      <w:pPr>
        <w:ind w:firstLine="640" w:firstLineChars="200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2019年本部门开支会议费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12.64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万元，用于召开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扶贫、安全生产、信访维稳、党建等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会议，人数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125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人，内容为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扶贫、安全生产、信访维稳、党建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；开支培训费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1.24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万元，用于开展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业务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培训，人数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36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人，内容为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业务知识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；无举办节庆、晚会、论坛、赛事活动，开支0万元。</w:t>
      </w:r>
    </w:p>
    <w:p>
      <w:pPr>
        <w:ind w:firstLine="640" w:firstLineChars="20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（三）政府采购支出情况</w:t>
      </w:r>
    </w:p>
    <w:p>
      <w:pPr>
        <w:ind w:firstLine="640" w:firstLineChars="200"/>
        <w:rPr>
          <w:rFonts w:cs="黑体" w:asciiTheme="minorEastAsia" w:hAnsiTheme="minorEastAsia"/>
          <w:i/>
          <w:color w:val="FF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本部门2019年度政府采购支出总额0万元，其中：政府采购货物支出0万元、政府采购工程支出0万元、政府采购服务支出0万元。授予中小企业合同金额0万元，占政府采购支出总额的0%，其中：授予小微企业合同金额0万元，占政府采购支出总额的0%。</w:t>
      </w:r>
    </w:p>
    <w:p>
      <w:pPr>
        <w:ind w:firstLine="480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（四）国有资产占用情况</w:t>
      </w:r>
    </w:p>
    <w:p>
      <w:pPr>
        <w:ind w:firstLine="640" w:firstLineChars="200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截至2019年12月31日，本单位共有车辆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辆，其中，领导干部用车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辆、机要通信用车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辆、应急保障用车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辆、执法执勤用车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辆、特种专业技术用车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辆、其他用车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辆；单位价值50万元以上通用设备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台（套）；单位价值100万元以上专用设备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台（套）。</w:t>
      </w:r>
    </w:p>
    <w:p>
      <w:pPr>
        <w:widowControl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cs="黑体" w:asciiTheme="minorEastAsia" w:hAnsiTheme="minorEastAsia"/>
          <w:color w:val="000000"/>
          <w:kern w:val="0"/>
          <w:sz w:val="32"/>
          <w:szCs w:val="32"/>
        </w:rPr>
        <w:br w:type="page"/>
      </w:r>
    </w:p>
    <w:p>
      <w:pPr>
        <w:ind w:firstLine="640" w:firstLineChars="200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</w:t>
      </w:r>
      <w:r>
        <w:rPr>
          <w:rFonts w:hint="eastAsia"/>
          <w:sz w:val="72"/>
          <w:szCs w:val="72"/>
          <w:lang w:val="en-US" w:eastAsia="zh-CN"/>
        </w:rPr>
        <w:t>三</w:t>
      </w:r>
      <w:r>
        <w:rPr>
          <w:rFonts w:hint="eastAsia"/>
          <w:sz w:val="72"/>
          <w:szCs w:val="72"/>
        </w:rPr>
        <w:t>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一、一般公共预算:是对以税收为主体的财政收入，安排用于保障和改善民生、推动经济社会发展、维护国家安全、维持国家机构正常运转等方面的收支预算。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二、基本支出：是指为保障单位机构正常运转、完成日常工作任务而发生的各项支出，包括用于基本工资、津贴补贴等人员经费以及办公费、印刷费、水电费、办公设备购置等日常公用经费。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三、项目支出：是指单位为完成财政财务管理工作或事业发展目标而发生的支出。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四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五、“三公”经费：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widowControl/>
        <w:jc w:val="left"/>
        <w:rPr>
          <w:rFonts w:asciiTheme="minorEastAsia" w:hAnsiTheme="minorEastAsia"/>
          <w:i/>
          <w:color w:val="FF0000"/>
          <w:sz w:val="32"/>
          <w:szCs w:val="32"/>
        </w:rPr>
      </w:pPr>
      <w:r>
        <w:rPr>
          <w:rFonts w:asciiTheme="minorEastAsia" w:hAnsiTheme="minorEastAsia"/>
          <w:i/>
          <w:color w:val="FF0000"/>
          <w:sz w:val="32"/>
          <w:szCs w:val="32"/>
        </w:rPr>
        <w:br w:type="page"/>
      </w: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</w:t>
      </w:r>
      <w:r>
        <w:rPr>
          <w:rFonts w:hint="eastAsia"/>
          <w:sz w:val="72"/>
          <w:szCs w:val="72"/>
          <w:lang w:val="en-US" w:eastAsia="zh-CN"/>
        </w:rPr>
        <w:t>四</w:t>
      </w:r>
      <w:r>
        <w:rPr>
          <w:rFonts w:hint="eastAsia"/>
          <w:sz w:val="72"/>
          <w:szCs w:val="72"/>
        </w:rPr>
        <w:t>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ind w:firstLine="56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hAnsi="仿宋_GB2312"/>
          <w:b/>
          <w:sz w:val="28"/>
          <w:szCs w:val="28"/>
          <w:lang w:val="en-US" w:eastAsia="zh-CN"/>
        </w:rPr>
        <w:t>附：</w:t>
      </w:r>
      <w:r>
        <w:rPr>
          <w:rFonts w:hAnsi="仿宋_GB2312"/>
          <w:b/>
          <w:sz w:val="28"/>
          <w:szCs w:val="28"/>
        </w:rPr>
        <w:t>2019</w:t>
      </w:r>
      <w:r>
        <w:rPr>
          <w:rFonts w:hint="eastAsia" w:hAnsi="仿宋_GB2312"/>
          <w:b/>
          <w:sz w:val="28"/>
          <w:szCs w:val="28"/>
        </w:rPr>
        <w:t>年度部门决算表</w:t>
      </w:r>
    </w:p>
    <w:p>
      <w:pPr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 xml:space="preserve">                                        荣桓镇人民政府</w:t>
      </w:r>
    </w:p>
    <w:p>
      <w:pPr>
        <w:ind w:firstLine="640" w:firstLineChars="200"/>
        <w:jc w:val="left"/>
        <w:rPr>
          <w:rFonts w:hint="default" w:cs="黑体" w:asciiTheme="minorEastAsia" w:hAnsi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 xml:space="preserve">                                        2020年10月9日</w:t>
      </w: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F506B"/>
    <w:multiLevelType w:val="singleLevel"/>
    <w:tmpl w:val="54EF506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EyODM1NDQxNjYzN2JhYjFlZjYyNTZjMzA2ZjkifQ=="/>
    <w:docVar w:name="KSO_WPS_MARK_KEY" w:val="f1791124-f33d-4d05-8d71-33b6d26b331a"/>
  </w:docVars>
  <w:rsids>
    <w:rsidRoot w:val="004506F9"/>
    <w:rsid w:val="0002229B"/>
    <w:rsid w:val="000273BD"/>
    <w:rsid w:val="000415B7"/>
    <w:rsid w:val="000658A3"/>
    <w:rsid w:val="00074155"/>
    <w:rsid w:val="000A3F69"/>
    <w:rsid w:val="00152C6D"/>
    <w:rsid w:val="00162D39"/>
    <w:rsid w:val="001A67DB"/>
    <w:rsid w:val="001D51E5"/>
    <w:rsid w:val="001F0C3B"/>
    <w:rsid w:val="00214427"/>
    <w:rsid w:val="00265724"/>
    <w:rsid w:val="0027426B"/>
    <w:rsid w:val="003479BD"/>
    <w:rsid w:val="003768D5"/>
    <w:rsid w:val="004506F9"/>
    <w:rsid w:val="004717A2"/>
    <w:rsid w:val="00491741"/>
    <w:rsid w:val="00500E5F"/>
    <w:rsid w:val="005122EF"/>
    <w:rsid w:val="00517C33"/>
    <w:rsid w:val="00523644"/>
    <w:rsid w:val="0054069E"/>
    <w:rsid w:val="005767CC"/>
    <w:rsid w:val="00590D9F"/>
    <w:rsid w:val="00595D26"/>
    <w:rsid w:val="005A74E6"/>
    <w:rsid w:val="005D4D55"/>
    <w:rsid w:val="005E2CFB"/>
    <w:rsid w:val="0062378F"/>
    <w:rsid w:val="00651EEC"/>
    <w:rsid w:val="006A351B"/>
    <w:rsid w:val="006B0422"/>
    <w:rsid w:val="006C1B53"/>
    <w:rsid w:val="006D7730"/>
    <w:rsid w:val="006E5284"/>
    <w:rsid w:val="006F3EB5"/>
    <w:rsid w:val="00702E34"/>
    <w:rsid w:val="00704395"/>
    <w:rsid w:val="00720FF1"/>
    <w:rsid w:val="00812ED5"/>
    <w:rsid w:val="008277D9"/>
    <w:rsid w:val="008A3E8D"/>
    <w:rsid w:val="009237C4"/>
    <w:rsid w:val="00950252"/>
    <w:rsid w:val="00967F5D"/>
    <w:rsid w:val="009A0F95"/>
    <w:rsid w:val="009B3ADF"/>
    <w:rsid w:val="009C3B52"/>
    <w:rsid w:val="00A13FFE"/>
    <w:rsid w:val="00A42218"/>
    <w:rsid w:val="00A70249"/>
    <w:rsid w:val="00B33BEA"/>
    <w:rsid w:val="00B57C9F"/>
    <w:rsid w:val="00B845B3"/>
    <w:rsid w:val="00B85D8B"/>
    <w:rsid w:val="00BE3674"/>
    <w:rsid w:val="00C3049A"/>
    <w:rsid w:val="00C31B1E"/>
    <w:rsid w:val="00C77645"/>
    <w:rsid w:val="00CE04C3"/>
    <w:rsid w:val="00CE76A0"/>
    <w:rsid w:val="00D148C6"/>
    <w:rsid w:val="00DD06FF"/>
    <w:rsid w:val="00DD5FE9"/>
    <w:rsid w:val="00E00C7A"/>
    <w:rsid w:val="00E55B68"/>
    <w:rsid w:val="00F74360"/>
    <w:rsid w:val="00FB462F"/>
    <w:rsid w:val="00FE16FA"/>
    <w:rsid w:val="00FE328A"/>
    <w:rsid w:val="0852130D"/>
    <w:rsid w:val="174C53BF"/>
    <w:rsid w:val="19F46199"/>
    <w:rsid w:val="1A8A49B9"/>
    <w:rsid w:val="1E6F0BFA"/>
    <w:rsid w:val="25F36006"/>
    <w:rsid w:val="26D27F30"/>
    <w:rsid w:val="29CA5767"/>
    <w:rsid w:val="5D9F5E2B"/>
    <w:rsid w:val="74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967F-99A7-44AE-8CB3-A0222E97A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5262</Words>
  <Characters>5684</Characters>
  <Lines>59</Lines>
  <Paragraphs>16</Paragraphs>
  <TotalTime>2</TotalTime>
  <ScaleCrop>false</ScaleCrop>
  <LinksUpToDate>false</LinksUpToDate>
  <CharactersWithSpaces>5789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蒋阔</cp:lastModifiedBy>
  <cp:lastPrinted>2020-07-15T07:25:00Z</cp:lastPrinted>
  <dcterms:modified xsi:type="dcterms:W3CDTF">2024-10-18T06:42:06Z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872E5DB4A804458587764F1D0367B1FE</vt:lpwstr>
  </property>
</Properties>
</file>