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30"/>
          <w:szCs w:val="30"/>
        </w:rPr>
      </w:pPr>
      <w:r>
        <w:rPr>
          <w:rFonts w:hint="eastAsia" w:ascii="宋体" w:hAnsi="宋体" w:eastAsia="宋体" w:cs="宋体"/>
          <w:b/>
          <w:bCs/>
          <w:sz w:val="30"/>
          <w:szCs w:val="30"/>
        </w:rPr>
        <w:t>部门预算公开目录：</w:t>
      </w:r>
    </w:p>
    <w:p>
      <w:pPr>
        <w:spacing w:line="400" w:lineRule="exact"/>
        <w:jc w:val="left"/>
        <w:rPr>
          <w:rFonts w:ascii="楷体" w:hAnsi="楷体" w:eastAsia="楷体" w:cs="楷体"/>
          <w:sz w:val="30"/>
          <w:szCs w:val="30"/>
        </w:rPr>
      </w:pPr>
      <w:r>
        <w:rPr>
          <w:rFonts w:hint="eastAsia" w:ascii="楷体" w:hAnsi="楷体" w:eastAsia="楷体" w:cs="楷体"/>
          <w:sz w:val="30"/>
          <w:szCs w:val="30"/>
        </w:rPr>
        <w:t>一、部门职能及概况</w:t>
      </w:r>
    </w:p>
    <w:p>
      <w:pPr>
        <w:spacing w:line="400" w:lineRule="exact"/>
        <w:jc w:val="left"/>
        <w:rPr>
          <w:rFonts w:ascii="楷体" w:hAnsi="楷体" w:eastAsia="楷体" w:cs="楷体"/>
          <w:sz w:val="30"/>
          <w:szCs w:val="30"/>
        </w:rPr>
      </w:pPr>
      <w:r>
        <w:rPr>
          <w:rFonts w:hint="eastAsia" w:ascii="楷体" w:hAnsi="楷体" w:eastAsia="楷体" w:cs="楷体"/>
          <w:sz w:val="30"/>
          <w:szCs w:val="30"/>
        </w:rPr>
        <w:t>二、部门机构设置</w:t>
      </w:r>
    </w:p>
    <w:p>
      <w:pPr>
        <w:spacing w:line="400" w:lineRule="exact"/>
        <w:jc w:val="left"/>
        <w:rPr>
          <w:rFonts w:ascii="楷体" w:hAnsi="楷体" w:eastAsia="楷体" w:cs="楷体"/>
          <w:sz w:val="30"/>
          <w:szCs w:val="30"/>
        </w:rPr>
      </w:pPr>
      <w:r>
        <w:rPr>
          <w:rFonts w:hint="eastAsia" w:ascii="楷体" w:hAnsi="楷体" w:eastAsia="楷体" w:cs="楷体"/>
          <w:sz w:val="30"/>
          <w:szCs w:val="30"/>
        </w:rPr>
        <w:t>三、部门收支总体情况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1.收入预算情况</w:t>
      </w:r>
      <w:bookmarkStart w:id="0" w:name="_GoBack"/>
      <w:bookmarkEnd w:id="0"/>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2.支出预算情况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四、一般公共预算安排情况说明</w:t>
      </w:r>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1.基本支出情况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2.项目支出情况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五、其他重要事项情况说明</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1.机关运行经费情况</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2.“三公”经费预算</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3.政府采购预算</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4.国有资产占有情况说明</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5.预算绩效目标情况说明</w:t>
      </w:r>
    </w:p>
    <w:p>
      <w:pPr>
        <w:spacing w:line="400" w:lineRule="exact"/>
        <w:jc w:val="left"/>
        <w:rPr>
          <w:rFonts w:ascii="楷体" w:hAnsi="楷体" w:eastAsia="楷体" w:cs="楷体"/>
          <w:sz w:val="30"/>
          <w:szCs w:val="30"/>
        </w:rPr>
      </w:pPr>
      <w:r>
        <w:rPr>
          <w:rFonts w:hint="eastAsia" w:ascii="楷体" w:hAnsi="楷体" w:eastAsia="楷体" w:cs="楷体"/>
          <w:sz w:val="30"/>
          <w:szCs w:val="30"/>
        </w:rPr>
        <w:t>六、名词解释</w:t>
      </w:r>
    </w:p>
    <w:p>
      <w:pPr>
        <w:spacing w:line="400" w:lineRule="exact"/>
        <w:jc w:val="left"/>
        <w:rPr>
          <w:rFonts w:ascii="楷体" w:hAnsi="楷体" w:eastAsia="楷体" w:cs="楷体"/>
          <w:sz w:val="30"/>
          <w:szCs w:val="30"/>
        </w:rPr>
      </w:pPr>
      <w:r>
        <w:rPr>
          <w:rFonts w:hint="eastAsia" w:ascii="楷体" w:hAnsi="楷体" w:eastAsia="楷体" w:cs="楷体"/>
          <w:sz w:val="30"/>
          <w:szCs w:val="30"/>
        </w:rPr>
        <w:t>七、部门预算公开附件</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①部门预算公开套表</w:t>
      </w:r>
    </w:p>
    <w:p>
      <w:pPr>
        <w:spacing w:line="40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目录</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1.收支预算总表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2.收支预算总表（一级单位汇总）</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3.财政拨款收支总表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4.部门收入总表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5.部门支出总表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6.一般公共预算支出表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7.一般公共预算基本支出表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8.政府性基金预算支出表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9.一般公共预算“三公”经费支出表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10.政府购买服务预算表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11.政府采购预算表</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②部门整体支出绩效目标申报表</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③专项资金绩效目标申报表</w:t>
      </w:r>
    </w:p>
    <w:p>
      <w:pPr>
        <w:widowControl/>
        <w:shd w:val="clear" w:color="auto" w:fill="FFFFFF"/>
        <w:rPr>
          <w:rFonts w:ascii="微软雅黑" w:hAnsi="微软雅黑" w:eastAsia="宋体" w:cs="宋体"/>
          <w:kern w:val="0"/>
          <w:sz w:val="24"/>
        </w:rPr>
      </w:pPr>
      <w:r>
        <w:rPr>
          <w:rFonts w:hint="eastAsia" w:ascii="宋体" w:hAnsi="宋体" w:eastAsia="宋体" w:cs="宋体"/>
          <w:kern w:val="0"/>
          <w:sz w:val="44"/>
          <w:szCs w:val="44"/>
        </w:rPr>
        <w:t> </w:t>
      </w:r>
    </w:p>
    <w:p>
      <w:pPr>
        <w:widowControl/>
        <w:shd w:val="clear" w:color="auto" w:fill="FFFFFF"/>
        <w:jc w:val="center"/>
        <w:rPr>
          <w:rFonts w:ascii="微软雅黑" w:hAnsi="微软雅黑" w:eastAsia="宋体" w:cs="宋体"/>
          <w:kern w:val="0"/>
          <w:sz w:val="24"/>
        </w:rPr>
      </w:pPr>
      <w:r>
        <w:rPr>
          <w:rFonts w:hint="eastAsia" w:ascii="微软雅黑" w:hAnsi="微软雅黑" w:eastAsia="微软雅黑" w:cs="宋体"/>
          <w:kern w:val="0"/>
          <w:sz w:val="44"/>
          <w:szCs w:val="44"/>
        </w:rPr>
        <w:t>衡东县委政法委2021年部门预算公开说明</w:t>
      </w:r>
    </w:p>
    <w:p>
      <w:pPr>
        <w:widowControl/>
        <w:shd w:val="clear" w:color="auto" w:fill="FFFFFF"/>
        <w:jc w:val="left"/>
        <w:rPr>
          <w:rFonts w:ascii="微软雅黑" w:hAnsi="微软雅黑" w:eastAsia="宋体" w:cs="宋体"/>
          <w:kern w:val="0"/>
          <w:sz w:val="24"/>
        </w:rPr>
      </w:pPr>
      <w:r>
        <w:rPr>
          <w:rFonts w:hint="eastAsia" w:ascii="微软雅黑" w:hAnsi="微软雅黑" w:eastAsia="微软雅黑" w:cs="宋体"/>
          <w:kern w:val="0"/>
          <w:sz w:val="32"/>
          <w:szCs w:val="32"/>
        </w:rPr>
        <w:t> </w:t>
      </w:r>
    </w:p>
    <w:p>
      <w:pPr>
        <w:widowControl/>
        <w:shd w:val="clear" w:color="auto" w:fill="FFFFFF"/>
        <w:spacing w:line="495" w:lineRule="atLeast"/>
        <w:jc w:val="left"/>
        <w:rPr>
          <w:rFonts w:cs="宋体" w:asciiTheme="minorEastAsia" w:hAnsiTheme="minorEastAsia"/>
          <w:kern w:val="0"/>
          <w:sz w:val="30"/>
          <w:szCs w:val="30"/>
        </w:rPr>
      </w:pPr>
      <w:r>
        <w:rPr>
          <w:rFonts w:hint="eastAsia" w:cs="宋体" w:asciiTheme="minorEastAsia" w:hAnsiTheme="minorEastAsia"/>
          <w:kern w:val="0"/>
          <w:sz w:val="30"/>
          <w:szCs w:val="30"/>
        </w:rPr>
        <w:t>一、部门职能职责</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本单位主要职能是：</w:t>
      </w:r>
    </w:p>
    <w:p>
      <w:pPr>
        <w:widowControl/>
        <w:shd w:val="clear" w:color="auto" w:fill="FFFFFF"/>
        <w:ind w:firstLine="645"/>
        <w:jc w:val="left"/>
        <w:rPr>
          <w:rFonts w:cs="宋体" w:asciiTheme="minorEastAsia" w:hAnsiTheme="minorEastAsia"/>
          <w:kern w:val="0"/>
          <w:sz w:val="30"/>
          <w:szCs w:val="30"/>
        </w:rPr>
      </w:pPr>
      <w:r>
        <w:rPr>
          <w:rFonts w:hint="eastAsia" w:cs="宋体" w:asciiTheme="minorEastAsia" w:hAnsiTheme="minorEastAsia"/>
          <w:b/>
          <w:bCs/>
          <w:kern w:val="0"/>
          <w:sz w:val="30"/>
          <w:szCs w:val="30"/>
        </w:rPr>
        <w:t>工作职责：</w:t>
      </w:r>
      <w:r>
        <w:rPr>
          <w:rFonts w:hint="eastAsia" w:cs="宋体" w:asciiTheme="minorEastAsia" w:hAnsiTheme="minorEastAsia"/>
          <w:kern w:val="0"/>
          <w:sz w:val="30"/>
          <w:szCs w:val="30"/>
        </w:rPr>
        <w:t>（一）、根据党的路线、方针、政策和县委的部署，统一政法部门的思想和行动，对一定时期内的政法工作作出全面性部署，并督促贯彻落实。（二）、组织、协调、指导维护社会稳定的工作，必要时直接参与影响稳定的重大群体事件的处置。（三）、检查政法部门执行法律法规和党的方针政策的情况，结合实际研究制定严肃执法、落实党的方针政策和具体措施。（四）、支持和监督政法各部门依法行使职权，指导和协调政法各部门在依法相互制约的同时密切配合，督促推进大案要案的查处工作，研究有争议的重大、疑难案件。（五）、组织、协调社会治安综合治理工作和维护稳定工作，推动社会治安综合治理和维护稳定各项措施的落实。（六）、组织、推动政法战线的调查研究工作，探索改革加强政法工作的措施、办法。（七）、协助党委及组织部门管理好政法部门的领导班子和政法干部队伍。（八）、组织查处政法系统干部、干警中有重大影响的违法违纪案件。（九）、办理县委、县政府才上级政法委员会交办的其他事项。</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 </w:t>
      </w:r>
    </w:p>
    <w:p>
      <w:pPr>
        <w:widowControl/>
        <w:shd w:val="clear" w:color="auto" w:fill="FFFFFF"/>
        <w:spacing w:line="495" w:lineRule="atLeast"/>
        <w:jc w:val="left"/>
        <w:rPr>
          <w:rFonts w:cs="宋体" w:asciiTheme="minorEastAsia" w:hAnsiTheme="minorEastAsia"/>
          <w:kern w:val="0"/>
          <w:sz w:val="30"/>
          <w:szCs w:val="30"/>
        </w:rPr>
      </w:pPr>
      <w:r>
        <w:rPr>
          <w:rFonts w:hint="eastAsia" w:cs="宋体" w:asciiTheme="minorEastAsia" w:hAnsiTheme="minorEastAsia"/>
          <w:kern w:val="0"/>
          <w:sz w:val="30"/>
          <w:szCs w:val="30"/>
        </w:rPr>
        <w:t>二、机构设置及部门预算单位构成</w:t>
      </w:r>
    </w:p>
    <w:p>
      <w:pPr>
        <w:widowControl/>
        <w:shd w:val="clear" w:color="auto" w:fill="FFFFFF"/>
        <w:spacing w:line="495" w:lineRule="atLeast"/>
        <w:ind w:firstLine="645"/>
        <w:jc w:val="left"/>
        <w:rPr>
          <w:rFonts w:cs="宋体" w:asciiTheme="minorEastAsia" w:hAnsiTheme="minorEastAsia"/>
          <w:kern w:val="0"/>
          <w:sz w:val="30"/>
          <w:szCs w:val="30"/>
        </w:rPr>
      </w:pPr>
      <w:r>
        <w:rPr>
          <w:rFonts w:hint="eastAsia" w:cs="宋体" w:asciiTheme="minorEastAsia" w:hAnsiTheme="minorEastAsia"/>
          <w:kern w:val="0"/>
          <w:sz w:val="30"/>
          <w:szCs w:val="30"/>
        </w:rPr>
        <w:t>本单位现有内设机构9个，在职人员36人，退休人员12人。本单位下设衡东县法学会及衡东县社会综合治理和网格化信息中心两个二级机构，纳入本单位预算编制范围的归口管理部门及单位包括：衡东县法学会及衡东县社会综合治理和网格化信息中心，以上部门一并进行预算公开。</w:t>
      </w:r>
    </w:p>
    <w:p>
      <w:pPr>
        <w:widowControl/>
        <w:shd w:val="clear" w:color="auto" w:fill="FFFFFF"/>
        <w:spacing w:line="495" w:lineRule="atLeast"/>
        <w:jc w:val="left"/>
        <w:rPr>
          <w:rFonts w:cs="宋体" w:asciiTheme="minorEastAsia" w:hAnsiTheme="minorEastAsia"/>
          <w:kern w:val="0"/>
          <w:sz w:val="30"/>
          <w:szCs w:val="30"/>
        </w:rPr>
      </w:pPr>
      <w:r>
        <w:rPr>
          <w:rFonts w:hint="eastAsia" w:cs="宋体" w:asciiTheme="minorEastAsia" w:hAnsiTheme="minorEastAsia"/>
          <w:kern w:val="0"/>
          <w:sz w:val="30"/>
          <w:szCs w:val="30"/>
        </w:rPr>
        <w:t>三、部门收支总体情况</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2021年本单位部门预算包括本部门和归口管理单位的汇总情况。收入包括财政预算</w:t>
      </w:r>
      <w:r>
        <w:rPr>
          <w:rFonts w:hint="eastAsia" w:cs="宋体" w:asciiTheme="minorEastAsia" w:hAnsiTheme="minorEastAsia"/>
          <w:kern w:val="0"/>
          <w:sz w:val="30"/>
          <w:szCs w:val="30"/>
          <w:lang w:eastAsia="zh-CN"/>
        </w:rPr>
        <w:t>拨款</w:t>
      </w:r>
      <w:r>
        <w:rPr>
          <w:rFonts w:hint="eastAsia" w:cs="宋体" w:asciiTheme="minorEastAsia" w:hAnsiTheme="minorEastAsia"/>
          <w:kern w:val="0"/>
          <w:sz w:val="30"/>
          <w:szCs w:val="30"/>
        </w:rPr>
        <w:t>收入及其他收入；支出包括本单位和归口管理单位的基本支出和项目支出。</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一）收入预算，2021年年初预算数590.5万元，其中：年初预算安排590.5万元。2021年收入预算较去年增加37.14万元，主要是经费拨款增加37.14万元（因下属事业单位衡东县社会治理与网格化信息中心新招考事业编制2人，故人员经费和公用经费相应增加）。</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二）支出预算，2021年年初预算数590.5万元，其中，一般公共服务支出524.07万元、社会保障和就业支出40.01万元、住房保障支出26.42万元。支出较去年增加37.14万元，因下属事业单位衡东县社会治理与网格化信息中心新招考事业编制2人，故人员经费和公用经费相应增加。</w:t>
      </w:r>
    </w:p>
    <w:p>
      <w:pPr>
        <w:widowControl/>
        <w:shd w:val="clear" w:color="auto" w:fill="FFFFFF"/>
        <w:spacing w:line="495" w:lineRule="atLeast"/>
        <w:jc w:val="left"/>
        <w:rPr>
          <w:rFonts w:cs="宋体" w:asciiTheme="minorEastAsia" w:hAnsiTheme="minorEastAsia"/>
          <w:kern w:val="0"/>
          <w:sz w:val="30"/>
          <w:szCs w:val="30"/>
        </w:rPr>
      </w:pPr>
      <w:r>
        <w:rPr>
          <w:rFonts w:hint="eastAsia" w:cs="宋体" w:asciiTheme="minorEastAsia" w:hAnsiTheme="minorEastAsia"/>
          <w:kern w:val="0"/>
          <w:sz w:val="30"/>
          <w:szCs w:val="30"/>
        </w:rPr>
        <w:t>四、一般公共预算拨款支出预算</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2021年一般公共预算拨款收入590.5万元，具体安排情况如下：</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一）基本支出：2021年年初预算数为475.5万元，是指为保障单位机构正常运转、完成日常工作任务而发生的各项支出，包括用于基本工资、津贴补贴等人员经费以及办公费、印刷费、水电费、办公设备购置等日常公用经费。</w:t>
      </w:r>
    </w:p>
    <w:p>
      <w:pPr>
        <w:widowControl/>
        <w:shd w:val="clear" w:color="auto" w:fill="FFFFFF"/>
        <w:spacing w:line="495" w:lineRule="atLeast"/>
        <w:ind w:firstLine="480"/>
        <w:jc w:val="left"/>
        <w:rPr>
          <w:rFonts w:hint="eastAsia" w:cs="宋体" w:asciiTheme="minorEastAsia" w:hAnsiTheme="minorEastAsia"/>
          <w:kern w:val="0"/>
          <w:sz w:val="30"/>
          <w:szCs w:val="30"/>
        </w:rPr>
      </w:pPr>
      <w:r>
        <w:rPr>
          <w:rFonts w:hint="eastAsia" w:cs="宋体" w:asciiTheme="minorEastAsia" w:hAnsiTheme="minorEastAsia"/>
          <w:kern w:val="0"/>
          <w:sz w:val="30"/>
          <w:szCs w:val="30"/>
        </w:rPr>
        <w:t>（二）项目支出：2021年年初预算数为115万元，是指单位为完成特定行政工作任务或事业发展目标而发生的支出，其中：1、见义勇为基金综合治理等经费资金预算安排10万元，主要用于见义勇为事迹的考察评估，走访宣传，对见义勇为人员的奖励；2、政法网络维护经费资金预算安排4万元，主要用于政法委机关网络的维修维护；3、民调及维稳经费预算安排50万元，主要用于综治民调工作相关开支；4、综治中心运行维护费预算安排35万元，主要用于衡东县社会综合治理和网格化信息中心日常工作运转开支；5、反邪教防控专项经费预算安排8万元，主要用于反邪教工作宣传防控及日常工作开支；6、国安专项经费预算安排5万元，主要用于国安办日常工作开支；7、法学会经费预算安排3万元，主要用于衡东县法学会日常办公开支。</w:t>
      </w:r>
    </w:p>
    <w:p>
      <w:pPr>
        <w:numPr>
          <w:ilvl w:val="0"/>
          <w:numId w:val="0"/>
        </w:numPr>
        <w:rPr>
          <w:rFonts w:hint="default" w:ascii="宋体" w:hAnsi="宋体" w:eastAsia="宋体" w:cs="宋体"/>
          <w:i w:val="0"/>
          <w:iCs w:val="0"/>
          <w:caps w:val="0"/>
          <w:color w:val="000000"/>
          <w:spacing w:val="30"/>
          <w:sz w:val="30"/>
          <w:szCs w:val="30"/>
          <w:shd w:val="clear" w:fill="FFFFFF"/>
          <w:lang w:val="en-US" w:eastAsia="zh-CN"/>
        </w:rPr>
      </w:pPr>
      <w:r>
        <w:rPr>
          <w:rFonts w:hint="eastAsia" w:cs="宋体" w:asciiTheme="minorEastAsia" w:hAnsiTheme="minorEastAsia"/>
          <w:kern w:val="0"/>
          <w:sz w:val="30"/>
          <w:szCs w:val="30"/>
          <w:lang w:val="en-US" w:eastAsia="zh-CN"/>
        </w:rPr>
        <w:t>五、</w:t>
      </w:r>
      <w:r>
        <w:rPr>
          <w:rFonts w:hint="eastAsia" w:ascii="宋体" w:hAnsi="宋体" w:eastAsia="宋体" w:cs="宋体"/>
          <w:i w:val="0"/>
          <w:iCs w:val="0"/>
          <w:caps w:val="0"/>
          <w:color w:val="000000"/>
          <w:spacing w:val="30"/>
          <w:sz w:val="30"/>
          <w:szCs w:val="30"/>
          <w:shd w:val="clear" w:fill="FFFFFF"/>
          <w:lang w:val="en-US" w:eastAsia="zh-CN"/>
        </w:rPr>
        <w:t xml:space="preserve">政府性基金支出 </w:t>
      </w:r>
    </w:p>
    <w:p>
      <w:pPr>
        <w:widowControl/>
        <w:shd w:val="clear" w:color="auto" w:fill="FFFFFF"/>
        <w:spacing w:line="495" w:lineRule="atLeast"/>
        <w:jc w:val="left"/>
        <w:rPr>
          <w:rFonts w:hint="eastAsia" w:cs="宋体" w:asciiTheme="minorEastAsia" w:hAnsiTheme="minorEastAsia" w:eastAsiaTheme="minorEastAsia"/>
          <w:kern w:val="0"/>
          <w:sz w:val="30"/>
          <w:szCs w:val="30"/>
          <w:lang w:val="en-US" w:eastAsia="zh-CN"/>
        </w:rPr>
      </w:pPr>
      <w:r>
        <w:rPr>
          <w:rFonts w:hint="eastAsia" w:ascii="宋体" w:hAnsi="宋体" w:eastAsia="宋体" w:cs="宋体"/>
          <w:i w:val="0"/>
          <w:iCs w:val="0"/>
          <w:caps w:val="0"/>
          <w:color w:val="000000"/>
          <w:spacing w:val="30"/>
          <w:sz w:val="30"/>
          <w:szCs w:val="30"/>
          <w:shd w:val="clear" w:fill="FFFFFF"/>
          <w:lang w:val="en-US" w:eastAsia="zh-CN"/>
        </w:rPr>
        <w:t xml:space="preserve">   2021年本单位无政府性基金支出。</w:t>
      </w:r>
    </w:p>
    <w:p>
      <w:pPr>
        <w:widowControl/>
        <w:shd w:val="clear" w:color="auto" w:fill="FFFFFF"/>
        <w:spacing w:line="495" w:lineRule="atLeast"/>
        <w:jc w:val="left"/>
        <w:rPr>
          <w:rFonts w:cs="宋体" w:asciiTheme="minorEastAsia" w:hAnsiTheme="minorEastAsia"/>
          <w:kern w:val="0"/>
          <w:sz w:val="30"/>
          <w:szCs w:val="30"/>
        </w:rPr>
      </w:pPr>
      <w:r>
        <w:rPr>
          <w:rFonts w:hint="eastAsia" w:cs="宋体" w:asciiTheme="minorEastAsia" w:hAnsiTheme="minorEastAsia"/>
          <w:kern w:val="0"/>
          <w:sz w:val="30"/>
          <w:szCs w:val="30"/>
          <w:lang w:eastAsia="zh-CN"/>
        </w:rPr>
        <w:t>六</w:t>
      </w:r>
      <w:r>
        <w:rPr>
          <w:rFonts w:hint="eastAsia" w:cs="宋体" w:asciiTheme="minorEastAsia" w:hAnsiTheme="minorEastAsia"/>
          <w:kern w:val="0"/>
          <w:sz w:val="30"/>
          <w:szCs w:val="30"/>
        </w:rPr>
        <w:t>、其他重要事项情况说明</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1、机关运行经费情况</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本部门机关运行经费为财政预算拨款409.07万元，其中办公费25万元、印刷费15万元、水费0.5万元、电费3万元、邮电费0.8万元、差旅费15万元、维修（护）费5万元、会议费5万元、公务接待费4万元、劳务费5万元、工会经费2.64万元、福利费5.5万元、公务用车运行维护费5万元、其他交通费用16.13万元、其他商品和服务支出10.3万元。比上年预算增加4.3万元，增加的主要原因是人员的增加，人员经费和办公费用也随之增加。</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2、“三公”经费预算</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2021年“三公”经费预算数为13万元，其中，公务接待费5万元，公务用车购置及运行费8万元（含公务用车运行费8万元）。本年“三公”经费预算与上年相比，增加0.2万元，增加主要原因今年政法系统教育整顿工作是全年工作重点，接待上级部门的督导督查工作相应增加。</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3、政府采购项目情况</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2021年政府采购预算总额0万元。</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4、国有资产占有情况</w:t>
      </w:r>
    </w:p>
    <w:p>
      <w:pPr>
        <w:widowControl/>
        <w:shd w:val="clear" w:color="auto" w:fill="FFFFFF"/>
        <w:spacing w:line="495" w:lineRule="atLeast"/>
        <w:jc w:val="left"/>
        <w:rPr>
          <w:rFonts w:cs="宋体" w:asciiTheme="minorEastAsia" w:hAnsiTheme="minorEastAsia"/>
          <w:kern w:val="0"/>
          <w:sz w:val="30"/>
          <w:szCs w:val="30"/>
        </w:rPr>
      </w:pPr>
      <w:r>
        <w:rPr>
          <w:rFonts w:hint="eastAsia" w:cs="宋体" w:asciiTheme="minorEastAsia" w:hAnsiTheme="minorEastAsia"/>
          <w:kern w:val="0"/>
          <w:sz w:val="30"/>
          <w:szCs w:val="30"/>
        </w:rPr>
        <w:t>    截止2020年12月31日，本部门共有办公及业务用房640平方米；车辆3辆。2021年部门预算安排购置车辆3辆。</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5、预算绩效目标和预算绩效管理情况</w:t>
      </w:r>
    </w:p>
    <w:p>
      <w:pPr>
        <w:widowControl/>
        <w:shd w:val="clear" w:color="auto" w:fill="FFFFFF"/>
        <w:spacing w:line="495" w:lineRule="atLeast"/>
        <w:ind w:firstLine="480"/>
        <w:jc w:val="left"/>
        <w:rPr>
          <w:rFonts w:cs="宋体" w:asciiTheme="minorEastAsia" w:hAnsiTheme="minorEastAsia"/>
          <w:kern w:val="0"/>
          <w:sz w:val="30"/>
          <w:szCs w:val="30"/>
        </w:rPr>
      </w:pPr>
      <w:r>
        <w:rPr>
          <w:rFonts w:hint="eastAsia" w:cs="宋体" w:asciiTheme="minorEastAsia" w:hAnsiTheme="minorEastAsia"/>
          <w:kern w:val="0"/>
          <w:sz w:val="30"/>
          <w:szCs w:val="30"/>
        </w:rPr>
        <w:t>本部门整体支出和项目支出预算实行绩效目标管理，纳入2021年部门整体支出绩效目标的金额为590.5万元，其中，基本支出475.5万元，项目支出115万元。</w:t>
      </w:r>
    </w:p>
    <w:p>
      <w:pPr>
        <w:widowControl/>
        <w:shd w:val="clear" w:color="auto" w:fill="FFFFFF"/>
        <w:jc w:val="left"/>
        <w:rPr>
          <w:rFonts w:cs="宋体" w:asciiTheme="minorEastAsia" w:hAnsiTheme="minorEastAsia"/>
          <w:kern w:val="0"/>
          <w:sz w:val="30"/>
          <w:szCs w:val="30"/>
        </w:rPr>
      </w:pPr>
      <w:r>
        <w:rPr>
          <w:rFonts w:hint="eastAsia" w:cs="宋体" w:asciiTheme="minorEastAsia" w:hAnsiTheme="minorEastAsia"/>
          <w:kern w:val="0"/>
          <w:sz w:val="30"/>
          <w:szCs w:val="30"/>
        </w:rPr>
        <w:t>七、部门预算公开附件（附后）</w:t>
      </w:r>
    </w:p>
    <w:p>
      <w:pPr>
        <w:rPr>
          <w:rFonts w:asciiTheme="minorEastAsia" w:hAnsiTheme="minorEastAsia"/>
          <w:sz w:val="30"/>
          <w:szCs w:val="30"/>
        </w:rPr>
      </w:pPr>
    </w:p>
    <w:sectPr>
      <w:footerReference r:id="rId3" w:type="default"/>
      <w:pgSz w:w="11906" w:h="16838"/>
      <w:pgMar w:top="1440" w:right="1423" w:bottom="1440" w:left="14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wNTEyODM1NDQxNjYzN2JhYjFlZjYyNTZjMzA2ZjkifQ=="/>
    <w:docVar w:name="KSO_WPS_MARK_KEY" w:val="009d90e0-9596-44a1-a7c8-47cb0f7ee659"/>
  </w:docVars>
  <w:rsids>
    <w:rsidRoot w:val="78F44C01"/>
    <w:rsid w:val="002A04A2"/>
    <w:rsid w:val="00331C90"/>
    <w:rsid w:val="003501FF"/>
    <w:rsid w:val="00374014"/>
    <w:rsid w:val="005C4758"/>
    <w:rsid w:val="007D79E0"/>
    <w:rsid w:val="008C08CB"/>
    <w:rsid w:val="00A55F71"/>
    <w:rsid w:val="00DD4EA2"/>
    <w:rsid w:val="00E30B4F"/>
    <w:rsid w:val="04181D64"/>
    <w:rsid w:val="04535B55"/>
    <w:rsid w:val="06262424"/>
    <w:rsid w:val="06356B9E"/>
    <w:rsid w:val="08D54674"/>
    <w:rsid w:val="094C1F3C"/>
    <w:rsid w:val="0AAA4D8D"/>
    <w:rsid w:val="0CE57F9B"/>
    <w:rsid w:val="0D1B0236"/>
    <w:rsid w:val="110A4548"/>
    <w:rsid w:val="11E74D3F"/>
    <w:rsid w:val="13E815FF"/>
    <w:rsid w:val="14CF0E56"/>
    <w:rsid w:val="174D6F5C"/>
    <w:rsid w:val="191C4A35"/>
    <w:rsid w:val="1CEE4A6A"/>
    <w:rsid w:val="1EDE1A94"/>
    <w:rsid w:val="1F9D579B"/>
    <w:rsid w:val="1FE27CAB"/>
    <w:rsid w:val="203842CB"/>
    <w:rsid w:val="23E21288"/>
    <w:rsid w:val="267D5F9A"/>
    <w:rsid w:val="29014437"/>
    <w:rsid w:val="29605051"/>
    <w:rsid w:val="29707BAA"/>
    <w:rsid w:val="2E0E6743"/>
    <w:rsid w:val="30B728BF"/>
    <w:rsid w:val="30E635C8"/>
    <w:rsid w:val="31726F6B"/>
    <w:rsid w:val="34CE667D"/>
    <w:rsid w:val="34E2135B"/>
    <w:rsid w:val="35480150"/>
    <w:rsid w:val="36003260"/>
    <w:rsid w:val="38060871"/>
    <w:rsid w:val="3E5755B2"/>
    <w:rsid w:val="3E9F4F8C"/>
    <w:rsid w:val="422947AD"/>
    <w:rsid w:val="46A20FE1"/>
    <w:rsid w:val="49EA1A13"/>
    <w:rsid w:val="4C180157"/>
    <w:rsid w:val="4D984B40"/>
    <w:rsid w:val="4E134FFC"/>
    <w:rsid w:val="526F6531"/>
    <w:rsid w:val="56493488"/>
    <w:rsid w:val="583B12D8"/>
    <w:rsid w:val="5A0904D4"/>
    <w:rsid w:val="5AB453EF"/>
    <w:rsid w:val="5BBC3CD0"/>
    <w:rsid w:val="5CDB46AA"/>
    <w:rsid w:val="5E1F2BD5"/>
    <w:rsid w:val="64350850"/>
    <w:rsid w:val="64774D48"/>
    <w:rsid w:val="69000C13"/>
    <w:rsid w:val="6C2D7FE4"/>
    <w:rsid w:val="6D1C161A"/>
    <w:rsid w:val="6FD60C4C"/>
    <w:rsid w:val="717A34D6"/>
    <w:rsid w:val="72B43A5A"/>
    <w:rsid w:val="72B70408"/>
    <w:rsid w:val="733E0D04"/>
    <w:rsid w:val="746027E7"/>
    <w:rsid w:val="7796726F"/>
    <w:rsid w:val="78F44C01"/>
    <w:rsid w:val="7DE62FB1"/>
    <w:rsid w:val="7E747462"/>
    <w:rsid w:val="7F335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2200</Words>
  <Characters>2359</Characters>
  <Lines>20</Lines>
  <Paragraphs>5</Paragraphs>
  <TotalTime>1</TotalTime>
  <ScaleCrop>false</ScaleCrop>
  <LinksUpToDate>false</LinksUpToDate>
  <CharactersWithSpaces>2378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蒋阔</cp:lastModifiedBy>
  <cp:lastPrinted>2021-05-27T08:13:00Z</cp:lastPrinted>
  <dcterms:modified xsi:type="dcterms:W3CDTF">2024-10-17T06:40:33Z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CFDCCEA2B52D44208A1D4E54F1344B6D</vt:lpwstr>
  </property>
</Properties>
</file>