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cs="宋体"/>
          <w:b/>
          <w:bCs/>
          <w:sz w:val="30"/>
          <w:szCs w:val="30"/>
        </w:rPr>
      </w:pPr>
      <w:r>
        <w:rPr>
          <w:rFonts w:hint="eastAsia" w:ascii="宋体" w:hAnsi="宋体" w:eastAsia="宋体" w:cs="宋体"/>
          <w:b/>
          <w:bCs/>
          <w:sz w:val="30"/>
          <w:szCs w:val="30"/>
        </w:rPr>
        <w:t>部门预算公开目录：</w:t>
      </w:r>
    </w:p>
    <w:p>
      <w:pPr>
        <w:spacing w:line="360" w:lineRule="exact"/>
        <w:jc w:val="left"/>
        <w:rPr>
          <w:rFonts w:ascii="楷体" w:hAnsi="楷体" w:eastAsia="楷体" w:cs="楷体"/>
          <w:sz w:val="28"/>
          <w:szCs w:val="28"/>
        </w:rPr>
      </w:pPr>
      <w:r>
        <w:rPr>
          <w:rFonts w:hint="eastAsia" w:ascii="楷体" w:hAnsi="楷体" w:eastAsia="楷体" w:cs="楷体"/>
          <w:sz w:val="28"/>
          <w:szCs w:val="28"/>
        </w:rPr>
        <w:t>一、部门职能及概况</w:t>
      </w:r>
    </w:p>
    <w:p>
      <w:pPr>
        <w:spacing w:line="360" w:lineRule="exact"/>
        <w:jc w:val="left"/>
        <w:rPr>
          <w:rFonts w:ascii="楷体" w:hAnsi="楷体" w:eastAsia="楷体" w:cs="楷体"/>
          <w:sz w:val="28"/>
          <w:szCs w:val="28"/>
        </w:rPr>
      </w:pPr>
      <w:r>
        <w:rPr>
          <w:rFonts w:hint="eastAsia" w:ascii="楷体" w:hAnsi="楷体" w:eastAsia="楷体" w:cs="楷体"/>
          <w:sz w:val="28"/>
          <w:szCs w:val="28"/>
        </w:rPr>
        <w:t>二、部门机构设置</w:t>
      </w:r>
      <w:bookmarkStart w:id="0" w:name="_GoBack"/>
      <w:bookmarkEnd w:id="0"/>
    </w:p>
    <w:p>
      <w:pPr>
        <w:spacing w:line="360" w:lineRule="exact"/>
        <w:jc w:val="left"/>
        <w:rPr>
          <w:rFonts w:ascii="楷体" w:hAnsi="楷体" w:eastAsia="楷体" w:cs="楷体"/>
          <w:sz w:val="28"/>
          <w:szCs w:val="28"/>
        </w:rPr>
      </w:pPr>
      <w:r>
        <w:rPr>
          <w:rFonts w:hint="eastAsia" w:ascii="楷体" w:hAnsi="楷体" w:eastAsia="楷体" w:cs="楷体"/>
          <w:sz w:val="28"/>
          <w:szCs w:val="28"/>
        </w:rPr>
        <w:t>三、部门收支总体情况</w:t>
      </w:r>
    </w:p>
    <w:p>
      <w:pPr>
        <w:spacing w:line="360" w:lineRule="exact"/>
        <w:jc w:val="left"/>
        <w:rPr>
          <w:rFonts w:ascii="楷体" w:hAnsi="楷体" w:eastAsia="楷体" w:cs="楷体"/>
          <w:sz w:val="28"/>
          <w:szCs w:val="28"/>
        </w:rPr>
      </w:pPr>
      <w:r>
        <w:rPr>
          <w:rFonts w:hint="eastAsia" w:ascii="楷体" w:hAnsi="楷体" w:eastAsia="楷体" w:cs="楷体"/>
          <w:sz w:val="28"/>
          <w:szCs w:val="28"/>
        </w:rPr>
        <w:t xml:space="preserve">  1.收入预算情况</w:t>
      </w:r>
    </w:p>
    <w:p>
      <w:pPr>
        <w:spacing w:line="360" w:lineRule="exact"/>
        <w:jc w:val="left"/>
        <w:rPr>
          <w:rFonts w:ascii="楷体" w:hAnsi="楷体" w:eastAsia="楷体" w:cs="楷体"/>
          <w:sz w:val="28"/>
          <w:szCs w:val="28"/>
        </w:rPr>
      </w:pPr>
      <w:r>
        <w:rPr>
          <w:rFonts w:hint="eastAsia" w:ascii="楷体" w:hAnsi="楷体" w:eastAsia="楷体" w:cs="楷体"/>
          <w:sz w:val="28"/>
          <w:szCs w:val="28"/>
        </w:rPr>
        <w:t xml:space="preserve">  2.支出预算情况</w:t>
      </w:r>
    </w:p>
    <w:p>
      <w:pPr>
        <w:spacing w:line="360" w:lineRule="exact"/>
        <w:jc w:val="left"/>
        <w:rPr>
          <w:rFonts w:ascii="楷体" w:hAnsi="楷体" w:eastAsia="楷体" w:cs="楷体"/>
          <w:sz w:val="28"/>
          <w:szCs w:val="28"/>
        </w:rPr>
      </w:pPr>
      <w:r>
        <w:rPr>
          <w:rFonts w:hint="eastAsia" w:ascii="楷体" w:hAnsi="楷体" w:eastAsia="楷体" w:cs="楷体"/>
          <w:sz w:val="28"/>
          <w:szCs w:val="28"/>
        </w:rPr>
        <w:t>四、一般公共预算安排情况说明</w:t>
      </w:r>
    </w:p>
    <w:p>
      <w:pPr>
        <w:spacing w:line="360" w:lineRule="exact"/>
        <w:jc w:val="left"/>
        <w:rPr>
          <w:rFonts w:ascii="楷体" w:hAnsi="楷体" w:eastAsia="楷体" w:cs="楷体"/>
          <w:sz w:val="28"/>
          <w:szCs w:val="28"/>
        </w:rPr>
      </w:pPr>
      <w:r>
        <w:rPr>
          <w:rFonts w:hint="eastAsia" w:ascii="楷体" w:hAnsi="楷体" w:eastAsia="楷体" w:cs="楷体"/>
          <w:sz w:val="28"/>
          <w:szCs w:val="28"/>
        </w:rPr>
        <w:t xml:space="preserve">  1.基本支出情况</w:t>
      </w:r>
    </w:p>
    <w:p>
      <w:pPr>
        <w:spacing w:line="360" w:lineRule="exact"/>
        <w:jc w:val="left"/>
        <w:rPr>
          <w:rFonts w:ascii="楷体" w:hAnsi="楷体" w:eastAsia="楷体" w:cs="楷体"/>
          <w:sz w:val="28"/>
          <w:szCs w:val="28"/>
        </w:rPr>
      </w:pPr>
      <w:r>
        <w:rPr>
          <w:rFonts w:hint="eastAsia" w:ascii="楷体" w:hAnsi="楷体" w:eastAsia="楷体" w:cs="楷体"/>
          <w:sz w:val="28"/>
          <w:szCs w:val="28"/>
        </w:rPr>
        <w:t xml:space="preserve">  2.项目支出情况</w:t>
      </w:r>
    </w:p>
    <w:p>
      <w:pPr>
        <w:spacing w:line="360" w:lineRule="exact"/>
        <w:jc w:val="left"/>
        <w:rPr>
          <w:rFonts w:ascii="楷体" w:hAnsi="楷体" w:eastAsia="楷体" w:cs="楷体"/>
          <w:sz w:val="28"/>
          <w:szCs w:val="28"/>
        </w:rPr>
      </w:pPr>
      <w:r>
        <w:rPr>
          <w:rFonts w:hint="eastAsia" w:ascii="楷体" w:hAnsi="楷体" w:eastAsia="楷体" w:cs="楷体"/>
          <w:sz w:val="28"/>
          <w:szCs w:val="28"/>
        </w:rPr>
        <w:t>五、政府性基金预算支出</w:t>
      </w:r>
    </w:p>
    <w:p>
      <w:pPr>
        <w:spacing w:line="360" w:lineRule="exact"/>
        <w:jc w:val="left"/>
        <w:rPr>
          <w:rFonts w:ascii="楷体" w:hAnsi="楷体" w:eastAsia="楷体" w:cs="楷体"/>
          <w:sz w:val="28"/>
          <w:szCs w:val="28"/>
        </w:rPr>
      </w:pPr>
      <w:r>
        <w:rPr>
          <w:rFonts w:hint="eastAsia" w:ascii="楷体" w:hAnsi="楷体" w:eastAsia="楷体" w:cs="楷体"/>
          <w:sz w:val="28"/>
          <w:szCs w:val="28"/>
        </w:rPr>
        <w:t>六、其他重要事项情况说明</w:t>
      </w:r>
    </w:p>
    <w:p>
      <w:pPr>
        <w:spacing w:line="360" w:lineRule="exact"/>
        <w:ind w:firstLine="280" w:firstLineChars="100"/>
        <w:jc w:val="left"/>
        <w:rPr>
          <w:rFonts w:ascii="楷体" w:hAnsi="楷体" w:eastAsia="楷体" w:cs="楷体"/>
          <w:sz w:val="28"/>
          <w:szCs w:val="28"/>
        </w:rPr>
      </w:pPr>
      <w:r>
        <w:rPr>
          <w:rFonts w:hint="eastAsia" w:ascii="楷体" w:hAnsi="楷体" w:eastAsia="楷体" w:cs="楷体"/>
          <w:sz w:val="28"/>
          <w:szCs w:val="28"/>
        </w:rPr>
        <w:t>1.机关运行经费情况</w:t>
      </w:r>
    </w:p>
    <w:p>
      <w:pPr>
        <w:spacing w:line="360" w:lineRule="exact"/>
        <w:ind w:firstLine="280" w:firstLineChars="100"/>
        <w:jc w:val="left"/>
        <w:rPr>
          <w:rFonts w:ascii="楷体" w:hAnsi="楷体" w:eastAsia="楷体" w:cs="楷体"/>
          <w:sz w:val="28"/>
          <w:szCs w:val="28"/>
        </w:rPr>
      </w:pPr>
      <w:r>
        <w:rPr>
          <w:rFonts w:hint="eastAsia" w:ascii="楷体" w:hAnsi="楷体" w:eastAsia="楷体" w:cs="楷体"/>
          <w:sz w:val="28"/>
          <w:szCs w:val="28"/>
        </w:rPr>
        <w:t>2.“三公”经费预算</w:t>
      </w:r>
    </w:p>
    <w:p>
      <w:pPr>
        <w:spacing w:line="360" w:lineRule="exact"/>
        <w:ind w:firstLine="280" w:firstLineChars="100"/>
        <w:jc w:val="left"/>
        <w:rPr>
          <w:rFonts w:ascii="楷体" w:hAnsi="楷体" w:eastAsia="楷体" w:cs="楷体"/>
          <w:sz w:val="28"/>
          <w:szCs w:val="28"/>
        </w:rPr>
      </w:pPr>
      <w:r>
        <w:rPr>
          <w:rFonts w:hint="eastAsia" w:ascii="楷体" w:hAnsi="楷体" w:eastAsia="楷体" w:cs="楷体"/>
          <w:sz w:val="28"/>
          <w:szCs w:val="28"/>
        </w:rPr>
        <w:t>3.政府采购预算</w:t>
      </w:r>
    </w:p>
    <w:p>
      <w:pPr>
        <w:spacing w:line="360" w:lineRule="exact"/>
        <w:ind w:firstLine="280" w:firstLineChars="100"/>
        <w:jc w:val="left"/>
        <w:rPr>
          <w:rFonts w:ascii="楷体" w:hAnsi="楷体" w:eastAsia="楷体" w:cs="楷体"/>
          <w:sz w:val="28"/>
          <w:szCs w:val="28"/>
        </w:rPr>
      </w:pPr>
      <w:r>
        <w:rPr>
          <w:rFonts w:hint="eastAsia" w:ascii="楷体" w:hAnsi="楷体" w:eastAsia="楷体" w:cs="楷体"/>
          <w:sz w:val="28"/>
          <w:szCs w:val="28"/>
        </w:rPr>
        <w:t>4.一般性支出情况</w:t>
      </w:r>
    </w:p>
    <w:p>
      <w:pPr>
        <w:spacing w:line="360" w:lineRule="exact"/>
        <w:ind w:firstLine="280" w:firstLineChars="100"/>
        <w:jc w:val="left"/>
        <w:rPr>
          <w:rFonts w:ascii="楷体" w:hAnsi="楷体" w:eastAsia="楷体" w:cs="楷体"/>
          <w:sz w:val="28"/>
          <w:szCs w:val="28"/>
        </w:rPr>
      </w:pPr>
      <w:r>
        <w:rPr>
          <w:rFonts w:hint="eastAsia" w:ascii="楷体" w:hAnsi="楷体" w:eastAsia="楷体" w:cs="楷体"/>
          <w:sz w:val="28"/>
          <w:szCs w:val="28"/>
        </w:rPr>
        <w:t>5.国有资产占用使用及新增资产配置使用情况</w:t>
      </w:r>
    </w:p>
    <w:p>
      <w:pPr>
        <w:spacing w:line="360" w:lineRule="exact"/>
        <w:ind w:firstLine="280" w:firstLineChars="100"/>
        <w:jc w:val="left"/>
        <w:rPr>
          <w:rFonts w:ascii="楷体" w:hAnsi="楷体" w:eastAsia="楷体" w:cs="楷体"/>
          <w:sz w:val="28"/>
          <w:szCs w:val="28"/>
        </w:rPr>
      </w:pPr>
      <w:r>
        <w:rPr>
          <w:rFonts w:hint="eastAsia" w:ascii="楷体" w:hAnsi="楷体" w:eastAsia="楷体" w:cs="楷体"/>
          <w:sz w:val="28"/>
          <w:szCs w:val="28"/>
        </w:rPr>
        <w:t>6.预算绩效情况</w:t>
      </w:r>
    </w:p>
    <w:p>
      <w:pPr>
        <w:spacing w:line="360" w:lineRule="exact"/>
        <w:jc w:val="left"/>
        <w:rPr>
          <w:rFonts w:ascii="楷体" w:hAnsi="楷体" w:eastAsia="楷体" w:cs="楷体"/>
          <w:sz w:val="28"/>
          <w:szCs w:val="28"/>
        </w:rPr>
      </w:pPr>
      <w:r>
        <w:rPr>
          <w:rFonts w:hint="eastAsia" w:ascii="楷体" w:hAnsi="楷体" w:eastAsia="楷体" w:cs="楷体"/>
          <w:sz w:val="28"/>
          <w:szCs w:val="28"/>
        </w:rPr>
        <w:t>七、名词解释</w:t>
      </w:r>
    </w:p>
    <w:p>
      <w:pPr>
        <w:spacing w:line="360" w:lineRule="exact"/>
        <w:jc w:val="left"/>
        <w:rPr>
          <w:rFonts w:ascii="楷体" w:hAnsi="楷体" w:eastAsia="楷体" w:cs="楷体"/>
          <w:sz w:val="28"/>
          <w:szCs w:val="28"/>
        </w:rPr>
      </w:pPr>
      <w:r>
        <w:rPr>
          <w:rFonts w:hint="eastAsia" w:ascii="楷体" w:hAnsi="楷体" w:eastAsia="楷体" w:cs="楷体"/>
          <w:sz w:val="28"/>
          <w:szCs w:val="28"/>
        </w:rPr>
        <w:t>八、部门预算公开附件</w:t>
      </w:r>
    </w:p>
    <w:p>
      <w:pPr>
        <w:spacing w:line="360" w:lineRule="exact"/>
        <w:ind w:firstLine="280" w:firstLineChars="100"/>
        <w:jc w:val="left"/>
        <w:rPr>
          <w:rFonts w:ascii="楷体" w:hAnsi="楷体" w:eastAsia="楷体" w:cs="楷体"/>
          <w:sz w:val="28"/>
          <w:szCs w:val="28"/>
        </w:rPr>
      </w:pPr>
      <w:r>
        <w:rPr>
          <w:rFonts w:hint="eastAsia" w:ascii="楷体" w:hAnsi="楷体" w:eastAsia="楷体" w:cs="楷体"/>
          <w:sz w:val="28"/>
          <w:szCs w:val="28"/>
        </w:rPr>
        <w:t>①部门预算公开套表</w:t>
      </w:r>
    </w:p>
    <w:p>
      <w:pPr>
        <w:spacing w:line="360" w:lineRule="exact"/>
        <w:ind w:firstLine="560" w:firstLineChars="200"/>
        <w:jc w:val="left"/>
        <w:rPr>
          <w:rFonts w:ascii="楷体" w:hAnsi="楷体" w:eastAsia="楷体" w:cs="楷体"/>
          <w:sz w:val="28"/>
          <w:szCs w:val="28"/>
        </w:rPr>
      </w:pPr>
      <w:r>
        <w:rPr>
          <w:rFonts w:hint="eastAsia" w:ascii="楷体" w:hAnsi="楷体" w:eastAsia="楷体" w:cs="楷体"/>
          <w:sz w:val="28"/>
          <w:szCs w:val="28"/>
        </w:rPr>
        <w:t>目录</w:t>
      </w:r>
    </w:p>
    <w:p>
      <w:pPr>
        <w:spacing w:line="360" w:lineRule="exact"/>
        <w:ind w:firstLine="840" w:firstLineChars="300"/>
        <w:jc w:val="left"/>
        <w:rPr>
          <w:rFonts w:ascii="楷体" w:hAnsi="楷体" w:eastAsia="楷体" w:cs="楷体"/>
          <w:sz w:val="28"/>
          <w:szCs w:val="28"/>
        </w:rPr>
      </w:pPr>
      <w:r>
        <w:rPr>
          <w:rFonts w:hint="eastAsia" w:ascii="楷体" w:hAnsi="楷体" w:eastAsia="楷体" w:cs="楷体"/>
          <w:sz w:val="28"/>
          <w:szCs w:val="28"/>
        </w:rPr>
        <w:t>1.财政拨款收支总表</w:t>
      </w:r>
    </w:p>
    <w:p>
      <w:pPr>
        <w:spacing w:line="360" w:lineRule="exact"/>
        <w:ind w:firstLine="840" w:firstLineChars="300"/>
        <w:jc w:val="left"/>
        <w:rPr>
          <w:rFonts w:ascii="楷体" w:hAnsi="楷体" w:eastAsia="楷体" w:cs="楷体"/>
          <w:sz w:val="28"/>
          <w:szCs w:val="28"/>
        </w:rPr>
      </w:pPr>
      <w:r>
        <w:rPr>
          <w:rFonts w:hint="eastAsia" w:ascii="楷体" w:hAnsi="楷体" w:eastAsia="楷体" w:cs="楷体"/>
          <w:sz w:val="28"/>
          <w:szCs w:val="28"/>
        </w:rPr>
        <w:t>2.部门收支总表（一级单位汇总）</w:t>
      </w:r>
    </w:p>
    <w:p>
      <w:pPr>
        <w:spacing w:line="360" w:lineRule="exact"/>
        <w:ind w:firstLine="840" w:firstLineChars="300"/>
        <w:jc w:val="left"/>
        <w:rPr>
          <w:rFonts w:ascii="楷体" w:hAnsi="楷体" w:eastAsia="楷体" w:cs="楷体"/>
          <w:sz w:val="28"/>
          <w:szCs w:val="28"/>
        </w:rPr>
      </w:pPr>
      <w:r>
        <w:rPr>
          <w:rFonts w:hint="eastAsia" w:ascii="楷体" w:hAnsi="楷体" w:eastAsia="楷体" w:cs="楷体"/>
          <w:sz w:val="28"/>
          <w:szCs w:val="28"/>
        </w:rPr>
        <w:t>3.部门收支预算总表</w:t>
      </w:r>
    </w:p>
    <w:p>
      <w:pPr>
        <w:spacing w:line="360" w:lineRule="exact"/>
        <w:ind w:firstLine="840" w:firstLineChars="300"/>
        <w:jc w:val="left"/>
        <w:rPr>
          <w:rFonts w:ascii="楷体" w:hAnsi="楷体" w:eastAsia="楷体" w:cs="楷体"/>
          <w:sz w:val="28"/>
          <w:szCs w:val="28"/>
        </w:rPr>
      </w:pPr>
      <w:r>
        <w:rPr>
          <w:rFonts w:hint="eastAsia" w:ascii="楷体" w:hAnsi="楷体" w:eastAsia="楷体" w:cs="楷体"/>
          <w:sz w:val="28"/>
          <w:szCs w:val="28"/>
        </w:rPr>
        <w:t>4.部门收入总表</w:t>
      </w:r>
    </w:p>
    <w:p>
      <w:pPr>
        <w:spacing w:line="360" w:lineRule="exact"/>
        <w:ind w:firstLine="840" w:firstLineChars="300"/>
        <w:jc w:val="left"/>
        <w:rPr>
          <w:rFonts w:ascii="楷体" w:hAnsi="楷体" w:eastAsia="楷体" w:cs="楷体"/>
          <w:sz w:val="28"/>
          <w:szCs w:val="28"/>
        </w:rPr>
      </w:pPr>
      <w:r>
        <w:rPr>
          <w:rFonts w:hint="eastAsia" w:ascii="楷体" w:hAnsi="楷体" w:eastAsia="楷体" w:cs="楷体"/>
          <w:sz w:val="28"/>
          <w:szCs w:val="28"/>
        </w:rPr>
        <w:t>5.部门支出总表</w:t>
      </w:r>
    </w:p>
    <w:p>
      <w:pPr>
        <w:spacing w:line="360" w:lineRule="exact"/>
        <w:ind w:firstLine="840" w:firstLineChars="300"/>
        <w:jc w:val="left"/>
        <w:rPr>
          <w:rFonts w:ascii="楷体" w:hAnsi="楷体" w:eastAsia="楷体" w:cs="楷体"/>
          <w:sz w:val="28"/>
          <w:szCs w:val="28"/>
        </w:rPr>
      </w:pPr>
      <w:r>
        <w:rPr>
          <w:rFonts w:hint="eastAsia" w:ascii="楷体" w:hAnsi="楷体" w:eastAsia="楷体" w:cs="楷体"/>
          <w:sz w:val="28"/>
          <w:szCs w:val="28"/>
        </w:rPr>
        <w:t>6.一般公共预算支出表</w:t>
      </w:r>
    </w:p>
    <w:p>
      <w:pPr>
        <w:spacing w:line="360" w:lineRule="exact"/>
        <w:ind w:firstLine="840" w:firstLineChars="300"/>
        <w:jc w:val="left"/>
        <w:rPr>
          <w:rFonts w:ascii="楷体" w:hAnsi="楷体" w:eastAsia="楷体" w:cs="楷体"/>
          <w:sz w:val="28"/>
          <w:szCs w:val="28"/>
        </w:rPr>
      </w:pPr>
      <w:r>
        <w:rPr>
          <w:rFonts w:hint="eastAsia" w:ascii="楷体" w:hAnsi="楷体" w:eastAsia="楷体" w:cs="楷体"/>
          <w:sz w:val="28"/>
          <w:szCs w:val="28"/>
        </w:rPr>
        <w:t>7.一般公共预算基本支出表</w:t>
      </w:r>
    </w:p>
    <w:p>
      <w:pPr>
        <w:spacing w:line="360" w:lineRule="exact"/>
        <w:ind w:firstLine="840" w:firstLineChars="300"/>
        <w:jc w:val="left"/>
        <w:rPr>
          <w:rFonts w:ascii="楷体" w:hAnsi="楷体" w:eastAsia="楷体" w:cs="楷体"/>
          <w:sz w:val="28"/>
          <w:szCs w:val="28"/>
        </w:rPr>
      </w:pPr>
      <w:r>
        <w:rPr>
          <w:rFonts w:hint="eastAsia" w:ascii="楷体" w:hAnsi="楷体" w:eastAsia="楷体" w:cs="楷体"/>
          <w:sz w:val="28"/>
          <w:szCs w:val="28"/>
        </w:rPr>
        <w:t>8.政府性基金预算支出表</w:t>
      </w:r>
    </w:p>
    <w:p>
      <w:pPr>
        <w:spacing w:line="360" w:lineRule="exact"/>
        <w:ind w:firstLine="840" w:firstLineChars="300"/>
        <w:jc w:val="left"/>
        <w:rPr>
          <w:rFonts w:ascii="楷体" w:hAnsi="楷体" w:eastAsia="楷体" w:cs="楷体"/>
          <w:sz w:val="28"/>
          <w:szCs w:val="28"/>
        </w:rPr>
      </w:pPr>
      <w:r>
        <w:rPr>
          <w:rFonts w:hint="eastAsia" w:ascii="楷体" w:hAnsi="楷体" w:eastAsia="楷体" w:cs="楷体"/>
          <w:sz w:val="28"/>
          <w:szCs w:val="28"/>
        </w:rPr>
        <w:t>9.政府性基金预算支出表</w:t>
      </w:r>
    </w:p>
    <w:p>
      <w:pPr>
        <w:spacing w:line="360" w:lineRule="exact"/>
        <w:ind w:firstLine="840" w:firstLineChars="300"/>
        <w:jc w:val="left"/>
        <w:rPr>
          <w:rFonts w:ascii="楷体" w:hAnsi="楷体" w:eastAsia="楷体" w:cs="楷体"/>
          <w:sz w:val="28"/>
          <w:szCs w:val="28"/>
        </w:rPr>
      </w:pPr>
      <w:r>
        <w:rPr>
          <w:rFonts w:hint="eastAsia" w:ascii="楷体" w:hAnsi="楷体" w:eastAsia="楷体" w:cs="楷体"/>
          <w:sz w:val="28"/>
          <w:szCs w:val="28"/>
        </w:rPr>
        <w:t>10.一般公共预算“三公”经费支出表</w:t>
      </w:r>
    </w:p>
    <w:p>
      <w:pPr>
        <w:spacing w:line="360" w:lineRule="exact"/>
        <w:ind w:firstLine="840" w:firstLineChars="300"/>
        <w:jc w:val="left"/>
        <w:rPr>
          <w:rFonts w:ascii="楷体" w:hAnsi="楷体" w:eastAsia="楷体" w:cs="楷体"/>
          <w:sz w:val="28"/>
          <w:szCs w:val="28"/>
        </w:rPr>
      </w:pPr>
      <w:r>
        <w:rPr>
          <w:rFonts w:hint="eastAsia" w:ascii="楷体" w:hAnsi="楷体" w:eastAsia="楷体" w:cs="楷体"/>
          <w:sz w:val="28"/>
          <w:szCs w:val="28"/>
        </w:rPr>
        <w:t>11.政府采购预算表</w:t>
      </w:r>
    </w:p>
    <w:p>
      <w:pPr>
        <w:spacing w:line="360" w:lineRule="exact"/>
        <w:ind w:firstLine="840" w:firstLineChars="300"/>
        <w:jc w:val="left"/>
        <w:rPr>
          <w:rFonts w:ascii="楷体" w:hAnsi="楷体" w:eastAsia="楷体" w:cs="楷体"/>
          <w:sz w:val="28"/>
          <w:szCs w:val="28"/>
        </w:rPr>
      </w:pPr>
      <w:r>
        <w:rPr>
          <w:rFonts w:hint="eastAsia" w:ascii="楷体" w:hAnsi="楷体" w:eastAsia="楷体" w:cs="楷体"/>
          <w:sz w:val="28"/>
          <w:szCs w:val="28"/>
        </w:rPr>
        <w:t>12.政府购买服务预算表</w:t>
      </w:r>
    </w:p>
    <w:p>
      <w:pPr>
        <w:spacing w:line="360" w:lineRule="exact"/>
        <w:ind w:firstLine="280" w:firstLineChars="100"/>
        <w:jc w:val="left"/>
        <w:rPr>
          <w:rFonts w:ascii="楷体" w:hAnsi="楷体" w:eastAsia="楷体" w:cs="楷体"/>
          <w:sz w:val="28"/>
          <w:szCs w:val="28"/>
        </w:rPr>
      </w:pPr>
      <w:r>
        <w:rPr>
          <w:rFonts w:hint="eastAsia" w:ascii="楷体" w:hAnsi="楷体" w:eastAsia="楷体" w:cs="楷体"/>
          <w:sz w:val="28"/>
          <w:szCs w:val="28"/>
        </w:rPr>
        <w:t>②部门整体支出绩效目标申报表</w:t>
      </w:r>
    </w:p>
    <w:p>
      <w:pPr>
        <w:spacing w:line="360" w:lineRule="exact"/>
        <w:ind w:firstLine="280" w:firstLineChars="100"/>
        <w:jc w:val="left"/>
        <w:rPr>
          <w:rFonts w:ascii="楷体" w:hAnsi="楷体" w:eastAsia="楷体" w:cs="楷体"/>
          <w:sz w:val="28"/>
          <w:szCs w:val="28"/>
        </w:rPr>
      </w:pPr>
      <w:r>
        <w:rPr>
          <w:rFonts w:hint="eastAsia" w:ascii="楷体" w:hAnsi="楷体" w:eastAsia="楷体" w:cs="楷体"/>
          <w:sz w:val="28"/>
          <w:szCs w:val="28"/>
        </w:rPr>
        <w:t>③专项资金绩效目标申报表</w:t>
      </w:r>
    </w:p>
    <w:p>
      <w:pPr>
        <w:spacing w:line="360" w:lineRule="exact"/>
        <w:ind w:firstLine="280" w:firstLineChars="100"/>
        <w:jc w:val="left"/>
        <w:rPr>
          <w:rFonts w:ascii="宋体" w:hAnsi="宋体" w:eastAsia="宋体" w:cs="宋体"/>
          <w:sz w:val="44"/>
          <w:szCs w:val="44"/>
        </w:rPr>
      </w:pPr>
      <w:r>
        <w:rPr>
          <w:rFonts w:hint="eastAsia" w:ascii="楷体" w:hAnsi="楷体" w:eastAsia="楷体" w:cs="楷体"/>
          <w:sz w:val="28"/>
          <w:szCs w:val="28"/>
        </w:rPr>
        <w:t>注：以上部门预算报表中，空表表示本部门无相关收支情况。</w:t>
      </w:r>
    </w:p>
    <w:p>
      <w:pPr>
        <w:jc w:val="center"/>
        <w:rPr>
          <w:rFonts w:ascii="仿宋" w:hAnsi="仿宋" w:eastAsia="仿宋" w:cs="仿宋"/>
          <w:sz w:val="44"/>
          <w:szCs w:val="44"/>
        </w:rPr>
      </w:pPr>
      <w:r>
        <w:rPr>
          <w:rFonts w:hint="eastAsia" w:ascii="仿宋" w:hAnsi="仿宋" w:eastAsia="仿宋" w:cs="仿宋"/>
          <w:sz w:val="44"/>
          <w:szCs w:val="44"/>
        </w:rPr>
        <w:br w:type="page"/>
      </w:r>
    </w:p>
    <w:p>
      <w:pPr>
        <w:jc w:val="center"/>
        <w:rPr>
          <w:rFonts w:ascii="仿宋" w:hAnsi="仿宋" w:eastAsia="仿宋" w:cs="仿宋"/>
          <w:sz w:val="44"/>
          <w:szCs w:val="44"/>
        </w:rPr>
      </w:pPr>
      <w:r>
        <w:rPr>
          <w:rFonts w:hint="eastAsia" w:ascii="仿宋" w:hAnsi="仿宋" w:eastAsia="仿宋" w:cs="仿宋"/>
          <w:sz w:val="44"/>
          <w:szCs w:val="44"/>
        </w:rPr>
        <w:t>衡东县中医医院2021年部门预算公开说明</w:t>
      </w:r>
    </w:p>
    <w:p>
      <w:pPr>
        <w:rPr>
          <w:rFonts w:ascii="仿宋" w:hAnsi="仿宋" w:eastAsia="仿宋" w:cs="仿宋"/>
          <w:sz w:val="32"/>
          <w:szCs w:val="32"/>
        </w:rPr>
      </w:pPr>
      <w:r>
        <w:rPr>
          <w:rFonts w:hint="eastAsia" w:ascii="仿宋" w:hAnsi="仿宋" w:eastAsia="仿宋" w:cs="仿宋"/>
          <w:sz w:val="32"/>
          <w:szCs w:val="32"/>
        </w:rPr>
        <w:t> </w:t>
      </w:r>
    </w:p>
    <w:p>
      <w:pPr>
        <w:numPr>
          <w:ilvl w:val="0"/>
          <w:numId w:val="1"/>
        </w:numPr>
        <w:spacing w:line="500" w:lineRule="exact"/>
        <w:rPr>
          <w:rFonts w:ascii="仿宋" w:hAnsi="仿宋" w:eastAsia="仿宋" w:cs="仿宋"/>
          <w:sz w:val="28"/>
          <w:szCs w:val="28"/>
        </w:rPr>
      </w:pPr>
      <w:r>
        <w:rPr>
          <w:rFonts w:hint="eastAsia" w:ascii="仿宋" w:hAnsi="仿宋" w:eastAsia="仿宋" w:cs="仿宋"/>
          <w:sz w:val="28"/>
          <w:szCs w:val="28"/>
        </w:rPr>
        <w:t>部门职能职责</w:t>
      </w:r>
    </w:p>
    <w:p>
      <w:p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本单位主要职能是：</w:t>
      </w:r>
    </w:p>
    <w:p>
      <w:pPr>
        <w:numPr>
          <w:ilvl w:val="0"/>
          <w:numId w:val="2"/>
        </w:num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为人民群众提供中西医医疗、预防、保健、计划生育、康复等医疗卫生服务。</w:t>
      </w:r>
    </w:p>
    <w:p>
      <w:pPr>
        <w:numPr>
          <w:ilvl w:val="0"/>
          <w:numId w:val="2"/>
        </w:num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贯彻落实医药卫生体制改革、中西医并重方针和国家中医药法律法规，执行中医药政策；拟定实施中医药、民族医药和中西医结合发展战略、规划；指导全县各医疗机构发展中医药和中西医结合业务建设。</w:t>
      </w:r>
    </w:p>
    <w:p>
      <w:pPr>
        <w:numPr>
          <w:ilvl w:val="0"/>
          <w:numId w:val="2"/>
        </w:num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确保全县人民中西医疗健康需求，建立与地方经济发展相适应的中西医结合医疗环境。加强中医医标准化管理 。</w:t>
      </w:r>
    </w:p>
    <w:p>
      <w:pPr>
        <w:numPr>
          <w:ilvl w:val="0"/>
          <w:numId w:val="2"/>
        </w:num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贯彻落实国家基本药物制度和药品集中采购工作，执行医用耗材集中采购工作；负责医院内部的药品和医疗器械管理工作。</w:t>
      </w:r>
    </w:p>
    <w:p>
      <w:pPr>
        <w:numPr>
          <w:ilvl w:val="0"/>
          <w:numId w:val="2"/>
        </w:num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承担意外灾害事故、疫情等突发公共卫生事件的医疗急救及社区预防、保健和康复医疗服务工作，开展各种医疗保健卫生知识宣传普及。</w:t>
      </w:r>
    </w:p>
    <w:p>
      <w:pPr>
        <w:numPr>
          <w:ilvl w:val="0"/>
          <w:numId w:val="2"/>
        </w:num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充分发挥中医药在国家基本公共卫生服务中的优势和作用，负责全县基本公共卫生服务中医药健康管理项目的实施和日常管理。</w:t>
      </w:r>
    </w:p>
    <w:p>
      <w:pPr>
        <w:numPr>
          <w:ilvl w:val="0"/>
          <w:numId w:val="2"/>
        </w:num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组织实施中西医药科学研究，推进医学科技成果转化和推广应用；承担中医药人才培养，中医药继承医学教育工作。</w:t>
      </w:r>
    </w:p>
    <w:p>
      <w:pPr>
        <w:numPr>
          <w:ilvl w:val="0"/>
          <w:numId w:val="2"/>
        </w:num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做好城镇职工基本医疗保险、城镇居民基本医疗保险和新型农村合作医疗保险等定点医疗机构和各项工作。</w:t>
      </w:r>
    </w:p>
    <w:p>
      <w:pPr>
        <w:numPr>
          <w:ilvl w:val="0"/>
          <w:numId w:val="2"/>
        </w:num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参与卫生扶贫、重要会议与重大活动的医疗卫生保障工作。</w:t>
      </w:r>
    </w:p>
    <w:p>
      <w:pPr>
        <w:numPr>
          <w:ilvl w:val="0"/>
          <w:numId w:val="2"/>
        </w:num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承担</w:t>
      </w:r>
      <w:r>
        <w:rPr>
          <w:rFonts w:hint="eastAsia" w:ascii="仿宋" w:hAnsi="仿宋" w:eastAsia="仿宋" w:cs="仿宋"/>
          <w:sz w:val="28"/>
          <w:szCs w:val="28"/>
          <w:lang w:eastAsia="zh-CN"/>
        </w:rPr>
        <w:t>县委县政府</w:t>
      </w:r>
      <w:r>
        <w:rPr>
          <w:rFonts w:hint="eastAsia" w:ascii="仿宋" w:hAnsi="仿宋" w:eastAsia="仿宋" w:cs="仿宋"/>
          <w:sz w:val="28"/>
          <w:szCs w:val="28"/>
        </w:rPr>
        <w:t>及县卫健局交办的其他卫生工作。</w:t>
      </w:r>
    </w:p>
    <w:p>
      <w:pPr>
        <w:spacing w:line="500" w:lineRule="exact"/>
        <w:ind w:firstLine="560" w:firstLineChars="200"/>
        <w:jc w:val="left"/>
        <w:rPr>
          <w:rFonts w:ascii="仿宋" w:hAnsi="仿宋" w:eastAsia="仿宋" w:cs="仿宋"/>
          <w:sz w:val="28"/>
          <w:szCs w:val="28"/>
        </w:rPr>
      </w:pPr>
    </w:p>
    <w:p>
      <w:pPr>
        <w:numPr>
          <w:ilvl w:val="0"/>
          <w:numId w:val="1"/>
        </w:numPr>
        <w:spacing w:line="500" w:lineRule="exact"/>
        <w:rPr>
          <w:rFonts w:ascii="仿宋" w:hAnsi="仿宋" w:eastAsia="仿宋" w:cs="仿宋"/>
          <w:sz w:val="28"/>
          <w:szCs w:val="28"/>
        </w:rPr>
      </w:pPr>
      <w:r>
        <w:rPr>
          <w:rFonts w:hint="eastAsia" w:ascii="仿宋" w:hAnsi="仿宋" w:eastAsia="仿宋" w:cs="仿宋"/>
          <w:sz w:val="28"/>
          <w:szCs w:val="28"/>
        </w:rPr>
        <w:t>机构设置及部门预算单位构成</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单位设有门诊部、急诊科、住院骨一科、住院骨二科、住院内一科、住院内二科、住院内三科、综合外科、针灸推拿科及辅助科室共计48个，2020年在职职工375人，差额事业编制278人，自收自支编制5人，长期聘用制人员92人；退休人员96人。</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我院为衡东县卫生和计划生育局所属二级预算单位，单位性质为正科级差额拨款事业单位，全部纳入2021年部门预算。</w:t>
      </w:r>
    </w:p>
    <w:p>
      <w:pPr>
        <w:spacing w:line="500" w:lineRule="exact"/>
        <w:ind w:firstLine="560" w:firstLineChars="200"/>
        <w:rPr>
          <w:rFonts w:ascii="仿宋" w:hAnsi="仿宋" w:eastAsia="仿宋" w:cs="仿宋"/>
          <w:sz w:val="28"/>
          <w:szCs w:val="28"/>
        </w:rPr>
      </w:pPr>
    </w:p>
    <w:p>
      <w:pPr>
        <w:spacing w:line="500" w:lineRule="exact"/>
        <w:rPr>
          <w:rFonts w:ascii="仿宋" w:hAnsi="仿宋" w:eastAsia="仿宋" w:cs="仿宋"/>
          <w:sz w:val="28"/>
          <w:szCs w:val="28"/>
        </w:rPr>
      </w:pPr>
      <w:r>
        <w:rPr>
          <w:rFonts w:hint="eastAsia" w:ascii="仿宋" w:hAnsi="仿宋" w:eastAsia="仿宋" w:cs="仿宋"/>
          <w:sz w:val="28"/>
          <w:szCs w:val="28"/>
        </w:rPr>
        <w:t>三、部门收支总体情况</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2021年本单位部门预算只有本级，没有其他预算单位，因此本部门预算仅含本级预算。收入包括财政预算</w:t>
      </w:r>
      <w:r>
        <w:rPr>
          <w:rFonts w:hint="eastAsia" w:ascii="仿宋" w:hAnsi="仿宋" w:eastAsia="仿宋" w:cs="仿宋"/>
          <w:sz w:val="28"/>
          <w:szCs w:val="28"/>
          <w:lang w:eastAsia="zh-CN"/>
        </w:rPr>
        <w:t>拨款</w:t>
      </w:r>
      <w:r>
        <w:rPr>
          <w:rFonts w:hint="eastAsia" w:ascii="仿宋" w:hAnsi="仿宋" w:eastAsia="仿宋" w:cs="仿宋"/>
          <w:sz w:val="28"/>
          <w:szCs w:val="28"/>
        </w:rPr>
        <w:t>收入、转移支付收入、纳入预算管理的非税收入、基金预算收入、财政专户管理的非税收入安排；支出包括本单位和归口管理单位的基本支出和项目支出。</w:t>
      </w:r>
    </w:p>
    <w:p>
      <w:pPr>
        <w:numPr>
          <w:ilvl w:val="0"/>
          <w:numId w:val="3"/>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收入预算，2021年年初预算数7838.75万元，其中：年初预算安排161万元，财政专户管理的非税收入7677.75万元。2021年收入预算较去年增加</w:t>
      </w:r>
      <w:r>
        <w:rPr>
          <w:rFonts w:ascii="仿宋" w:hAnsi="仿宋" w:eastAsia="仿宋" w:cs="仿宋"/>
          <w:sz w:val="28"/>
          <w:szCs w:val="28"/>
        </w:rPr>
        <w:t>294.5</w:t>
      </w:r>
      <w:r>
        <w:rPr>
          <w:rFonts w:hint="eastAsia" w:ascii="仿宋" w:hAnsi="仿宋" w:eastAsia="仿宋" w:cs="仿宋"/>
          <w:sz w:val="28"/>
          <w:szCs w:val="28"/>
        </w:rPr>
        <w:t>万元，主要是财政专户管理的非税收入增加，财政补助与去年持平。</w:t>
      </w:r>
    </w:p>
    <w:p>
      <w:pPr>
        <w:autoSpaceDE w:val="0"/>
        <w:autoSpaceDN w:val="0"/>
        <w:adjustRightInd w:val="0"/>
        <w:ind w:firstLine="560" w:firstLineChars="200"/>
        <w:rPr>
          <w:rFonts w:ascii="仿宋" w:hAnsi="仿宋" w:eastAsia="仿宋" w:cs="仿宋"/>
          <w:sz w:val="28"/>
          <w:szCs w:val="28"/>
        </w:rPr>
      </w:pPr>
      <w:r>
        <w:rPr>
          <w:rFonts w:hint="eastAsia" w:ascii="仿宋" w:hAnsi="仿宋" w:eastAsia="仿宋" w:cs="仿宋"/>
          <w:sz w:val="28"/>
          <w:szCs w:val="28"/>
        </w:rPr>
        <w:t>（二）支出预算，2021</w:t>
      </w:r>
      <w:r>
        <w:rPr>
          <w:rFonts w:hint="eastAsia" w:ascii="仿宋" w:hAnsi="仿宋" w:eastAsia="仿宋" w:cs="仿宋"/>
          <w:sz w:val="28"/>
          <w:szCs w:val="28"/>
          <w:lang w:val="zh-CN"/>
        </w:rPr>
        <w:t>年年初预算为</w:t>
      </w:r>
      <w:r>
        <w:rPr>
          <w:rFonts w:hint="eastAsia" w:ascii="仿宋" w:hAnsi="仿宋" w:eastAsia="仿宋" w:cs="仿宋"/>
          <w:sz w:val="28"/>
          <w:szCs w:val="28"/>
        </w:rPr>
        <w:t>7838.75</w:t>
      </w:r>
      <w:r>
        <w:rPr>
          <w:rFonts w:hint="eastAsia" w:ascii="仿宋" w:hAnsi="仿宋" w:eastAsia="仿宋" w:cs="仿宋"/>
          <w:sz w:val="28"/>
          <w:szCs w:val="28"/>
          <w:lang w:val="zh-CN"/>
        </w:rPr>
        <w:t>万元，其中卫生健康支出</w:t>
      </w:r>
      <w:r>
        <w:rPr>
          <w:rFonts w:hint="eastAsia" w:ascii="仿宋" w:hAnsi="仿宋" w:eastAsia="仿宋" w:cs="仿宋"/>
          <w:sz w:val="28"/>
          <w:szCs w:val="28"/>
        </w:rPr>
        <w:t>7838.75万元。</w:t>
      </w:r>
      <w:r>
        <w:rPr>
          <w:rFonts w:hint="eastAsia" w:ascii="仿宋" w:hAnsi="仿宋" w:eastAsia="仿宋" w:cs="仿宋"/>
          <w:sz w:val="28"/>
          <w:szCs w:val="28"/>
          <w:lang w:val="zh-CN"/>
        </w:rPr>
        <w:t>支出较去年增加</w:t>
      </w:r>
      <w:r>
        <w:rPr>
          <w:rFonts w:ascii="仿宋" w:hAnsi="仿宋" w:eastAsia="仿宋" w:cs="仿宋"/>
          <w:sz w:val="28"/>
          <w:szCs w:val="28"/>
        </w:rPr>
        <w:t>294.5</w:t>
      </w:r>
      <w:r>
        <w:rPr>
          <w:rFonts w:hint="eastAsia" w:ascii="仿宋" w:hAnsi="仿宋" w:eastAsia="仿宋" w:cs="仿宋"/>
          <w:sz w:val="28"/>
          <w:szCs w:val="28"/>
        </w:rPr>
        <w:t>万元，因</w:t>
      </w:r>
      <w:r>
        <w:rPr>
          <w:rFonts w:ascii="仿宋" w:hAnsi="仿宋" w:eastAsia="仿宋" w:cs="仿宋"/>
          <w:sz w:val="28"/>
          <w:szCs w:val="28"/>
        </w:rPr>
        <w:t>商品服务支出（主要为卫生材料与药品费用）支出增加</w:t>
      </w:r>
      <w:r>
        <w:rPr>
          <w:rFonts w:hint="eastAsia" w:ascii="仿宋" w:hAnsi="仿宋" w:eastAsia="仿宋" w:cs="仿宋"/>
          <w:sz w:val="28"/>
          <w:szCs w:val="28"/>
        </w:rPr>
        <w:t>294.5</w:t>
      </w:r>
      <w:r>
        <w:rPr>
          <w:rFonts w:ascii="仿宋" w:hAnsi="仿宋" w:eastAsia="仿宋" w:cs="仿宋"/>
          <w:sz w:val="28"/>
          <w:szCs w:val="28"/>
        </w:rPr>
        <w:t>万元</w:t>
      </w:r>
      <w:r>
        <w:rPr>
          <w:rFonts w:hint="eastAsia" w:ascii="仿宋" w:hAnsi="仿宋" w:eastAsia="仿宋" w:cs="仿宋"/>
          <w:sz w:val="28"/>
          <w:szCs w:val="28"/>
        </w:rPr>
        <w:t>。</w:t>
      </w:r>
    </w:p>
    <w:p>
      <w:pPr>
        <w:autoSpaceDE w:val="0"/>
        <w:autoSpaceDN w:val="0"/>
        <w:adjustRightInd w:val="0"/>
        <w:ind w:firstLine="560" w:firstLineChars="200"/>
        <w:rPr>
          <w:rFonts w:ascii="仿宋" w:hAnsi="仿宋" w:eastAsia="仿宋" w:cs="仿宋"/>
          <w:sz w:val="28"/>
          <w:szCs w:val="28"/>
        </w:rPr>
      </w:pPr>
      <w:r>
        <w:rPr>
          <w:rFonts w:hint="eastAsia" w:ascii="仿宋" w:hAnsi="仿宋" w:eastAsia="仿宋" w:cs="仿宋"/>
          <w:sz w:val="28"/>
          <w:szCs w:val="28"/>
        </w:rPr>
        <w:t>全年预算收支平衡。</w:t>
      </w:r>
    </w:p>
    <w:p>
      <w:pPr>
        <w:spacing w:line="500" w:lineRule="exact"/>
        <w:rPr>
          <w:rFonts w:ascii="仿宋" w:hAnsi="仿宋" w:eastAsia="仿宋" w:cs="仿宋"/>
          <w:sz w:val="28"/>
          <w:szCs w:val="28"/>
        </w:rPr>
      </w:pPr>
      <w:r>
        <w:rPr>
          <w:rFonts w:hint="eastAsia" w:ascii="仿宋" w:hAnsi="仿宋" w:eastAsia="仿宋" w:cs="仿宋"/>
          <w:sz w:val="28"/>
          <w:szCs w:val="28"/>
        </w:rPr>
        <w:t>四、一般公共预算拨款支出预算</w:t>
      </w:r>
    </w:p>
    <w:p>
      <w:pPr>
        <w:autoSpaceDE w:val="0"/>
        <w:autoSpaceDN w:val="0"/>
        <w:adjustRightInd w:val="0"/>
        <w:rPr>
          <w:rFonts w:ascii="仿宋" w:hAnsi="仿宋" w:eastAsia="仿宋" w:cs="仿宋"/>
          <w:sz w:val="28"/>
          <w:szCs w:val="28"/>
        </w:rPr>
      </w:pPr>
      <w:r>
        <w:rPr>
          <w:rFonts w:hint="eastAsia" w:ascii="仿宋" w:hAnsi="仿宋" w:eastAsia="仿宋" w:cs="仿宋"/>
          <w:sz w:val="28"/>
          <w:szCs w:val="28"/>
        </w:rPr>
        <w:t>2021年一般公共预算拨款收入161万元，具体安排情况如下：</w:t>
      </w:r>
    </w:p>
    <w:p>
      <w:pPr>
        <w:numPr>
          <w:ilvl w:val="0"/>
          <w:numId w:val="4"/>
        </w:numPr>
        <w:autoSpaceDE w:val="0"/>
        <w:autoSpaceDN w:val="0"/>
        <w:adjustRightInd w:val="0"/>
        <w:rPr>
          <w:rFonts w:ascii="仿宋" w:hAnsi="仿宋" w:eastAsia="仿宋" w:cs="仿宋"/>
          <w:sz w:val="28"/>
          <w:szCs w:val="28"/>
        </w:rPr>
      </w:pPr>
      <w:r>
        <w:rPr>
          <w:rFonts w:hint="eastAsia" w:ascii="仿宋" w:hAnsi="仿宋" w:eastAsia="仿宋" w:cs="仿宋"/>
          <w:sz w:val="28"/>
          <w:szCs w:val="28"/>
        </w:rPr>
        <w:t>基本支出：2021年年初预算数为161万万元，是指为保障单位机构正常运转、完成日常工作任务而发生的各项支出，包括用于基本工资、津贴补贴等人员经费以及办公费、印刷费、水电费、办公设备购置等日常公用经费。</w:t>
      </w:r>
    </w:p>
    <w:p>
      <w:pPr>
        <w:numPr>
          <w:ilvl w:val="0"/>
          <w:numId w:val="4"/>
        </w:numPr>
        <w:autoSpaceDE w:val="0"/>
        <w:autoSpaceDN w:val="0"/>
        <w:adjustRightInd w:val="0"/>
        <w:rPr>
          <w:rFonts w:ascii="仿宋" w:hAnsi="仿宋" w:eastAsia="仿宋" w:cs="仿宋"/>
          <w:sz w:val="28"/>
          <w:szCs w:val="28"/>
        </w:rPr>
      </w:pPr>
      <w:r>
        <w:rPr>
          <w:rFonts w:hint="eastAsia" w:ascii="仿宋" w:hAnsi="仿宋" w:eastAsia="仿宋" w:cs="仿宋"/>
          <w:sz w:val="28"/>
          <w:szCs w:val="28"/>
        </w:rPr>
        <w:t>项目支出：无安排</w:t>
      </w:r>
    </w:p>
    <w:p>
      <w:pPr>
        <w:spacing w:line="500" w:lineRule="exact"/>
        <w:rPr>
          <w:rFonts w:ascii="仿宋" w:hAnsi="仿宋" w:eastAsia="仿宋" w:cs="仿宋"/>
          <w:sz w:val="28"/>
          <w:szCs w:val="28"/>
        </w:rPr>
      </w:pPr>
      <w:r>
        <w:rPr>
          <w:rFonts w:hint="eastAsia" w:ascii="仿宋" w:hAnsi="仿宋" w:eastAsia="仿宋" w:cs="仿宋"/>
          <w:sz w:val="28"/>
          <w:szCs w:val="28"/>
        </w:rPr>
        <w:t>五、政府性基金预算支出</w:t>
      </w:r>
    </w:p>
    <w:p>
      <w:pPr>
        <w:spacing w:line="500" w:lineRule="exact"/>
        <w:ind w:firstLine="560" w:firstLineChars="200"/>
        <w:rPr>
          <w:rFonts w:ascii="仿宋" w:hAnsi="仿宋" w:eastAsia="仿宋" w:cs="仿宋"/>
          <w:color w:val="FF0000"/>
          <w:sz w:val="20"/>
          <w:szCs w:val="20"/>
          <w:highlight w:val="yellow"/>
        </w:rPr>
      </w:pPr>
      <w:r>
        <w:rPr>
          <w:rFonts w:hint="eastAsia" w:ascii="仿宋" w:hAnsi="仿宋" w:eastAsia="仿宋" w:cs="仿宋"/>
          <w:sz w:val="28"/>
          <w:szCs w:val="28"/>
        </w:rPr>
        <w:t>本院无政府性基金安排的支出</w:t>
      </w:r>
    </w:p>
    <w:p>
      <w:pPr>
        <w:spacing w:line="500" w:lineRule="exact"/>
        <w:rPr>
          <w:rFonts w:ascii="仿宋" w:hAnsi="仿宋" w:eastAsia="仿宋" w:cs="仿宋"/>
          <w:sz w:val="28"/>
          <w:szCs w:val="28"/>
        </w:rPr>
      </w:pPr>
      <w:r>
        <w:rPr>
          <w:rFonts w:hint="eastAsia" w:ascii="仿宋" w:hAnsi="仿宋" w:eastAsia="仿宋" w:cs="仿宋"/>
          <w:sz w:val="28"/>
          <w:szCs w:val="28"/>
        </w:rPr>
        <w:t>六、其他重要事项情况说明</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1、机关运行经费情况</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2021本部门机关运行经费为财政预算拨款1万元，为救护车运行维护费1万元。与2020年拨款数持平。</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2、“三公”经费预算</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2020年“三公”经费预算数为19.46万元，其中，公务接待费 11万元，公务用车购置及运行费8.46万元（其中，公务用车（救护车）运行费8.46万元,公务用车购置  0万元），因公出国（境）费 0万元。本年“三公”经费预算与上年相比，增加</w:t>
      </w:r>
      <w:r>
        <w:rPr>
          <w:rFonts w:ascii="仿宋" w:hAnsi="仿宋" w:eastAsia="仿宋" w:cs="仿宋"/>
          <w:sz w:val="28"/>
          <w:szCs w:val="28"/>
        </w:rPr>
        <w:t>10.06</w:t>
      </w:r>
      <w:r>
        <w:rPr>
          <w:rFonts w:hint="eastAsia" w:ascii="仿宋" w:hAnsi="仿宋" w:eastAsia="仿宋" w:cs="仿宋"/>
          <w:sz w:val="28"/>
          <w:szCs w:val="28"/>
        </w:rPr>
        <w:t>万元，增加主要原因为医院业务交流学习增加公务接待费，救护车老化维护费增加。</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3、政府采购项目情况</w:t>
      </w:r>
    </w:p>
    <w:p>
      <w:pPr>
        <w:spacing w:line="500" w:lineRule="exact"/>
        <w:ind w:firstLine="560" w:firstLineChars="200"/>
        <w:rPr>
          <w:rFonts w:ascii="仿宋" w:hAnsi="仿宋" w:eastAsia="仿宋" w:cs="仿宋"/>
          <w:color w:val="FF0000"/>
          <w:sz w:val="28"/>
          <w:szCs w:val="28"/>
        </w:rPr>
      </w:pPr>
      <w:r>
        <w:rPr>
          <w:rFonts w:hint="eastAsia" w:ascii="仿宋" w:hAnsi="仿宋" w:eastAsia="仿宋" w:cs="仿宋"/>
          <w:sz w:val="28"/>
          <w:szCs w:val="28"/>
        </w:rPr>
        <w:t>2021年本单位政府采购预算总额0万元。</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4、一般性支出情况2021年</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本部门会议费预算0万元。</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5、国有资产占用使用及新增资产配置使用情况</w:t>
      </w:r>
    </w:p>
    <w:p>
      <w:pPr>
        <w:spacing w:line="500" w:lineRule="exact"/>
        <w:rPr>
          <w:rFonts w:ascii="仿宋" w:hAnsi="仿宋" w:eastAsia="仿宋" w:cs="仿宋"/>
          <w:sz w:val="28"/>
          <w:szCs w:val="28"/>
        </w:rPr>
      </w:pPr>
      <w:r>
        <w:rPr>
          <w:rFonts w:hint="eastAsia" w:ascii="仿宋" w:hAnsi="仿宋" w:eastAsia="仿宋" w:cs="仿宋"/>
          <w:sz w:val="28"/>
          <w:szCs w:val="28"/>
        </w:rPr>
        <w:t xml:space="preserve">    截至2020年12月底，本部门共有公务用车6辆，其中，机要通信用车0辆，应急保障用车0辆，执法执勤用车0辆，特种专业技术用车6辆，其他按照规定配备的公务用车0辆；单位价值50万元以上通用设备3台，单位价值100万元以上专用设备9台。2020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p>
    <w:p>
      <w:pPr>
        <w:spacing w:line="500" w:lineRule="exact"/>
        <w:rPr>
          <w:rFonts w:ascii="仿宋" w:hAnsi="仿宋" w:eastAsia="仿宋" w:cs="仿宋"/>
          <w:sz w:val="28"/>
          <w:szCs w:val="28"/>
        </w:rPr>
      </w:pP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6、预算绩效情况</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本部门整体支出和项目支出预算实行绩效目标管理，纳入2021年部门整体支出绩效目标的金额为161万元，其中，基本支出161万元.财政无项目配套资金支出。</w:t>
      </w:r>
    </w:p>
    <w:p>
      <w:pPr>
        <w:spacing w:line="500" w:lineRule="exact"/>
        <w:rPr>
          <w:rFonts w:ascii="仿宋" w:hAnsi="仿宋" w:eastAsia="仿宋" w:cs="仿宋"/>
          <w:sz w:val="28"/>
          <w:szCs w:val="28"/>
        </w:rPr>
      </w:pPr>
      <w:r>
        <w:rPr>
          <w:rFonts w:hint="eastAsia" w:ascii="仿宋" w:hAnsi="仿宋" w:eastAsia="仿宋" w:cs="仿宋"/>
          <w:sz w:val="28"/>
          <w:szCs w:val="28"/>
        </w:rPr>
        <w:t>七、名词解释</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1、一般公共预算:是对以税收为主体的财政收入，安排用于保障和改善民生、推动经济社会发展、维护国家安全、维持国家机构正常运转等方面的收支预算。</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2、基本支出：是指为保障单位机构正常运转、完成日常工作任务而发生的各项支出，包括用于基本工资、津贴补贴等人员经费以及办公费、印刷费、水电费、办公设备购置等日常公用经费。</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3、项目支出：是指单位为完成财政财务管理工作或事业发展目标而发生的支出。</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rPr>
          <w:rFonts w:ascii="仿宋" w:hAnsi="仿宋" w:eastAsia="仿宋" w:cs="仿宋"/>
          <w:sz w:val="28"/>
          <w:szCs w:val="28"/>
        </w:rPr>
      </w:pPr>
      <w:r>
        <w:rPr>
          <w:rFonts w:hint="eastAsia" w:ascii="仿宋" w:hAnsi="仿宋" w:eastAsia="仿宋" w:cs="仿宋"/>
          <w:sz w:val="28"/>
          <w:szCs w:val="28"/>
        </w:rPr>
        <w:t>八、部门预算公开套表（附后）</w:t>
      </w:r>
    </w:p>
    <w:p>
      <w:pPr>
        <w:rPr>
          <w:rFonts w:ascii="仿宋" w:hAnsi="仿宋" w:eastAsia="仿宋" w:cs="仿宋"/>
          <w:sz w:val="36"/>
          <w:szCs w:val="36"/>
        </w:rPr>
      </w:pPr>
    </w:p>
    <w:p>
      <w:pPr>
        <w:jc w:val="right"/>
        <w:rPr>
          <w:rFonts w:ascii="仿宋" w:hAnsi="仿宋" w:eastAsia="仿宋" w:cs="仿宋"/>
          <w:sz w:val="36"/>
          <w:szCs w:val="36"/>
        </w:rPr>
      </w:pPr>
      <w:r>
        <w:rPr>
          <w:rFonts w:hint="eastAsia" w:ascii="仿宋" w:hAnsi="仿宋" w:eastAsia="仿宋" w:cs="仿宋"/>
          <w:sz w:val="36"/>
          <w:szCs w:val="36"/>
        </w:rPr>
        <w:t xml:space="preserve">                      衡东县中医医院</w:t>
      </w:r>
    </w:p>
    <w:p>
      <w:pPr>
        <w:jc w:val="right"/>
        <w:rPr>
          <w:rFonts w:ascii="仿宋" w:hAnsi="仿宋" w:eastAsia="仿宋" w:cs="仿宋"/>
          <w:sz w:val="36"/>
          <w:szCs w:val="36"/>
        </w:rPr>
      </w:pPr>
      <w:r>
        <w:rPr>
          <w:rFonts w:hint="eastAsia" w:ascii="仿宋" w:hAnsi="仿宋" w:eastAsia="仿宋" w:cs="仿宋"/>
          <w:sz w:val="36"/>
          <w:szCs w:val="36"/>
        </w:rPr>
        <w:t xml:space="preserve">              2021年5月15日</w:t>
      </w:r>
    </w:p>
    <w:sectPr>
      <w:footerReference r:id="rId3" w:type="default"/>
      <w:pgSz w:w="11906" w:h="16838"/>
      <w:pgMar w:top="1440" w:right="1423" w:bottom="1440" w:left="142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ADE85"/>
    <w:multiLevelType w:val="singleLevel"/>
    <w:tmpl w:val="BAFADE85"/>
    <w:lvl w:ilvl="0" w:tentative="0">
      <w:start w:val="1"/>
      <w:numFmt w:val="chineseCounting"/>
      <w:suff w:val="nothing"/>
      <w:lvlText w:val="（%1）"/>
      <w:lvlJc w:val="left"/>
      <w:rPr>
        <w:rFonts w:hint="eastAsia"/>
      </w:rPr>
    </w:lvl>
  </w:abstractNum>
  <w:abstractNum w:abstractNumId="1">
    <w:nsid w:val="C85B561A"/>
    <w:multiLevelType w:val="singleLevel"/>
    <w:tmpl w:val="C85B561A"/>
    <w:lvl w:ilvl="0" w:tentative="0">
      <w:start w:val="1"/>
      <w:numFmt w:val="chineseCounting"/>
      <w:suff w:val="nothing"/>
      <w:lvlText w:val="（%1）"/>
      <w:lvlJc w:val="left"/>
      <w:rPr>
        <w:rFonts w:hint="eastAsia"/>
      </w:rPr>
    </w:lvl>
  </w:abstractNum>
  <w:abstractNum w:abstractNumId="2">
    <w:nsid w:val="0AABF040"/>
    <w:multiLevelType w:val="singleLevel"/>
    <w:tmpl w:val="0AABF040"/>
    <w:lvl w:ilvl="0" w:tentative="0">
      <w:start w:val="1"/>
      <w:numFmt w:val="decimal"/>
      <w:suff w:val="nothing"/>
      <w:lvlText w:val="%1、"/>
      <w:lvlJc w:val="left"/>
    </w:lvl>
  </w:abstractNum>
  <w:abstractNum w:abstractNumId="3">
    <w:nsid w:val="5E26B3C2"/>
    <w:multiLevelType w:val="singleLevel"/>
    <w:tmpl w:val="5E26B3C2"/>
    <w:lvl w:ilvl="0" w:tentative="0">
      <w:start w:val="1"/>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YwNTEyODM1NDQxNjYzN2JhYjFlZjYyNTZjMzA2ZjkifQ=="/>
    <w:docVar w:name="KSO_WPS_MARK_KEY" w:val="9bdd0535-b54e-4d87-90e0-e55dd4967cd0"/>
  </w:docVars>
  <w:rsids>
    <w:rsidRoot w:val="78F44C01"/>
    <w:rsid w:val="00066129"/>
    <w:rsid w:val="000B0859"/>
    <w:rsid w:val="000B336C"/>
    <w:rsid w:val="000C53F3"/>
    <w:rsid w:val="000E228F"/>
    <w:rsid w:val="001567E3"/>
    <w:rsid w:val="0017200F"/>
    <w:rsid w:val="00255FB5"/>
    <w:rsid w:val="002615F3"/>
    <w:rsid w:val="002C567C"/>
    <w:rsid w:val="002D593E"/>
    <w:rsid w:val="002F097B"/>
    <w:rsid w:val="00311DAB"/>
    <w:rsid w:val="00334E61"/>
    <w:rsid w:val="00343CF9"/>
    <w:rsid w:val="003B4851"/>
    <w:rsid w:val="003C0E52"/>
    <w:rsid w:val="003E26FE"/>
    <w:rsid w:val="003F1563"/>
    <w:rsid w:val="004535F4"/>
    <w:rsid w:val="004759C9"/>
    <w:rsid w:val="0048113B"/>
    <w:rsid w:val="005672DA"/>
    <w:rsid w:val="00574487"/>
    <w:rsid w:val="005C3122"/>
    <w:rsid w:val="005D20F6"/>
    <w:rsid w:val="0060068E"/>
    <w:rsid w:val="00614293"/>
    <w:rsid w:val="00625A83"/>
    <w:rsid w:val="00663C92"/>
    <w:rsid w:val="00690119"/>
    <w:rsid w:val="0069381C"/>
    <w:rsid w:val="006C26E6"/>
    <w:rsid w:val="006F731A"/>
    <w:rsid w:val="007005E2"/>
    <w:rsid w:val="007446E7"/>
    <w:rsid w:val="00751F71"/>
    <w:rsid w:val="00786195"/>
    <w:rsid w:val="007D5BFF"/>
    <w:rsid w:val="0081569F"/>
    <w:rsid w:val="00825D03"/>
    <w:rsid w:val="00850639"/>
    <w:rsid w:val="008C03B5"/>
    <w:rsid w:val="008F27E2"/>
    <w:rsid w:val="008F7FCE"/>
    <w:rsid w:val="00907E3C"/>
    <w:rsid w:val="00926AB2"/>
    <w:rsid w:val="009378B7"/>
    <w:rsid w:val="00961AAD"/>
    <w:rsid w:val="009B5AE1"/>
    <w:rsid w:val="009C13F3"/>
    <w:rsid w:val="00A85CE4"/>
    <w:rsid w:val="00A960AA"/>
    <w:rsid w:val="00AC5C91"/>
    <w:rsid w:val="00AE53F9"/>
    <w:rsid w:val="00B14228"/>
    <w:rsid w:val="00B426C1"/>
    <w:rsid w:val="00B769E9"/>
    <w:rsid w:val="00BB4EEF"/>
    <w:rsid w:val="00BC48CB"/>
    <w:rsid w:val="00BE2447"/>
    <w:rsid w:val="00BE5A24"/>
    <w:rsid w:val="00C0044C"/>
    <w:rsid w:val="00D85973"/>
    <w:rsid w:val="00D93779"/>
    <w:rsid w:val="00D97432"/>
    <w:rsid w:val="00D97886"/>
    <w:rsid w:val="00DF471A"/>
    <w:rsid w:val="00E81FA4"/>
    <w:rsid w:val="00F22C98"/>
    <w:rsid w:val="00F730AB"/>
    <w:rsid w:val="00FB6B3F"/>
    <w:rsid w:val="04181D64"/>
    <w:rsid w:val="04535B55"/>
    <w:rsid w:val="06262424"/>
    <w:rsid w:val="06356B9E"/>
    <w:rsid w:val="08D54674"/>
    <w:rsid w:val="094C1F3C"/>
    <w:rsid w:val="0AAA4D8D"/>
    <w:rsid w:val="0CE57F9B"/>
    <w:rsid w:val="0D1B0236"/>
    <w:rsid w:val="110A4548"/>
    <w:rsid w:val="11E74D3F"/>
    <w:rsid w:val="13E815FF"/>
    <w:rsid w:val="14CF0E56"/>
    <w:rsid w:val="174D6F5C"/>
    <w:rsid w:val="191C4A35"/>
    <w:rsid w:val="19505CB5"/>
    <w:rsid w:val="1CEE4A6A"/>
    <w:rsid w:val="1EDE1A94"/>
    <w:rsid w:val="1F9D579B"/>
    <w:rsid w:val="1FE27CAB"/>
    <w:rsid w:val="203842CB"/>
    <w:rsid w:val="23E21288"/>
    <w:rsid w:val="267D5F9A"/>
    <w:rsid w:val="29014437"/>
    <w:rsid w:val="29605051"/>
    <w:rsid w:val="29707BAA"/>
    <w:rsid w:val="2E0E6743"/>
    <w:rsid w:val="30B728BF"/>
    <w:rsid w:val="30E635C8"/>
    <w:rsid w:val="31726F6B"/>
    <w:rsid w:val="34CE667D"/>
    <w:rsid w:val="35480150"/>
    <w:rsid w:val="36003260"/>
    <w:rsid w:val="38060871"/>
    <w:rsid w:val="3E5755B2"/>
    <w:rsid w:val="3E9F4F8C"/>
    <w:rsid w:val="422947AD"/>
    <w:rsid w:val="46A20FE1"/>
    <w:rsid w:val="49EA1A13"/>
    <w:rsid w:val="4C180157"/>
    <w:rsid w:val="4D984B40"/>
    <w:rsid w:val="4E134FFC"/>
    <w:rsid w:val="526F6531"/>
    <w:rsid w:val="56493488"/>
    <w:rsid w:val="583B12D8"/>
    <w:rsid w:val="5A0904D4"/>
    <w:rsid w:val="5AB453EF"/>
    <w:rsid w:val="5BBC3CD0"/>
    <w:rsid w:val="5CDB46AA"/>
    <w:rsid w:val="5E1F2BD5"/>
    <w:rsid w:val="64350850"/>
    <w:rsid w:val="64774D48"/>
    <w:rsid w:val="69000C13"/>
    <w:rsid w:val="6C2D7FE4"/>
    <w:rsid w:val="6D1C161A"/>
    <w:rsid w:val="6FD60C4C"/>
    <w:rsid w:val="72B43A5A"/>
    <w:rsid w:val="72B70408"/>
    <w:rsid w:val="733E0D04"/>
    <w:rsid w:val="746027E7"/>
    <w:rsid w:val="7796726F"/>
    <w:rsid w:val="78F44C01"/>
    <w:rsid w:val="7DE62FB1"/>
    <w:rsid w:val="7E747462"/>
    <w:rsid w:val="7F3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2619</Words>
  <Characters>2774</Characters>
  <Lines>20</Lines>
  <Paragraphs>5</Paragraphs>
  <TotalTime>9</TotalTime>
  <ScaleCrop>false</ScaleCrop>
  <LinksUpToDate>false</LinksUpToDate>
  <CharactersWithSpaces>2828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2021-06-03T12:59:00Z</dcterms:created>
  <dc:creator>梦龙</dc:creator>
  <cp:lastModifiedBy>蒋阔</cp:lastModifiedBy>
  <cp:lastPrinted>2019-07-04T10:04:00Z</cp:lastPrinted>
  <dcterms:modified xsi:type="dcterms:W3CDTF">2024-10-17T06:19:35Z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0E90B9CC76E34179991CCA97A5B31AA9</vt:lpwstr>
  </property>
</Properties>
</file>