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2021年部门整体</w:t>
      </w:r>
      <w:r>
        <w:rPr>
          <w:rFonts w:hint="eastAsia" w:ascii="黑体" w:hAnsi="黑体" w:eastAsia="黑体"/>
          <w:sz w:val="36"/>
          <w:szCs w:val="36"/>
        </w:rPr>
        <w:t>支出绩效目标表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填报单位：（盖章）</w:t>
      </w:r>
      <w:r>
        <w:rPr>
          <w:rFonts w:hint="eastAsia" w:ascii="仿宋_GB2312" w:eastAsia="仿宋_GB2312"/>
          <w:kern w:val="0"/>
          <w:szCs w:val="21"/>
        </w:rPr>
        <w:t>中共衡东县委统一战线工作部</w:t>
      </w:r>
    </w:p>
    <w:tbl>
      <w:tblPr>
        <w:tblStyle w:val="3"/>
        <w:tblW w:w="9039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59"/>
        <w:gridCol w:w="1514"/>
        <w:gridCol w:w="1263"/>
        <w:gridCol w:w="1686"/>
        <w:gridCol w:w="19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部门名称</w:t>
            </w:r>
          </w:p>
        </w:tc>
        <w:tc>
          <w:tcPr>
            <w:tcW w:w="75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中共衡东县委统一战线工作部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年度预算申请（万元）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资金总额：231.46万元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按收入性质分：</w:t>
            </w:r>
          </w:p>
        </w:tc>
        <w:tc>
          <w:tcPr>
            <w:tcW w:w="36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按支出性质分：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其中：一般公共预算：231.46万元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其中：基本支出：169.46万元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政府性基金拨款：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项目支出：62万元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纳入专户管理的非税收入拨款：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其他资金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部门职能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职责概述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贯彻落实加强党对统一战线工作集中统一领导的要求，发挥县委在统战工作方面的参谋机构、组织协调机构、具体执行机构、督促检查机构作用，巩固壮大最广泛的统一战线。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协调开展全县统一战线重大理论研究，拟定全县统一战线政策和地方性法规草案并推动落实。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负责发现、培养党外代表人士，负责党外人士的政治安排，协助县工商联做好干部管理工作，反映和协调解决党外代表人士工作生活中的实际困难。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贯彻落实党的宣传工作方针，统筹推进全县统一战线宣传工作，拟定我县统一战线宣传工作规划并组织实施，研判涉及全县统一战线的舆情并协调有关部门应对处置。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贯彻执行党的民族宗教工作基本方针，落实民族宗教政策和法律法规，执行中央、省、市关于民族宗教工作的决策部署。研究拟定全县民族宗教工作的政策措施并督促落实，协调处理民族宗教工作中的重大问题。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负责联系、培养无党派代表人士，支持、帮助无党派人士加强自身建设、发挥作用。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与制定、推动落实鼓励支持引导非公有制经济发展的政策，调查研究非公有制经济人士情况并提出政策建议，了解和反映非公有制经济人士的意见，团结、服务、引导、教育非公有制经济人士，促进非公有制经济健康发展和非公有制经济人士健康成长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统一领导全县海外统战工作，牵头开展港澳统战工作，开展对台统战工作。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统一管理全县侨务工作，贯彻落实党的侨务工作方针政策，指导推动涉侨宣传、文化交流、华文教育工作等，保护华侨和归侨侨眷在国内的合法权益。</w:t>
            </w:r>
          </w:p>
          <w:p>
            <w:pPr>
              <w:widowControl/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受县委委托，领导县工商联、县侨联党组,指导县工商联、县侨联工作。做好统一战线有关单位和团体的管理工作。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11、协助管理乡镇党委统战委员。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整体绩效目标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通过预算执行，保障单位履职、运转。统筹推进全县统一战线宣传工作，负责联系、培养党外知识分子和新的社会阶层代表人士，统一领导全县海外统战工作，依法管理民族宗教事务，收集信息提出建议，为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县委、县政府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>提供决策参考依据</w:t>
            </w:r>
            <w:r>
              <w:rPr>
                <w:rFonts w:hint="eastAsia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部门整体支出  年度绩效指标</w:t>
            </w: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19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指标值及单位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5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财政供养人员</w:t>
            </w:r>
          </w:p>
        </w:tc>
        <w:tc>
          <w:tcPr>
            <w:tcW w:w="19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16人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部门单位履职、运转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予以保障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“四同创建”联系走访乡镇人次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</w:rPr>
              <w:t>80人次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党外代表人士、非公经济人士教育培训人次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</w:rPr>
              <w:t>30人次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新社会阶层人士和党外识分子教育培训人次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</w:rPr>
              <w:t>40人次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民宗工作走访人次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走访民宗人士20人次，全年宣传教育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</w:rPr>
              <w:t>12次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编制人员控制率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Arial" w:hAnsi="Arial" w:eastAsia="仿宋_GB2312" w:cs="Arial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公用经费控制率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≤100%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“四同创建”联系走访乡镇人次完成率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党外代表人士、非公经济人士教育培训人次完成率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新社会阶层人士和党外识分子教育培训人次完成率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民宗工作走访人次完成率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人员经费支出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≤138万元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公用经费支出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≤31.46万元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“四同创建”项目经费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≤10万元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党外代表人士、非公经济人士教育培训费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≤10万元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新社会阶层人士和党外识分子教育培训费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≤10万元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民宗工作走访项目经费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≤11万元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日常工作任务完成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年内及时完成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“四同创建”等项目指标完成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年内及时完成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监管发现问题整改率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统战工作社会知晓率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≥70%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促进县域经济发展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明显增强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社会公众或服务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对象满意度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服务对象满意率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983" w:type="dxa"/>
            <w:tcBorders>
              <w:left w:val="nil"/>
              <w:bottom w:val="nil"/>
              <w:right w:val="nil"/>
            </w:tcBorders>
            <w:vAlign w:val="center"/>
          </w:tcPr>
          <w:p/>
        </w:tc>
      </w:tr>
    </w:tbl>
    <w:p>
      <w:pPr>
        <w:widowControl/>
        <w:tabs>
          <w:tab w:val="left" w:pos="1333"/>
          <w:tab w:val="left" w:pos="3793"/>
          <w:tab w:val="left" w:pos="5853"/>
        </w:tabs>
        <w:ind w:leftChars="-200" w:hanging="420" w:hangingChars="200"/>
        <w:jc w:val="left"/>
      </w:pPr>
      <w:r>
        <w:rPr>
          <w:rFonts w:hint="eastAsia" w:ascii="仿宋_GB2312" w:eastAsia="仿宋_GB2312"/>
          <w:kern w:val="0"/>
          <w:szCs w:val="21"/>
        </w:rPr>
        <w:t>填表人：赵玲   联系电话：18229202220    填报日期：2021.5.19   单位负责人签字：</w:t>
      </w:r>
    </w:p>
    <w:p/>
    <w:sectPr>
      <w:pgSz w:w="11906" w:h="16838"/>
      <w:pgMar w:top="1270" w:right="1800" w:bottom="98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35BBD"/>
    <w:multiLevelType w:val="singleLevel"/>
    <w:tmpl w:val="F7D35B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wNTEyODM1NDQxNjYzN2JhYjFlZjYyNTZjMzA2ZjkifQ=="/>
    <w:docVar w:name="KSO_WPS_MARK_KEY" w:val="f1aad5e0-7192-43c0-b255-f469838baa38"/>
  </w:docVars>
  <w:rsids>
    <w:rsidRoot w:val="25E26C38"/>
    <w:rsid w:val="00051CD1"/>
    <w:rsid w:val="00437CD2"/>
    <w:rsid w:val="076E386F"/>
    <w:rsid w:val="10395E43"/>
    <w:rsid w:val="186C16C7"/>
    <w:rsid w:val="25E26C38"/>
    <w:rsid w:val="2F145114"/>
    <w:rsid w:val="30BE403A"/>
    <w:rsid w:val="40207478"/>
    <w:rsid w:val="48280423"/>
    <w:rsid w:val="4A172A16"/>
    <w:rsid w:val="4DBE5EA9"/>
    <w:rsid w:val="512E5A66"/>
    <w:rsid w:val="5D105C49"/>
    <w:rsid w:val="6CBD1E1F"/>
    <w:rsid w:val="7145061B"/>
    <w:rsid w:val="71BD102D"/>
    <w:rsid w:val="7BF92C58"/>
    <w:rsid w:val="7C4F2B32"/>
    <w:rsid w:val="7E5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1402</Words>
  <Characters>1477</Characters>
  <Lines>12</Lines>
  <Paragraphs>3</Paragraphs>
  <TotalTime>2</TotalTime>
  <ScaleCrop>false</ScaleCrop>
  <LinksUpToDate>false</LinksUpToDate>
  <CharactersWithSpaces>1489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2021-04-25T01:45:00Z</dcterms:created>
  <dc:creator>Administrator</dc:creator>
  <cp:lastModifiedBy>蒋阔</cp:lastModifiedBy>
  <dcterms:modified xsi:type="dcterms:W3CDTF">2024-10-16T08:50:26Z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7089030D5D65482C9F26FA8A8647C485</vt:lpwstr>
  </property>
</Properties>
</file>