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5.国有资产占用使用及新增资产配置使用情况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八、部门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2.部门收支总表（一级单位汇总）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3.部门收支预算总表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10.政府采购预算表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11.政府购买服务预算表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③专项资金绩效目标申报表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注：以上部门预算报表中，空表表示本部门无相关收支情况。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衡东县矿产资源事务中心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20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sz w:val="44"/>
          <w:szCs w:val="44"/>
        </w:rPr>
        <w:t>年部门预算公开说明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部门职能职责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本单位主要职能是：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8" w:firstLineChars="235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衡东县矿产资源事务中心是衡东县自然资源局</w:t>
      </w:r>
      <w:r>
        <w:rPr>
          <w:rFonts w:hint="eastAsia" w:ascii="仿宋" w:hAnsi="仿宋" w:eastAsia="仿宋" w:cs="仿宋"/>
          <w:sz w:val="28"/>
          <w:szCs w:val="28"/>
        </w:rPr>
        <w:t>所属股级公益一类事业单位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8" w:firstLineChars="235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8" w:firstLineChars="23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受税费征收机关委托，对全县矿产品生产、加工、销售有关个人和企业应缴纳的税费，依法依规进行据实征收和协助征收；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8" w:firstLineChars="23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协助提供全县矿产品开采的生产经营行政许可、监管和执法信息；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8" w:firstLineChars="235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完成县委县政府和县自然资源局交办的工作。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机构设置及部门预算单位构成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本单位现有</w:t>
      </w:r>
      <w:r>
        <w:rPr>
          <w:rFonts w:hint="eastAsia" w:ascii="仿宋" w:hAnsi="仿宋" w:eastAsia="仿宋" w:cs="仿宋"/>
          <w:sz w:val="28"/>
          <w:szCs w:val="28"/>
        </w:rPr>
        <w:t>内设组室4个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，在职人员19人，退休人员0人。本单位下设</w:t>
      </w:r>
      <w:r>
        <w:rPr>
          <w:rFonts w:hint="eastAsia" w:ascii="仿宋" w:hAnsi="仿宋" w:eastAsia="仿宋" w:cs="仿宋"/>
          <w:sz w:val="28"/>
          <w:szCs w:val="28"/>
        </w:rPr>
        <w:t>办公室、稽查统计组、征收管理组、财务结算组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等部门全部纳入2020年部门预算，衡东县矿产资源事务中心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部门只有本级，没有其他预算单位，因此本部门预算仅含本级预算。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本单位</w:t>
      </w:r>
      <w:r>
        <w:rPr>
          <w:rFonts w:hint="eastAsia" w:ascii="仿宋" w:hAnsi="仿宋" w:eastAsia="仿宋" w:cs="仿宋"/>
          <w:sz w:val="28"/>
          <w:szCs w:val="28"/>
        </w:rPr>
        <w:t>部门预算包括本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部门</w:t>
      </w:r>
      <w:r>
        <w:rPr>
          <w:rFonts w:hint="eastAsia" w:ascii="仿宋" w:hAnsi="仿宋" w:eastAsia="仿宋" w:cs="仿宋"/>
          <w:sz w:val="28"/>
          <w:szCs w:val="28"/>
        </w:rPr>
        <w:t>汇总情况。收入包括财政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预算拨款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收入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支出包括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单位基本支出。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（一）收入预算，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年年初预算数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165.05</w:t>
      </w:r>
      <w:r>
        <w:rPr>
          <w:rFonts w:hint="eastAsia" w:ascii="仿宋" w:hAnsi="仿宋" w:eastAsia="仿宋" w:cs="仿宋"/>
          <w:sz w:val="28"/>
          <w:szCs w:val="28"/>
        </w:rPr>
        <w:t>万元，其中：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年初预算安排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165.05</w:t>
      </w:r>
      <w:r>
        <w:rPr>
          <w:rFonts w:hint="eastAsia" w:ascii="仿宋" w:hAnsi="仿宋" w:eastAsia="仿宋" w:cs="仿宋"/>
          <w:sz w:val="28"/>
          <w:szCs w:val="28"/>
        </w:rPr>
        <w:t>万元，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转移支付收入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0万元，</w:t>
      </w:r>
      <w:r>
        <w:rPr>
          <w:rFonts w:hint="eastAsia" w:ascii="仿宋" w:hAnsi="仿宋" w:eastAsia="仿宋" w:cs="仿宋"/>
          <w:sz w:val="28"/>
          <w:szCs w:val="28"/>
        </w:rPr>
        <w:t>纳入预算管理的非税收入拨款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年收入预算较去年减少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33.89</w:t>
      </w:r>
      <w:r>
        <w:rPr>
          <w:rFonts w:hint="eastAsia" w:ascii="仿宋" w:hAnsi="仿宋" w:eastAsia="仿宋" w:cs="仿宋"/>
          <w:sz w:val="28"/>
          <w:szCs w:val="28"/>
        </w:rPr>
        <w:t>万元，主要是经费拨款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减少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33.89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（二）支出预算，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年年初预算数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165.05</w:t>
      </w:r>
      <w:r>
        <w:rPr>
          <w:rFonts w:hint="eastAsia" w:ascii="仿宋" w:hAnsi="仿宋" w:eastAsia="仿宋" w:cs="仿宋"/>
          <w:sz w:val="28"/>
          <w:szCs w:val="28"/>
        </w:rPr>
        <w:t>万元，其中，一般公共服务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165.05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。支出较去年减少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33.89</w:t>
      </w:r>
      <w:r>
        <w:rPr>
          <w:rFonts w:hint="eastAsia" w:ascii="仿宋" w:hAnsi="仿宋" w:eastAsia="仿宋" w:cs="仿宋"/>
          <w:sz w:val="28"/>
          <w:szCs w:val="28"/>
        </w:rPr>
        <w:t>万元，主要是基本支出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减少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33.89</w:t>
      </w:r>
      <w:r>
        <w:rPr>
          <w:rFonts w:hint="eastAsia" w:ascii="仿宋" w:hAnsi="仿宋" w:eastAsia="仿宋" w:cs="仿宋"/>
          <w:sz w:val="28"/>
          <w:szCs w:val="28"/>
        </w:rPr>
        <w:t>万元，其中人员经费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减少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33.77</w:t>
      </w:r>
      <w:r>
        <w:rPr>
          <w:rFonts w:hint="eastAsia" w:ascii="仿宋" w:hAnsi="仿宋" w:eastAsia="仿宋" w:cs="仿宋"/>
          <w:sz w:val="28"/>
          <w:szCs w:val="28"/>
        </w:rPr>
        <w:t>万元，公用经费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减少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0.12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，因人员调出人员经费及公用经费减少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年一般公共预算拨款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165.05</w:t>
      </w:r>
      <w:r>
        <w:rPr>
          <w:rFonts w:hint="eastAsia" w:ascii="仿宋" w:hAnsi="仿宋" w:eastAsia="仿宋" w:cs="仿宋"/>
          <w:sz w:val="28"/>
          <w:szCs w:val="28"/>
        </w:rPr>
        <w:t>万元，其中，一般公共服务支出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165.05</w:t>
      </w:r>
      <w:r>
        <w:rPr>
          <w:rFonts w:hint="eastAsia" w:ascii="仿宋" w:hAnsi="仿宋" w:eastAsia="仿宋" w:cs="仿宋"/>
          <w:sz w:val="28"/>
          <w:szCs w:val="28"/>
        </w:rPr>
        <w:t>万元，占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%；公共安全支出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%。具体安排情况如下：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（一）基本支出：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年年初预算数为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165.05</w:t>
      </w:r>
      <w:r>
        <w:rPr>
          <w:rFonts w:hint="eastAsia" w:ascii="仿宋" w:hAnsi="仿宋" w:eastAsia="仿宋" w:cs="仿宋"/>
          <w:sz w:val="28"/>
          <w:szCs w:val="28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（二）项目支出：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年年初预算数为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本单位无项目支出预算安排。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年本部门政府性基金支出预算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万元，本部门无政府性基金安排的支出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1、机关运行经费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cs="仿宋" w:eastAsiaTheme="minorEastAsia"/>
          <w:sz w:val="28"/>
          <w:szCs w:val="28"/>
          <w:lang w:eastAsia="zh-CN"/>
        </w:rPr>
      </w:pP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  <w:lang w:eastAsia="zh-CN"/>
        </w:rPr>
        <w:t>本</w:t>
      </w: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</w:rPr>
        <w:t>单位非行政单位和参公单位,机关运行经费</w:t>
      </w: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  <w:lang w:eastAsia="zh-CN"/>
        </w:rPr>
        <w:t>预算安排</w:t>
      </w: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</w:rPr>
        <w:t>为0</w:t>
      </w: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年“三公”经费预算数为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1.75</w:t>
      </w:r>
      <w:r>
        <w:rPr>
          <w:rFonts w:hint="eastAsia" w:ascii="仿宋" w:hAnsi="仿宋" w:eastAsia="仿宋" w:cs="仿宋"/>
          <w:sz w:val="28"/>
          <w:szCs w:val="28"/>
        </w:rPr>
        <w:t>万元，其中，公务接待费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万元，公务用车购置及运行费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1.75</w:t>
      </w:r>
      <w:r>
        <w:rPr>
          <w:rFonts w:hint="eastAsia" w:ascii="仿宋" w:hAnsi="仿宋" w:eastAsia="仿宋" w:cs="仿宋"/>
          <w:sz w:val="28"/>
          <w:szCs w:val="28"/>
        </w:rPr>
        <w:t>万元（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其中</w:t>
      </w:r>
      <w:r>
        <w:rPr>
          <w:rFonts w:hint="eastAsia" w:ascii="仿宋" w:hAnsi="仿宋" w:eastAsia="仿宋" w:cs="仿宋"/>
          <w:sz w:val="28"/>
          <w:szCs w:val="28"/>
        </w:rPr>
        <w:t>公务用车运行费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1.75</w:t>
      </w:r>
      <w:r>
        <w:rPr>
          <w:rFonts w:hint="eastAsia" w:ascii="仿宋" w:hAnsi="仿宋" w:eastAsia="仿宋" w:cs="仿宋"/>
          <w:sz w:val="28"/>
          <w:szCs w:val="28"/>
        </w:rPr>
        <w:t>万元,公务用车购置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万元），因公出国（境）费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本年</w:t>
      </w:r>
      <w:r>
        <w:rPr>
          <w:rFonts w:hint="eastAsia" w:ascii="仿宋" w:hAnsi="仿宋" w:eastAsia="仿宋" w:cs="仿宋"/>
          <w:sz w:val="28"/>
          <w:szCs w:val="28"/>
        </w:rPr>
        <w:t>“三公”经费预算与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</w:t>
      </w:r>
      <w:r>
        <w:rPr>
          <w:rFonts w:hint="eastAsia" w:ascii="仿宋" w:hAnsi="仿宋" w:eastAsia="仿宋" w:cs="仿宋"/>
          <w:sz w:val="28"/>
          <w:szCs w:val="28"/>
        </w:rPr>
        <w:t>年相比，减少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0.25</w:t>
      </w:r>
      <w:r>
        <w:rPr>
          <w:rFonts w:hint="eastAsia" w:ascii="仿宋" w:hAnsi="仿宋" w:eastAsia="仿宋" w:cs="仿宋"/>
          <w:sz w:val="28"/>
          <w:szCs w:val="28"/>
        </w:rPr>
        <w:t>万元，减少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原因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为公务车数量减少。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一般性支出情况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年本部门会议费预算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万元，拟召开某某会议，人数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人，内容为无；培训费预算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万元，拟开展某某培训，人数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人，内容为无；拟举办……等节庆、晚会、论坛、赛事活动，经费预算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万元。本单位无会议费预算安排的支出。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、政府采购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本单位</w:t>
      </w:r>
      <w:r>
        <w:rPr>
          <w:rFonts w:hint="eastAsia" w:ascii="仿宋" w:hAnsi="仿宋" w:eastAsia="仿宋" w:cs="仿宋"/>
          <w:sz w:val="28"/>
          <w:szCs w:val="28"/>
        </w:rPr>
        <w:t>政府采购预算总额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。其中，货物类采购预算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万元；工程类采购预算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万元；服务类采购预算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万元。本单位无政府采购预算安排的支出。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5、国有资产占用使用及新增资产配置使用情况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截至2018年12月底，本部门共有公务用车5辆，其中，机要通信用车0辆，应急保障用车0辆，执法执勤用车0辆，特种专业技术用车0辆，其他按照规定配备的公务用车5辆；单位价值50万元以上通用设备0台，单位价值100万元以上专用设备0台。2019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6、预算绩效情况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本部门所有支出预算实行绩效目标管理，纳入2020年部门整体支出绩效目标的金额为165.05万元，其中，基本支出165.05万元，项目支出0万元。具体绩效目标详见报表。。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③专项资金绩效目标申报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表(空表)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（附后）</w:t>
      </w:r>
    </w:p>
    <w:p>
      <w:pPr>
        <w:ind w:left="5746" w:leftChars="2736" w:firstLine="1440" w:firstLineChars="4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    </w:t>
      </w:r>
    </w:p>
    <w:p>
      <w:pPr>
        <w:ind w:left="5746" w:leftChars="2736" w:firstLine="1440" w:firstLineChars="40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ind w:firstLine="5700" w:firstLineChars="19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衡东县矿产资源事务中心</w:t>
      </w:r>
    </w:p>
    <w:p>
      <w:pPr>
        <w:ind w:firstLine="6000" w:firstLineChars="20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2020年6月15日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FF0000"/>
          <w:sz w:val="22"/>
          <w:szCs w:val="2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</w:t>
      </w: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027FF"/>
    <w:multiLevelType w:val="singleLevel"/>
    <w:tmpl w:val="EFE027F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264803bd-ba34-4ec5-a81a-aa3151f9f1de"/>
  </w:docVars>
  <w:rsids>
    <w:rsidRoot w:val="78F44C01"/>
    <w:rsid w:val="04181D64"/>
    <w:rsid w:val="04535B55"/>
    <w:rsid w:val="06262424"/>
    <w:rsid w:val="06356B9E"/>
    <w:rsid w:val="08D54674"/>
    <w:rsid w:val="094C1F3C"/>
    <w:rsid w:val="09B86187"/>
    <w:rsid w:val="0AAA4D8D"/>
    <w:rsid w:val="0CE57F9B"/>
    <w:rsid w:val="0D1B0236"/>
    <w:rsid w:val="110A4548"/>
    <w:rsid w:val="11E74D3F"/>
    <w:rsid w:val="13E815FF"/>
    <w:rsid w:val="14CF0E56"/>
    <w:rsid w:val="1587741F"/>
    <w:rsid w:val="174D6F5C"/>
    <w:rsid w:val="1774030B"/>
    <w:rsid w:val="191C4A35"/>
    <w:rsid w:val="19CE509A"/>
    <w:rsid w:val="1C881E51"/>
    <w:rsid w:val="1CEE4A6A"/>
    <w:rsid w:val="1EDE1A94"/>
    <w:rsid w:val="1F9D579B"/>
    <w:rsid w:val="1FE27CAB"/>
    <w:rsid w:val="203842CB"/>
    <w:rsid w:val="23E21288"/>
    <w:rsid w:val="267D5F9A"/>
    <w:rsid w:val="27131E6D"/>
    <w:rsid w:val="29014437"/>
    <w:rsid w:val="29605051"/>
    <w:rsid w:val="29707BAA"/>
    <w:rsid w:val="2E0E6743"/>
    <w:rsid w:val="300F238E"/>
    <w:rsid w:val="30B728BF"/>
    <w:rsid w:val="30E635C8"/>
    <w:rsid w:val="31726F6B"/>
    <w:rsid w:val="34CE667D"/>
    <w:rsid w:val="35480150"/>
    <w:rsid w:val="36003260"/>
    <w:rsid w:val="38060871"/>
    <w:rsid w:val="3881484B"/>
    <w:rsid w:val="3E5755B2"/>
    <w:rsid w:val="3E9F4F8C"/>
    <w:rsid w:val="422947AD"/>
    <w:rsid w:val="43B11A50"/>
    <w:rsid w:val="46A20FE1"/>
    <w:rsid w:val="49EA1A13"/>
    <w:rsid w:val="4C180157"/>
    <w:rsid w:val="4D984B40"/>
    <w:rsid w:val="4E134FFC"/>
    <w:rsid w:val="526F6531"/>
    <w:rsid w:val="56493488"/>
    <w:rsid w:val="583B12D8"/>
    <w:rsid w:val="5A0904D4"/>
    <w:rsid w:val="5AB453EF"/>
    <w:rsid w:val="5BBC3CD0"/>
    <w:rsid w:val="5CDB46AA"/>
    <w:rsid w:val="5E1F2BD5"/>
    <w:rsid w:val="61C6556D"/>
    <w:rsid w:val="64350850"/>
    <w:rsid w:val="64774D48"/>
    <w:rsid w:val="69000C13"/>
    <w:rsid w:val="6C2D7FE4"/>
    <w:rsid w:val="6D1C161A"/>
    <w:rsid w:val="6FD60C4C"/>
    <w:rsid w:val="72B43A5A"/>
    <w:rsid w:val="72B70408"/>
    <w:rsid w:val="733E0D04"/>
    <w:rsid w:val="746027E7"/>
    <w:rsid w:val="7796726F"/>
    <w:rsid w:val="78F44C01"/>
    <w:rsid w:val="79EC1C08"/>
    <w:rsid w:val="7A3037AC"/>
    <w:rsid w:val="7CFB2F9A"/>
    <w:rsid w:val="7DE62FB1"/>
    <w:rsid w:val="7E747462"/>
    <w:rsid w:val="7F335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2377</Words>
  <Characters>2544</Characters>
  <Lines>0</Lines>
  <Paragraphs>0</Paragraphs>
  <TotalTime>1</TotalTime>
  <ScaleCrop>false</ScaleCrop>
  <LinksUpToDate>false</LinksUpToDate>
  <CharactersWithSpaces>2622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蒋阔</cp:lastModifiedBy>
  <cp:lastPrinted>2019-07-04T10:04:00Z</cp:lastPrinted>
  <dcterms:modified xsi:type="dcterms:W3CDTF">2024-10-16T08:27:34Z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AE720C36DB244C3B898A1DFABB1C7946</vt:lpwstr>
  </property>
</Properties>
</file>