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225" w:line="640" w:lineRule="exact"/>
        <w:jc w:val="center"/>
        <w:textAlignment w:val="auto"/>
        <w:rPr>
          <w:rFonts w:hint="eastAsia" w:ascii="方正小标宋_GBK" w:hAnsi="方正小标宋_GBK" w:eastAsia="方正小标宋_GBK" w:cs="方正小标宋_GBK"/>
          <w:b w:val="0"/>
          <w:bCs w:val="0"/>
          <w:color w:val="333333"/>
          <w:kern w:val="0"/>
          <w:sz w:val="44"/>
          <w:szCs w:val="44"/>
        </w:rPr>
      </w:pPr>
      <w:r>
        <w:rPr>
          <w:rFonts w:hint="eastAsia" w:ascii="方正小标宋_GBK" w:hAnsi="方正小标宋_GBK" w:eastAsia="方正小标宋_GBK" w:cs="方正小标宋_GBK"/>
          <w:b w:val="0"/>
          <w:bCs w:val="0"/>
          <w:color w:val="333333"/>
          <w:kern w:val="0"/>
          <w:sz w:val="44"/>
          <w:szCs w:val="44"/>
        </w:rPr>
        <w:t>关于进一步完善研发费用税前加计扣除</w:t>
      </w:r>
    </w:p>
    <w:p>
      <w:pPr>
        <w:keepNext w:val="0"/>
        <w:keepLines w:val="0"/>
        <w:pageBreakBefore w:val="0"/>
        <w:widowControl/>
        <w:shd w:val="clear" w:color="auto" w:fill="FFFFFF"/>
        <w:kinsoku/>
        <w:wordWrap/>
        <w:overflowPunct/>
        <w:topLinePunct w:val="0"/>
        <w:autoSpaceDE/>
        <w:autoSpaceDN/>
        <w:bidi w:val="0"/>
        <w:adjustRightInd/>
        <w:snapToGrid/>
        <w:spacing w:after="225" w:line="640" w:lineRule="exact"/>
        <w:jc w:val="center"/>
        <w:textAlignment w:val="auto"/>
        <w:rPr>
          <w:rFonts w:hint="eastAsia" w:ascii="仿宋_GB2312" w:hAnsi="仿宋_GB2312" w:eastAsia="仿宋_GB2312" w:cs="仿宋_GB2312"/>
          <w:color w:val="333333"/>
          <w:kern w:val="0"/>
          <w:sz w:val="32"/>
          <w:szCs w:val="32"/>
        </w:rPr>
      </w:pPr>
      <w:r>
        <w:rPr>
          <w:rFonts w:hint="eastAsia" w:ascii="方正小标宋_GBK" w:hAnsi="方正小标宋_GBK" w:eastAsia="方正小标宋_GBK" w:cs="方正小标宋_GBK"/>
          <w:b w:val="0"/>
          <w:bCs w:val="0"/>
          <w:color w:val="333333"/>
          <w:kern w:val="0"/>
          <w:sz w:val="44"/>
          <w:szCs w:val="44"/>
        </w:rPr>
        <w:t>政策的公告</w:t>
      </w:r>
      <w:r>
        <w:rPr>
          <w:rFonts w:hint="eastAsia" w:ascii="仿宋_GB2312" w:hAnsi="仿宋_GB2312" w:eastAsia="仿宋_GB2312" w:cs="仿宋_GB2312"/>
          <w:color w:val="333333"/>
          <w:kern w:val="0"/>
          <w:sz w:val="32"/>
          <w:szCs w:val="32"/>
        </w:rPr>
        <w:br w:type="textWrapping"/>
      </w:r>
      <w:r>
        <w:rPr>
          <w:rFonts w:hint="eastAsia" w:ascii="楷体_GB2312" w:hAnsi="楷体_GB2312" w:eastAsia="楷体_GB2312" w:cs="楷体_GB2312"/>
          <w:b/>
          <w:bCs/>
          <w:color w:val="333333"/>
          <w:kern w:val="0"/>
          <w:sz w:val="32"/>
          <w:szCs w:val="32"/>
        </w:rPr>
        <w:t>财政部 税务总局公告2021年第13号</w:t>
      </w:r>
    </w:p>
    <w:p>
      <w:pPr>
        <w:keepNext w:val="0"/>
        <w:keepLines w:val="0"/>
        <w:pageBreakBefore w:val="0"/>
        <w:widowControl/>
        <w:shd w:val="clear" w:color="auto" w:fill="FFFFFF"/>
        <w:kinsoku/>
        <w:wordWrap/>
        <w:overflowPunct/>
        <w:topLinePunct w:val="0"/>
        <w:autoSpaceDE/>
        <w:autoSpaceDN/>
        <w:bidi w:val="0"/>
        <w:adjustRightInd/>
        <w:snapToGrid/>
        <w:spacing w:after="225" w:line="640" w:lineRule="exact"/>
        <w:ind w:firstLine="480"/>
        <w:jc w:val="left"/>
        <w:textAlignment w:val="auto"/>
        <w:rPr>
          <w:rFonts w:hint="eastAsia" w:ascii="仿宋_GB2312" w:hAnsi="仿宋_GB2312" w:eastAsia="仿宋_GB2312" w:cs="仿宋_GB2312"/>
          <w:color w:val="333333"/>
          <w:kern w:val="0"/>
          <w:sz w:val="32"/>
          <w:szCs w:val="32"/>
        </w:rPr>
      </w:pPr>
      <w:bookmarkStart w:id="0" w:name="_GoBack"/>
      <w:bookmarkEnd w:id="0"/>
      <w:r>
        <w:rPr>
          <w:rFonts w:hint="eastAsia" w:ascii="仿宋_GB2312" w:hAnsi="仿宋_GB2312" w:eastAsia="仿宋_GB2312" w:cs="仿宋_GB2312"/>
          <w:color w:val="333333"/>
          <w:kern w:val="0"/>
          <w:sz w:val="32"/>
          <w:szCs w:val="32"/>
        </w:rPr>
        <w:t>为进一步激励企业加大研发投入，支持科技创新，现就企业研发费用税前加计扣除政策有关问题公告如下：</w:t>
      </w:r>
    </w:p>
    <w:p>
      <w:pPr>
        <w:keepNext w:val="0"/>
        <w:keepLines w:val="0"/>
        <w:pageBreakBefore w:val="0"/>
        <w:widowControl/>
        <w:shd w:val="clear" w:color="auto" w:fill="FFFFFF"/>
        <w:kinsoku/>
        <w:wordWrap/>
        <w:overflowPunct/>
        <w:topLinePunct w:val="0"/>
        <w:autoSpaceDE/>
        <w:autoSpaceDN/>
        <w:bidi w:val="0"/>
        <w:adjustRightInd/>
        <w:snapToGrid/>
        <w:spacing w:after="225" w:line="64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pPr>
        <w:keepNext w:val="0"/>
        <w:keepLines w:val="0"/>
        <w:pageBreakBefore w:val="0"/>
        <w:widowControl/>
        <w:shd w:val="clear" w:color="auto" w:fill="FFFFFF"/>
        <w:kinsoku/>
        <w:wordWrap/>
        <w:overflowPunct/>
        <w:topLinePunct w:val="0"/>
        <w:autoSpaceDE/>
        <w:autoSpaceDN/>
        <w:bidi w:val="0"/>
        <w:adjustRightInd/>
        <w:snapToGrid/>
        <w:spacing w:after="225" w:line="64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本条所称制造业企业，是指以制造业业务为主营业务，享受优惠当年主营业务收入占收入总额的比例达到50%以上的企业。制造业的范围按照《国民经济行业分类》（GB/T 4574-2017）确定，如国家有关部门更新《国民经济行业分类》，从其规定。收入总额按照企业所得税法第六条规定执行。</w:t>
      </w:r>
    </w:p>
    <w:p>
      <w:pPr>
        <w:keepNext w:val="0"/>
        <w:keepLines w:val="0"/>
        <w:pageBreakBefore w:val="0"/>
        <w:widowControl/>
        <w:shd w:val="clear" w:color="auto" w:fill="FFFFFF"/>
        <w:kinsoku/>
        <w:wordWrap/>
        <w:overflowPunct/>
        <w:topLinePunct w:val="0"/>
        <w:autoSpaceDE/>
        <w:autoSpaceDN/>
        <w:bidi w:val="0"/>
        <w:adjustRightInd/>
        <w:snapToGrid/>
        <w:spacing w:after="225" w:line="64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二、企业预缴申报当年第3季度（按季预缴）或9月份（按月预缴）企业所得税时，可以自行选择就当年上半年研发费用享受加计扣除优惠政策，采取“自行判别、申报享受、相关资料留存备查”办理方式。</w:t>
      </w:r>
    </w:p>
    <w:p>
      <w:pPr>
        <w:keepNext w:val="0"/>
        <w:keepLines w:val="0"/>
        <w:pageBreakBefore w:val="0"/>
        <w:widowControl/>
        <w:shd w:val="clear" w:color="auto" w:fill="FFFFFF"/>
        <w:kinsoku/>
        <w:wordWrap/>
        <w:overflowPunct/>
        <w:topLinePunct w:val="0"/>
        <w:autoSpaceDE/>
        <w:autoSpaceDN/>
        <w:bidi w:val="0"/>
        <w:adjustRightInd/>
        <w:snapToGrid/>
        <w:spacing w:after="225" w:line="64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符合条件的企业可以自行计算加计扣除金额，填报《中华人民共和国企业所得税月（季）度预缴纳税申报表（A类）》享受税收优惠，并根据享受加计扣除优惠的研发费用情况（上半年）填写《研发费用加计扣除优惠明细表》（A107012）。《研发费用加计扣除优惠明细表》（A107012）与相关政策规定的其他资料一并留存备查。</w:t>
      </w:r>
    </w:p>
    <w:p>
      <w:pPr>
        <w:keepNext w:val="0"/>
        <w:keepLines w:val="0"/>
        <w:pageBreakBefore w:val="0"/>
        <w:widowControl/>
        <w:shd w:val="clear" w:color="auto" w:fill="FFFFFF"/>
        <w:kinsoku/>
        <w:wordWrap/>
        <w:overflowPunct/>
        <w:topLinePunct w:val="0"/>
        <w:autoSpaceDE/>
        <w:autoSpaceDN/>
        <w:bidi w:val="0"/>
        <w:adjustRightInd/>
        <w:snapToGrid/>
        <w:spacing w:after="225" w:line="64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企业办理第3季度或9月份预缴申报时，未选择享受研发费用加计扣除优惠政策的，可在次年办理汇算清缴时统一享受。</w:t>
      </w:r>
    </w:p>
    <w:p>
      <w:pPr>
        <w:keepNext w:val="0"/>
        <w:keepLines w:val="0"/>
        <w:pageBreakBefore w:val="0"/>
        <w:widowControl/>
        <w:shd w:val="clear" w:color="auto" w:fill="FFFFFF"/>
        <w:kinsoku/>
        <w:wordWrap/>
        <w:overflowPunct/>
        <w:topLinePunct w:val="0"/>
        <w:autoSpaceDE/>
        <w:autoSpaceDN/>
        <w:bidi w:val="0"/>
        <w:adjustRightInd/>
        <w:snapToGrid/>
        <w:spacing w:after="225" w:line="64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keepNext w:val="0"/>
        <w:keepLines w:val="0"/>
        <w:pageBreakBefore w:val="0"/>
        <w:widowControl/>
        <w:shd w:val="clear" w:color="auto" w:fill="FFFFFF"/>
        <w:kinsoku/>
        <w:wordWrap/>
        <w:overflowPunct/>
        <w:topLinePunct w:val="0"/>
        <w:autoSpaceDE/>
        <w:autoSpaceDN/>
        <w:bidi w:val="0"/>
        <w:adjustRightInd/>
        <w:snapToGrid/>
        <w:spacing w:after="225" w:line="64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四、本公告自2021年1月1日起执行。</w:t>
      </w:r>
    </w:p>
    <w:p>
      <w:pPr>
        <w:keepNext w:val="0"/>
        <w:keepLines w:val="0"/>
        <w:pageBreakBefore w:val="0"/>
        <w:widowControl/>
        <w:shd w:val="clear" w:color="auto" w:fill="FFFFFF"/>
        <w:kinsoku/>
        <w:wordWrap/>
        <w:overflowPunct/>
        <w:topLinePunct w:val="0"/>
        <w:autoSpaceDE/>
        <w:autoSpaceDN/>
        <w:bidi w:val="0"/>
        <w:adjustRightInd/>
        <w:snapToGrid/>
        <w:spacing w:after="225" w:line="64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特此公告。</w:t>
      </w:r>
    </w:p>
    <w:p>
      <w:pPr>
        <w:keepNext w:val="0"/>
        <w:keepLines w:val="0"/>
        <w:pageBreakBefore w:val="0"/>
        <w:widowControl/>
        <w:shd w:val="clear" w:color="auto" w:fill="FFFFFF"/>
        <w:kinsoku/>
        <w:wordWrap/>
        <w:overflowPunct/>
        <w:topLinePunct w:val="0"/>
        <w:autoSpaceDE/>
        <w:autoSpaceDN/>
        <w:bidi w:val="0"/>
        <w:adjustRightInd/>
        <w:snapToGrid/>
        <w:spacing w:after="225" w:line="640" w:lineRule="exact"/>
        <w:jc w:val="righ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财政部 税务总局</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2021年3月31日</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（内容来源：中华人民共和国中央人民政府官网</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http://www.gov.cn/zhengce/zhengceku/2021-04/07/content_5598193.htm</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B8"/>
    <w:rsid w:val="00166B9E"/>
    <w:rsid w:val="00525565"/>
    <w:rsid w:val="00C929B8"/>
    <w:rsid w:val="38490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140</Words>
  <Characters>801</Characters>
  <Lines>6</Lines>
  <Paragraphs>1</Paragraphs>
  <TotalTime>1</TotalTime>
  <ScaleCrop>false</ScaleCrop>
  <LinksUpToDate>false</LinksUpToDate>
  <CharactersWithSpaces>940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2021-10-14T08:10:00Z</dcterms:created>
  <dc:creator>AutoBVT</dc:creator>
  <cp:lastModifiedBy>马昊 null</cp:lastModifiedBy>
  <dcterms:modified xsi:type="dcterms:W3CDTF">2021-10-27T08:08:37Z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