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sz w:val="44"/>
          <w:szCs w:val="44"/>
        </w:rPr>
      </w:pPr>
      <w:r>
        <w:rPr>
          <w:rStyle w:val="5"/>
          <w:rFonts w:hint="eastAsia" w:ascii="方正小标宋_GBK" w:hAnsi="方正小标宋_GBK" w:eastAsia="方正小标宋_GBK" w:cs="方正小标宋_GBK"/>
          <w:color w:val="333333"/>
          <w:sz w:val="44"/>
          <w:szCs w:val="44"/>
        </w:rPr>
        <w:t>财政部 税务总局 发展改革委 工业和信息化部关于促进集成电路产业和软件产业高质量发展企业所得税政策的公告</w:t>
      </w:r>
    </w:p>
    <w:p>
      <w:pPr>
        <w:keepNext w:val="0"/>
        <w:keepLines w:val="0"/>
        <w:pageBreakBefore w:val="0"/>
        <w:kinsoku/>
        <w:wordWrap/>
        <w:overflowPunct/>
        <w:topLinePunct w:val="0"/>
        <w:autoSpaceDE/>
        <w:autoSpaceDN/>
        <w:bidi w:val="0"/>
        <w:adjustRightInd/>
        <w:snapToGrid/>
        <w:spacing w:line="640" w:lineRule="exact"/>
        <w:jc w:val="center"/>
        <w:textAlignment w:val="auto"/>
        <w:rPr>
          <w:rStyle w:val="4"/>
          <w:rFonts w:hint="eastAsia" w:ascii="楷体_GB2312" w:hAnsi="楷体_GB2312" w:eastAsia="楷体_GB2312" w:cs="楷体_GB2312"/>
          <w:b/>
          <w:bCs/>
          <w:color w:val="auto"/>
          <w:sz w:val="32"/>
          <w:szCs w:val="32"/>
          <w:lang w:eastAsia="zh-CN"/>
        </w:rPr>
      </w:pPr>
      <w:r>
        <w:rPr>
          <w:rStyle w:val="4"/>
          <w:rFonts w:hint="eastAsia" w:ascii="楷体_GB2312" w:hAnsi="楷体_GB2312" w:eastAsia="楷体_GB2312" w:cs="楷体_GB2312"/>
          <w:b/>
          <w:bCs/>
          <w:color w:val="auto"/>
          <w:sz w:val="32"/>
          <w:szCs w:val="32"/>
          <w:lang w:eastAsia="zh-CN"/>
        </w:rPr>
        <w:t>（</w:t>
      </w:r>
      <w:r>
        <w:rPr>
          <w:rStyle w:val="4"/>
          <w:rFonts w:hint="eastAsia" w:ascii="楷体_GB2312" w:hAnsi="楷体_GB2312" w:eastAsia="楷体_GB2312" w:cs="楷体_GB2312"/>
          <w:b/>
          <w:bCs/>
          <w:color w:val="auto"/>
          <w:sz w:val="32"/>
          <w:szCs w:val="32"/>
        </w:rPr>
        <w:t>财政部 税务总局 发展改革委 工业和信息化部公告2020年第45号</w:t>
      </w:r>
      <w:r>
        <w:rPr>
          <w:rStyle w:val="4"/>
          <w:rFonts w:hint="eastAsia" w:ascii="楷体_GB2312" w:hAnsi="楷体_GB2312" w:eastAsia="楷体_GB2312" w:cs="楷体_GB2312"/>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640" w:lineRule="exact"/>
        <w:jc w:val="both"/>
        <w:textAlignment w:val="auto"/>
        <w:rPr>
          <w:rStyle w:val="4"/>
          <w:rFonts w:hint="eastAsia" w:ascii="楷体_GB2312" w:hAnsi="楷体_GB2312" w:eastAsia="楷体_GB2312" w:cs="楷体_GB2312"/>
          <w:b/>
          <w:bCs/>
          <w:color w:val="auto"/>
          <w:sz w:val="32"/>
          <w:szCs w:val="32"/>
          <w:lang w:eastAsia="zh-C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根据《国务院关于印发新时期促进集成电路产业和软件产业高质量发展若干政策的通知》（国发〔2020〕8号）有关要求，为促进集成电路产业和软件产业高质量发展，现就有关企业所得税政策问题公告如下：</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国家鼓励的集成电路生产企业或项目清单由国家发展改革委、工业和信息化部会同财政部、税务总局等相关部门制定。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二、国家鼓励的线宽小于130纳米（含）的集成电路生产企业，属于国家鼓励的集成电路生产企业清单年度之前5个纳税年度发生的尚未弥补完的亏损，准予向以后年度结转，总结转年限最长不得超过10年。</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三、国家鼓励的集成电路设计、装备、材料、封装、测试企业和软件企业，自获利年度起，第一年至第二年免征企业所得税，第三年至第五年按照25%的法定税率减半征收企业所得税。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国家鼓励的集成电路设计、装备、材料、封装、测试企业和软件企业条件，由工业和信息化部会同国家发展改革委、财政部、税务总局等相关部门制定。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四、国家鼓励的重点集成电路设计企业和软件企业，自获利年度起，第一年至第五年免征企业所得税，接续年度减按10%的税率征收企业所得税。</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国家鼓励的重点集成电路设计和软件企业清单由国家发展改革委、工业和信息化部会同财政部、税务总局等相关部门制定。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符合原有政策条件且在2019年（含）之前已经进入优惠期的企业或项目，2020年（含）起可按原有政策规定继续享受至期满为止，如也符合本公告第一条至第四条规定，可按本公告规定享受相关优惠，其中定期减免税优惠，可按本公告规定计算优惠期，并就剩余期限享受优惠至期满为止。符合原有政策条件，2019年（含）之前尚未进入优惠期的企业或项目，2020年（含）起不再执行原有政策。</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集成电路企业或项目、软件企业按照本公告规定同时符合多项定期减免税优惠政策条件的，由企业选择其中一项政策享受相关优惠。其中，已经进入优惠期的，可由企业在剩余期限内选择其中一项政策享受相关优惠。</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本公告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八、集成电路企业或项目、软件企业按照原有政策规定享受优惠的，税务机关按照财税〔2016〕49号第十条的规定转请发展改革、工业和信息化部门进行核查。</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本公告所称原有政策，包括：《财政部 国家税务总局关于进一步鼓励软件产业和集成电路产业发展企业所得税政策的通知》（财税〔2012〕27号）、《财政部 国家税务总局 发展改革委 工业和信息化部关于进一步鼓励集成电路产业发展企业所得税政策的通知》（财税〔2015〕6号）、《财政部 国家税务总局 发展改革委 工业和信息化部关于软件和集成电路产业企业所得税优惠政策有关问题的通知》（财税〔2016〕49号）、《财政部 税务总局 国家发展改革委 工业和信息化部关于集成电路生产企业有关企业所得税政策问题的通知》（财税〔2018〕27号）、《财政部 税务总局关于集成电路设计和软件产业企业所得税政策的公告》（财政部 税务总局公告2019年第68号）、《财政部 税务总局关于集成电路设计企业和软件企业2019年度企业所得税汇算清缴适用政策的公告》（财政部 税务总局公告2020年第29号）。</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本公告自2020年1月1日起执行。财税〔2012〕27号第二条中“经认定后，减按15%的税率征收企业所得税”的规定和第四条“国家规划布局内的重点软件企业和集成电路设计企业，如当年未享受免税优惠的，可减按10%的税率征收企业所得税”同时停止执行。</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财政部 国家税务总局 国家发展改革委 工业和信息化部</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2020年12月11日</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（内容来源：国家税务总局</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http://www.chinatax.gov.cn/chinatax/n362/c5159888/content.html）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5A"/>
    <w:rsid w:val="00035FDE"/>
    <w:rsid w:val="003E0567"/>
    <w:rsid w:val="00D8765A"/>
    <w:rsid w:val="1D6674F0"/>
    <w:rsid w:val="305C2560"/>
    <w:rsid w:val="6515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hao11"/>
    <w:basedOn w:val="3"/>
    <w:qFormat/>
    <w:uiPriority w:val="0"/>
    <w:rPr>
      <w:color w:val="DF0000"/>
      <w:sz w:val="24"/>
      <w:szCs w:val="24"/>
    </w:rPr>
  </w:style>
  <w:style w:type="character" w:customStyle="1" w:styleId="5">
    <w:name w:val="dhgao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310</Words>
  <Characters>1767</Characters>
  <Lines>14</Lines>
  <Paragraphs>4</Paragraphs>
  <TotalTime>0</TotalTime>
  <ScaleCrop>false</ScaleCrop>
  <LinksUpToDate>false</LinksUpToDate>
  <CharactersWithSpaces>2073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2021-10-14T07:45:00Z</dcterms:created>
  <dc:creator>AutoBVT</dc:creator>
  <cp:lastModifiedBy>马昊 null</cp:lastModifiedBy>
  <dcterms:modified xsi:type="dcterms:W3CDTF">2021-10-27T08:01:25Z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