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 w:cs="Times New Roman"/>
          <w:b/>
          <w:bCs/>
          <w:color w:val="373737"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  <w:lang w:val="en-US" w:eastAsia="zh-CN"/>
        </w:rPr>
        <w:t>2024</w:t>
      </w:r>
      <w:r>
        <w:rPr>
          <w:rFonts w:hint="eastAsia" w:ascii="宋体" w:hAnsi="宋体" w:eastAsia="宋体"/>
          <w:b/>
          <w:bCs/>
          <w:sz w:val="40"/>
          <w:szCs w:val="40"/>
        </w:rPr>
        <w:t>年</w:t>
      </w:r>
      <w:r>
        <w:rPr>
          <w:rFonts w:hint="eastAsia" w:ascii="宋体" w:hAnsi="宋体" w:eastAsia="宋体"/>
          <w:b/>
          <w:bCs/>
          <w:sz w:val="40"/>
          <w:szCs w:val="40"/>
          <w:lang w:eastAsia="zh-CN"/>
        </w:rPr>
        <w:t>汇总</w:t>
      </w:r>
      <w:r>
        <w:rPr>
          <w:rFonts w:hint="eastAsia" w:ascii="宋体" w:hAnsi="宋体" w:eastAsia="宋体" w:cs="Times New Roman"/>
          <w:b/>
          <w:bCs/>
          <w:sz w:val="40"/>
          <w:szCs w:val="40"/>
        </w:rPr>
        <w:t>“三公”经费预算情况</w:t>
      </w:r>
      <w:r>
        <w:rPr>
          <w:rFonts w:hint="eastAsia" w:ascii="宋体" w:hAnsi="宋体" w:eastAsia="宋体"/>
          <w:b/>
          <w:bCs/>
          <w:sz w:val="40"/>
          <w:szCs w:val="40"/>
        </w:rPr>
        <w:t>说明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373737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373737"/>
          <w:sz w:val="32"/>
          <w:szCs w:val="32"/>
          <w:lang w:val="en-US" w:eastAsia="zh-CN"/>
        </w:rPr>
        <w:t xml:space="preserve">    2024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年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  <w:t>汇总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“三公”经费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val="en-US" w:eastAsia="zh-CN"/>
        </w:rPr>
        <w:t>1570.59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万元，其中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公务接待费</w:t>
      </w:r>
      <w:r>
        <w:rPr>
          <w:rFonts w:hint="eastAsia" w:ascii="仿宋" w:hAnsi="仿宋" w:eastAsia="仿宋"/>
          <w:color w:val="373737"/>
          <w:sz w:val="32"/>
          <w:szCs w:val="32"/>
          <w:lang w:val="en-US" w:eastAsia="zh-CN"/>
        </w:rPr>
        <w:t>719.34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万元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公务用车购置及运行费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val="en-US" w:eastAsia="zh-CN"/>
        </w:rPr>
        <w:t>811.25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万元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  <w:t>，因公出国（境）费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val="en-US" w:eastAsia="zh-CN"/>
        </w:rPr>
        <w:t>40万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仿宋" w:hAnsi="仿宋" w:eastAsia="仿宋" w:cs="Times New Roman"/>
          <w:color w:val="373737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373737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 w:cs="Times New Roman"/>
          <w:color w:val="373737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Times New Roman"/>
          <w:color w:val="373737"/>
          <w:sz w:val="32"/>
          <w:szCs w:val="32"/>
          <w:highlight w:val="none"/>
        </w:rPr>
        <w:t>年“三公”经费</w:t>
      </w:r>
      <w:r>
        <w:rPr>
          <w:rFonts w:hint="eastAsia" w:ascii="仿宋" w:hAnsi="仿宋" w:eastAsia="仿宋" w:cs="Times New Roman"/>
          <w:color w:val="373737"/>
          <w:sz w:val="32"/>
          <w:szCs w:val="32"/>
          <w:highlight w:val="none"/>
          <w:lang w:eastAsia="zh-CN"/>
        </w:rPr>
        <w:t>预算安排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按照中央、省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、市、县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关于严格厉行节约政策要求，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严格控制支出的结果。采取有效措施，实施公务用车制度改革，加强公务用车管理，规范公务接待活动等，使得“三公”经费总体支出均明显下降。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因县域经济发展的需要，加大招商引资力度，</w:t>
      </w:r>
      <w:bookmarkStart w:id="0" w:name="_GoBack"/>
      <w:bookmarkEnd w:id="0"/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2024年预计出访工作需求40万。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" w:hAnsi="仿宋" w:eastAsia="仿宋" w:cs="Times New Roman"/>
          <w:color w:val="auto"/>
          <w:sz w:val="32"/>
          <w:szCs w:val="32"/>
          <w:highlight w:val="yellow"/>
          <w:lang w:eastAsia="zh-CN"/>
        </w:rPr>
      </w:pPr>
      <w:r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年“三公”经费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较上年“三公”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  <w:t>预算减少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val="en-US" w:eastAsia="zh-CN"/>
        </w:rPr>
        <w:t>188.37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万元，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  <w:t>其中公务接待费减少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val="en-US" w:eastAsia="zh-CN"/>
        </w:rPr>
        <w:t>144.77万元、公务用车运行维护费减少83.6万元、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  <w:t>因公出国（境）费新增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val="en-US" w:eastAsia="zh-CN"/>
        </w:rPr>
        <w:t>40万元。</w:t>
      </w:r>
    </w:p>
    <w:p>
      <w:pPr>
        <w:spacing w:line="600" w:lineRule="exact"/>
        <w:ind w:firstLine="900" w:firstLineChars="250"/>
        <w:rPr>
          <w:rFonts w:hint="eastAsia" w:ascii="宋体" w:hAnsi="宋体" w:eastAsia="宋体"/>
          <w:sz w:val="36"/>
          <w:szCs w:val="36"/>
        </w:rPr>
      </w:pPr>
    </w:p>
    <w:p>
      <w:pPr>
        <w:spacing w:line="600" w:lineRule="exact"/>
        <w:rPr>
          <w:rFonts w:hint="eastAsia" w:ascii="宋体" w:hAnsi="宋体" w:eastAsia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/>
          <w:b w:val="0"/>
          <w:bCs w:val="0"/>
          <w:sz w:val="30"/>
          <w:szCs w:val="30"/>
          <w:lang w:eastAsia="zh-CN"/>
        </w:rPr>
        <w:t>附：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衡东县2024年“三公”经费预算汇总表</w:t>
      </w:r>
    </w:p>
    <w:p>
      <w:pPr>
        <w:spacing w:line="220" w:lineRule="atLeast"/>
        <w:rPr>
          <w:lang w:val="en-US"/>
        </w:rPr>
      </w:pPr>
      <w:r>
        <w:rPr>
          <w:lang w:val="en-US"/>
        </w:rPr>
        <w:t xml:space="preserve">  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tbl>
      <w:tblPr>
        <w:tblStyle w:val="2"/>
        <w:tblpPr w:leftFromText="180" w:rightFromText="180" w:vertAnchor="page" w:horzAnchor="page" w:tblpX="1144" w:tblpY="144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1"/>
        <w:gridCol w:w="2955"/>
        <w:gridCol w:w="2700"/>
        <w:gridCol w:w="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53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衡东县2024年“三公”经费预算汇总表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" w:type="dxa"/>
          <w:trHeight w:val="405" w:hRule="atLeast"/>
        </w:trPr>
        <w:tc>
          <w:tcPr>
            <w:tcW w:w="28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本年预算数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  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1570.59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1758.96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1、因公出国（境）费用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2、公务接待费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719.34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864.11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3、公务用车购置及运行维护费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其中：（1）公务用车购置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        （2）公务用车运行维护费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811.25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894.85</w:t>
            </w:r>
          </w:p>
        </w:tc>
      </w:tr>
    </w:tbl>
    <w:p>
      <w:pPr>
        <w:spacing w:line="220" w:lineRule="atLeast"/>
        <w:rPr>
          <w:lang w:val="en-US"/>
        </w:rPr>
      </w:pPr>
    </w:p>
    <w:tbl>
      <w:tblPr>
        <w:tblStyle w:val="2"/>
        <w:tblpPr w:leftFromText="180" w:rightFromText="180" w:vertAnchor="page" w:horzAnchor="page" w:tblpX="1144" w:tblpY="144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0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ZTI5NjBkNzQyMTgxYzk1OWQ4NDYwMjliY2NiNzgifQ=="/>
  </w:docVars>
  <w:rsids>
    <w:rsidRoot w:val="4A864B1C"/>
    <w:rsid w:val="17FF34EC"/>
    <w:rsid w:val="4A864B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2024-03-26T08:28:00Z</dcterms:created>
  <dc:creator>WPS_1563496432</dc:creator>
  <cp:lastModifiedBy>WPS_1563496432</cp:lastModifiedBy>
  <dcterms:modified xsi:type="dcterms:W3CDTF">2024-03-26T09:01:06Z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72C13C61BF984884A44BBFB557C8FB34_11</vt:lpwstr>
  </property>
</Properties>
</file>