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t>附件1：</w:t>
      </w:r>
    </w:p>
    <w:p>
      <w:pPr>
        <w:spacing w:before="240" w:after="240"/>
        <w:jc w:val="center"/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</w:rPr>
      </w:pP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  <w:lang w:val="en-US" w:eastAsia="zh-CN"/>
        </w:rPr>
        <w:t>2023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</w:rPr>
        <w:t>年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  <w:lang w:val="en-US" w:eastAsia="zh-CN"/>
        </w:rPr>
        <w:t>度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</w:rPr>
        <w:t>部门整体支出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  <w:lang w:val="en-US" w:eastAsia="zh-CN"/>
        </w:rPr>
        <w:t>预算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</w:rPr>
        <w:t>绩效目标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  <w:lang w:val="en-US" w:eastAsia="zh-CN"/>
        </w:rPr>
        <w:t>申报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</w:rPr>
        <w:t>表</w:t>
      </w:r>
    </w:p>
    <w:p>
      <w:pPr>
        <w:widowControl/>
        <w:tabs>
          <w:tab w:val="left" w:pos="2593"/>
        </w:tabs>
        <w:jc w:val="left"/>
        <w:rPr>
          <w:rFonts w:hint="default" w:ascii="仿宋_GB2312" w:eastAsia="仿宋_GB2312"/>
          <w:b/>
          <w:bCs/>
          <w:kern w:val="0"/>
          <w:szCs w:val="21"/>
          <w:lang w:val="en-US" w:eastAsia="zh-CN"/>
        </w:rPr>
      </w:pPr>
      <w:r>
        <w:rPr>
          <w:rFonts w:hint="eastAsia" w:ascii="仿宋_GB2312" w:eastAsia="仿宋_GB2312"/>
          <w:b/>
          <w:bCs/>
          <w:kern w:val="0"/>
          <w:sz w:val="24"/>
          <w:szCs w:val="21"/>
        </w:rPr>
        <w:t>填报单位：（盖章）</w:t>
      </w:r>
      <w:r>
        <w:rPr>
          <w:rFonts w:hint="eastAsia" w:ascii="仿宋_GB2312" w:eastAsia="仿宋_GB2312"/>
          <w:b/>
          <w:bCs/>
          <w:kern w:val="0"/>
          <w:szCs w:val="21"/>
        </w:rPr>
        <w:tab/>
      </w:r>
      <w:r>
        <w:rPr>
          <w:rFonts w:hint="eastAsia" w:ascii="仿宋_GB2312" w:eastAsia="仿宋_GB2312"/>
          <w:b/>
          <w:bCs/>
          <w:kern w:val="0"/>
          <w:szCs w:val="21"/>
          <w:lang w:val="en-US" w:eastAsia="zh-CN"/>
        </w:rPr>
        <w:t xml:space="preserve">                                        单位：万元        </w:t>
      </w:r>
    </w:p>
    <w:tbl>
      <w:tblPr>
        <w:tblStyle w:val="5"/>
        <w:tblpPr w:leftFromText="180" w:rightFromText="180" w:vertAnchor="page" w:horzAnchor="page" w:tblpX="1530" w:tblpY="2752"/>
        <w:tblOverlap w:val="never"/>
        <w:tblW w:w="94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1"/>
        <w:gridCol w:w="1303"/>
        <w:gridCol w:w="1708"/>
        <w:gridCol w:w="929"/>
        <w:gridCol w:w="1113"/>
        <w:gridCol w:w="2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部门名称</w:t>
            </w:r>
          </w:p>
        </w:tc>
        <w:tc>
          <w:tcPr>
            <w:tcW w:w="7681" w:type="dxa"/>
            <w:gridSpan w:val="5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衡东县吴集镇栗木卫生院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年度预算申请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7681" w:type="dxa"/>
            <w:gridSpan w:val="5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资金总额：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169.93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940" w:type="dxa"/>
            <w:gridSpan w:val="3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b/>
                <w:bCs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按收入性质分：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169.93</w:t>
            </w:r>
          </w:p>
        </w:tc>
        <w:tc>
          <w:tcPr>
            <w:tcW w:w="3741" w:type="dxa"/>
            <w:gridSpan w:val="2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b/>
                <w:bCs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按支出性质分：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169.93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940" w:type="dxa"/>
            <w:gridSpan w:val="3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其中： 一般公共预算：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89.23</w:t>
            </w:r>
          </w:p>
        </w:tc>
        <w:tc>
          <w:tcPr>
            <w:tcW w:w="3741" w:type="dxa"/>
            <w:gridSpan w:val="2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其中： 基本支出：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169.93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940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       政府性基金拨款：</w:t>
            </w:r>
          </w:p>
        </w:tc>
        <w:tc>
          <w:tcPr>
            <w:tcW w:w="3741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       项目支出：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940" w:type="dxa"/>
            <w:gridSpan w:val="3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纳入专户管理的非税收入拨款：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80.7</w:t>
            </w:r>
          </w:p>
        </w:tc>
        <w:tc>
          <w:tcPr>
            <w:tcW w:w="3741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940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       其他资金：</w:t>
            </w:r>
          </w:p>
        </w:tc>
        <w:tc>
          <w:tcPr>
            <w:tcW w:w="3741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176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部门职能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职责概述</w:t>
            </w:r>
          </w:p>
        </w:tc>
        <w:tc>
          <w:tcPr>
            <w:tcW w:w="7681" w:type="dxa"/>
            <w:gridSpan w:val="5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1、宣传贯彻党和政府的各项卫生方针政策，实施基层卫生院医改和分级诊疗工作；</w:t>
            </w:r>
            <w:bookmarkStart w:id="0" w:name="_GoBack"/>
            <w:bookmarkEnd w:id="0"/>
          </w:p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2、提供基本医疗服务，开展各种常见病、多发病的治疗和预防，落实医疗核心制度，挖掘中医馆理疗业务潜力，更好发扬祖传统医学；</w:t>
            </w:r>
          </w:p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3、贯彻落实国家基本药物制度，全面配备、使用基本药物，实行网上采购，统一配送，零差价销售；</w:t>
            </w:r>
          </w:p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4、协助开展突发公共卫生事件应急调查和处置工作，做好基本公卫、健康扶贫、家庭医生签约和计划生育综合治理工作，确保老百姓人人享有公卫均等化服务和惠民政策；</w:t>
            </w:r>
          </w:p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5、对所属行政村卫生室实行一体化管理，承担对卫生室和乡村医生的业务管理和指指导；</w:t>
            </w:r>
          </w:p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6、协助做好区域内食品、饮用水、公共场所等卫生，做好爱国卫生工作；</w:t>
            </w:r>
          </w:p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7、严格执行新型农村合作医疗政策规定，履行基层卫生院职责，做好相关的政策宣传，打击欺诈骗保行为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。</w:t>
            </w:r>
          </w:p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8、完成各级政府及上级主管部门安排的其他工作。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176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整体绩效目标</w:t>
            </w:r>
          </w:p>
        </w:tc>
        <w:tc>
          <w:tcPr>
            <w:tcW w:w="7681" w:type="dxa"/>
            <w:gridSpan w:val="5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目标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保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障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202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年度人员工资和社保正常开支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    2、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保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障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202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年度卫生院各项工作顺利开展</w:t>
            </w:r>
          </w:p>
          <w:p>
            <w:pPr>
              <w:widowControl/>
              <w:ind w:firstLine="630" w:firstLineChars="300"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3、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保障我院开展的工作国家基本公共卫生、国家基本药物、免疫规划、疫苗接种、结核病传染管理、家庭签约服务、村级卫生室管理、全民健康体检、检验科等工作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1761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部门整体支出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年度绩效指标</w:t>
            </w:r>
          </w:p>
        </w:tc>
        <w:tc>
          <w:tcPr>
            <w:tcW w:w="130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170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204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26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指标值及单位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产出指标</w:t>
            </w:r>
          </w:p>
        </w:tc>
        <w:tc>
          <w:tcPr>
            <w:tcW w:w="170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数量指标</w:t>
            </w:r>
          </w:p>
        </w:tc>
        <w:tc>
          <w:tcPr>
            <w:tcW w:w="2042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实际在职人员（人）</w:t>
            </w:r>
          </w:p>
        </w:tc>
        <w:tc>
          <w:tcPr>
            <w:tcW w:w="2628" w:type="dxa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22人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0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2042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单位履职运转</w:t>
            </w:r>
          </w:p>
        </w:tc>
        <w:tc>
          <w:tcPr>
            <w:tcW w:w="2628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  <w:t>予以保障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0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质量指标</w:t>
            </w:r>
          </w:p>
        </w:tc>
        <w:tc>
          <w:tcPr>
            <w:tcW w:w="2042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编制人员控制率</w:t>
            </w:r>
          </w:p>
        </w:tc>
        <w:tc>
          <w:tcPr>
            <w:tcW w:w="2628" w:type="dxa"/>
            <w:vAlign w:val="center"/>
          </w:tcPr>
          <w:p>
            <w:pPr>
              <w:rPr>
                <w:rFonts w:hint="eastAsia" w:ascii="仿宋" w:hAnsi="仿宋" w:eastAsia="仿宋" w:cs="仿宋"/>
                <w:snapToGrid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≤100%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0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2042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公用经费控制率</w:t>
            </w:r>
          </w:p>
        </w:tc>
        <w:tc>
          <w:tcPr>
            <w:tcW w:w="2628" w:type="dxa"/>
            <w:vAlign w:val="center"/>
          </w:tcPr>
          <w:p>
            <w:pPr>
              <w:rPr>
                <w:rFonts w:hint="eastAsia" w:ascii="仿宋" w:hAnsi="仿宋" w:eastAsia="仿宋" w:cs="仿宋"/>
                <w:snapToGrid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≤100%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0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成本指标</w:t>
            </w:r>
          </w:p>
        </w:tc>
        <w:tc>
          <w:tcPr>
            <w:tcW w:w="2042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人员经费</w:t>
            </w:r>
          </w:p>
        </w:tc>
        <w:tc>
          <w:tcPr>
            <w:tcW w:w="2628" w:type="dxa"/>
            <w:vAlign w:val="center"/>
          </w:tcPr>
          <w:p>
            <w:pP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≤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89.23万元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0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2042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公用经费</w:t>
            </w:r>
          </w:p>
        </w:tc>
        <w:tc>
          <w:tcPr>
            <w:tcW w:w="2628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napToGrid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≤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80.7万元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0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时效指标</w:t>
            </w:r>
          </w:p>
        </w:tc>
        <w:tc>
          <w:tcPr>
            <w:tcW w:w="2042" w:type="dxa"/>
            <w:gridSpan w:val="2"/>
            <w:vMerge w:val="restar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完成时间</w:t>
            </w:r>
          </w:p>
        </w:tc>
        <w:tc>
          <w:tcPr>
            <w:tcW w:w="2628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2023.1.1-2023.12.31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效益指标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0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经济效益指标</w:t>
            </w:r>
          </w:p>
        </w:tc>
        <w:tc>
          <w:tcPr>
            <w:tcW w:w="2042" w:type="dxa"/>
            <w:gridSpan w:val="2"/>
            <w:vMerge w:val="restar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医疗收入</w:t>
            </w:r>
          </w:p>
        </w:tc>
        <w:tc>
          <w:tcPr>
            <w:tcW w:w="2628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逐年增长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0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社会效益指标</w:t>
            </w:r>
          </w:p>
        </w:tc>
        <w:tc>
          <w:tcPr>
            <w:tcW w:w="2042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保障住院床位</w:t>
            </w:r>
          </w:p>
        </w:tc>
        <w:tc>
          <w:tcPr>
            <w:tcW w:w="2628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≥24张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continue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0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可持续影响指标</w:t>
            </w:r>
          </w:p>
        </w:tc>
        <w:tc>
          <w:tcPr>
            <w:tcW w:w="2042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医疗质量安全</w:t>
            </w:r>
          </w:p>
        </w:tc>
        <w:tc>
          <w:tcPr>
            <w:tcW w:w="2628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≥95%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continue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0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42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医疗服务保障能力</w:t>
            </w:r>
          </w:p>
        </w:tc>
        <w:tc>
          <w:tcPr>
            <w:tcW w:w="2628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  <w:t>逐步提升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restart"/>
            <w:vAlign w:val="center"/>
          </w:tcPr>
          <w:p>
            <w:pPr>
              <w:widowControl/>
              <w:ind w:firstLine="211" w:firstLineChars="100"/>
              <w:jc w:val="both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满意度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指标</w:t>
            </w:r>
          </w:p>
        </w:tc>
        <w:tc>
          <w:tcPr>
            <w:tcW w:w="170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社会公众或服务对象满意度</w:t>
            </w:r>
          </w:p>
        </w:tc>
        <w:tc>
          <w:tcPr>
            <w:tcW w:w="2042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服务对象满意度</w:t>
            </w:r>
          </w:p>
        </w:tc>
        <w:tc>
          <w:tcPr>
            <w:tcW w:w="2628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≥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85%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continue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08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2042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医务人员满意度</w:t>
            </w:r>
          </w:p>
        </w:tc>
        <w:tc>
          <w:tcPr>
            <w:tcW w:w="2628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≥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85%</w:t>
            </w:r>
          </w:p>
        </w:tc>
      </w:tr>
    </w:tbl>
    <w:p>
      <w:pPr>
        <w:widowControl/>
        <w:tabs>
          <w:tab w:val="left" w:pos="2593"/>
        </w:tabs>
        <w:jc w:val="left"/>
        <w:rPr>
          <w:rFonts w:hint="eastAsia" w:ascii="仿宋" w:hAnsi="仿宋" w:eastAsia="仿宋" w:cs="仿宋"/>
          <w:b/>
          <w:bCs/>
          <w:kern w:val="0"/>
          <w:sz w:val="21"/>
          <w:szCs w:val="21"/>
        </w:rPr>
      </w:pPr>
    </w:p>
    <w:p>
      <w:pPr>
        <w:widowControl/>
        <w:tabs>
          <w:tab w:val="left" w:pos="1333"/>
          <w:tab w:val="left" w:pos="3793"/>
          <w:tab w:val="left" w:pos="5853"/>
        </w:tabs>
        <w:ind w:firstLine="422" w:firstLineChars="200"/>
        <w:jc w:val="left"/>
      </w:pPr>
      <w:r>
        <w:rPr>
          <w:rFonts w:hint="eastAsia" w:ascii="仿宋" w:hAnsi="仿宋" w:eastAsia="仿宋" w:cs="仿宋"/>
          <w:b/>
          <w:bCs/>
          <w:kern w:val="0"/>
          <w:sz w:val="21"/>
          <w:szCs w:val="21"/>
        </w:rPr>
        <w:t>填表人：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  <w:lang w:val="en-US" w:eastAsia="zh-CN"/>
        </w:rPr>
        <w:t>阳燕平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</w:rPr>
        <w:t xml:space="preserve">      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</w:rPr>
        <w:t xml:space="preserve">联系电话： 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  <w:lang w:val="en-US" w:eastAsia="zh-CN"/>
        </w:rPr>
        <w:t>0734-5227286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</w:rPr>
        <w:t xml:space="preserve">      单位负责人签字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  <w:lang w:eastAsia="zh-CN"/>
        </w:rPr>
        <w:t>：</w:t>
      </w:r>
    </w:p>
    <w:sectPr>
      <w:footerReference r:id="rId5" w:type="default"/>
      <w:pgSz w:w="12190" w:h="17030"/>
      <w:pgMar w:top="935" w:right="1701" w:bottom="400" w:left="1701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decorative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wZmNmOWY0ZWZhZTI4ZTMyYjE3YTZlZDAzMzZmNDEifQ=="/>
  </w:docVars>
  <w:rsids>
    <w:rsidRoot w:val="77F37B20"/>
    <w:rsid w:val="02F05A75"/>
    <w:rsid w:val="07CD50FE"/>
    <w:rsid w:val="1DF14A88"/>
    <w:rsid w:val="1DF3687A"/>
    <w:rsid w:val="274E58DB"/>
    <w:rsid w:val="2BED5333"/>
    <w:rsid w:val="2C7D1F40"/>
    <w:rsid w:val="2CD637F5"/>
    <w:rsid w:val="3391388D"/>
    <w:rsid w:val="3C0E6083"/>
    <w:rsid w:val="425E48CA"/>
    <w:rsid w:val="47CF6F41"/>
    <w:rsid w:val="48E54635"/>
    <w:rsid w:val="4D047AEC"/>
    <w:rsid w:val="52052A88"/>
    <w:rsid w:val="57993556"/>
    <w:rsid w:val="58E90F79"/>
    <w:rsid w:val="5B3911A4"/>
    <w:rsid w:val="5F6B2F2C"/>
    <w:rsid w:val="708F5C57"/>
    <w:rsid w:val="731E6E3C"/>
    <w:rsid w:val="77F37B20"/>
    <w:rsid w:val="79667D5C"/>
    <w:rsid w:val="7B1226A6"/>
    <w:rsid w:val="7C054A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668" w:firstLineChars="200"/>
    </w:pPr>
    <w:rPr>
      <w:rFonts w:eastAsia="方正仿宋简体"/>
      <w:sz w:val="32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850</Words>
  <Characters>936</Characters>
  <Lines>0</Lines>
  <Paragraphs>0</Paragraphs>
  <TotalTime>15</TotalTime>
  <ScaleCrop>false</ScaleCrop>
  <LinksUpToDate>false</LinksUpToDate>
  <CharactersWithSpaces>1039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2020-07-23T02:27:00Z</dcterms:created>
  <dc:creator>Administrator</dc:creator>
  <cp:lastModifiedBy>Administrator</cp:lastModifiedBy>
  <dcterms:modified xsi:type="dcterms:W3CDTF">2023-05-10T01:09:25Z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5E6D02926F1C4345A6B87A08EB7C17AF_13</vt:lpwstr>
  </property>
</Properties>
</file>