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附件1：</w:t>
      </w:r>
    </w:p>
    <w:p/>
    <w:p>
      <w:pPr>
        <w:spacing w:before="240" w:after="240"/>
        <w:jc w:val="center"/>
        <w:rPr>
          <w:rFonts w:hint="eastAsia" w:ascii="黑体" w:hAnsi="黑体" w:eastAsia="黑体" w:cs="黑体"/>
          <w:b/>
          <w:bCs w:val="0"/>
          <w:spacing w:val="-20"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 w:val="0"/>
          <w:spacing w:val="-20"/>
          <w:kern w:val="0"/>
          <w:sz w:val="44"/>
          <w:szCs w:val="44"/>
          <w:lang w:val="en-US" w:eastAsia="zh-CN"/>
        </w:rPr>
        <w:t>2023</w:t>
      </w:r>
      <w:r>
        <w:rPr>
          <w:rFonts w:hint="eastAsia" w:ascii="黑体" w:hAnsi="黑体" w:eastAsia="黑体" w:cs="黑体"/>
          <w:b/>
          <w:bCs w:val="0"/>
          <w:spacing w:val="-20"/>
          <w:kern w:val="0"/>
          <w:sz w:val="44"/>
          <w:szCs w:val="44"/>
        </w:rPr>
        <w:t>年</w:t>
      </w:r>
      <w:r>
        <w:rPr>
          <w:rFonts w:hint="eastAsia" w:ascii="黑体" w:hAnsi="黑体" w:eastAsia="黑体" w:cs="黑体"/>
          <w:b/>
          <w:bCs w:val="0"/>
          <w:spacing w:val="-20"/>
          <w:kern w:val="0"/>
          <w:sz w:val="44"/>
          <w:szCs w:val="44"/>
          <w:lang w:val="en-US" w:eastAsia="zh-CN"/>
        </w:rPr>
        <w:t>度</w:t>
      </w:r>
      <w:r>
        <w:rPr>
          <w:rFonts w:hint="eastAsia" w:ascii="黑体" w:hAnsi="黑体" w:eastAsia="黑体" w:cs="黑体"/>
          <w:b/>
          <w:bCs w:val="0"/>
          <w:spacing w:val="-20"/>
          <w:kern w:val="0"/>
          <w:sz w:val="44"/>
          <w:szCs w:val="44"/>
        </w:rPr>
        <w:t>部门整体支出</w:t>
      </w:r>
      <w:r>
        <w:rPr>
          <w:rFonts w:hint="eastAsia" w:ascii="黑体" w:hAnsi="黑体" w:eastAsia="黑体" w:cs="黑体"/>
          <w:b/>
          <w:bCs w:val="0"/>
          <w:spacing w:val="-20"/>
          <w:kern w:val="0"/>
          <w:sz w:val="44"/>
          <w:szCs w:val="44"/>
          <w:lang w:val="en-US" w:eastAsia="zh-CN"/>
        </w:rPr>
        <w:t>预算</w:t>
      </w:r>
      <w:r>
        <w:rPr>
          <w:rFonts w:hint="eastAsia" w:ascii="黑体" w:hAnsi="黑体" w:eastAsia="黑体" w:cs="黑体"/>
          <w:b/>
          <w:bCs w:val="0"/>
          <w:spacing w:val="-20"/>
          <w:kern w:val="0"/>
          <w:sz w:val="44"/>
          <w:szCs w:val="44"/>
        </w:rPr>
        <w:t>绩效目标</w:t>
      </w:r>
      <w:r>
        <w:rPr>
          <w:rFonts w:hint="eastAsia" w:ascii="黑体" w:hAnsi="黑体" w:eastAsia="黑体" w:cs="黑体"/>
          <w:b/>
          <w:bCs w:val="0"/>
          <w:spacing w:val="-20"/>
          <w:kern w:val="0"/>
          <w:sz w:val="44"/>
          <w:szCs w:val="44"/>
          <w:lang w:val="en-US" w:eastAsia="zh-CN"/>
        </w:rPr>
        <w:t>申报</w:t>
      </w:r>
      <w:r>
        <w:rPr>
          <w:rFonts w:hint="eastAsia" w:ascii="黑体" w:hAnsi="黑体" w:eastAsia="黑体" w:cs="黑体"/>
          <w:b/>
          <w:bCs w:val="0"/>
          <w:spacing w:val="-20"/>
          <w:kern w:val="0"/>
          <w:sz w:val="44"/>
          <w:szCs w:val="44"/>
        </w:rPr>
        <w:t>表</w:t>
      </w:r>
    </w:p>
    <w:p>
      <w:pPr>
        <w:widowControl/>
        <w:tabs>
          <w:tab w:val="left" w:pos="2593"/>
        </w:tabs>
        <w:jc w:val="left"/>
        <w:rPr>
          <w:rFonts w:hint="default" w:ascii="仿宋_GB2312" w:eastAsia="仿宋_GB2312"/>
          <w:b/>
          <w:bCs/>
          <w:kern w:val="0"/>
          <w:szCs w:val="21"/>
          <w:lang w:val="en-US" w:eastAsia="zh-CN"/>
        </w:rPr>
      </w:pPr>
      <w:r>
        <w:rPr>
          <w:rFonts w:hint="eastAsia" w:ascii="仿宋_GB2312" w:eastAsia="仿宋_GB2312"/>
          <w:b/>
          <w:bCs/>
          <w:kern w:val="0"/>
          <w:sz w:val="24"/>
          <w:szCs w:val="21"/>
        </w:rPr>
        <w:t>填报单位：（盖章）</w:t>
      </w:r>
      <w:r>
        <w:rPr>
          <w:rFonts w:hint="eastAsia" w:ascii="仿宋_GB2312" w:eastAsia="仿宋_GB2312"/>
          <w:b/>
          <w:bCs/>
          <w:kern w:val="0"/>
          <w:szCs w:val="21"/>
        </w:rPr>
        <w:tab/>
      </w:r>
      <w:r>
        <w:rPr>
          <w:rFonts w:hint="eastAsia" w:ascii="仿宋_GB2312" w:eastAsia="仿宋_GB2312"/>
          <w:b/>
          <w:bCs/>
          <w:kern w:val="0"/>
          <w:szCs w:val="21"/>
          <w:lang w:val="en-US" w:eastAsia="zh-CN"/>
        </w:rPr>
        <w:t xml:space="preserve">                                        单位：万元        </w:t>
      </w:r>
    </w:p>
    <w:tbl>
      <w:tblPr>
        <w:tblStyle w:val="5"/>
        <w:tblpPr w:leftFromText="180" w:rightFromText="180" w:vertAnchor="page" w:horzAnchor="page" w:tblpX="1485" w:tblpY="3363"/>
        <w:tblOverlap w:val="never"/>
        <w:tblW w:w="94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1406"/>
        <w:gridCol w:w="1755"/>
        <w:gridCol w:w="779"/>
        <w:gridCol w:w="961"/>
        <w:gridCol w:w="2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部门名称</w:t>
            </w:r>
          </w:p>
        </w:tc>
        <w:tc>
          <w:tcPr>
            <w:tcW w:w="7681" w:type="dxa"/>
            <w:gridSpan w:val="5"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衡东县劳动保障监察大队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61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年度预算申请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7681" w:type="dxa"/>
            <w:gridSpan w:val="5"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资金总额：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  <w:t>179.69万元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6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940" w:type="dxa"/>
            <w:gridSpan w:val="3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按收入性质分：</w:t>
            </w:r>
          </w:p>
        </w:tc>
        <w:tc>
          <w:tcPr>
            <w:tcW w:w="3741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按支出性质分：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6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940" w:type="dxa"/>
            <w:gridSpan w:val="3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其中： 一般公共预算：</w:t>
            </w:r>
          </w:p>
        </w:tc>
        <w:tc>
          <w:tcPr>
            <w:tcW w:w="3741" w:type="dxa"/>
            <w:gridSpan w:val="2"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其中： 基本支出：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138.69万元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6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940" w:type="dxa"/>
            <w:gridSpan w:val="3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       政府性基金拨款：</w:t>
            </w:r>
          </w:p>
        </w:tc>
        <w:tc>
          <w:tcPr>
            <w:tcW w:w="3741" w:type="dxa"/>
            <w:gridSpan w:val="2"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       项目支出：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41万元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6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940" w:type="dxa"/>
            <w:gridSpan w:val="3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纳入专户管理的非税收入拨款：</w:t>
            </w:r>
          </w:p>
        </w:tc>
        <w:tc>
          <w:tcPr>
            <w:tcW w:w="3741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6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940" w:type="dxa"/>
            <w:gridSpan w:val="3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       其他资金：</w:t>
            </w:r>
          </w:p>
        </w:tc>
        <w:tc>
          <w:tcPr>
            <w:tcW w:w="3741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部门职能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职责概述</w:t>
            </w:r>
          </w:p>
        </w:tc>
        <w:tc>
          <w:tcPr>
            <w:tcW w:w="7681" w:type="dxa"/>
            <w:gridSpan w:val="5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负责宣传中华人民共和国劳动法、劳动合同法等法律、法规、规章；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2、负责检查和督促辖区域内用人单位遵守、贯彻、执行法律、法规、规章的行为；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3、负责查处用人单位违法、违规、违章的行为，对违法用人单位依法移送司法机关处置；</w:t>
            </w:r>
          </w:p>
          <w:p>
            <w:pPr>
              <w:spacing w:line="600" w:lineRule="exac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4、完成县委、县政府、县人力资源和社会保障局交办的其他工作。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76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整体绩效目标</w:t>
            </w:r>
          </w:p>
        </w:tc>
        <w:tc>
          <w:tcPr>
            <w:tcW w:w="7681" w:type="dxa"/>
            <w:gridSpan w:val="5"/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通过预算执行，保证本单位工作的正常运转；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、以维护劳动者合法权益为宗旨，以贯彻落实劳动保障法律、法规为重点，进行法律、法规宣传、劳动用工备案、劳动合同签订、专项检查。解决拖欠农民工工资建立健全劳动用工管理长效机制，确保根治欠薪工作良好发展。为我县社会稳定构建和谐劳动关系等工作做出应有的贡献。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61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部门整体支出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年度绩效指标</w:t>
            </w:r>
          </w:p>
        </w:tc>
        <w:tc>
          <w:tcPr>
            <w:tcW w:w="140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755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278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  <w:t>指标值及单位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761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产出指标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数量指标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eastAsia="zh-CN"/>
              </w:rPr>
              <w:t>财政供养人员</w:t>
            </w:r>
          </w:p>
        </w:tc>
        <w:tc>
          <w:tcPr>
            <w:tcW w:w="27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14人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761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755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质量指标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在职人员控制率</w:t>
            </w:r>
          </w:p>
        </w:tc>
        <w:tc>
          <w:tcPr>
            <w:tcW w:w="27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仿宋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≤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100%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761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75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公用经费控制率</w:t>
            </w:r>
          </w:p>
        </w:tc>
        <w:tc>
          <w:tcPr>
            <w:tcW w:w="27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仿宋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≤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61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755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成本指标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人员经费控制率</w:t>
            </w:r>
          </w:p>
        </w:tc>
        <w:tc>
          <w:tcPr>
            <w:tcW w:w="27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仿宋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Arial" w:hAnsi="Arial" w:eastAsia="仿宋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≤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126.02万元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61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75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公用经费控制率</w:t>
            </w:r>
          </w:p>
        </w:tc>
        <w:tc>
          <w:tcPr>
            <w:tcW w:w="2780" w:type="dxa"/>
            <w:vAlign w:val="center"/>
          </w:tcPr>
          <w:p>
            <w:pPr>
              <w:ind w:firstLine="840" w:firstLineChars="400"/>
              <w:jc w:val="both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仿宋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≤</w:t>
            </w:r>
            <w:r>
              <w:rPr>
                <w:rFonts w:hint="eastAsia" w:ascii="Arial" w:hAnsi="Arial" w:eastAsia="仿宋" w:cs="Arial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12.67</w:t>
            </w:r>
            <w:r>
              <w:rPr>
                <w:rFonts w:hint="eastAsia" w:ascii="Arial" w:hAnsi="Arial" w:eastAsia="仿宋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761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时效指标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年度内及时完成各项工作任务</w:t>
            </w:r>
          </w:p>
        </w:tc>
        <w:tc>
          <w:tcPr>
            <w:tcW w:w="27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2023年1月-2023年12月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6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社会效益指标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有效维护劳动关系和谐稳定</w:t>
            </w:r>
          </w:p>
        </w:tc>
        <w:tc>
          <w:tcPr>
            <w:tcW w:w="27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eastAsia="zh-CN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61" w:type="dxa"/>
            <w:vMerge w:val="continue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vMerge w:val="continue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0" w:type="auto"/>
            <w:gridSpan w:val="2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eastAsia="zh-CN"/>
              </w:rPr>
              <w:t>社会稳定持续发展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eastAsia="zh-CN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61" w:type="dxa"/>
            <w:vMerge w:val="continue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406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  <w:t>满意度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  <w:t>指标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社会公众或服务对象满意度</w:t>
            </w:r>
          </w:p>
        </w:tc>
        <w:tc>
          <w:tcPr>
            <w:tcW w:w="0" w:type="auto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eastAsia="zh-CN"/>
              </w:rPr>
              <w:t>社会公众对相关工作的满意度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仿宋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  <w:t>≥</w:t>
            </w:r>
            <w:r>
              <w:rPr>
                <w:rFonts w:hint="eastAsia" w:eastAsia="仿宋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95%</w:t>
            </w:r>
          </w:p>
        </w:tc>
      </w:tr>
    </w:tbl>
    <w:p>
      <w:pPr>
        <w:widowControl/>
        <w:tabs>
          <w:tab w:val="left" w:pos="2593"/>
        </w:tabs>
        <w:jc w:val="left"/>
        <w:rPr>
          <w:rFonts w:hint="eastAsia" w:ascii="仿宋" w:hAnsi="仿宋" w:eastAsia="仿宋" w:cs="仿宋"/>
          <w:b/>
          <w:bCs/>
          <w:kern w:val="0"/>
          <w:sz w:val="21"/>
          <w:szCs w:val="21"/>
        </w:rPr>
      </w:pPr>
    </w:p>
    <w:p>
      <w:pPr>
        <w:widowControl/>
        <w:tabs>
          <w:tab w:val="left" w:pos="1333"/>
          <w:tab w:val="left" w:pos="3793"/>
          <w:tab w:val="left" w:pos="5853"/>
        </w:tabs>
        <w:ind w:firstLine="422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1"/>
          <w:szCs w:val="21"/>
        </w:rPr>
        <w:t xml:space="preserve">填表人：      </w:t>
      </w:r>
      <w:r>
        <w:rPr>
          <w:rFonts w:hint="eastAsia" w:ascii="仿宋" w:hAnsi="仿宋" w:eastAsia="仿宋" w:cs="仿宋"/>
          <w:b/>
          <w:bCs/>
          <w:kern w:val="0"/>
          <w:sz w:val="21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/>
          <w:bCs/>
          <w:kern w:val="0"/>
          <w:sz w:val="21"/>
          <w:szCs w:val="21"/>
        </w:rPr>
        <w:t xml:space="preserve">  联系电话：        </w:t>
      </w:r>
      <w:r>
        <w:rPr>
          <w:rFonts w:hint="eastAsia" w:ascii="仿宋" w:hAnsi="仿宋" w:eastAsia="仿宋" w:cs="仿宋"/>
          <w:b/>
          <w:bCs/>
          <w:kern w:val="0"/>
          <w:sz w:val="21"/>
          <w:szCs w:val="21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kern w:val="0"/>
          <w:sz w:val="21"/>
          <w:szCs w:val="21"/>
        </w:rPr>
        <w:t xml:space="preserve">       </w:t>
      </w:r>
      <w:r>
        <w:rPr>
          <w:rFonts w:hint="eastAsia" w:ascii="仿宋" w:hAnsi="仿宋" w:eastAsia="仿宋" w:cs="仿宋"/>
          <w:b/>
          <w:bCs/>
          <w:kern w:val="0"/>
          <w:sz w:val="21"/>
          <w:szCs w:val="21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kern w:val="0"/>
          <w:sz w:val="21"/>
          <w:szCs w:val="21"/>
        </w:rPr>
        <w:t>单位负责人签字</w:t>
      </w:r>
      <w:r>
        <w:rPr>
          <w:rFonts w:hint="eastAsia" w:ascii="仿宋" w:hAnsi="仿宋" w:eastAsia="仿宋" w:cs="仿宋"/>
          <w:b/>
          <w:bCs/>
          <w:kern w:val="0"/>
          <w:sz w:val="21"/>
          <w:szCs w:val="21"/>
          <w:lang w:eastAsia="zh-CN"/>
        </w:rPr>
        <w:t>：</w:t>
      </w:r>
    </w:p>
    <w:p/>
    <w:sectPr>
      <w:footerReference r:id="rId5" w:type="default"/>
      <w:pgSz w:w="12190" w:h="17030"/>
      <w:pgMar w:top="1447" w:right="1701" w:bottom="400" w:left="17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E6A0E9"/>
    <w:multiLevelType w:val="singleLevel"/>
    <w:tmpl w:val="D3E6A0E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399F758"/>
    <w:multiLevelType w:val="singleLevel"/>
    <w:tmpl w:val="1399F75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iYzQzZjMwMWMxNGMzYThjNzQ3ZjMxMjQ5NGYzMDYifQ=="/>
  </w:docVars>
  <w:rsids>
    <w:rsidRoot w:val="77F37B20"/>
    <w:rsid w:val="02F05A75"/>
    <w:rsid w:val="13E25E6B"/>
    <w:rsid w:val="232D5A32"/>
    <w:rsid w:val="23BE69CC"/>
    <w:rsid w:val="2BED5333"/>
    <w:rsid w:val="2C7D1F40"/>
    <w:rsid w:val="2CD637F5"/>
    <w:rsid w:val="3391388D"/>
    <w:rsid w:val="33B2747F"/>
    <w:rsid w:val="3C0E6083"/>
    <w:rsid w:val="425E48CA"/>
    <w:rsid w:val="48E54635"/>
    <w:rsid w:val="4D047AEC"/>
    <w:rsid w:val="52052A88"/>
    <w:rsid w:val="57993556"/>
    <w:rsid w:val="5BEF1D64"/>
    <w:rsid w:val="76B84740"/>
    <w:rsid w:val="77F37B20"/>
    <w:rsid w:val="79667D5C"/>
    <w:rsid w:val="7C054A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668" w:firstLineChars="200"/>
    </w:pPr>
    <w:rPr>
      <w:rFonts w:eastAsia="方正仿宋简体"/>
      <w:sz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624</Words>
  <Characters>666</Characters>
  <Lines>0</Lines>
  <Paragraphs>0</Paragraphs>
  <TotalTime>4</TotalTime>
  <ScaleCrop>false</ScaleCrop>
  <LinksUpToDate>false</LinksUpToDate>
  <CharactersWithSpaces>786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2020-07-23T02:27:00Z</dcterms:created>
  <dc:creator>Administrator</dc:creator>
  <cp:lastModifiedBy>Administrator</cp:lastModifiedBy>
  <dcterms:modified xsi:type="dcterms:W3CDTF">2023-03-23T01:45:12Z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20ADA04CCA0E4C669BC50C31638B3079_13</vt:lpwstr>
  </property>
</Properties>
</file>