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5B" w:rsidRDefault="00212BC3">
      <w:pPr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附件1：</w:t>
      </w:r>
    </w:p>
    <w:p w:rsidR="00FB725B" w:rsidRDefault="00FB725B"/>
    <w:p w:rsidR="00FB725B" w:rsidRDefault="00212BC3">
      <w:pPr>
        <w:spacing w:before="240" w:after="240"/>
        <w:jc w:val="center"/>
        <w:rPr>
          <w:rFonts w:ascii="黑体" w:eastAsia="黑体" w:hAnsi="黑体" w:cs="黑体"/>
          <w:b/>
          <w:spacing w:val="-20"/>
          <w:sz w:val="44"/>
          <w:szCs w:val="44"/>
        </w:rPr>
      </w:pPr>
      <w:r>
        <w:rPr>
          <w:rFonts w:ascii="黑体" w:eastAsia="黑体" w:hAnsi="黑体" w:cs="黑体" w:hint="eastAsia"/>
          <w:b/>
          <w:spacing w:val="-20"/>
          <w:sz w:val="44"/>
          <w:szCs w:val="44"/>
        </w:rPr>
        <w:t>2023年度部门整体支出预算绩效目标申报表</w:t>
      </w:r>
    </w:p>
    <w:p w:rsidR="00FB725B" w:rsidRDefault="00212BC3">
      <w:pPr>
        <w:tabs>
          <w:tab w:val="left" w:pos="2593"/>
        </w:tabs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24"/>
        </w:rPr>
        <w:t>填报单位：（盖章）</w:t>
      </w:r>
      <w:r>
        <w:rPr>
          <w:rFonts w:ascii="仿宋_GB2312" w:eastAsia="仿宋_GB2312" w:hint="eastAsia"/>
          <w:b/>
          <w:bCs/>
        </w:rPr>
        <w:tab/>
        <w:t xml:space="preserve">                                        单位：万元        </w:t>
      </w:r>
    </w:p>
    <w:tbl>
      <w:tblPr>
        <w:tblpPr w:leftFromText="180" w:rightFromText="180" w:vertAnchor="page" w:horzAnchor="page" w:tblpX="1485" w:tblpY="3363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1406"/>
        <w:gridCol w:w="1755"/>
        <w:gridCol w:w="779"/>
        <w:gridCol w:w="961"/>
        <w:gridCol w:w="2780"/>
      </w:tblGrid>
      <w:tr w:rsidR="00FB725B">
        <w:trPr>
          <w:trHeight w:val="360"/>
        </w:trPr>
        <w:tc>
          <w:tcPr>
            <w:tcW w:w="1761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 w:rsidR="00FB725B" w:rsidRDefault="00F514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衡东县农机事务中心</w:t>
            </w:r>
          </w:p>
        </w:tc>
      </w:tr>
      <w:tr w:rsidR="00FB725B">
        <w:trPr>
          <w:trHeight w:val="440"/>
        </w:trPr>
        <w:tc>
          <w:tcPr>
            <w:tcW w:w="1761" w:type="dxa"/>
            <w:vMerge w:val="restart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年度预算申请</w:t>
            </w:r>
            <w:r>
              <w:rPr>
                <w:rFonts w:ascii="仿宋" w:eastAsia="仿宋" w:hAnsi="仿宋" w:cs="仿宋" w:hint="eastAsia"/>
                <w:b/>
                <w:bCs/>
              </w:rPr>
              <w:br/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资金总额：</w:t>
            </w:r>
            <w:r w:rsidR="00957968">
              <w:rPr>
                <w:rFonts w:ascii="仿宋" w:eastAsia="仿宋" w:hAnsi="仿宋" w:cs="仿宋" w:hint="eastAsia"/>
                <w:b/>
                <w:bCs/>
              </w:rPr>
              <w:t>329.38</w:t>
            </w:r>
          </w:p>
        </w:tc>
      </w:tr>
      <w:tr w:rsidR="00FB725B">
        <w:trPr>
          <w:trHeight w:val="495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FB725B" w:rsidRDefault="00212BC3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按收入性质分：</w:t>
            </w:r>
            <w:r w:rsidR="004944C4">
              <w:rPr>
                <w:rFonts w:ascii="仿宋" w:eastAsia="仿宋" w:hAnsi="仿宋" w:cs="仿宋" w:hint="eastAsia"/>
                <w:b/>
                <w:bCs/>
              </w:rPr>
              <w:t>329.38</w:t>
            </w:r>
          </w:p>
        </w:tc>
        <w:tc>
          <w:tcPr>
            <w:tcW w:w="3741" w:type="dxa"/>
            <w:gridSpan w:val="2"/>
            <w:vAlign w:val="center"/>
          </w:tcPr>
          <w:p w:rsidR="00FB725B" w:rsidRDefault="00212BC3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按支出性质分：</w:t>
            </w:r>
            <w:r w:rsidR="00957968">
              <w:rPr>
                <w:rFonts w:ascii="仿宋" w:eastAsia="仿宋" w:hAnsi="仿宋" w:cs="仿宋" w:hint="eastAsia"/>
                <w:b/>
                <w:bCs/>
              </w:rPr>
              <w:t>329.38</w:t>
            </w:r>
          </w:p>
        </w:tc>
      </w:tr>
      <w:tr w:rsidR="00FB725B">
        <w:trPr>
          <w:trHeight w:val="340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一般公共预算：</w:t>
            </w:r>
            <w:r w:rsidR="004944C4">
              <w:rPr>
                <w:rFonts w:ascii="仿宋" w:eastAsia="仿宋" w:hAnsi="仿宋" w:cs="仿宋" w:hint="eastAsia"/>
              </w:rPr>
              <w:t>329.38</w:t>
            </w:r>
          </w:p>
        </w:tc>
        <w:tc>
          <w:tcPr>
            <w:tcW w:w="3741" w:type="dxa"/>
            <w:gridSpan w:val="2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基本支出：</w:t>
            </w:r>
            <w:r w:rsidR="00957968">
              <w:rPr>
                <w:rFonts w:ascii="仿宋" w:eastAsia="仿宋" w:hAnsi="仿宋" w:cs="仿宋" w:hint="eastAsia"/>
              </w:rPr>
              <w:t>269.38</w:t>
            </w:r>
          </w:p>
        </w:tc>
      </w:tr>
      <w:tr w:rsidR="00FB725B">
        <w:trPr>
          <w:trHeight w:val="405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项目支出：</w:t>
            </w:r>
            <w:r w:rsidR="00957968">
              <w:rPr>
                <w:rFonts w:ascii="仿宋" w:eastAsia="仿宋" w:hAnsi="仿宋" w:cs="仿宋" w:hint="eastAsia"/>
              </w:rPr>
              <w:t>60</w:t>
            </w:r>
          </w:p>
        </w:tc>
      </w:tr>
      <w:tr w:rsidR="00FB725B">
        <w:trPr>
          <w:trHeight w:val="435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</w:t>
            </w:r>
          </w:p>
        </w:tc>
      </w:tr>
      <w:tr w:rsidR="00FB725B">
        <w:trPr>
          <w:trHeight w:val="410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FB725B" w:rsidRDefault="00212BC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</w:tr>
      <w:tr w:rsidR="00FB725B" w:rsidTr="00E04D46">
        <w:trPr>
          <w:trHeight w:val="7668"/>
        </w:trPr>
        <w:tc>
          <w:tcPr>
            <w:tcW w:w="1761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部门职能</w:t>
            </w:r>
          </w:p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 w:rsidR="004944C4" w:rsidRPr="004944C4" w:rsidRDefault="004944C4" w:rsidP="00E04D46">
            <w:pPr>
              <w:spacing w:line="600" w:lineRule="exact"/>
              <w:ind w:firstLineChars="150" w:firstLine="315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1</w:t>
            </w:r>
            <w:r w:rsidRPr="004944C4">
              <w:rPr>
                <w:rFonts w:ascii="仿宋" w:eastAsia="仿宋" w:hAnsi="仿宋" w:cs="仿宋" w:hint="eastAsia"/>
              </w:rPr>
              <w:t>、贯彻执行有关农业机械工作的方针政策和法律法规，贯彻落实国家农业机械化产业政策，研究提出全县农业机械化发展措施建议，引导全县农业机械化产业结构调整，不断提高农业机械生产、普及和应用水平。</w:t>
            </w:r>
          </w:p>
          <w:p w:rsidR="004944C4" w:rsidRPr="004944C4" w:rsidRDefault="004944C4" w:rsidP="004944C4">
            <w:pPr>
              <w:spacing w:line="60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2</w:t>
            </w:r>
            <w:r w:rsidRPr="004944C4">
              <w:rPr>
                <w:rFonts w:ascii="仿宋" w:eastAsia="仿宋" w:hAnsi="仿宋" w:cs="仿宋" w:hint="eastAsia"/>
              </w:rPr>
              <w:t>、承担全县农业机械化事业发展规划和有关标准、技术规范的研究工作。</w:t>
            </w:r>
          </w:p>
          <w:p w:rsidR="004944C4" w:rsidRPr="004944C4" w:rsidRDefault="004944C4" w:rsidP="004944C4">
            <w:pPr>
              <w:spacing w:line="60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3</w:t>
            </w:r>
            <w:r w:rsidRPr="004944C4">
              <w:rPr>
                <w:rFonts w:ascii="仿宋" w:eastAsia="仿宋" w:hAnsi="仿宋" w:cs="仿宋" w:hint="eastAsia"/>
              </w:rPr>
              <w:t>、负责拟定农业机械化科技、教育发展规划和实施计划；负责组织农业机械投入抗灾救灾工作；负责农业机械化各类经济指标的统计、分析和信息网络建设；负责组织国家农业机械购置、农业机械报废、农业机械作业等补贴政策项目的实施；负责组织农业机械推广项目的遴选、申报和实施；负责组织农业机械跨区作业；负责农业机械化新机具、新技术的引进、试验和推广。</w:t>
            </w:r>
          </w:p>
          <w:p w:rsidR="004944C4" w:rsidRPr="004944C4" w:rsidRDefault="004944C4" w:rsidP="004944C4">
            <w:pPr>
              <w:spacing w:line="60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4</w:t>
            </w:r>
            <w:r w:rsidRPr="004944C4">
              <w:rPr>
                <w:rFonts w:ascii="仿宋" w:eastAsia="仿宋" w:hAnsi="仿宋" w:cs="仿宋" w:hint="eastAsia"/>
              </w:rPr>
              <w:t>、指导培育全县农业机械化生产经营主体和社会服务体系建设等。</w:t>
            </w:r>
          </w:p>
          <w:p w:rsidR="004944C4" w:rsidRPr="004944C4" w:rsidRDefault="004944C4" w:rsidP="004944C4">
            <w:pPr>
              <w:spacing w:line="60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5</w:t>
            </w:r>
            <w:r w:rsidRPr="004944C4">
              <w:rPr>
                <w:rFonts w:ascii="仿宋" w:eastAsia="仿宋" w:hAnsi="仿宋" w:cs="仿宋" w:hint="eastAsia"/>
              </w:rPr>
              <w:t>、</w:t>
            </w:r>
            <w:proofErr w:type="gramStart"/>
            <w:r w:rsidRPr="004944C4">
              <w:rPr>
                <w:rFonts w:ascii="仿宋" w:eastAsia="仿宋" w:hAnsi="仿宋" w:cs="仿宋" w:hint="eastAsia"/>
              </w:rPr>
              <w:t>对接省</w:t>
            </w:r>
            <w:proofErr w:type="gramEnd"/>
            <w:r w:rsidRPr="004944C4">
              <w:rPr>
                <w:rFonts w:ascii="仿宋" w:eastAsia="仿宋" w:hAnsi="仿宋" w:cs="仿宋" w:hint="eastAsia"/>
              </w:rPr>
              <w:t>农机事务中心所有工作职责，对接衡阳市农业技术服务中心有关农业机械化工作职责。</w:t>
            </w:r>
          </w:p>
          <w:p w:rsidR="00FB725B" w:rsidRDefault="004944C4" w:rsidP="004944C4">
            <w:pPr>
              <w:spacing w:line="600" w:lineRule="exact"/>
              <w:ind w:firstLineChars="200" w:firstLine="420"/>
              <w:rPr>
                <w:rFonts w:ascii="仿宋" w:eastAsia="仿宋" w:hAnsi="仿宋" w:cs="仿宋"/>
              </w:rPr>
            </w:pPr>
            <w:r w:rsidRPr="004944C4">
              <w:rPr>
                <w:rFonts w:ascii="仿宋" w:eastAsia="仿宋" w:hAnsi="仿宋" w:cs="仿宋"/>
              </w:rPr>
              <w:t>6</w:t>
            </w:r>
            <w:r w:rsidRPr="004944C4">
              <w:rPr>
                <w:rFonts w:ascii="仿宋" w:eastAsia="仿宋" w:hAnsi="仿宋" w:cs="仿宋" w:hint="eastAsia"/>
              </w:rPr>
              <w:t>、完成县委、县政府、县农业农村局交办的其他任务</w:t>
            </w:r>
            <w:r w:rsidR="00212BC3">
              <w:rPr>
                <w:rFonts w:ascii="仿宋" w:eastAsia="仿宋" w:hAnsi="仿宋" w:cs="仿宋" w:hint="eastAsia"/>
              </w:rPr>
              <w:t xml:space="preserve">  </w:t>
            </w:r>
          </w:p>
        </w:tc>
      </w:tr>
      <w:tr w:rsidR="00FB725B" w:rsidTr="007D5526">
        <w:trPr>
          <w:trHeight w:val="1839"/>
        </w:trPr>
        <w:tc>
          <w:tcPr>
            <w:tcW w:w="1761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 w:rsidR="007D5526" w:rsidRDefault="007D5526" w:rsidP="0092117E">
            <w:pPr>
              <w:rPr>
                <w:rFonts w:ascii="仿宋" w:eastAsia="仿宋" w:hAnsi="仿宋" w:cs="仿宋" w:hint="eastAsia"/>
              </w:rPr>
            </w:pPr>
          </w:p>
          <w:p w:rsidR="0092117E" w:rsidRDefault="0092117E" w:rsidP="0092117E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通过预算执行，保障单位履职、运转，进一步提升农机服务“三农”水平，促我县全面实行农业生产机械化：</w:t>
            </w:r>
          </w:p>
          <w:p w:rsidR="007D5526" w:rsidRPr="007D5526" w:rsidRDefault="007D5526" w:rsidP="007D5526">
            <w:pPr>
              <w:pStyle w:val="2"/>
              <w:ind w:firstLine="640"/>
              <w:rPr>
                <w:rFonts w:hint="eastAsia"/>
              </w:rPr>
            </w:pPr>
          </w:p>
          <w:p w:rsidR="0092117E" w:rsidRPr="007D5526" w:rsidRDefault="0092117E" w:rsidP="007D552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 w:hint="eastAsia"/>
              </w:rPr>
            </w:pPr>
            <w:r w:rsidRPr="007D5526">
              <w:rPr>
                <w:rFonts w:ascii="仿宋" w:eastAsia="仿宋" w:hAnsi="仿宋" w:cs="仿宋" w:hint="eastAsia"/>
              </w:rPr>
              <w:t>开展农机购置补贴管理和实施，全面完成农机购置补贴系统工作；</w:t>
            </w:r>
          </w:p>
          <w:p w:rsidR="007D5526" w:rsidRDefault="007D5526" w:rsidP="009F760B">
            <w:pPr>
              <w:rPr>
                <w:rFonts w:ascii="仿宋" w:eastAsia="仿宋" w:hAnsi="仿宋" w:hint="eastAsia"/>
              </w:rPr>
            </w:pPr>
          </w:p>
          <w:p w:rsidR="0092117E" w:rsidRPr="009F760B" w:rsidRDefault="009F760B" w:rsidP="007D5526">
            <w:pPr>
              <w:ind w:firstLineChars="100" w:firstLine="210"/>
              <w:rPr>
                <w:rFonts w:ascii="仿宋" w:eastAsia="仿宋" w:hAnsi="仿宋" w:cs="仿宋" w:hint="eastAsia"/>
              </w:rPr>
            </w:pPr>
            <w:r w:rsidRPr="009F760B">
              <w:rPr>
                <w:rFonts w:ascii="仿宋" w:eastAsia="仿宋" w:hAnsi="仿宋" w:hint="eastAsia"/>
              </w:rPr>
              <w:t>2、</w:t>
            </w:r>
            <w:r w:rsidR="0092117E" w:rsidRPr="009F760B">
              <w:rPr>
                <w:rFonts w:ascii="仿宋" w:eastAsia="仿宋" w:hAnsi="仿宋" w:cs="仿宋" w:hint="eastAsia"/>
              </w:rPr>
              <w:t>积极推广农机新机具、新技术与服务；</w:t>
            </w:r>
          </w:p>
          <w:p w:rsidR="00E04D46" w:rsidRDefault="00E04D46" w:rsidP="00E04D46">
            <w:pPr>
              <w:pStyle w:val="a8"/>
              <w:rPr>
                <w:rFonts w:hint="eastAsia"/>
              </w:rPr>
            </w:pPr>
          </w:p>
          <w:p w:rsidR="0092117E" w:rsidRPr="00E04D46" w:rsidRDefault="00E04D46" w:rsidP="007D5526">
            <w:pPr>
              <w:ind w:firstLineChars="100" w:firstLine="21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3、</w:t>
            </w:r>
            <w:r w:rsidRPr="00E04D46">
              <w:rPr>
                <w:rFonts w:ascii="仿宋" w:eastAsia="仿宋" w:hAnsi="仿宋" w:cs="仿宋" w:hint="eastAsia"/>
              </w:rPr>
              <w:t xml:space="preserve"> </w:t>
            </w:r>
            <w:r w:rsidR="0092117E" w:rsidRPr="00E04D46">
              <w:rPr>
                <w:rFonts w:ascii="仿宋" w:eastAsia="仿宋" w:hAnsi="仿宋" w:cs="仿宋" w:hint="eastAsia"/>
              </w:rPr>
              <w:t>农机合作社管理和创建，本年度新创建省级现代农机合作社和现代农机合作示范社</w:t>
            </w:r>
            <w:r w:rsidR="00B64FF6" w:rsidRPr="00E04D46">
              <w:rPr>
                <w:rFonts w:ascii="仿宋" w:eastAsia="仿宋" w:hAnsi="仿宋" w:cs="仿宋" w:hint="eastAsia"/>
              </w:rPr>
              <w:t>各</w:t>
            </w:r>
            <w:r w:rsidR="0092117E" w:rsidRPr="00E04D46">
              <w:rPr>
                <w:rFonts w:ascii="仿宋" w:eastAsia="仿宋" w:hAnsi="仿宋" w:cs="仿宋" w:hint="eastAsia"/>
              </w:rPr>
              <w:t>一家以上。</w:t>
            </w:r>
          </w:p>
          <w:p w:rsidR="00FB725B" w:rsidRDefault="0092117E" w:rsidP="007D5526">
            <w:pPr>
              <w:ind w:firstLineChars="50" w:firstLine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4、</w:t>
            </w:r>
            <w:r w:rsidR="004944C4" w:rsidRPr="004944C4">
              <w:rPr>
                <w:rFonts w:ascii="仿宋" w:eastAsia="仿宋" w:hAnsi="仿宋" w:cs="仿宋" w:hint="eastAsia"/>
              </w:rPr>
              <w:t>农机监理、农机安全生等重点工作，</w:t>
            </w:r>
            <w:r>
              <w:rPr>
                <w:rFonts w:ascii="仿宋" w:eastAsia="仿宋" w:hAnsi="仿宋" w:cs="仿宋" w:hint="eastAsia"/>
              </w:rPr>
              <w:t>持续开展拖拉机顽瘴痼疾专项整治工作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FB725B">
        <w:trPr>
          <w:trHeight w:val="510"/>
        </w:trPr>
        <w:tc>
          <w:tcPr>
            <w:tcW w:w="1761" w:type="dxa"/>
            <w:vMerge w:val="restart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部门整体支出</w:t>
            </w: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年度绩效指标</w:t>
            </w:r>
          </w:p>
        </w:tc>
        <w:tc>
          <w:tcPr>
            <w:tcW w:w="1406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一级指标</w:t>
            </w:r>
          </w:p>
        </w:tc>
        <w:tc>
          <w:tcPr>
            <w:tcW w:w="1755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三级指标</w:t>
            </w:r>
          </w:p>
        </w:tc>
        <w:tc>
          <w:tcPr>
            <w:tcW w:w="2780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指标值及单位</w:t>
            </w:r>
          </w:p>
        </w:tc>
      </w:tr>
      <w:tr w:rsidR="00FB725B">
        <w:trPr>
          <w:trHeight w:val="382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 w:rsidR="00B64FF6" w:rsidRDefault="00B64FF6">
            <w:pPr>
              <w:jc w:val="center"/>
              <w:rPr>
                <w:rFonts w:ascii="仿宋" w:eastAsia="仿宋" w:hAnsi="仿宋" w:cs="仿宋"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数量指标</w:t>
            </w:r>
          </w:p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4944C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本单位财政供养人员</w:t>
            </w:r>
          </w:p>
        </w:tc>
        <w:tc>
          <w:tcPr>
            <w:tcW w:w="2780" w:type="dxa"/>
            <w:vAlign w:val="center"/>
          </w:tcPr>
          <w:p w:rsidR="00FB725B" w:rsidRDefault="00957968">
            <w:pPr>
              <w:jc w:val="center"/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在职</w:t>
            </w:r>
            <w:r w:rsidRPr="00957968">
              <w:rPr>
                <w:rFonts w:ascii="仿宋" w:eastAsia="仿宋" w:hAnsi="仿宋" w:cs="仿宋"/>
              </w:rPr>
              <w:t>20</w:t>
            </w:r>
            <w:r w:rsidRPr="00957968">
              <w:rPr>
                <w:rFonts w:ascii="仿宋" w:eastAsia="仿宋" w:hAnsi="仿宋" w:cs="仿宋" w:hint="eastAsia"/>
              </w:rPr>
              <w:t>人、离休</w:t>
            </w:r>
            <w:r w:rsidRPr="00957968">
              <w:rPr>
                <w:rFonts w:ascii="仿宋" w:eastAsia="仿宋" w:hAnsi="仿宋" w:cs="仿宋"/>
              </w:rPr>
              <w:t>1</w:t>
            </w:r>
            <w:r w:rsidRPr="00957968">
              <w:rPr>
                <w:rFonts w:ascii="仿宋" w:eastAsia="仿宋" w:hAnsi="仿宋" w:cs="仿宋" w:hint="eastAsia"/>
              </w:rPr>
              <w:t>人、退休</w:t>
            </w:r>
            <w:r w:rsidRPr="00957968">
              <w:rPr>
                <w:rFonts w:ascii="仿宋" w:eastAsia="仿宋" w:hAnsi="仿宋" w:cs="仿宋"/>
              </w:rPr>
              <w:t>30</w:t>
            </w:r>
            <w:r w:rsidRPr="00957968">
              <w:rPr>
                <w:rFonts w:ascii="仿宋" w:eastAsia="仿宋" w:hAnsi="仿宋" w:cs="仿宋" w:hint="eastAsia"/>
              </w:rPr>
              <w:t>人</w:t>
            </w:r>
            <w:r>
              <w:rPr>
                <w:rFonts w:ascii="仿宋" w:eastAsia="仿宋" w:hAnsi="仿宋" w:cs="仿宋" w:hint="eastAsia"/>
              </w:rPr>
              <w:t>、抚恤4人</w:t>
            </w:r>
          </w:p>
        </w:tc>
      </w:tr>
      <w:tr w:rsidR="00FB725B">
        <w:trPr>
          <w:trHeight w:val="362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4944C4" w:rsidP="004944C4">
            <w:pPr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部门单位履职、运转</w:t>
            </w:r>
            <w:r>
              <w:rPr>
                <w:rFonts w:ascii="仿宋" w:eastAsia="仿宋" w:hAnsi="仿宋" w:cs="仿宋" w:hint="eastAsia"/>
              </w:rPr>
              <w:t>、</w:t>
            </w:r>
          </w:p>
        </w:tc>
        <w:tc>
          <w:tcPr>
            <w:tcW w:w="2780" w:type="dxa"/>
            <w:vAlign w:val="center"/>
          </w:tcPr>
          <w:p w:rsidR="00FB725B" w:rsidRDefault="00957968">
            <w:pPr>
              <w:jc w:val="center"/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予以保障</w:t>
            </w:r>
          </w:p>
        </w:tc>
      </w:tr>
      <w:tr w:rsidR="00FB725B">
        <w:trPr>
          <w:trHeight w:val="357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B64FF6" w:rsidRDefault="00B64FF6">
            <w:pPr>
              <w:jc w:val="center"/>
              <w:rPr>
                <w:rFonts w:ascii="仿宋" w:eastAsia="仿宋" w:hAnsi="仿宋" w:cs="仿宋"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质量指标</w:t>
            </w:r>
          </w:p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957968">
            <w:pPr>
              <w:jc w:val="center"/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在职人员控制率</w:t>
            </w:r>
          </w:p>
        </w:tc>
        <w:tc>
          <w:tcPr>
            <w:tcW w:w="2780" w:type="dxa"/>
            <w:vAlign w:val="center"/>
          </w:tcPr>
          <w:p w:rsidR="00FB725B" w:rsidRDefault="00957968">
            <w:pPr>
              <w:jc w:val="center"/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严格按三定方案执行≤</w:t>
            </w:r>
            <w:r w:rsidRPr="00957968">
              <w:rPr>
                <w:rFonts w:ascii="仿宋" w:eastAsia="仿宋" w:hAnsi="仿宋" w:cs="仿宋"/>
              </w:rPr>
              <w:t>100%</w:t>
            </w:r>
          </w:p>
        </w:tc>
      </w:tr>
      <w:tr w:rsidR="00FB725B">
        <w:trPr>
          <w:trHeight w:val="322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957968" w:rsidP="00957968">
            <w:pPr>
              <w:rPr>
                <w:rFonts w:ascii="仿宋" w:eastAsia="仿宋" w:hAnsi="仿宋" w:cs="仿宋"/>
              </w:rPr>
            </w:pPr>
            <w:r w:rsidRPr="00957968">
              <w:rPr>
                <w:rFonts w:ascii="仿宋" w:eastAsia="仿宋" w:hAnsi="仿宋" w:cs="仿宋" w:hint="eastAsia"/>
              </w:rPr>
              <w:t>公用经费控制率</w:t>
            </w:r>
          </w:p>
        </w:tc>
        <w:tc>
          <w:tcPr>
            <w:tcW w:w="2780" w:type="dxa"/>
            <w:vAlign w:val="center"/>
          </w:tcPr>
          <w:p w:rsidR="00FB725B" w:rsidRDefault="0072414A">
            <w:pPr>
              <w:jc w:val="center"/>
              <w:rPr>
                <w:rFonts w:ascii="仿宋" w:eastAsia="仿宋" w:hAnsi="仿宋" w:cs="仿宋"/>
              </w:rPr>
            </w:pPr>
            <w:r w:rsidRPr="0072414A">
              <w:rPr>
                <w:rFonts w:ascii="仿宋" w:eastAsia="仿宋" w:hAnsi="仿宋" w:cs="仿宋" w:hint="eastAsia"/>
              </w:rPr>
              <w:t>严格按部门预算执行≤</w:t>
            </w:r>
            <w:r w:rsidRPr="0072414A">
              <w:rPr>
                <w:rFonts w:ascii="仿宋" w:eastAsia="仿宋" w:hAnsi="仿宋" w:cs="仿宋"/>
              </w:rPr>
              <w:t>100%</w:t>
            </w:r>
          </w:p>
        </w:tc>
      </w:tr>
      <w:tr w:rsidR="00FB725B">
        <w:trPr>
          <w:trHeight w:val="390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B64FF6" w:rsidRDefault="00B64FF6">
            <w:pPr>
              <w:jc w:val="center"/>
              <w:rPr>
                <w:rFonts w:ascii="仿宋" w:eastAsia="仿宋" w:hAnsi="仿宋" w:cs="仿宋"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成本指标</w:t>
            </w:r>
          </w:p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72414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人员经费</w:t>
            </w:r>
            <w:r w:rsidR="004944C4">
              <w:rPr>
                <w:rFonts w:ascii="仿宋" w:eastAsia="仿宋" w:hAnsi="仿宋" w:cs="仿宋" w:hint="eastAsia"/>
              </w:rPr>
              <w:t>支出</w:t>
            </w:r>
          </w:p>
        </w:tc>
        <w:tc>
          <w:tcPr>
            <w:tcW w:w="2780" w:type="dxa"/>
            <w:vAlign w:val="center"/>
          </w:tcPr>
          <w:p w:rsidR="00FB725B" w:rsidRDefault="004944C4">
            <w:pPr>
              <w:jc w:val="center"/>
              <w:rPr>
                <w:rFonts w:ascii="仿宋" w:eastAsia="仿宋" w:hAnsi="仿宋" w:cs="仿宋"/>
              </w:rPr>
            </w:pPr>
            <w:r w:rsidRPr="0072414A">
              <w:rPr>
                <w:rFonts w:ascii="仿宋" w:eastAsia="仿宋" w:hAnsi="仿宋" w:cs="仿宋" w:hint="eastAsia"/>
              </w:rPr>
              <w:t>≤</w:t>
            </w:r>
            <w:r>
              <w:rPr>
                <w:rFonts w:ascii="仿宋" w:eastAsia="仿宋" w:hAnsi="仿宋" w:cs="仿宋" w:hint="eastAsia"/>
              </w:rPr>
              <w:t>254.6</w:t>
            </w:r>
          </w:p>
        </w:tc>
      </w:tr>
      <w:tr w:rsidR="00FB725B">
        <w:trPr>
          <w:trHeight w:val="310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72414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公用经费</w:t>
            </w:r>
          </w:p>
        </w:tc>
        <w:tc>
          <w:tcPr>
            <w:tcW w:w="2780" w:type="dxa"/>
            <w:vAlign w:val="center"/>
          </w:tcPr>
          <w:p w:rsidR="00FB725B" w:rsidRDefault="004944C4">
            <w:pPr>
              <w:jc w:val="center"/>
              <w:rPr>
                <w:rFonts w:ascii="仿宋" w:eastAsia="仿宋" w:hAnsi="仿宋" w:cs="仿宋"/>
              </w:rPr>
            </w:pPr>
            <w:r w:rsidRPr="0072414A">
              <w:rPr>
                <w:rFonts w:ascii="仿宋" w:eastAsia="仿宋" w:hAnsi="仿宋" w:cs="仿宋" w:hint="eastAsia"/>
              </w:rPr>
              <w:t>≤</w:t>
            </w:r>
            <w:r>
              <w:rPr>
                <w:rFonts w:ascii="仿宋" w:eastAsia="仿宋" w:hAnsi="仿宋" w:cs="仿宋" w:hint="eastAsia"/>
              </w:rPr>
              <w:t>14.78</w:t>
            </w:r>
          </w:p>
        </w:tc>
      </w:tr>
      <w:tr w:rsidR="00FB725B">
        <w:trPr>
          <w:trHeight w:val="385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B64FF6" w:rsidRDefault="00B64FF6">
            <w:pPr>
              <w:jc w:val="center"/>
              <w:rPr>
                <w:rFonts w:ascii="仿宋" w:eastAsia="仿宋" w:hAnsi="仿宋" w:cs="仿宋"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时效指标</w:t>
            </w:r>
          </w:p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4944C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及时完成率</w:t>
            </w:r>
          </w:p>
        </w:tc>
        <w:tc>
          <w:tcPr>
            <w:tcW w:w="2780" w:type="dxa"/>
            <w:vAlign w:val="center"/>
          </w:tcPr>
          <w:p w:rsidR="00FB725B" w:rsidRDefault="0072414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本年度</w:t>
            </w:r>
            <w:r w:rsidR="004944C4">
              <w:rPr>
                <w:rFonts w:ascii="仿宋" w:eastAsia="仿宋" w:hAnsi="仿宋" w:cs="仿宋" w:hint="eastAsia"/>
              </w:rPr>
              <w:t>100%</w:t>
            </w:r>
          </w:p>
        </w:tc>
      </w:tr>
      <w:tr w:rsidR="00FB725B">
        <w:trPr>
          <w:trHeight w:val="412"/>
        </w:trPr>
        <w:tc>
          <w:tcPr>
            <w:tcW w:w="1761" w:type="dxa"/>
            <w:vMerge/>
            <w:vAlign w:val="center"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B64FF6" w:rsidRDefault="00B64FF6">
            <w:pPr>
              <w:jc w:val="center"/>
              <w:rPr>
                <w:rFonts w:ascii="仿宋" w:eastAsia="仿宋" w:hAnsi="仿宋" w:cs="仿宋"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社会效益指标</w:t>
            </w:r>
          </w:p>
          <w:p w:rsidR="00FB725B" w:rsidRDefault="00FB725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FB725B" w:rsidRDefault="00B64FF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提升我县粮食生产耕、种、收农机现代化使用率</w:t>
            </w:r>
          </w:p>
        </w:tc>
        <w:tc>
          <w:tcPr>
            <w:tcW w:w="2780" w:type="dxa"/>
            <w:vAlign w:val="center"/>
          </w:tcPr>
          <w:p w:rsidR="00FB725B" w:rsidRPr="00B64FF6" w:rsidRDefault="00B64FF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≥</w:t>
            </w:r>
            <w:r>
              <w:rPr>
                <w:rFonts w:ascii="仿宋" w:eastAsia="仿宋" w:hAnsi="仿宋" w:cs="仿宋" w:hint="eastAsia"/>
              </w:rPr>
              <w:t>82.5%</w:t>
            </w:r>
          </w:p>
        </w:tc>
      </w:tr>
      <w:tr w:rsidR="00FB725B" w:rsidTr="00E04D46">
        <w:trPr>
          <w:trHeight w:val="972"/>
        </w:trPr>
        <w:tc>
          <w:tcPr>
            <w:tcW w:w="1761" w:type="dxa"/>
            <w:vMerge/>
          </w:tcPr>
          <w:p w:rsidR="00FB725B" w:rsidRDefault="00FB725B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</w:tcPr>
          <w:p w:rsidR="00FB725B" w:rsidRDefault="00FB725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满意度</w:t>
            </w:r>
          </w:p>
          <w:p w:rsidR="00FB725B" w:rsidRDefault="00212BC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1755" w:type="dxa"/>
            <w:vAlign w:val="center"/>
          </w:tcPr>
          <w:p w:rsidR="00FB725B" w:rsidRDefault="00212BC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 w:rsidR="00FB725B" w:rsidRDefault="00B64FF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受益群众满意度</w:t>
            </w:r>
          </w:p>
        </w:tc>
        <w:tc>
          <w:tcPr>
            <w:tcW w:w="2780" w:type="dxa"/>
            <w:vAlign w:val="center"/>
          </w:tcPr>
          <w:p w:rsidR="00FB725B" w:rsidRDefault="00B64FF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≥</w:t>
            </w:r>
            <w:r>
              <w:rPr>
                <w:rFonts w:ascii="仿宋" w:eastAsia="仿宋" w:hAnsi="仿宋" w:cs="仿宋" w:hint="eastAsia"/>
              </w:rPr>
              <w:t>90%</w:t>
            </w:r>
          </w:p>
        </w:tc>
      </w:tr>
    </w:tbl>
    <w:p w:rsidR="00FB725B" w:rsidRDefault="00E04D46" w:rsidP="00E04D46">
      <w:pPr>
        <w:tabs>
          <w:tab w:val="left" w:pos="1333"/>
          <w:tab w:val="left" w:pos="3793"/>
          <w:tab w:val="left" w:pos="5853"/>
        </w:tabs>
        <w:ind w:leftChars="4000" w:left="8400" w:firstLineChars="150" w:firstLine="316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</w:rPr>
        <w:t xml:space="preserve"> </w:t>
      </w:r>
    </w:p>
    <w:p w:rsidR="00E04D46" w:rsidRPr="00E04D46" w:rsidRDefault="00E04D46" w:rsidP="00E04D46">
      <w:pPr>
        <w:pStyle w:val="2"/>
        <w:ind w:firstLineChars="0" w:firstLine="0"/>
      </w:pPr>
      <w:r>
        <w:rPr>
          <w:rFonts w:eastAsiaTheme="minorEastAsia" w:hint="eastAsia"/>
          <w:sz w:val="21"/>
        </w:rPr>
        <w:t>填表人：单清娥</w:t>
      </w:r>
      <w:r>
        <w:rPr>
          <w:rFonts w:eastAsiaTheme="minorEastAsia" w:hint="eastAsia"/>
          <w:sz w:val="21"/>
        </w:rPr>
        <w:tab/>
      </w:r>
      <w:r>
        <w:rPr>
          <w:rFonts w:eastAsiaTheme="minorEastAsia" w:hint="eastAsia"/>
          <w:sz w:val="21"/>
        </w:rPr>
        <w:tab/>
      </w:r>
      <w:r>
        <w:rPr>
          <w:rFonts w:eastAsiaTheme="minorEastAsia" w:hint="eastAsia"/>
          <w:sz w:val="21"/>
        </w:rPr>
        <w:tab/>
      </w:r>
      <w:r>
        <w:rPr>
          <w:rFonts w:eastAsiaTheme="minorEastAsia" w:hint="eastAsia"/>
          <w:sz w:val="21"/>
        </w:rPr>
        <w:tab/>
      </w:r>
      <w:r>
        <w:rPr>
          <w:rFonts w:eastAsiaTheme="minorEastAsia" w:hint="eastAsia"/>
          <w:sz w:val="21"/>
        </w:rPr>
        <w:t>联系电话：</w:t>
      </w:r>
      <w:r>
        <w:rPr>
          <w:rFonts w:eastAsiaTheme="minorEastAsia" w:hint="eastAsia"/>
          <w:sz w:val="21"/>
        </w:rPr>
        <w:t xml:space="preserve">13975422105       </w:t>
      </w:r>
      <w:r>
        <w:rPr>
          <w:rFonts w:eastAsiaTheme="minorEastAsia" w:hint="eastAsia"/>
          <w:sz w:val="21"/>
        </w:rPr>
        <w:t>单位负责人：</w:t>
      </w:r>
    </w:p>
    <w:sectPr w:rsidR="00E04D46" w:rsidRPr="00E04D46" w:rsidSect="007D5526">
      <w:footerReference w:type="default" r:id="rId7"/>
      <w:pgSz w:w="12190" w:h="17030"/>
      <w:pgMar w:top="1446" w:right="1701" w:bottom="142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31" w:rsidRDefault="007E3631">
      <w:r>
        <w:separator/>
      </w:r>
    </w:p>
  </w:endnote>
  <w:endnote w:type="continuationSeparator" w:id="0">
    <w:p w:rsidR="007E3631" w:rsidRDefault="007E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5B" w:rsidRDefault="00FB725B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31" w:rsidRDefault="007E3631">
      <w:r>
        <w:separator/>
      </w:r>
    </w:p>
  </w:footnote>
  <w:footnote w:type="continuationSeparator" w:id="0">
    <w:p w:rsidR="007E3631" w:rsidRDefault="007E3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955"/>
    <w:multiLevelType w:val="hybridMultilevel"/>
    <w:tmpl w:val="FB52300E"/>
    <w:lvl w:ilvl="0" w:tplc="9F202A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A1D61"/>
    <w:multiLevelType w:val="hybridMultilevel"/>
    <w:tmpl w:val="3CACFB9A"/>
    <w:lvl w:ilvl="0" w:tplc="45C4E86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AF96BAB"/>
    <w:multiLevelType w:val="hybridMultilevel"/>
    <w:tmpl w:val="A1DCF40A"/>
    <w:lvl w:ilvl="0" w:tplc="F1303D2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QzYWQ4MDJlZTk2ZjQzZTBiMTEyNWYyY2YzNzMzZTUifQ=="/>
  </w:docVars>
  <w:rsids>
    <w:rsidRoot w:val="77F37B20"/>
    <w:rsid w:val="00212BC3"/>
    <w:rsid w:val="004944C4"/>
    <w:rsid w:val="0072414A"/>
    <w:rsid w:val="007D5526"/>
    <w:rsid w:val="007E3631"/>
    <w:rsid w:val="0092117E"/>
    <w:rsid w:val="00957968"/>
    <w:rsid w:val="009F760B"/>
    <w:rsid w:val="00AE1F7B"/>
    <w:rsid w:val="00B64FF6"/>
    <w:rsid w:val="00E04D46"/>
    <w:rsid w:val="00ED4C99"/>
    <w:rsid w:val="00F51458"/>
    <w:rsid w:val="00FB725B"/>
    <w:rsid w:val="02F05A75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B725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FB725B"/>
    <w:pPr>
      <w:ind w:firstLine="420"/>
    </w:pPr>
  </w:style>
  <w:style w:type="paragraph" w:styleId="a3">
    <w:name w:val="Body Text Indent"/>
    <w:basedOn w:val="a"/>
    <w:qFormat/>
    <w:rsid w:val="00FB725B"/>
    <w:pPr>
      <w:ind w:firstLineChars="200" w:firstLine="668"/>
    </w:pPr>
    <w:rPr>
      <w:rFonts w:eastAsia="方正仿宋简体"/>
      <w:sz w:val="32"/>
    </w:rPr>
  </w:style>
  <w:style w:type="paragraph" w:styleId="a4">
    <w:name w:val="Normal (Web)"/>
    <w:basedOn w:val="a"/>
    <w:qFormat/>
    <w:rsid w:val="00FB725B"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rsid w:val="00FB7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F514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5145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F514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5145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8">
    <w:name w:val="List Paragraph"/>
    <w:basedOn w:val="a"/>
    <w:uiPriority w:val="99"/>
    <w:unhideWhenUsed/>
    <w:rsid w:val="00E04D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182</Words>
  <Characters>1042</Characters>
  <Application>Microsoft Office Word</Application>
  <DocSecurity>0</DocSecurity>
  <Lines>8</Lines>
  <Paragraphs>2</Paragraphs>
  <ScaleCrop>false</ScaleCrop>
  <Company>微软中国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2023-03-30T02:31:00Z</cp:lastPrinted>
  <dcterms:created xsi:type="dcterms:W3CDTF">2020-07-23T02:27:00Z</dcterms:created>
  <dcterms:modified xsi:type="dcterms:W3CDTF">2023-03-30T02:32:00Z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