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 w:val="24"/>
          <w:szCs w:val="21"/>
          <w:lang w:eastAsia="zh-CN"/>
        </w:rPr>
        <w:t>衡东县道路运输服务中心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单位：万元        </w:t>
      </w:r>
    </w:p>
    <w:tbl>
      <w:tblPr>
        <w:tblStyle w:val="4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1148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衡东县道路运输服务中心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资金总额：</w:t>
            </w:r>
            <w:r>
              <w:rPr>
                <w:rFonts w:hint="eastAsia"/>
                <w:lang w:val="en-US" w:eastAsia="zh-CN"/>
              </w:rPr>
              <w:t>345.06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345.06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305.06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  <w:t>1.做好节假日运输工作。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  <w:t>2.深化道路运输市场监管，推进文明诚信体系建设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  <w:t>3.强化安全监管，深入推进隐患清零工作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  <w:t>4.提高应急运输保障和处置能力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  <w:t>5.抓好招呼站建设工作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  <w:t>6.扎实开展乡村振兴工作。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  <w:t>7.抓紧抓实党建党务工作。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  <w:t>8.监督指导我县运输行业全力做好疫情防控工作。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  <w:t>9.</w:t>
            </w:r>
            <w:r>
              <w:rPr>
                <w:rFonts w:hint="eastAsia" w:ascii="Calibri" w:hAnsi="Calibri" w:eastAsia="宋体" w:cs="Times New Roman"/>
                <w:snapToGrid/>
                <w:kern w:val="2"/>
                <w:sz w:val="18"/>
                <w:szCs w:val="18"/>
                <w:lang w:val="en-US" w:eastAsia="zh-CN" w:bidi="ar-SA"/>
              </w:rPr>
              <w:t>承办县委、县政府和主管部门交办的其他事项。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1.通过预算执行，保证正常工作运转。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2.保证道路运输市场安全有序运转。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财政供养人员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部门单位履职、运转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在职人员控制率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≦</w:t>
            </w:r>
            <w:r>
              <w:rPr>
                <w:rFonts w:hint="eastAsia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公用经费控制率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≦</w:t>
            </w:r>
            <w:r>
              <w:rPr>
                <w:rFonts w:hint="eastAsia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人员经费控制率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265.51万元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公用经费控制率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39.55万元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道路运输行业事故下降率（或发生率）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群众满意度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夏天钰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13378044155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NzhkYzEwNTg3Yjk5ZDY2OTQ2ZWE5MGQ5YWMyNTkifQ=="/>
  </w:docVars>
  <w:rsids>
    <w:rsidRoot w:val="00000000"/>
    <w:rsid w:val="02D20148"/>
    <w:rsid w:val="738E2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1603</Words>
  <Characters>1807</Characters>
  <Lines>0</Lines>
  <Paragraphs>0</Paragraphs>
  <TotalTime>2</TotalTime>
  <ScaleCrop>false</ScaleCrop>
  <LinksUpToDate>false</LinksUpToDate>
  <CharactersWithSpaces>1957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2023-04-20T09:17:44Z</dcterms:created>
  <dc:creator>Administrator</dc:creator>
  <cp:lastModifiedBy>ʜ ᴇ ᴀ ᴍ</cp:lastModifiedBy>
  <dcterms:modified xsi:type="dcterms:W3CDTF">2023-04-23T02:45:34Z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3C2E5F7CC7F4413C9C17D313C2C0D1A1_13</vt:lpwstr>
  </property>
</Properties>
</file>