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default" w:ascii="黑体" w:hAnsi="黑体" w:eastAsia="黑体" w:cs="黑体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65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衡东县霞流镇人民政府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1416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1416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.80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1416.80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衡东县霞流镇人民政府坚持贯彻执行党的路线方针政策，领导本镇的社会主义民主法制建设和精神文明建设，做好社会治安综合治理及其他工作。为农民提供有效的科技、教育、文化、信息、卫生、体育、医疗、人才开发、劳动就业、安全生产等方面的服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1.保障全镇在职人</w:t>
            </w:r>
            <w:r>
              <w:rPr>
                <w:rFonts w:hint="eastAsia"/>
                <w:sz w:val="18"/>
                <w:szCs w:val="18"/>
                <w:highlight w:val="none"/>
              </w:rPr>
              <w:t>员69人</w:t>
            </w:r>
            <w:r>
              <w:rPr>
                <w:rFonts w:hint="eastAsia"/>
                <w:sz w:val="18"/>
                <w:szCs w:val="18"/>
              </w:rPr>
              <w:t>，退休人员</w:t>
            </w:r>
            <w:r>
              <w:rPr>
                <w:rFonts w:hint="default"/>
                <w:sz w:val="18"/>
                <w:szCs w:val="18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人的工资待遇发放。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2.保障全镇15个村，1个社区正常办公运转需求。</w:t>
            </w:r>
          </w:p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3.尽力解决全镇村民最关心、最直接、最现实的民生问题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4.统揽全局，确保各项工作正常开展，按时按质按量完成各项工作，提升群众安全感和满意度。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财政供养人员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部门单位履职、运转</w:t>
            </w:r>
          </w:p>
        </w:tc>
        <w:tc>
          <w:tcPr>
            <w:tcW w:w="26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公用经费控制率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  <w:t>保障财政供养人员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default"/>
                <w:sz w:val="18"/>
                <w:szCs w:val="18"/>
                <w:lang w:val="en-US"/>
              </w:rPr>
              <w:t>744.01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保障单位正常运转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672.79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年工作任务完成及时率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人力资源利用效率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资金利用效率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村民幸福指数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村民满意指数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乡村生活环境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ind w:firstLine="1080" w:firstLineChars="6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改善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乡村生态环境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改善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提升政府形象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上级各部门单位满意度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:龙戈 联系电话:13574897307 填报日期:202</w:t>
      </w:r>
      <w:r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.1</w:t>
      </w:r>
      <w:r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单位负责人签字: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Njg4ODI2NmY2Y2M0YTAxZjczMWJkZmQ1YWJlYzEifQ=="/>
  </w:docVars>
  <w:rsids>
    <w:rsidRoot w:val="25E26C38"/>
    <w:rsid w:val="076E386F"/>
    <w:rsid w:val="0E8D54AD"/>
    <w:rsid w:val="0FF647D2"/>
    <w:rsid w:val="11286567"/>
    <w:rsid w:val="186C16C7"/>
    <w:rsid w:val="1FDF792C"/>
    <w:rsid w:val="22EF4961"/>
    <w:rsid w:val="25E26C38"/>
    <w:rsid w:val="38221A83"/>
    <w:rsid w:val="4DBE5EA9"/>
    <w:rsid w:val="5587137D"/>
    <w:rsid w:val="55BB1E55"/>
    <w:rsid w:val="55C52CEC"/>
    <w:rsid w:val="55D51515"/>
    <w:rsid w:val="57B74BBD"/>
    <w:rsid w:val="6CBD1E1F"/>
    <w:rsid w:val="71BD102D"/>
    <w:rsid w:val="772F3A4A"/>
    <w:rsid w:val="79A36992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629</Words>
  <Characters>712</Characters>
  <Lines>0</Lines>
  <Paragraphs>0</Paragraphs>
  <TotalTime>4</TotalTime>
  <ScaleCrop>false</ScaleCrop>
  <LinksUpToDate>false</LinksUpToDate>
  <CharactersWithSpaces>718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longge</cp:lastModifiedBy>
  <cp:lastPrinted>2022-05-28T07:15:00Z</cp:lastPrinted>
  <dcterms:modified xsi:type="dcterms:W3CDTF">2023-04-24T11:54:38Z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7089030D5D65482C9F26FA8A8647C485</vt:lpwstr>
  </property>
</Properties>
</file>