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Arial" w:hAnsi="Arial" w:eastAsia="黑体" w:cs="Arial"/>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5"/>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40"/>
        <w:gridCol w:w="416"/>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衡东县行政审批服务局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839.36万元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836.36万元</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342.36万元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497万元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（一）拟订全县行政审批、政务公开（政府信息公开、办事公开）、政务服务、电子政务、数字城市、优化经济环境工作相关政策并组织实施。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（二）指导、协调、推进全县行政审批制度改革工作。</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（三）统筹协调、规划指导、监督评估全县电子政务工作；统筹推进、监督协调全县“互联网</w:t>
            </w:r>
            <w:r>
              <w:rPr>
                <w:rFonts w:hint="eastAsia" w:ascii="宋体" w:hAnsi="宋体" w:eastAsia="宋体" w:cs="宋体"/>
                <w:sz w:val="21"/>
                <w:szCs w:val="21"/>
                <w:lang w:val="en-US" w:eastAsia="zh-CN"/>
              </w:rPr>
              <w:t>+政务服务”工作；统筹规划、监督考核全县政府网站。</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（四）牵头负责全县“放管服”改革工作，进一步简政放权、优化服务，统筹规划、指导推进高效便捷的“一站式”服务平台建设。</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推进、指导、协调、监督全县政务公开（政府信息公开、办事公开）政务服务体系建设；统筹推进全县政务服务中心、便民服务中心（乡镇）标准化建设；指导监督“12345”政府服务热线工作，牵头负责整合优化政府相关部门、公共企业事业单位、社会组织的社会求助服务电话。</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六）负责拟订电子政务、数字城市发展战略，编制电子政务、数字城市中长期规划和年度计划并组织实施；提出电子政务、数字城市建设投资总规模及年度投资计划的建议。负责组织全县使用财政性资金建设的电子政务工程和政务信息安全工程项目审查论证工作；会同有关部门组织实施和管理政府投资的电子政务、数字城市项目。</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（七）负责组织、协调、指导数据资源的开发利用和共享工作。组织协调跨部门、跨行业、跨领域数字化应用工作。</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八）负责组织、推进全县电子政务、数字城市基础网络的规划、建设和应用，协调推进政务网络平台互联互通；统筹全县电子政务基础设施、信息系统、数据资源等安全保障工作，负责全县政务信息化平台安全技术和运营体系建设，监督管理县级信息系统和数据库安全工作，协调处理电子政务信息安全的重大事件；负责组织、指导、协调、推进数字认证工作。</w:t>
            </w:r>
          </w:p>
          <w:p>
            <w:pPr>
              <w:ind w:firstLine="420" w:firstLineChars="200"/>
              <w:jc w:val="both"/>
              <w:rPr>
                <w:rFonts w:hint="default" w:eastAsiaTheme="minorEastAsia"/>
                <w:sz w:val="18"/>
                <w:szCs w:val="18"/>
                <w:lang w:val="en-US" w:eastAsia="zh-CN"/>
              </w:rPr>
            </w:pPr>
            <w:r>
              <w:rPr>
                <w:rFonts w:hint="eastAsia" w:ascii="宋体" w:hAnsi="宋体" w:eastAsia="宋体" w:cs="宋体"/>
                <w:sz w:val="21"/>
                <w:szCs w:val="21"/>
                <w:lang w:val="en-US" w:eastAsia="zh-CN"/>
              </w:rPr>
              <w:t>（九）完成县委、县政府交办的其他任务。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center"/>
              <w:rPr>
                <w:rFonts w:hint="eastAsia"/>
                <w:sz w:val="18"/>
                <w:szCs w:val="18"/>
              </w:rPr>
            </w:pPr>
            <w:r>
              <w:rPr>
                <w:rFonts w:hint="eastAsia" w:ascii="宋体" w:hAnsi="宋体" w:eastAsia="宋体" w:cs="宋体"/>
                <w:kern w:val="0"/>
                <w:szCs w:val="21"/>
                <w:lang w:eastAsia="zh-CN"/>
              </w:rPr>
              <w:t>通过预算执行，保障单位履职、运转。积极推进</w:t>
            </w:r>
            <w:r>
              <w:rPr>
                <w:rFonts w:hint="eastAsia" w:ascii="宋体" w:hAnsi="宋体" w:cs="宋体"/>
                <w:kern w:val="0"/>
                <w:szCs w:val="21"/>
                <w:lang w:eastAsia="zh-CN"/>
              </w:rPr>
              <w:t>优化营商环境、放管服改革</w:t>
            </w:r>
            <w:r>
              <w:rPr>
                <w:rFonts w:hint="eastAsia" w:ascii="宋体" w:hAnsi="宋体" w:eastAsia="宋体" w:cs="宋体"/>
                <w:kern w:val="0"/>
                <w:szCs w:val="21"/>
                <w:lang w:eastAsia="zh-CN"/>
              </w:rPr>
              <w:t>，充分发挥管理、服务、协调作用，收集信息提出建议，为县委、县</w:t>
            </w:r>
            <w:bookmarkStart w:id="0" w:name="_GoBack"/>
            <w:bookmarkEnd w:id="0"/>
            <w:r>
              <w:rPr>
                <w:rFonts w:hint="eastAsia" w:ascii="宋体" w:hAnsi="宋体" w:eastAsia="宋体" w:cs="宋体"/>
                <w:kern w:val="0"/>
                <w:szCs w:val="21"/>
                <w:lang w:eastAsia="zh-CN"/>
              </w:rPr>
              <w:t>政府提供决策参考依据</w:t>
            </w:r>
            <w:r>
              <w:rPr>
                <w:rFonts w:hint="eastAsia" w:ascii="宋体" w:hAnsi="宋体" w:eastAsia="宋体" w:cs="宋体"/>
                <w:kern w:val="0"/>
                <w:sz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0" w:hRule="atLeast"/>
        </w:trPr>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深化放管服改革</w:t>
            </w:r>
          </w:p>
        </w:tc>
        <w:tc>
          <w:tcPr>
            <w:tcW w:w="240" w:type="dxa"/>
            <w:tcBorders>
              <w:right w:val="nil"/>
            </w:tcBorders>
            <w:vAlign w:val="center"/>
          </w:tcPr>
          <w:p>
            <w:pPr>
              <w:jc w:val="center"/>
              <w:rPr>
                <w:rFonts w:hint="eastAsia" w:ascii="宋体" w:hAnsi="宋体" w:eastAsia="宋体" w:cs="宋体"/>
                <w:kern w:val="0"/>
                <w:sz w:val="21"/>
                <w:szCs w:val="21"/>
                <w:lang w:val="en-US" w:eastAsia="zh-CN" w:bidi="ar-SA"/>
              </w:rPr>
            </w:pPr>
          </w:p>
        </w:tc>
        <w:tc>
          <w:tcPr>
            <w:tcW w:w="2400" w:type="dxa"/>
            <w:gridSpan w:val="2"/>
            <w:tcBorders>
              <w:top w:val="nil"/>
              <w:left w:val="nil"/>
              <w:right w:val="single" w:color="auto" w:sz="4" w:space="0"/>
            </w:tcBorders>
            <w:vAlign w:val="center"/>
          </w:tcPr>
          <w:p>
            <w:pPr>
              <w:jc w:val="both"/>
              <w:rPr>
                <w:rFonts w:hint="eastAsia"/>
                <w:sz w:val="18"/>
                <w:szCs w:val="18"/>
              </w:rPr>
            </w:pPr>
            <w:r>
              <w:rPr>
                <w:rFonts w:hint="eastAsia" w:ascii="宋体" w:hAnsi="宋体" w:cs="宋体"/>
                <w:kern w:val="0"/>
                <w:szCs w:val="21"/>
                <w:lang w:val="en-US" w:eastAsia="zh-CN"/>
              </w:rPr>
              <w:t>全县所有单位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kern w:val="0"/>
                <w:szCs w:val="21"/>
                <w:lang w:eastAsia="zh-CN"/>
              </w:rPr>
              <w:t>财政供养人员</w:t>
            </w:r>
          </w:p>
        </w:tc>
        <w:tc>
          <w:tcPr>
            <w:tcW w:w="2640" w:type="dxa"/>
            <w:gridSpan w:val="3"/>
            <w:tcBorders>
              <w:bottom w:val="single" w:color="auto" w:sz="4" w:space="0"/>
            </w:tcBorders>
            <w:vAlign w:val="center"/>
          </w:tcPr>
          <w:p>
            <w:pPr>
              <w:jc w:val="center"/>
              <w:rPr>
                <w:rFonts w:hint="eastAsia" w:asciiTheme="minorHAnsi" w:hAnsiTheme="minorHAnsi" w:eastAsiaTheme="minorEastAsia" w:cstheme="minorBidi"/>
                <w:kern w:val="2"/>
                <w:sz w:val="18"/>
                <w:szCs w:val="18"/>
                <w:lang w:val="en-US" w:eastAsia="zh-CN" w:bidi="ar-SA"/>
              </w:rPr>
            </w:pPr>
            <w:r>
              <w:rPr>
                <w:rFonts w:hint="eastAsia" w:ascii="宋体" w:hAnsi="宋体" w:cs="宋体"/>
                <w:kern w:val="0"/>
                <w:szCs w:val="21"/>
                <w:lang w:val="en-US" w:eastAsia="zh-CN"/>
              </w:rPr>
              <w:t>25</w:t>
            </w:r>
            <w:r>
              <w:rPr>
                <w:rFonts w:hint="eastAsia" w:ascii="宋体" w:hAnsi="宋体" w:eastAsia="宋体" w:cs="宋体"/>
                <w:kern w:val="0"/>
                <w:szCs w:val="21"/>
                <w:lang w:val="en-US"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部门单位履职、运转</w:t>
            </w:r>
          </w:p>
        </w:tc>
        <w:tc>
          <w:tcPr>
            <w:tcW w:w="2640" w:type="dxa"/>
            <w:gridSpan w:val="3"/>
            <w:tcBorders>
              <w:bottom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深化放管服改革</w:t>
            </w:r>
          </w:p>
        </w:tc>
        <w:tc>
          <w:tcPr>
            <w:tcW w:w="2640" w:type="dxa"/>
            <w:gridSpan w:val="3"/>
            <w:tcBorders>
              <w:top w:val="single" w:color="auto" w:sz="4" w:space="0"/>
              <w:bottom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val="en-US" w:eastAsia="zh-CN"/>
              </w:rPr>
              <w:t>按目标履行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在职人员控制率</w:t>
            </w:r>
          </w:p>
        </w:tc>
        <w:tc>
          <w:tcPr>
            <w:tcW w:w="2640" w:type="dxa"/>
            <w:gridSpan w:val="3"/>
            <w:tcBorders>
              <w:top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公用经费控制率</w:t>
            </w:r>
          </w:p>
        </w:tc>
        <w:tc>
          <w:tcPr>
            <w:tcW w:w="2640" w:type="dxa"/>
            <w:gridSpan w:val="3"/>
            <w:tcBorders>
              <w:top w:val="single" w:color="auto" w:sz="4" w:space="0"/>
            </w:tcBorders>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保障财政供养人员</w:t>
            </w:r>
          </w:p>
        </w:tc>
        <w:tc>
          <w:tcPr>
            <w:tcW w:w="2640" w:type="dxa"/>
            <w:gridSpan w:val="3"/>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cs="宋体"/>
                <w:kern w:val="0"/>
                <w:szCs w:val="21"/>
                <w:lang w:val="en-US" w:eastAsia="zh-CN"/>
              </w:rPr>
              <w:t>257.01</w:t>
            </w:r>
            <w:r>
              <w:rPr>
                <w:rFonts w:hint="eastAsia" w:ascii="宋体" w:hAnsi="宋体" w:eastAsia="宋体" w:cs="宋体"/>
                <w:kern w:val="0"/>
                <w:szCs w:val="21"/>
                <w:lang w:val="en-US" w:eastAsia="zh-CN"/>
              </w:rPr>
              <w:t>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保证单位正常运转</w:t>
            </w:r>
          </w:p>
        </w:tc>
        <w:tc>
          <w:tcPr>
            <w:tcW w:w="2640" w:type="dxa"/>
            <w:gridSpan w:val="3"/>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w:t>
            </w:r>
            <w:r>
              <w:rPr>
                <w:rFonts w:hint="eastAsia" w:ascii="宋体" w:hAnsi="宋体" w:cs="宋体"/>
                <w:kern w:val="0"/>
                <w:szCs w:val="21"/>
                <w:lang w:val="en-US" w:eastAsia="zh-CN"/>
              </w:rPr>
              <w:t>85.35</w:t>
            </w:r>
            <w:r>
              <w:rPr>
                <w:rFonts w:hint="eastAsia" w:ascii="宋体" w:hAnsi="宋体" w:eastAsia="宋体" w:cs="宋体"/>
                <w:kern w:val="0"/>
                <w:szCs w:val="21"/>
                <w:lang w:val="en-US" w:eastAsia="zh-CN"/>
              </w:rPr>
              <w:t>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完成单位职责及上级交办的各项任务时限</w:t>
            </w:r>
          </w:p>
        </w:tc>
        <w:tc>
          <w:tcPr>
            <w:tcW w:w="2640" w:type="dxa"/>
            <w:gridSpan w:val="3"/>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Cs w:val="21"/>
                <w:lang w:eastAsia="zh-CN"/>
              </w:rPr>
              <w:t>年度内及时完成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经济效</w:t>
            </w:r>
          </w:p>
          <w:p>
            <w:pPr>
              <w:jc w:val="center"/>
              <w:rPr>
                <w:rFonts w:hint="eastAsia"/>
                <w:sz w:val="18"/>
                <w:szCs w:val="18"/>
              </w:rPr>
            </w:pPr>
            <w:r>
              <w:rPr>
                <w:rFonts w:hint="eastAsia"/>
                <w:sz w:val="18"/>
                <w:szCs w:val="18"/>
              </w:rPr>
              <w:t>率指标</w:t>
            </w:r>
          </w:p>
        </w:tc>
        <w:tc>
          <w:tcPr>
            <w:tcW w:w="2161" w:type="dxa"/>
            <w:gridSpan w:val="2"/>
            <w:vAlign w:val="center"/>
          </w:tcPr>
          <w:p>
            <w:pPr>
              <w:jc w:val="center"/>
              <w:rPr>
                <w:rFonts w:hint="eastAsia"/>
                <w:szCs w:val="21"/>
              </w:rPr>
            </w:pPr>
          </w:p>
        </w:tc>
        <w:tc>
          <w:tcPr>
            <w:tcW w:w="2640" w:type="dxa"/>
            <w:gridSpan w:val="3"/>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eastAsia"/>
                <w:sz w:val="18"/>
                <w:szCs w:val="18"/>
              </w:rPr>
            </w:pPr>
            <w:r>
              <w:rPr>
                <w:rFonts w:hint="eastAsia"/>
                <w:sz w:val="18"/>
                <w:szCs w:val="18"/>
              </w:rPr>
              <w:t>益指标</w:t>
            </w: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深化放管服改革</w:t>
            </w:r>
          </w:p>
        </w:tc>
        <w:tc>
          <w:tcPr>
            <w:tcW w:w="2640" w:type="dxa"/>
            <w:gridSpan w:val="3"/>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生态效</w:t>
            </w:r>
          </w:p>
          <w:p>
            <w:pPr>
              <w:jc w:val="center"/>
              <w:rPr>
                <w:rFonts w:hint="eastAsia"/>
                <w:sz w:val="18"/>
                <w:szCs w:val="18"/>
              </w:rPr>
            </w:pPr>
            <w:r>
              <w:rPr>
                <w:rFonts w:hint="eastAsia"/>
                <w:sz w:val="18"/>
                <w:szCs w:val="18"/>
              </w:rPr>
              <w:t>益指标</w:t>
            </w:r>
          </w:p>
        </w:tc>
        <w:tc>
          <w:tcPr>
            <w:tcW w:w="2161" w:type="dxa"/>
            <w:gridSpan w:val="2"/>
            <w:vAlign w:val="center"/>
          </w:tcPr>
          <w:p>
            <w:pPr>
              <w:jc w:val="center"/>
              <w:rPr>
                <w:rFonts w:hint="eastAsia"/>
                <w:szCs w:val="21"/>
              </w:rPr>
            </w:pPr>
          </w:p>
        </w:tc>
        <w:tc>
          <w:tcPr>
            <w:tcW w:w="240" w:type="dxa"/>
            <w:tcBorders>
              <w:right w:val="nil"/>
            </w:tcBorders>
            <w:vAlign w:val="center"/>
          </w:tcPr>
          <w:p>
            <w:pPr>
              <w:jc w:val="center"/>
              <w:rPr>
                <w:rFonts w:hint="eastAsia"/>
                <w:szCs w:val="21"/>
              </w:rPr>
            </w:pPr>
          </w:p>
        </w:tc>
        <w:tc>
          <w:tcPr>
            <w:tcW w:w="2400" w:type="dxa"/>
            <w:gridSpan w:val="2"/>
            <w:tcBorders>
              <w:left w:val="nil"/>
            </w:tcBorders>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2161" w:type="dxa"/>
            <w:gridSpan w:val="2"/>
            <w:vAlign w:val="center"/>
          </w:tcPr>
          <w:p>
            <w:pPr>
              <w:jc w:val="center"/>
              <w:rPr>
                <w:rFonts w:hint="eastAsia"/>
                <w:szCs w:val="21"/>
              </w:rPr>
            </w:pPr>
            <w:r>
              <w:rPr>
                <w:rFonts w:hint="eastAsia" w:ascii="宋体" w:hAnsi="宋体" w:eastAsia="宋体" w:cs="宋体"/>
                <w:kern w:val="0"/>
                <w:szCs w:val="21"/>
                <w:lang w:eastAsia="zh-CN"/>
              </w:rPr>
              <w:t>促进县域经济发展</w:t>
            </w:r>
          </w:p>
        </w:tc>
        <w:tc>
          <w:tcPr>
            <w:tcW w:w="2640" w:type="dxa"/>
            <w:gridSpan w:val="3"/>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61" w:type="dxa"/>
            <w:gridSpan w:val="2"/>
            <w:vAlign w:val="center"/>
          </w:tcPr>
          <w:p>
            <w:pPr>
              <w:jc w:val="center"/>
              <w:rPr>
                <w:rFonts w:hint="eastAsia" w:ascii="宋体" w:hAnsi="宋体" w:eastAsia="宋体" w:cs="宋体"/>
                <w:kern w:val="0"/>
                <w:sz w:val="21"/>
                <w:szCs w:val="21"/>
                <w:lang w:val="en-US" w:eastAsia="zh-CN" w:bidi="ar-SA"/>
              </w:rPr>
            </w:pPr>
            <w:r>
              <w:rPr>
                <w:rFonts w:hint="eastAsia" w:ascii="宋体" w:hAnsi="宋体" w:cs="宋体"/>
                <w:kern w:val="0"/>
                <w:szCs w:val="21"/>
                <w:lang w:eastAsia="zh-CN"/>
              </w:rPr>
              <w:t>群众</w:t>
            </w:r>
            <w:r>
              <w:rPr>
                <w:rFonts w:hint="eastAsia" w:ascii="宋体" w:hAnsi="宋体" w:eastAsia="宋体" w:cs="宋体"/>
                <w:kern w:val="0"/>
                <w:szCs w:val="21"/>
                <w:lang w:eastAsia="zh-CN"/>
              </w:rPr>
              <w:t>满意度</w:t>
            </w:r>
          </w:p>
        </w:tc>
        <w:tc>
          <w:tcPr>
            <w:tcW w:w="2640" w:type="dxa"/>
            <w:gridSpan w:val="3"/>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color w:val="000000"/>
                <w:kern w:val="0"/>
                <w:szCs w:val="21"/>
                <w:lang w:val="en-US" w:eastAsia="zh-CN"/>
              </w:rPr>
              <w:t>≧90%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:欧艳波     联系电话:13873462600       填报日期:2022年3月30日</w:t>
      </w:r>
    </w:p>
    <w:p>
      <w:pPr>
        <w:tabs>
          <w:tab w:val="left" w:pos="6396"/>
        </w:tabs>
        <w:rPr>
          <w:rFonts w:hint="eastAsia" w:asciiTheme="majorEastAsia" w:hAnsiTheme="majorEastAsia" w:eastAsiaTheme="majorEastAsia" w:cstheme="majorEastAsia"/>
          <w:sz w:val="24"/>
          <w:szCs w:val="24"/>
          <w:lang w:val="en-US" w:eastAsia="zh-CN"/>
        </w:rPr>
      </w:pPr>
    </w:p>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YzgyNWUyNzZjYTk0YzE0Y2U0Yzc1MmE3NTM5NDEifQ=="/>
  </w:docVars>
  <w:rsids>
    <w:rsidRoot w:val="25E26C38"/>
    <w:rsid w:val="076E386F"/>
    <w:rsid w:val="174250BB"/>
    <w:rsid w:val="186C16C7"/>
    <w:rsid w:val="25E26C38"/>
    <w:rsid w:val="26AC3CA6"/>
    <w:rsid w:val="36953045"/>
    <w:rsid w:val="44E33133"/>
    <w:rsid w:val="4DBE5EA9"/>
    <w:rsid w:val="6CBD1E1F"/>
    <w:rsid w:val="71BD102D"/>
    <w:rsid w:val="7BF92C58"/>
    <w:rsid w:val="7E5D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1308</Words>
  <Characters>1389</Characters>
  <Lines>0</Lines>
  <Paragraphs>0</Paragraphs>
  <TotalTime>0</TotalTime>
  <ScaleCrop>false</ScaleCrop>
  <LinksUpToDate>false</LinksUpToDate>
  <CharactersWithSpaces>1404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jiao</cp:lastModifiedBy>
  <cp:lastPrinted>2022-05-18T07:33:00Z</cp:lastPrinted>
  <dcterms:modified xsi:type="dcterms:W3CDTF">2023-09-01T02:56:52Z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CB59FE6A6888468994D55763E68E417D</vt:lpwstr>
  </property>
</Properties>
</file>