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both"/>
        <w:rPr>
          <w:rFonts w:hint="eastAsia" w:ascii="黑体" w:hAnsi="黑体" w:eastAsia="黑体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both"/>
        <w:rPr>
          <w:rFonts w:hint="eastAsia" w:ascii="黑体" w:hAnsi="黑体" w:eastAsia="黑体"/>
          <w:sz w:val="21"/>
          <w:szCs w:val="21"/>
        </w:rPr>
      </w:pPr>
    </w:p>
    <w:p>
      <w:pPr>
        <w:jc w:val="left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填报单位：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中共衡东县委宣传部                              单位：万元</w:t>
      </w:r>
    </w:p>
    <w:tbl>
      <w:tblPr>
        <w:tblStyle w:val="3"/>
        <w:tblW w:w="1000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40"/>
        <w:gridCol w:w="820"/>
        <w:gridCol w:w="1528"/>
        <w:gridCol w:w="15"/>
        <w:gridCol w:w="2020"/>
        <w:gridCol w:w="897"/>
        <w:gridCol w:w="561"/>
        <w:gridCol w:w="1480"/>
        <w:gridCol w:w="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10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23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中共衡东县委宣传部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632.48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实施期</w:t>
            </w:r>
          </w:p>
        </w:tc>
        <w:tc>
          <w:tcPr>
            <w:tcW w:w="89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实施期绩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效目标</w:t>
            </w:r>
          </w:p>
        </w:tc>
        <w:tc>
          <w:tcPr>
            <w:tcW w:w="894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加强中国共产党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的意识形态领域领导权、话语权和主动权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eastAsia="zh-CN"/>
              </w:rPr>
              <w:t>提升衡东形象。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效目标</w:t>
            </w:r>
          </w:p>
        </w:tc>
        <w:tc>
          <w:tcPr>
            <w:tcW w:w="8940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加强中国共产党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的意识形态领域领导权、话语权和主动权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eastAsia="zh-CN"/>
              </w:rPr>
              <w:t>提升衡东形象。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三级</w:t>
            </w:r>
            <w:r>
              <w:rPr>
                <w:rFonts w:hint="eastAsia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绩效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电影老放映员生活补助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恒鑫影业公司运营费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农村公益电影放映场次（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*场）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3221场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《衡阳日报、晚报》专版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*个）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《湖南日报》专版数（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*个）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“湘声报社”专版数（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*个）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“记者新春走基层”及春节拜年广告（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*篇）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≧5篇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县文明办办公经费、社科联工作经费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新闻宣传工作经费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学习强国推广范围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新时代文明实践服务中心办公经费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新时代文明实践中心建设经费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红网、时刻合作专栏项目经费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文明创建活动数（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≧*个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≧5个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全民文明素质教育活动数（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≧*个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“扫黄打非”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活动数（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≧*个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≧3个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新闻外宣上稿数（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≧**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条）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1000条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县委中心组理论学习次数（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*次）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≧10次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订购理论学习书籍册数（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*册）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≧3000册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意识形态事故起数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0起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十九届六中全会宣讲次数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≧10次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农家书屋建设补助经费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重大舆情负面事件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0件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社会宣传工作经费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《掌上衡阳》衡东频道APP年度合作经费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予以保障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电影老放映员生活补助到位率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恒鑫影业公司运营稳定率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农村公益电影放映覆盖率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≧90%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《衡阳日报、晚报》专版完成率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《湖南日报》专版完成率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“湘声报社”宣传完成率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“记者新春走基层”及春节拜年广告完成率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县文明办办公、社科联工作运转费用控制率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新闻宣传工作运转控制率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学习强国奖励资金控制率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县新时代文明实践服务中心办公经费控制率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县新时代文明实践服务中心建设经费控制率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红网、时刻合作专栏项目经费控制率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文明创建活动覆盖率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≧90%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全民文明素质教育活动覆盖率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≧90%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bookmarkStart w:id="1" w:name="_GoBack" w:colFirst="3" w:colLast="3"/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“扫黄打非”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活动覆盖率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≧90%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bookmarkEnd w:id="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中央、省市主流媒体上稿率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≧90%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县委中心组理论学习覆盖率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理论学习书籍资料费控制率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意识形态事故发生率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  <w:t>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十九届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中全会宣讲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次数完成率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农家书屋建设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补助经费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重大舆情引导率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≧100%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社会宣传工作经费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《掌上衡阳》衡东频道APP年度合作经费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控制率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时效指标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完成单位职责及上级交办的各项任务时限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年度内及时完成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电影老放映员生活补助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≦10万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新闻宣传工作经费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学习强国奖励资金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≦10万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新时代文明实践服务中心办公经费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≦10万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县新时代文明实践中心建设经费(项目已完工 款项已垫付)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≦95.48万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红网、时刻合作专栏项目经费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恒鑫影业公司运营费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≦42万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农村公益电影放映县级配套资金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《衡阳日报、晚报》专版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≦32万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《湖南日报》专版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“湘声报社”宣传费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“记者新春走基层”及春节拜年广告经费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县文明办办公经费、社科联工作经费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≦28万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省级文明县城创建经费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≦30万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全民文明素质教育经费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“扫黄打非”工作经费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新闻稿奖励经费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≦50万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县委中心组理论学习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≦25万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理论学习书籍资料费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≦30万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意识形态活动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十九届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中全会宣讲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农家书屋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建设补助经费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14万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重大舆情引导工作经费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社会宣传工作经费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《掌上衡阳》衡东频道APP年度合作经费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12万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人民群众幸福指数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不断提高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响指标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党的意识形态领域领导权、话语权和主动权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持续加强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21" w:type="dxa"/>
            <w:gridSpan w:val="5"/>
            <w:vAlign w:val="center"/>
          </w:tcPr>
          <w:p>
            <w:pPr>
              <w:ind w:firstLine="1440" w:firstLineChars="600"/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群众精神文化生活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不断丰富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6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502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群众满意度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90%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  阳满莲      填报日期:  2022.4.15       联系电话:   5223316          单位负责人签字:</w:t>
      </w:r>
    </w:p>
    <w:bookmarkEnd w:id="0"/>
    <w:p>
      <w:pPr>
        <w:rPr>
          <w:sz w:val="21"/>
          <w:szCs w:val="21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ZjljM2M2YzI4NjcxYjMxYTMzNWQyNzQ5YTQwOGMifQ=="/>
  </w:docVars>
  <w:rsids>
    <w:rsidRoot w:val="21335E6D"/>
    <w:rsid w:val="05FD4C94"/>
    <w:rsid w:val="070E58EA"/>
    <w:rsid w:val="0E877867"/>
    <w:rsid w:val="21335E6D"/>
    <w:rsid w:val="46A62763"/>
    <w:rsid w:val="498428D2"/>
    <w:rsid w:val="53514E40"/>
    <w:rsid w:val="64927C50"/>
    <w:rsid w:val="68407D45"/>
    <w:rsid w:val="74947058"/>
    <w:rsid w:val="7B032936"/>
    <w:rsid w:val="7B710005"/>
    <w:rsid w:val="7CB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1470</Words>
  <Characters>1612</Characters>
  <Lines>0</Lines>
  <Paragraphs>0</Paragraphs>
  <TotalTime>19</TotalTime>
  <ScaleCrop>false</ScaleCrop>
  <LinksUpToDate>false</LinksUpToDate>
  <CharactersWithSpaces>1694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阿莲</cp:lastModifiedBy>
  <cp:lastPrinted>2022-05-21T02:24:00Z</cp:lastPrinted>
  <dcterms:modified xsi:type="dcterms:W3CDTF">2022-05-26T02:28:20Z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87A70884AA704EC792CBD3C9E8EF3D7E</vt:lpwstr>
  </property>
</Properties>
</file>