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微软雅黑" w:hAnsi="微软雅黑" w:eastAsia="微软雅黑" w:cs="微软雅黑"/>
          <w:b w:val="0"/>
          <w:bCs w:val="0"/>
          <w:sz w:val="24"/>
        </w:rPr>
        <w:t>衡东县农业农村教育培训中心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单位：万元</w:t>
      </w:r>
    </w:p>
    <w:tbl>
      <w:tblPr>
        <w:tblStyle w:val="4"/>
        <w:tblW w:w="907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4"/>
        <w:gridCol w:w="1"/>
        <w:gridCol w:w="362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项目支出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宣传广告资料及印刷费，培训经费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预算部门</w:t>
            </w:r>
          </w:p>
        </w:tc>
        <w:tc>
          <w:tcPr>
            <w:tcW w:w="367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衡东县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农业农村教育培训中心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2022年1-12月。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本实施期计划推进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农业机械操作驾驶员培训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100人，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水稻全程机械化培训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人，使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全县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水稻耕、种、收机械化综合水平率达到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本年度计划实施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农业机械操作驾驶员培训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100人，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水稻全程机械化培训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人，使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全县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水稻耕、种、收机械化综合水平率达到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三级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指标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产出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农业机械操作驾驶员培训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2批次100人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水稻全程机械化培训</w:t>
            </w:r>
          </w:p>
        </w:tc>
        <w:tc>
          <w:tcPr>
            <w:tcW w:w="132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2批次200人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农业机械操作驾驶员培训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合格率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=100%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水稻全程机械化培训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合格率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≥90%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农业机械操作驾驶员培训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2022年1-12月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水稻全程机械化培训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2022年1-12月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农业机械操作驾驶员培训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≤10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行业标准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水稻全程机械化培训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≤15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行业标准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经济效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全年新增农民收入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≥1000万元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行业标准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益指标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全县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水稻耕、种、收机械化综合水平</w:t>
            </w:r>
          </w:p>
        </w:tc>
        <w:tc>
          <w:tcPr>
            <w:tcW w:w="1324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≥80%</w:t>
            </w:r>
          </w:p>
        </w:tc>
        <w:tc>
          <w:tcPr>
            <w:tcW w:w="2346" w:type="dxa"/>
            <w:gridSpan w:val="2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可持续影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帮扶带动周边农户共同发展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帮扶带动率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≥20%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bookmarkStart w:id="0" w:name="_GoBack"/>
          </w:p>
        </w:tc>
        <w:tc>
          <w:tcPr>
            <w:tcW w:w="989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让培训对象满意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满意率≥95%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计划标准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tabs>
          <w:tab w:val="left" w:pos="6396"/>
        </w:tabs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eastAsia="zh-CN"/>
        </w:rPr>
        <w:t>填表人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: 胡冬娥     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填报日期:2022.4.10         联系电话: 18821800058      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单位负责人签字:</w:t>
      </w: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</w:p>
    <w:sectPr>
      <w:pgSz w:w="11906" w:h="16838"/>
      <w:pgMar w:top="1270" w:right="1800" w:bottom="986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1335E6D"/>
    <w:rsid w:val="0C093511"/>
    <w:rsid w:val="0C28597F"/>
    <w:rsid w:val="0CA92A55"/>
    <w:rsid w:val="10CB7AEE"/>
    <w:rsid w:val="114917E9"/>
    <w:rsid w:val="21335E6D"/>
    <w:rsid w:val="2CC35E7E"/>
    <w:rsid w:val="2D7B562D"/>
    <w:rsid w:val="44AC00B9"/>
    <w:rsid w:val="498428D2"/>
    <w:rsid w:val="516B6CF5"/>
    <w:rsid w:val="51B07591"/>
    <w:rsid w:val="580D3184"/>
    <w:rsid w:val="58CF0CC3"/>
    <w:rsid w:val="6F9F112C"/>
    <w:rsid w:val="6FBF7463"/>
    <w:rsid w:val="7099044B"/>
    <w:rsid w:val="74947058"/>
    <w:rsid w:val="756136F3"/>
    <w:rsid w:val="787F5083"/>
    <w:rsid w:val="7B4A2F98"/>
    <w:rsid w:val="7C4D6CFD"/>
    <w:rsid w:val="7E3F712D"/>
    <w:rsid w:val="7ED83E2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59"/>
    <w:pPr/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2022-05-18T03:00:23Z</dcterms:modified>
  <dc:title>2022年项目支出绩效目标表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  <property fmtid="{D5CDD505-2E9C-101B-9397-08002B2CF9AE}" pid="3" name="ICV">
    <vt:lpwstr>87A70884AA704EC792CBD3C9E8EF3D7E</vt:lpwstr>
  </property>
</Properties>
</file>