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40"/>
        <w:gridCol w:w="41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荣桓镇人民政府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911.51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911.51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911.51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911.51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641.06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270.45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宣传贯彻落实法律法规和党的各项方针政策，坚持依法行政，推进民主政治发展，促进村民自治，加强基层党组织和政权建设。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促进经济发展，增加农民收入。负责镇村发展规划，培育主导产业，推动产业结构调整，加快旅游开发进程，提高农业综合生产能力。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强化公共服务，着力改善民生。拓宽服务渠道，改进服务方式，通过“一站式”服务等多种形式，形成管理有序、服务完善、文明祥和的社会生活共同体。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加强社会管理，维护农村稳定。推进依法行政，严格依法履行职责。加强民主法制宣传教育。加强社会治安综合治理，完善农村治安防控体系，保障人民生命财产安全。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推动基层民主，促进农村和谐。健全以村（社区）党组织为核心的村民自治机制，加强对村民委员会工作的指导。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强化基层党建，巩固基层政权。加强农村党的基层组织建设、农村基层干部队伍建设、农村党员队伍建设，发挥基层党组织的战斗堡垒作用和党员的先锋模范作用。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1、保障单位人员经费和公用经费支出；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2、保障便民服务中心、城乡环境综合治理、信访、安全维稳、安全生产、党代会、人代会、纪检监察、党建、住读扶贫攻坚、服务群众等各项工作正常开展，按时、按质、按量完成各项工作任务；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</w:t>
            </w:r>
            <w:r>
              <w:rPr>
                <w:rFonts w:hint="eastAsia"/>
                <w:sz w:val="18"/>
                <w:szCs w:val="18"/>
                <w:lang w:eastAsia="zh-CN"/>
              </w:rPr>
              <w:t>推进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乡村振兴工作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4、按时兑付村民的地力补偿、退耕还林补助、五保、低保、民政优抚、扶贫工作领域的各项资金，确保社会稳定、服务民生、道路畅通、环境干净优美、村民办事方便快捷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5、维护社会稳定，积极构建和谐社会；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00" w:firstLineChars="5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各项工作完成合格率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人员经费</w:t>
            </w:r>
            <w:r>
              <w:rPr>
                <w:rFonts w:hint="eastAsia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≤548.7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公用经费</w:t>
            </w:r>
            <w:r>
              <w:rPr>
                <w:rFonts w:hint="eastAsia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≤92.36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各项工作完成及时率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本年度及时完成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经费保障效率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乡镇村集体经济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促进乡镇村集体经济发展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政府形象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显著提升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群众办事效率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显著提升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人居环境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>
            <w:pPr>
              <w:ind w:firstLine="720" w:firstLineChars="4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显著改善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自然环境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显著改善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本镇整体经济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社会公众对各项工作满意度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上级部门满意度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:吴健恺  联系电施:18879865210  填报日期:2022.4.15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FC1537"/>
    <w:multiLevelType w:val="singleLevel"/>
    <w:tmpl w:val="3AFC15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jZlMGE1NzQ2YmY1NzNjNWRiNWQzNWQzNGViMGIifQ=="/>
  </w:docVars>
  <w:rsids>
    <w:rsidRoot w:val="25E26C38"/>
    <w:rsid w:val="03716779"/>
    <w:rsid w:val="04DD26A9"/>
    <w:rsid w:val="076E386F"/>
    <w:rsid w:val="0EE70116"/>
    <w:rsid w:val="12BD0CFE"/>
    <w:rsid w:val="186C16C7"/>
    <w:rsid w:val="1B460CBD"/>
    <w:rsid w:val="25E26C38"/>
    <w:rsid w:val="2C9372C8"/>
    <w:rsid w:val="38CF06FA"/>
    <w:rsid w:val="3EE576C2"/>
    <w:rsid w:val="41D85C3A"/>
    <w:rsid w:val="42AF277A"/>
    <w:rsid w:val="47E26E94"/>
    <w:rsid w:val="491F7D5B"/>
    <w:rsid w:val="4D1A70D0"/>
    <w:rsid w:val="4D6D10CD"/>
    <w:rsid w:val="4DBE5EA9"/>
    <w:rsid w:val="5D2A499B"/>
    <w:rsid w:val="5E68201D"/>
    <w:rsid w:val="65750EF0"/>
    <w:rsid w:val="6CBD1E1F"/>
    <w:rsid w:val="71BD102D"/>
    <w:rsid w:val="73214C4B"/>
    <w:rsid w:val="73D920D9"/>
    <w:rsid w:val="7BF92C58"/>
    <w:rsid w:val="7C781D32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1095</Characters>
  <Lines>0</Lines>
  <Paragraphs>0</Paragraphs>
  <TotalTime>24</TotalTime>
  <ScaleCrop>false</ScaleCrop>
  <LinksUpToDate>false</LinksUpToDate>
  <CharactersWithSpaces>1103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翼。</cp:lastModifiedBy>
  <cp:lastPrinted>2022-05-25T01:05:44Z</cp:lastPrinted>
  <dcterms:modified xsi:type="dcterms:W3CDTF">2022-05-25T01:07:35Z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7089030D5D65482C9F26FA8A8647C485</vt:lpwstr>
  </property>
</Properties>
</file>