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bookmarkStart w:id="0" w:name="_GoBack"/>
      <w:bookmarkEnd w:id="0"/>
      <w:r>
        <w:rPr>
          <w:rFonts w:hint="eastAsia" w:ascii="黑体" w:hAnsi="黑体" w:eastAsia="黑体" w:cs="黑体"/>
          <w:sz w:val="36"/>
          <w:szCs w:val="36"/>
          <w:lang w:val="en-US" w:eastAsia="zh-CN"/>
        </w:rPr>
        <w:t>2021</w:t>
      </w:r>
      <w:r>
        <w:rPr>
          <w:rFonts w:hint="eastAsia" w:ascii="黑体" w:hAnsi="黑体" w:eastAsia="黑体" w:cs="黑体"/>
          <w:sz w:val="36"/>
          <w:szCs w:val="36"/>
          <w:lang w:eastAsia="zh-CN"/>
        </w:rPr>
        <w:t>年项目</w:t>
      </w:r>
      <w:r>
        <w:rPr>
          <w:rFonts w:hint="eastAsia" w:ascii="黑体" w:hAnsi="黑体" w:eastAsia="黑体"/>
          <w:sz w:val="36"/>
          <w:szCs w:val="36"/>
        </w:rPr>
        <w:t>支出绩效</w:t>
      </w:r>
      <w:r>
        <w:rPr>
          <w:rFonts w:hint="eastAsia" w:ascii="黑体" w:hAnsi="黑体" w:eastAsia="黑体"/>
          <w:sz w:val="36"/>
          <w:szCs w:val="36"/>
          <w:lang w:eastAsia="zh-CN"/>
        </w:rPr>
        <w:t>目标</w:t>
      </w:r>
      <w:r>
        <w:rPr>
          <w:rFonts w:hint="eastAsia" w:ascii="黑体" w:hAnsi="黑体" w:eastAsia="黑体"/>
          <w:sz w:val="36"/>
          <w:szCs w:val="36"/>
        </w:rPr>
        <w:t>表</w:t>
      </w:r>
    </w:p>
    <w:p>
      <w:pPr>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填报单位：</w:t>
      </w:r>
      <w:r>
        <w:rPr>
          <w:rFonts w:hint="eastAsia" w:ascii="仿宋" w:hAnsi="仿宋" w:eastAsia="仿宋" w:cs="仿宋"/>
          <w:sz w:val="28"/>
          <w:szCs w:val="28"/>
          <w:lang w:val="en-US" w:eastAsia="zh-CN"/>
        </w:rPr>
        <w:t>衡东县农业技术推广中心                单位：万元</w:t>
      </w:r>
    </w:p>
    <w:tbl>
      <w:tblPr>
        <w:tblStyle w:val="3"/>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18"/>
        <w:gridCol w:w="989"/>
        <w:gridCol w:w="1365"/>
        <w:gridCol w:w="185"/>
        <w:gridCol w:w="15"/>
        <w:gridCol w:w="1230"/>
        <w:gridCol w:w="790"/>
        <w:gridCol w:w="535"/>
        <w:gridCol w:w="362"/>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618" w:type="dxa"/>
            <w:vAlign w:val="center"/>
          </w:tcPr>
          <w:p>
            <w:pPr>
              <w:jc w:val="center"/>
              <w:rPr>
                <w:rFonts w:hint="eastAsia"/>
                <w:sz w:val="18"/>
                <w:szCs w:val="18"/>
              </w:rPr>
            </w:pPr>
            <w:r>
              <w:rPr>
                <w:rFonts w:hint="eastAsia"/>
                <w:sz w:val="18"/>
                <w:szCs w:val="18"/>
                <w:lang w:eastAsia="zh-CN"/>
              </w:rPr>
              <w:t>项目支出</w:t>
            </w:r>
            <w:r>
              <w:rPr>
                <w:rFonts w:hint="eastAsia"/>
                <w:sz w:val="18"/>
                <w:szCs w:val="18"/>
              </w:rPr>
              <w:t>名称</w:t>
            </w:r>
          </w:p>
        </w:tc>
        <w:tc>
          <w:tcPr>
            <w:tcW w:w="2554" w:type="dxa"/>
            <w:gridSpan w:val="4"/>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绩效评价项目</w:t>
            </w:r>
          </w:p>
        </w:tc>
        <w:tc>
          <w:tcPr>
            <w:tcW w:w="1230" w:type="dxa"/>
            <w:tcBorders>
              <w:left w:val="single" w:color="auto" w:sz="4" w:space="0"/>
              <w:bottom w:val="single" w:color="auto" w:sz="4" w:space="0"/>
              <w:right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预算部门</w:t>
            </w:r>
          </w:p>
        </w:tc>
        <w:tc>
          <w:tcPr>
            <w:tcW w:w="3671" w:type="dxa"/>
            <w:gridSpan w:val="4"/>
            <w:tcBorders>
              <w:left w:val="single" w:color="auto" w:sz="4" w:space="0"/>
              <w:bottom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县农业技术推广中心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1618" w:type="dxa"/>
            <w:vAlign w:val="center"/>
          </w:tcPr>
          <w:p>
            <w:pPr>
              <w:jc w:val="center"/>
              <w:rPr>
                <w:rFonts w:hint="eastAsia" w:cstheme="minorBidi"/>
                <w:kern w:val="2"/>
                <w:sz w:val="18"/>
                <w:szCs w:val="18"/>
                <w:lang w:val="en-US" w:eastAsia="zh-CN" w:bidi="ar-SA"/>
              </w:rPr>
            </w:pPr>
            <w:r>
              <w:rPr>
                <w:rFonts w:hint="eastAsia" w:cstheme="minorBidi"/>
                <w:kern w:val="2"/>
                <w:sz w:val="18"/>
                <w:szCs w:val="18"/>
                <w:lang w:val="en-US" w:eastAsia="zh-CN" w:bidi="ar-SA"/>
              </w:rPr>
              <w:t>年度本级</w:t>
            </w:r>
          </w:p>
          <w:p>
            <w:pPr>
              <w:jc w:val="center"/>
              <w:rPr>
                <w:rFonts w:hint="eastAsia" w:cstheme="minorBidi"/>
                <w:kern w:val="2"/>
                <w:sz w:val="18"/>
                <w:szCs w:val="18"/>
                <w:lang w:val="en-US" w:eastAsia="zh-CN" w:bidi="ar-SA"/>
              </w:rPr>
            </w:pPr>
            <w:r>
              <w:rPr>
                <w:rFonts w:hint="eastAsia" w:cstheme="minorBidi"/>
                <w:kern w:val="2"/>
                <w:sz w:val="18"/>
                <w:szCs w:val="18"/>
                <w:lang w:val="en-US" w:eastAsia="zh-CN" w:bidi="ar-SA"/>
              </w:rPr>
              <w:t>预算金额</w:t>
            </w:r>
          </w:p>
        </w:tc>
        <w:tc>
          <w:tcPr>
            <w:tcW w:w="2539" w:type="dxa"/>
            <w:gridSpan w:val="3"/>
            <w:tcBorders>
              <w:top w:val="single" w:color="auto" w:sz="4" w:space="0"/>
              <w:right w:val="single" w:color="auto" w:sz="4" w:space="0"/>
            </w:tcBorders>
            <w:vAlign w:val="center"/>
          </w:tcPr>
          <w:p>
            <w:pPr>
              <w:jc w:val="left"/>
              <w:rPr>
                <w:rFonts w:hint="default" w:eastAsiaTheme="minorEastAsia"/>
                <w:sz w:val="18"/>
                <w:szCs w:val="18"/>
                <w:lang w:val="en-US" w:eastAsia="zh-CN"/>
              </w:rPr>
            </w:pPr>
            <w:r>
              <w:rPr>
                <w:rFonts w:hint="eastAsia"/>
                <w:sz w:val="18"/>
                <w:szCs w:val="18"/>
                <w:lang w:val="en-US" w:eastAsia="zh-CN"/>
              </w:rPr>
              <w:t>60万元</w:t>
            </w:r>
          </w:p>
        </w:tc>
        <w:tc>
          <w:tcPr>
            <w:tcW w:w="2035" w:type="dxa"/>
            <w:gridSpan w:val="3"/>
            <w:tcBorders>
              <w:top w:val="single" w:color="auto" w:sz="4" w:space="0"/>
              <w:left w:val="single" w:color="auto" w:sz="4" w:space="0"/>
              <w:right w:val="single" w:color="auto" w:sz="4" w:space="0"/>
            </w:tcBorders>
            <w:vAlign w:val="center"/>
          </w:tcPr>
          <w:p>
            <w:pPr>
              <w:jc w:val="left"/>
              <w:rPr>
                <w:rFonts w:hint="eastAsia" w:eastAsiaTheme="minorEastAsia"/>
                <w:sz w:val="18"/>
                <w:szCs w:val="18"/>
                <w:lang w:eastAsia="zh-CN"/>
              </w:rPr>
            </w:pPr>
            <w:r>
              <w:rPr>
                <w:rFonts w:hint="eastAsia"/>
                <w:sz w:val="18"/>
                <w:szCs w:val="18"/>
                <w:lang w:eastAsia="zh-CN"/>
              </w:rPr>
              <w:t>该项目支出上级资金</w:t>
            </w:r>
          </w:p>
        </w:tc>
        <w:tc>
          <w:tcPr>
            <w:tcW w:w="2881" w:type="dxa"/>
            <w:gridSpan w:val="3"/>
            <w:tcBorders>
              <w:top w:val="single" w:color="auto" w:sz="4" w:space="0"/>
              <w:left w:val="single" w:color="auto" w:sz="4" w:space="0"/>
            </w:tcBorders>
            <w:vAlign w:val="center"/>
          </w:tcPr>
          <w:p>
            <w:pPr>
              <w:jc w:val="left"/>
              <w:rPr>
                <w:rFonts w:hint="default" w:eastAsiaTheme="minorEastAsia"/>
                <w:sz w:val="18"/>
                <w:szCs w:val="18"/>
                <w:lang w:val="en-US" w:eastAsia="zh-CN"/>
              </w:rPr>
            </w:pPr>
            <w:r>
              <w:rPr>
                <w:rFonts w:hint="eastAsia"/>
                <w:sz w:val="18"/>
                <w:szCs w:val="18"/>
                <w:lang w:val="en-US" w:eastAsia="zh-CN"/>
              </w:rPr>
              <w:t xml:space="preserve">   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1618" w:type="dxa"/>
            <w:tcBorders>
              <w:bottom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项目支出实施期</w:t>
            </w:r>
          </w:p>
        </w:tc>
        <w:tc>
          <w:tcPr>
            <w:tcW w:w="7455" w:type="dxa"/>
            <w:gridSpan w:val="9"/>
            <w:tcBorders>
              <w:bottom w:val="single" w:color="auto" w:sz="4" w:space="0"/>
            </w:tcBorders>
            <w:vAlign w:val="center"/>
          </w:tcPr>
          <w:p>
            <w:pPr>
              <w:tabs>
                <w:tab w:val="left" w:pos="825"/>
              </w:tabs>
              <w:jc w:val="both"/>
              <w:rPr>
                <w:rFonts w:hint="default" w:eastAsiaTheme="minorEastAsia"/>
                <w:sz w:val="18"/>
                <w:szCs w:val="18"/>
                <w:lang w:val="en-US" w:eastAsia="zh-CN"/>
              </w:rPr>
            </w:pPr>
            <w:r>
              <w:rPr>
                <w:rFonts w:hint="eastAsia"/>
                <w:sz w:val="18"/>
                <w:szCs w:val="18"/>
                <w:lang w:val="en-US" w:eastAsia="zh-CN"/>
              </w:rPr>
              <w:t>2021年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618" w:type="dxa"/>
            <w:tcBorders>
              <w:top w:val="single" w:color="auto" w:sz="4" w:space="0"/>
              <w:bottom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实施期绩效目标</w:t>
            </w:r>
          </w:p>
        </w:tc>
        <w:tc>
          <w:tcPr>
            <w:tcW w:w="7455" w:type="dxa"/>
            <w:gridSpan w:val="9"/>
            <w:tcBorders>
              <w:top w:val="single" w:color="auto" w:sz="4" w:space="0"/>
            </w:tcBorders>
            <w:vAlign w:val="center"/>
          </w:tcPr>
          <w:p>
            <w:pPr>
              <w:jc w:val="both"/>
              <w:rPr>
                <w:rFonts w:hint="default"/>
                <w:sz w:val="18"/>
                <w:szCs w:val="18"/>
                <w:lang w:val="en-US" w:eastAsia="zh-CN"/>
              </w:rPr>
            </w:pPr>
            <w:r>
              <w:rPr>
                <w:rFonts w:hint="eastAsia"/>
                <w:sz w:val="18"/>
                <w:szCs w:val="18"/>
                <w:lang w:val="en-US" w:eastAsia="zh-CN"/>
              </w:rPr>
              <w:t xml:space="preserve">   为更好地发展绿色农业、生态农业及高效农业，全面开展农业新技术新品种新成果新器械等试验示范与推广应用工作，对涉及农业技术推广领域的新品种展示示范、产业结构调整、病虫害监测、植物检疫、经济作物种植、种子生产安全监管等重要专业技术项目实施情况，进行科学规范分析与全面绩效评价工作，促进我县农业生产安全稳定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7" w:hRule="atLeast"/>
        </w:trPr>
        <w:tc>
          <w:tcPr>
            <w:tcW w:w="1618" w:type="dxa"/>
            <w:tcBorders>
              <w:top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本年度绩效目标</w:t>
            </w:r>
          </w:p>
        </w:tc>
        <w:tc>
          <w:tcPr>
            <w:tcW w:w="7455" w:type="dxa"/>
            <w:gridSpan w:val="9"/>
            <w:vAlign w:val="center"/>
          </w:tcPr>
          <w:p>
            <w:pPr>
              <w:ind w:firstLine="360" w:firstLineChars="200"/>
              <w:jc w:val="both"/>
              <w:rPr>
                <w:rFonts w:hint="default" w:eastAsiaTheme="minorEastAsia"/>
                <w:sz w:val="18"/>
                <w:szCs w:val="18"/>
                <w:lang w:val="en-US" w:eastAsia="zh-CN"/>
              </w:rPr>
            </w:pPr>
            <w:r>
              <w:rPr>
                <w:rFonts w:hint="eastAsia"/>
                <w:sz w:val="18"/>
                <w:szCs w:val="18"/>
                <w:lang w:val="en-US" w:eastAsia="zh-CN"/>
              </w:rPr>
              <w:t>通过实施农业新技术新成果新器械引进试验示范与推广、油菜肥效评比试验、油菜新品种评比试验、新品种展示示范和安全评价、金龙矿业种植结构调整、病虫害监测调查与虫情发播、植物检疫、种子市场委托监管等7个项目，全力促进我县绿色农业增产增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618" w:type="dxa"/>
            <w:vMerge w:val="restart"/>
            <w:vAlign w:val="center"/>
          </w:tcPr>
          <w:p>
            <w:pPr>
              <w:jc w:val="center"/>
              <w:rPr>
                <w:rFonts w:hint="eastAsia" w:eastAsiaTheme="minorEastAsia"/>
                <w:sz w:val="18"/>
                <w:szCs w:val="18"/>
                <w:lang w:eastAsia="zh-CN"/>
              </w:rPr>
            </w:pPr>
            <w:r>
              <w:rPr>
                <w:rFonts w:hint="eastAsia"/>
                <w:sz w:val="18"/>
                <w:szCs w:val="18"/>
                <w:lang w:eastAsia="zh-CN"/>
              </w:rPr>
              <w:t>本年度绩效指标</w:t>
            </w:r>
          </w:p>
        </w:tc>
        <w:tc>
          <w:tcPr>
            <w:tcW w:w="989" w:type="dxa"/>
            <w:tcBorders>
              <w:right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一级指标</w:t>
            </w:r>
          </w:p>
        </w:tc>
        <w:tc>
          <w:tcPr>
            <w:tcW w:w="1365" w:type="dxa"/>
            <w:tcBorders>
              <w:left w:val="single" w:color="auto" w:sz="4" w:space="0"/>
            </w:tcBorders>
            <w:vAlign w:val="center"/>
          </w:tcPr>
          <w:p>
            <w:pPr>
              <w:jc w:val="center"/>
              <w:rPr>
                <w:rFonts w:hint="eastAsia"/>
                <w:sz w:val="18"/>
                <w:szCs w:val="18"/>
              </w:rPr>
            </w:pPr>
            <w:r>
              <w:rPr>
                <w:rFonts w:hint="eastAsia"/>
                <w:sz w:val="18"/>
                <w:szCs w:val="18"/>
              </w:rPr>
              <w:t>二级指标</w:t>
            </w:r>
          </w:p>
        </w:tc>
        <w:tc>
          <w:tcPr>
            <w:tcW w:w="1430" w:type="dxa"/>
            <w:gridSpan w:val="3"/>
            <w:vAlign w:val="center"/>
          </w:tcPr>
          <w:p>
            <w:pPr>
              <w:jc w:val="center"/>
              <w:rPr>
                <w:rFonts w:hint="eastAsia" w:eastAsiaTheme="minorEastAsia"/>
                <w:sz w:val="18"/>
                <w:szCs w:val="18"/>
                <w:lang w:eastAsia="zh-CN"/>
              </w:rPr>
            </w:pPr>
            <w:r>
              <w:rPr>
                <w:rFonts w:hint="eastAsia"/>
                <w:sz w:val="18"/>
                <w:szCs w:val="18"/>
              </w:rPr>
              <w:t>三级</w:t>
            </w:r>
            <w:r>
              <w:rPr>
                <w:rFonts w:hint="eastAsia"/>
                <w:sz w:val="18"/>
                <w:szCs w:val="18"/>
                <w:lang w:eastAsia="zh-CN"/>
              </w:rPr>
              <w:t>指标</w:t>
            </w:r>
          </w:p>
        </w:tc>
        <w:tc>
          <w:tcPr>
            <w:tcW w:w="1325" w:type="dxa"/>
            <w:gridSpan w:val="2"/>
            <w:tcBorders>
              <w:right w:val="single" w:color="auto" w:sz="4" w:space="0"/>
            </w:tcBorders>
            <w:vAlign w:val="center"/>
          </w:tcPr>
          <w:p>
            <w:pPr>
              <w:jc w:val="left"/>
              <w:rPr>
                <w:rFonts w:hint="eastAsia" w:eastAsiaTheme="minorEastAsia"/>
                <w:sz w:val="18"/>
                <w:szCs w:val="18"/>
                <w:lang w:eastAsia="zh-CN"/>
              </w:rPr>
            </w:pPr>
            <w:r>
              <w:rPr>
                <w:rFonts w:hint="eastAsia"/>
                <w:sz w:val="18"/>
                <w:szCs w:val="18"/>
                <w:lang w:eastAsia="zh-CN"/>
              </w:rPr>
              <w:t>指标值及单位</w:t>
            </w:r>
          </w:p>
        </w:tc>
        <w:tc>
          <w:tcPr>
            <w:tcW w:w="2346" w:type="dxa"/>
            <w:gridSpan w:val="2"/>
            <w:tcBorders>
              <w:left w:val="single" w:color="auto" w:sz="4" w:space="0"/>
              <w:right w:val="single" w:color="auto" w:sz="4" w:space="0"/>
            </w:tcBorders>
            <w:vAlign w:val="center"/>
          </w:tcPr>
          <w:p>
            <w:pPr>
              <w:jc w:val="center"/>
              <w:rPr>
                <w:rFonts w:hint="eastAsia"/>
                <w:sz w:val="18"/>
                <w:szCs w:val="18"/>
                <w:lang w:eastAsia="zh-CN"/>
              </w:rPr>
            </w:pPr>
            <w:r>
              <w:rPr>
                <w:rFonts w:hint="eastAsia"/>
                <w:sz w:val="18"/>
                <w:szCs w:val="18"/>
                <w:lang w:eastAsia="zh-CN"/>
              </w:rPr>
              <w:t>绩效标准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restart"/>
            <w:tcBorders>
              <w:right w:val="single" w:color="auto" w:sz="4" w:space="0"/>
            </w:tcBorders>
            <w:vAlign w:val="center"/>
          </w:tcPr>
          <w:p>
            <w:pPr>
              <w:jc w:val="center"/>
              <w:rPr>
                <w:rFonts w:hint="eastAsia"/>
                <w:sz w:val="18"/>
                <w:szCs w:val="18"/>
              </w:rPr>
            </w:pPr>
            <w:r>
              <w:rPr>
                <w:rFonts w:hint="eastAsia"/>
                <w:sz w:val="18"/>
                <w:szCs w:val="18"/>
                <w:lang w:eastAsia="zh-CN"/>
              </w:rPr>
              <w:t>产出</w:t>
            </w:r>
            <w:r>
              <w:rPr>
                <w:rFonts w:hint="eastAsia"/>
                <w:sz w:val="18"/>
                <w:szCs w:val="18"/>
              </w:rPr>
              <w:t>指标</w:t>
            </w:r>
          </w:p>
          <w:p>
            <w:pPr>
              <w:jc w:val="center"/>
              <w:rPr>
                <w:rFonts w:hint="eastAsia"/>
                <w:sz w:val="18"/>
                <w:szCs w:val="18"/>
              </w:rPr>
            </w:pPr>
          </w:p>
        </w:tc>
        <w:tc>
          <w:tcPr>
            <w:tcW w:w="1365" w:type="dxa"/>
            <w:vMerge w:val="restart"/>
            <w:tcBorders>
              <w:left w:val="single" w:color="auto" w:sz="4" w:space="0"/>
            </w:tcBorders>
            <w:vAlign w:val="center"/>
          </w:tcPr>
          <w:p>
            <w:pPr>
              <w:jc w:val="center"/>
              <w:rPr>
                <w:rFonts w:hint="eastAsia"/>
                <w:sz w:val="18"/>
                <w:szCs w:val="18"/>
              </w:rPr>
            </w:pPr>
            <w:r>
              <w:rPr>
                <w:rFonts w:hint="eastAsia"/>
                <w:sz w:val="18"/>
                <w:szCs w:val="18"/>
              </w:rPr>
              <w:t>数量指标</w:t>
            </w:r>
          </w:p>
        </w:tc>
        <w:tc>
          <w:tcPr>
            <w:tcW w:w="143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新品种展示示范与安全性评价项目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示范100亩、15个水稻安全评价点、展示新品种20个</w:t>
            </w:r>
          </w:p>
        </w:tc>
        <w:tc>
          <w:tcPr>
            <w:tcW w:w="2346" w:type="dxa"/>
            <w:gridSpan w:val="2"/>
            <w:tcBorders>
              <w:left w:val="single" w:color="auto" w:sz="4" w:space="0"/>
              <w:right w:val="single" w:color="auto" w:sz="4" w:space="0"/>
            </w:tcBorders>
            <w:vAlign w:val="center"/>
          </w:tcPr>
          <w:p>
            <w:pPr>
              <w:jc w:val="center"/>
              <w:rPr>
                <w:rFonts w:hint="default" w:eastAsiaTheme="minor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稻油轮作监测点评价项目</w:t>
            </w:r>
          </w:p>
        </w:tc>
        <w:tc>
          <w:tcPr>
            <w:tcW w:w="1325" w:type="dxa"/>
            <w:gridSpan w:val="2"/>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12个监测点</w:t>
            </w:r>
          </w:p>
        </w:tc>
        <w:tc>
          <w:tcPr>
            <w:tcW w:w="2346" w:type="dxa"/>
            <w:gridSpan w:val="2"/>
            <w:tcBorders>
              <w:left w:val="single" w:color="auto" w:sz="4" w:space="0"/>
              <w:bottom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油菜新品种评比试验评价项目</w:t>
            </w:r>
          </w:p>
        </w:tc>
        <w:tc>
          <w:tcPr>
            <w:tcW w:w="1325" w:type="dxa"/>
            <w:gridSpan w:val="2"/>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对22个新品种进行试种评价</w:t>
            </w:r>
          </w:p>
        </w:tc>
        <w:tc>
          <w:tcPr>
            <w:tcW w:w="2346" w:type="dxa"/>
            <w:gridSpan w:val="2"/>
            <w:tcBorders>
              <w:left w:val="single" w:color="auto" w:sz="4" w:space="0"/>
              <w:bottom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病虫害监测评价项目</w:t>
            </w:r>
          </w:p>
        </w:tc>
        <w:tc>
          <w:tcPr>
            <w:tcW w:w="1325" w:type="dxa"/>
            <w:gridSpan w:val="2"/>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监测点8个</w:t>
            </w:r>
          </w:p>
        </w:tc>
        <w:tc>
          <w:tcPr>
            <w:tcW w:w="2346" w:type="dxa"/>
            <w:gridSpan w:val="2"/>
            <w:tcBorders>
              <w:left w:val="single" w:color="auto" w:sz="4" w:space="0"/>
              <w:bottom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植物检疫评价项目</w:t>
            </w:r>
          </w:p>
        </w:tc>
        <w:tc>
          <w:tcPr>
            <w:tcW w:w="1325" w:type="dxa"/>
            <w:gridSpan w:val="2"/>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农作物疫情普查2次，面积45万亩</w:t>
            </w:r>
          </w:p>
        </w:tc>
        <w:tc>
          <w:tcPr>
            <w:tcW w:w="2346" w:type="dxa"/>
            <w:gridSpan w:val="2"/>
            <w:tcBorders>
              <w:left w:val="single" w:color="auto" w:sz="4" w:space="0"/>
              <w:bottom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种子市场监管评价项目</w:t>
            </w:r>
          </w:p>
        </w:tc>
        <w:tc>
          <w:tcPr>
            <w:tcW w:w="1325" w:type="dxa"/>
            <w:gridSpan w:val="2"/>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春秋两季各1次，每次送检样品30个以上</w:t>
            </w:r>
          </w:p>
        </w:tc>
        <w:tc>
          <w:tcPr>
            <w:tcW w:w="2346" w:type="dxa"/>
            <w:gridSpan w:val="2"/>
            <w:tcBorders>
              <w:left w:val="single" w:color="auto" w:sz="4" w:space="0"/>
              <w:bottom w:val="single" w:color="auto" w:sz="4" w:space="0"/>
            </w:tcBorders>
            <w:vAlign w:val="center"/>
          </w:tcPr>
          <w:p>
            <w:pPr>
              <w:jc w:val="center"/>
              <w:rPr>
                <w:rFonts w:hint="default" w:eastAsiaTheme="minor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金龙矿业种植结构调整评价项目</w:t>
            </w:r>
          </w:p>
        </w:tc>
        <w:tc>
          <w:tcPr>
            <w:tcW w:w="1325" w:type="dxa"/>
            <w:gridSpan w:val="2"/>
            <w:tcBorders>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确保种植高梁1250亩及棉花591亩以上</w:t>
            </w:r>
          </w:p>
        </w:tc>
        <w:tc>
          <w:tcPr>
            <w:tcW w:w="2346" w:type="dxa"/>
            <w:gridSpan w:val="2"/>
            <w:tcBorders>
              <w:left w:val="single" w:color="auto" w:sz="4" w:space="0"/>
              <w:bottom w:val="single" w:color="auto" w:sz="4" w:space="0"/>
            </w:tcBorders>
            <w:vAlign w:val="center"/>
          </w:tcPr>
          <w:p>
            <w:pPr>
              <w:jc w:val="center"/>
              <w:rPr>
                <w:rFonts w:hint="default" w:eastAsiaTheme="minor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restart"/>
            <w:tcBorders>
              <w:left w:val="single" w:color="auto" w:sz="4" w:space="0"/>
            </w:tcBorders>
            <w:vAlign w:val="center"/>
          </w:tcPr>
          <w:p>
            <w:pPr>
              <w:jc w:val="center"/>
              <w:rPr>
                <w:rFonts w:hint="eastAsia"/>
                <w:sz w:val="18"/>
                <w:szCs w:val="18"/>
              </w:rPr>
            </w:pPr>
            <w:r>
              <w:rPr>
                <w:rFonts w:hint="eastAsia"/>
                <w:sz w:val="18"/>
                <w:szCs w:val="18"/>
              </w:rPr>
              <w:t>质量指标</w:t>
            </w:r>
          </w:p>
        </w:tc>
        <w:tc>
          <w:tcPr>
            <w:tcW w:w="1430" w:type="dxa"/>
            <w:gridSpan w:val="3"/>
            <w:vAlign w:val="center"/>
          </w:tcPr>
          <w:p>
            <w:pPr>
              <w:jc w:val="center"/>
              <w:rPr>
                <w:rFonts w:hint="default"/>
                <w:szCs w:val="21"/>
                <w:lang w:val="en-US"/>
              </w:rPr>
            </w:pPr>
            <w:r>
              <w:rPr>
                <w:rFonts w:hint="eastAsia"/>
                <w:sz w:val="18"/>
                <w:szCs w:val="18"/>
                <w:lang w:val="en-US" w:eastAsia="zh-CN"/>
              </w:rPr>
              <w:t>新品种展示示范与安全性评价效果优良率</w:t>
            </w:r>
          </w:p>
        </w:tc>
        <w:tc>
          <w:tcPr>
            <w:tcW w:w="1325" w:type="dxa"/>
            <w:gridSpan w:val="2"/>
            <w:tcBorders>
              <w:top w:val="single" w:color="auto" w:sz="4" w:space="0"/>
              <w:bottom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90%</w:t>
            </w:r>
          </w:p>
        </w:tc>
        <w:tc>
          <w:tcPr>
            <w:tcW w:w="2346" w:type="dxa"/>
            <w:gridSpan w:val="2"/>
            <w:tcBorders>
              <w:top w:val="single" w:color="auto" w:sz="4" w:space="0"/>
              <w:left w:val="single" w:color="auto" w:sz="4" w:space="0"/>
              <w:bottom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稻油轮作监测点评价项目优良率</w:t>
            </w:r>
          </w:p>
        </w:tc>
        <w:tc>
          <w:tcPr>
            <w:tcW w:w="1325" w:type="dxa"/>
            <w:gridSpan w:val="2"/>
            <w:tcBorders>
              <w:top w:val="single" w:color="auto" w:sz="4" w:space="0"/>
              <w:right w:val="single" w:color="auto" w:sz="4" w:space="0"/>
            </w:tcBorders>
            <w:vAlign w:val="center"/>
          </w:tcPr>
          <w:p>
            <w:pPr>
              <w:jc w:val="center"/>
              <w:rPr>
                <w:rFonts w:hint="eastAsia"/>
                <w:sz w:val="18"/>
                <w:szCs w:val="18"/>
              </w:rPr>
            </w:pPr>
            <w:r>
              <w:rPr>
                <w:rFonts w:hint="eastAsia"/>
                <w:sz w:val="18"/>
                <w:szCs w:val="18"/>
              </w:rPr>
              <w:t>≥</w:t>
            </w:r>
            <w:r>
              <w:rPr>
                <w:rFonts w:hint="eastAsia"/>
                <w:sz w:val="18"/>
                <w:szCs w:val="18"/>
                <w:lang w:val="en-US" w:eastAsia="zh-CN"/>
              </w:rPr>
              <w:t>90%</w:t>
            </w:r>
          </w:p>
        </w:tc>
        <w:tc>
          <w:tcPr>
            <w:tcW w:w="2346" w:type="dxa"/>
            <w:gridSpan w:val="2"/>
            <w:tcBorders>
              <w:top w:val="single" w:color="auto" w:sz="4" w:space="0"/>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油菜新品种评比试验评价项目优良率</w:t>
            </w:r>
          </w:p>
        </w:tc>
        <w:tc>
          <w:tcPr>
            <w:tcW w:w="1325" w:type="dxa"/>
            <w:gridSpan w:val="2"/>
            <w:tcBorders>
              <w:top w:val="single" w:color="auto" w:sz="4" w:space="0"/>
              <w:right w:val="single" w:color="auto" w:sz="4" w:space="0"/>
            </w:tcBorders>
            <w:vAlign w:val="center"/>
          </w:tcPr>
          <w:p>
            <w:pPr>
              <w:jc w:val="center"/>
              <w:rPr>
                <w:rFonts w:hint="eastAsia"/>
                <w:sz w:val="18"/>
                <w:szCs w:val="18"/>
              </w:rPr>
            </w:pPr>
            <w:r>
              <w:rPr>
                <w:rFonts w:hint="eastAsia"/>
                <w:sz w:val="18"/>
                <w:szCs w:val="18"/>
              </w:rPr>
              <w:t>≥</w:t>
            </w:r>
            <w:r>
              <w:rPr>
                <w:rFonts w:hint="eastAsia"/>
                <w:sz w:val="18"/>
                <w:szCs w:val="18"/>
                <w:lang w:val="en-US" w:eastAsia="zh-CN"/>
              </w:rPr>
              <w:t>90%</w:t>
            </w:r>
          </w:p>
        </w:tc>
        <w:tc>
          <w:tcPr>
            <w:tcW w:w="2346" w:type="dxa"/>
            <w:gridSpan w:val="2"/>
            <w:tcBorders>
              <w:top w:val="single" w:color="auto" w:sz="4" w:space="0"/>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病虫害监测评价项目优良率</w:t>
            </w:r>
          </w:p>
        </w:tc>
        <w:tc>
          <w:tcPr>
            <w:tcW w:w="1325" w:type="dxa"/>
            <w:gridSpan w:val="2"/>
            <w:tcBorders>
              <w:top w:val="single" w:color="auto" w:sz="4" w:space="0"/>
              <w:right w:val="single" w:color="auto" w:sz="4" w:space="0"/>
            </w:tcBorders>
            <w:vAlign w:val="center"/>
          </w:tcPr>
          <w:p>
            <w:pPr>
              <w:jc w:val="center"/>
              <w:rPr>
                <w:rFonts w:hint="eastAsia"/>
                <w:sz w:val="18"/>
                <w:szCs w:val="18"/>
              </w:rPr>
            </w:pPr>
            <w:r>
              <w:rPr>
                <w:rFonts w:hint="eastAsia"/>
                <w:sz w:val="18"/>
                <w:szCs w:val="18"/>
              </w:rPr>
              <w:t>≥</w:t>
            </w:r>
            <w:r>
              <w:rPr>
                <w:rFonts w:hint="eastAsia"/>
                <w:sz w:val="18"/>
                <w:szCs w:val="18"/>
                <w:lang w:val="en-US" w:eastAsia="zh-CN"/>
              </w:rPr>
              <w:t>92%</w:t>
            </w:r>
          </w:p>
        </w:tc>
        <w:tc>
          <w:tcPr>
            <w:tcW w:w="2346" w:type="dxa"/>
            <w:gridSpan w:val="2"/>
            <w:tcBorders>
              <w:top w:val="single" w:color="auto" w:sz="4" w:space="0"/>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植物检疫评价项目优良率</w:t>
            </w:r>
          </w:p>
        </w:tc>
        <w:tc>
          <w:tcPr>
            <w:tcW w:w="1325" w:type="dxa"/>
            <w:gridSpan w:val="2"/>
            <w:tcBorders>
              <w:top w:val="single" w:color="auto" w:sz="4" w:space="0"/>
              <w:right w:val="single" w:color="auto" w:sz="4" w:space="0"/>
            </w:tcBorders>
            <w:vAlign w:val="center"/>
          </w:tcPr>
          <w:p>
            <w:pPr>
              <w:jc w:val="center"/>
              <w:rPr>
                <w:rFonts w:hint="eastAsia"/>
                <w:sz w:val="18"/>
                <w:szCs w:val="18"/>
              </w:rPr>
            </w:pPr>
            <w:r>
              <w:rPr>
                <w:rFonts w:hint="eastAsia"/>
                <w:sz w:val="18"/>
                <w:szCs w:val="18"/>
              </w:rPr>
              <w:t>≥</w:t>
            </w:r>
            <w:r>
              <w:rPr>
                <w:rFonts w:hint="eastAsia"/>
                <w:sz w:val="18"/>
                <w:szCs w:val="18"/>
                <w:lang w:val="en-US" w:eastAsia="zh-CN"/>
              </w:rPr>
              <w:t>95%</w:t>
            </w:r>
          </w:p>
        </w:tc>
        <w:tc>
          <w:tcPr>
            <w:tcW w:w="2346" w:type="dxa"/>
            <w:gridSpan w:val="2"/>
            <w:tcBorders>
              <w:top w:val="single" w:color="auto" w:sz="4" w:space="0"/>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种子市场监管评价项目优良率</w:t>
            </w:r>
          </w:p>
        </w:tc>
        <w:tc>
          <w:tcPr>
            <w:tcW w:w="1325" w:type="dxa"/>
            <w:gridSpan w:val="2"/>
            <w:tcBorders>
              <w:top w:val="single" w:color="auto" w:sz="4" w:space="0"/>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90%</w:t>
            </w:r>
          </w:p>
        </w:tc>
        <w:tc>
          <w:tcPr>
            <w:tcW w:w="2346" w:type="dxa"/>
            <w:gridSpan w:val="2"/>
            <w:tcBorders>
              <w:top w:val="single" w:color="auto" w:sz="4" w:space="0"/>
              <w:left w:val="single" w:color="auto" w:sz="4" w:space="0"/>
            </w:tcBorders>
            <w:vAlign w:val="center"/>
          </w:tcPr>
          <w:p>
            <w:pPr>
              <w:jc w:val="center"/>
              <w:rPr>
                <w:rFonts w:hint="default" w:eastAsiaTheme="minor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金龙矿业种植结构调整评价项目优良率</w:t>
            </w:r>
          </w:p>
        </w:tc>
        <w:tc>
          <w:tcPr>
            <w:tcW w:w="1325" w:type="dxa"/>
            <w:gridSpan w:val="2"/>
            <w:tcBorders>
              <w:top w:val="single" w:color="auto" w:sz="4" w:space="0"/>
              <w:right w:val="single" w:color="auto" w:sz="4" w:space="0"/>
            </w:tcBorders>
            <w:vAlign w:val="center"/>
          </w:tcPr>
          <w:p>
            <w:pPr>
              <w:jc w:val="center"/>
              <w:rPr>
                <w:rFonts w:hint="eastAsia"/>
                <w:sz w:val="18"/>
                <w:szCs w:val="18"/>
              </w:rPr>
            </w:pPr>
            <w:r>
              <w:rPr>
                <w:rFonts w:hint="eastAsia"/>
                <w:sz w:val="18"/>
                <w:szCs w:val="18"/>
              </w:rPr>
              <w:t>≥</w:t>
            </w:r>
            <w:r>
              <w:rPr>
                <w:rFonts w:hint="eastAsia"/>
                <w:sz w:val="18"/>
                <w:szCs w:val="18"/>
                <w:lang w:val="en-US" w:eastAsia="zh-CN"/>
              </w:rPr>
              <w:t>95%</w:t>
            </w:r>
          </w:p>
        </w:tc>
        <w:tc>
          <w:tcPr>
            <w:tcW w:w="2346" w:type="dxa"/>
            <w:gridSpan w:val="2"/>
            <w:tcBorders>
              <w:top w:val="single" w:color="auto" w:sz="4" w:space="0"/>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tcBorders>
              <w:left w:val="single" w:color="auto" w:sz="4" w:space="0"/>
            </w:tcBorders>
            <w:vAlign w:val="center"/>
          </w:tcPr>
          <w:p>
            <w:pPr>
              <w:jc w:val="center"/>
              <w:rPr>
                <w:rFonts w:hint="eastAsia"/>
                <w:sz w:val="18"/>
                <w:szCs w:val="18"/>
              </w:rPr>
            </w:pPr>
            <w:r>
              <w:rPr>
                <w:rFonts w:hint="eastAsia"/>
                <w:sz w:val="18"/>
                <w:szCs w:val="18"/>
              </w:rPr>
              <w:t>时效指标</w:t>
            </w: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七个评价项目完成时间</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2021年11月底前</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restart"/>
            <w:tcBorders>
              <w:left w:val="single" w:color="auto" w:sz="4" w:space="0"/>
            </w:tcBorders>
            <w:vAlign w:val="center"/>
          </w:tcPr>
          <w:p>
            <w:pPr>
              <w:jc w:val="center"/>
              <w:rPr>
                <w:rFonts w:hint="eastAsia"/>
                <w:sz w:val="18"/>
                <w:szCs w:val="18"/>
              </w:rPr>
            </w:pPr>
            <w:r>
              <w:rPr>
                <w:rFonts w:hint="eastAsia"/>
                <w:sz w:val="18"/>
                <w:szCs w:val="18"/>
              </w:rPr>
              <w:t>成本指标</w:t>
            </w: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新品种展示示范与安全性评价项目</w:t>
            </w:r>
          </w:p>
        </w:tc>
        <w:tc>
          <w:tcPr>
            <w:tcW w:w="1325" w:type="dxa"/>
            <w:gridSpan w:val="2"/>
            <w:tcBorders>
              <w:right w:val="single" w:color="auto" w:sz="4" w:space="0"/>
            </w:tcBorders>
            <w:vAlign w:val="center"/>
          </w:tcPr>
          <w:p>
            <w:pPr>
              <w:jc w:val="center"/>
              <w:rPr>
                <w:rFonts w:hint="eastAsia"/>
                <w:sz w:val="18"/>
                <w:szCs w:val="18"/>
              </w:rPr>
            </w:pPr>
            <w:r>
              <w:rPr>
                <w:rFonts w:hint="eastAsia"/>
                <w:sz w:val="18"/>
                <w:szCs w:val="18"/>
              </w:rPr>
              <w:t>≤</w:t>
            </w:r>
            <w:r>
              <w:rPr>
                <w:rFonts w:hint="eastAsia"/>
                <w:sz w:val="18"/>
                <w:szCs w:val="18"/>
                <w:lang w:val="en-US" w:eastAsia="zh-CN"/>
              </w:rPr>
              <w:t>18</w:t>
            </w:r>
            <w:r>
              <w:rPr>
                <w:rFonts w:hint="eastAsia"/>
                <w:sz w:val="18"/>
                <w:szCs w:val="18"/>
              </w:rPr>
              <w:t>万元</w:t>
            </w:r>
          </w:p>
        </w:tc>
        <w:tc>
          <w:tcPr>
            <w:tcW w:w="2346" w:type="dxa"/>
            <w:gridSpan w:val="2"/>
            <w:tcBorders>
              <w:left w:val="single" w:color="auto" w:sz="4" w:space="0"/>
            </w:tcBorders>
            <w:vAlign w:val="center"/>
          </w:tcPr>
          <w:p>
            <w:pPr>
              <w:jc w:val="center"/>
              <w:rPr>
                <w:rFonts w:hint="default" w:eastAsiaTheme="minor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restart"/>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 w:val="18"/>
                <w:szCs w:val="18"/>
                <w:lang w:val="en-US" w:eastAsia="zh-CN"/>
              </w:rPr>
            </w:pPr>
            <w:r>
              <w:rPr>
                <w:rFonts w:hint="eastAsia"/>
                <w:sz w:val="18"/>
                <w:szCs w:val="18"/>
                <w:lang w:val="en-US" w:eastAsia="zh-CN"/>
              </w:rPr>
              <w:t>稻油轮作监测点评价项目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8万元</w:t>
            </w:r>
          </w:p>
        </w:tc>
        <w:tc>
          <w:tcPr>
            <w:tcW w:w="2346" w:type="dxa"/>
            <w:gridSpan w:val="2"/>
            <w:tcBorders>
              <w:left w:val="single" w:color="auto" w:sz="4" w:space="0"/>
            </w:tcBorders>
            <w:vAlign w:val="center"/>
          </w:tcPr>
          <w:p>
            <w:pPr>
              <w:jc w:val="center"/>
              <w:rPr>
                <w:rFonts w:hint="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 w:val="18"/>
                <w:szCs w:val="18"/>
                <w:lang w:val="en-US" w:eastAsia="zh-CN"/>
              </w:rPr>
            </w:pPr>
            <w:r>
              <w:rPr>
                <w:rFonts w:hint="eastAsia"/>
                <w:sz w:val="18"/>
                <w:szCs w:val="18"/>
                <w:lang w:val="en-US" w:eastAsia="zh-CN"/>
              </w:rPr>
              <w:t>油菜新品种评比试验评价项目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8万元</w:t>
            </w:r>
          </w:p>
        </w:tc>
        <w:tc>
          <w:tcPr>
            <w:tcW w:w="2346" w:type="dxa"/>
            <w:gridSpan w:val="2"/>
            <w:tcBorders>
              <w:left w:val="single" w:color="auto" w:sz="4" w:space="0"/>
            </w:tcBorders>
            <w:vAlign w:val="center"/>
          </w:tcPr>
          <w:p>
            <w:pPr>
              <w:jc w:val="center"/>
              <w:rPr>
                <w:rFonts w:hint="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 w:val="18"/>
                <w:szCs w:val="18"/>
                <w:lang w:val="en-US" w:eastAsia="zh-CN"/>
              </w:rPr>
            </w:pPr>
            <w:r>
              <w:rPr>
                <w:rFonts w:hint="eastAsia"/>
                <w:sz w:val="18"/>
                <w:szCs w:val="18"/>
                <w:lang w:val="en-US" w:eastAsia="zh-CN"/>
              </w:rPr>
              <w:t>病虫害监测评价项目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8万元</w:t>
            </w:r>
          </w:p>
        </w:tc>
        <w:tc>
          <w:tcPr>
            <w:tcW w:w="2346" w:type="dxa"/>
            <w:gridSpan w:val="2"/>
            <w:tcBorders>
              <w:left w:val="single" w:color="auto" w:sz="4" w:space="0"/>
            </w:tcBorders>
            <w:vAlign w:val="center"/>
          </w:tcPr>
          <w:p>
            <w:pPr>
              <w:jc w:val="center"/>
              <w:rPr>
                <w:rFonts w:hint="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 w:val="18"/>
                <w:szCs w:val="18"/>
                <w:lang w:val="en-US" w:eastAsia="zh-CN"/>
              </w:rPr>
            </w:pPr>
            <w:r>
              <w:rPr>
                <w:rFonts w:hint="eastAsia"/>
                <w:sz w:val="18"/>
                <w:szCs w:val="18"/>
                <w:lang w:val="en-US" w:eastAsia="zh-CN"/>
              </w:rPr>
              <w:t>植物检疫评价项目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5万元</w:t>
            </w:r>
          </w:p>
        </w:tc>
        <w:tc>
          <w:tcPr>
            <w:tcW w:w="2346" w:type="dxa"/>
            <w:gridSpan w:val="2"/>
            <w:tcBorders>
              <w:left w:val="single" w:color="auto" w:sz="4" w:space="0"/>
            </w:tcBorders>
            <w:vAlign w:val="center"/>
          </w:tcPr>
          <w:p>
            <w:pPr>
              <w:jc w:val="center"/>
              <w:rPr>
                <w:rFonts w:hint="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9"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 w:val="18"/>
                <w:szCs w:val="18"/>
                <w:lang w:val="en-US" w:eastAsia="zh-CN"/>
              </w:rPr>
            </w:pPr>
            <w:r>
              <w:rPr>
                <w:rFonts w:hint="eastAsia"/>
                <w:sz w:val="18"/>
                <w:szCs w:val="18"/>
                <w:lang w:val="en-US" w:eastAsia="zh-CN"/>
              </w:rPr>
              <w:t>种子市场监管评价项目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rPr>
              <w:t>≤</w:t>
            </w:r>
            <w:r>
              <w:rPr>
                <w:rFonts w:hint="eastAsia"/>
                <w:sz w:val="18"/>
                <w:szCs w:val="18"/>
                <w:lang w:val="en-US" w:eastAsia="zh-CN"/>
              </w:rPr>
              <w:t>5万元</w:t>
            </w:r>
          </w:p>
        </w:tc>
        <w:tc>
          <w:tcPr>
            <w:tcW w:w="2346" w:type="dxa"/>
            <w:gridSpan w:val="2"/>
            <w:tcBorders>
              <w:left w:val="single" w:color="auto" w:sz="4" w:space="0"/>
            </w:tcBorders>
            <w:vAlign w:val="center"/>
          </w:tcPr>
          <w:p>
            <w:pPr>
              <w:jc w:val="center"/>
              <w:rPr>
                <w:rFonts w:hint="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 w:val="18"/>
                <w:szCs w:val="18"/>
                <w:lang w:val="en-US" w:eastAsia="zh-CN"/>
              </w:rPr>
            </w:pPr>
            <w:r>
              <w:rPr>
                <w:rFonts w:hint="eastAsia"/>
                <w:sz w:val="18"/>
                <w:szCs w:val="18"/>
                <w:lang w:val="en-US" w:eastAsia="zh-CN"/>
              </w:rPr>
              <w:t>金龙矿业种植结构调整评价项目评价项目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8万元</w:t>
            </w:r>
          </w:p>
        </w:tc>
        <w:tc>
          <w:tcPr>
            <w:tcW w:w="2346" w:type="dxa"/>
            <w:gridSpan w:val="2"/>
            <w:tcBorders>
              <w:left w:val="single" w:color="auto" w:sz="4" w:space="0"/>
            </w:tcBorders>
            <w:vAlign w:val="center"/>
          </w:tcPr>
          <w:p>
            <w:pPr>
              <w:jc w:val="center"/>
              <w:rPr>
                <w:rFonts w:hint="eastAsia"/>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restart"/>
            <w:tcBorders>
              <w:right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效益指标</w:t>
            </w:r>
          </w:p>
        </w:tc>
        <w:tc>
          <w:tcPr>
            <w:tcW w:w="1365" w:type="dxa"/>
            <w:vMerge w:val="restart"/>
            <w:tcBorders>
              <w:left w:val="single" w:color="auto" w:sz="4" w:space="0"/>
            </w:tcBorders>
            <w:vAlign w:val="center"/>
          </w:tcPr>
          <w:p>
            <w:pPr>
              <w:jc w:val="center"/>
              <w:rPr>
                <w:rFonts w:hint="eastAsia"/>
                <w:sz w:val="18"/>
                <w:szCs w:val="18"/>
              </w:rPr>
            </w:pPr>
            <w:r>
              <w:rPr>
                <w:rFonts w:hint="eastAsia"/>
                <w:sz w:val="18"/>
                <w:szCs w:val="18"/>
              </w:rPr>
              <w:t>经济效</w:t>
            </w:r>
          </w:p>
          <w:p>
            <w:pPr>
              <w:jc w:val="center"/>
              <w:rPr>
                <w:rFonts w:hint="eastAsia"/>
                <w:sz w:val="18"/>
                <w:szCs w:val="18"/>
              </w:rPr>
            </w:pPr>
            <w:r>
              <w:rPr>
                <w:rFonts w:hint="eastAsia"/>
                <w:sz w:val="18"/>
                <w:szCs w:val="18"/>
              </w:rPr>
              <w:t>率指标</w:t>
            </w:r>
          </w:p>
        </w:tc>
        <w:tc>
          <w:tcPr>
            <w:tcW w:w="1430" w:type="dxa"/>
            <w:gridSpan w:val="3"/>
            <w:vAlign w:val="center"/>
          </w:tcPr>
          <w:p>
            <w:pPr>
              <w:jc w:val="center"/>
              <w:rPr>
                <w:rFonts w:hint="eastAsia"/>
                <w:szCs w:val="21"/>
              </w:rPr>
            </w:pPr>
            <w:r>
              <w:rPr>
                <w:rFonts w:hint="eastAsia"/>
                <w:sz w:val="18"/>
                <w:szCs w:val="18"/>
                <w:lang w:val="en-US" w:eastAsia="zh-CN"/>
              </w:rPr>
              <w:t>新品种展示示范与安全性评价项目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确保用种安全，保障粮食增收800万元以上</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lang w:eastAsia="zh-CN"/>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稻油轮作监测点评价项目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每亩节省肥料成本25-32元</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lang w:eastAsia="zh-CN"/>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油菜新品种评比试验评价项目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确保油菜增产750吨以上</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lang w:eastAsia="zh-CN"/>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病虫害监测评价项目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病虫害农作物损失率5%以下，实现农药使用量负增长</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lang w:eastAsia="zh-CN"/>
              </w:rPr>
            </w:pPr>
          </w:p>
        </w:tc>
        <w:tc>
          <w:tcPr>
            <w:tcW w:w="1365" w:type="dxa"/>
            <w:vMerge w:val="restart"/>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植物检疫评价项目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及时发现与捕灭疫情</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8" w:hRule="atLeast"/>
        </w:trPr>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lang w:eastAsia="zh-CN"/>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default"/>
                <w:szCs w:val="21"/>
                <w:lang w:val="en-US"/>
              </w:rPr>
            </w:pPr>
            <w:r>
              <w:rPr>
                <w:rFonts w:hint="eastAsia"/>
                <w:sz w:val="18"/>
                <w:szCs w:val="18"/>
                <w:lang w:val="en-US" w:eastAsia="zh-CN"/>
              </w:rPr>
              <w:t>种子市场监管评价项目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全县粮种覆盖面10%以上，每亩增产10%以</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lang w:eastAsia="zh-CN"/>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金龙矿业种植结构调整评价项目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种植高梁及棉花增加收入1500万元以上</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restart"/>
            <w:tcBorders>
              <w:left w:val="single" w:color="auto" w:sz="4" w:space="0"/>
            </w:tcBorders>
            <w:vAlign w:val="center"/>
          </w:tcPr>
          <w:p>
            <w:pPr>
              <w:jc w:val="center"/>
              <w:rPr>
                <w:rFonts w:hint="eastAsia"/>
                <w:sz w:val="18"/>
                <w:szCs w:val="18"/>
              </w:rPr>
            </w:pPr>
            <w:r>
              <w:rPr>
                <w:rFonts w:hint="eastAsia"/>
                <w:sz w:val="18"/>
                <w:szCs w:val="18"/>
              </w:rPr>
              <w:t>社会效</w:t>
            </w:r>
          </w:p>
          <w:p>
            <w:pPr>
              <w:jc w:val="center"/>
              <w:rPr>
                <w:rFonts w:hint="eastAsia"/>
                <w:sz w:val="18"/>
                <w:szCs w:val="18"/>
              </w:rPr>
            </w:pPr>
            <w:r>
              <w:rPr>
                <w:rFonts w:hint="eastAsia"/>
                <w:sz w:val="18"/>
                <w:szCs w:val="18"/>
              </w:rPr>
              <w:t>益指标</w:t>
            </w:r>
          </w:p>
        </w:tc>
        <w:tc>
          <w:tcPr>
            <w:tcW w:w="1430" w:type="dxa"/>
            <w:gridSpan w:val="3"/>
            <w:vAlign w:val="center"/>
          </w:tcPr>
          <w:p>
            <w:pPr>
              <w:jc w:val="center"/>
              <w:rPr>
                <w:rFonts w:hint="eastAsia"/>
                <w:szCs w:val="21"/>
              </w:rPr>
            </w:pPr>
            <w:r>
              <w:rPr>
                <w:rFonts w:hint="eastAsia"/>
                <w:sz w:val="18"/>
                <w:szCs w:val="18"/>
                <w:lang w:val="en-US" w:eastAsia="zh-CN"/>
              </w:rPr>
              <w:t>新品种展示示范与安全性评价项目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优化全县品种布局，提高良种覆盖率，消除品种多乱杂关态</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稻油轮作监测点评价项目</w:t>
            </w:r>
          </w:p>
        </w:tc>
        <w:tc>
          <w:tcPr>
            <w:tcW w:w="1325" w:type="dxa"/>
            <w:gridSpan w:val="2"/>
            <w:tcBorders>
              <w:right w:val="single" w:color="auto" w:sz="4" w:space="0"/>
            </w:tcBorders>
            <w:vAlign w:val="center"/>
          </w:tcPr>
          <w:p>
            <w:pPr>
              <w:jc w:val="center"/>
              <w:rPr>
                <w:rFonts w:hint="eastAsia"/>
                <w:sz w:val="18"/>
                <w:szCs w:val="18"/>
              </w:rPr>
            </w:pPr>
            <w:r>
              <w:rPr>
                <w:rFonts w:hint="eastAsia"/>
                <w:sz w:val="18"/>
                <w:szCs w:val="18"/>
                <w:lang w:val="en-US" w:eastAsia="zh-CN"/>
              </w:rPr>
              <w:t>科学施肥，降低成本</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油菜新品种评比试验评价项目</w:t>
            </w:r>
          </w:p>
        </w:tc>
        <w:tc>
          <w:tcPr>
            <w:tcW w:w="1325" w:type="dxa"/>
            <w:gridSpan w:val="2"/>
            <w:tcBorders>
              <w:right w:val="single" w:color="auto" w:sz="4" w:space="0"/>
            </w:tcBorders>
            <w:vAlign w:val="center"/>
          </w:tcPr>
          <w:p>
            <w:pPr>
              <w:jc w:val="center"/>
              <w:rPr>
                <w:rFonts w:hint="eastAsia"/>
                <w:sz w:val="18"/>
                <w:szCs w:val="18"/>
              </w:rPr>
            </w:pPr>
            <w:r>
              <w:rPr>
                <w:rFonts w:hint="eastAsia"/>
                <w:sz w:val="18"/>
                <w:szCs w:val="18"/>
                <w:lang w:val="en-US" w:eastAsia="zh-CN"/>
              </w:rPr>
              <w:t>及时确定我县油菜主推品种</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病虫害监测评价项目</w:t>
            </w:r>
          </w:p>
        </w:tc>
        <w:tc>
          <w:tcPr>
            <w:tcW w:w="1325" w:type="dxa"/>
            <w:gridSpan w:val="2"/>
            <w:tcBorders>
              <w:right w:val="single" w:color="auto" w:sz="4" w:space="0"/>
            </w:tcBorders>
            <w:vAlign w:val="center"/>
          </w:tcPr>
          <w:p>
            <w:pPr>
              <w:jc w:val="center"/>
              <w:rPr>
                <w:rFonts w:hint="eastAsia"/>
                <w:sz w:val="18"/>
                <w:szCs w:val="18"/>
              </w:rPr>
            </w:pPr>
            <w:r>
              <w:rPr>
                <w:rFonts w:hint="eastAsia"/>
                <w:sz w:val="18"/>
                <w:szCs w:val="18"/>
                <w:lang w:val="en-US" w:eastAsia="zh-CN"/>
              </w:rPr>
              <w:t>指导农户及时用药，控制病虫害危害</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r>
              <w:rPr>
                <w:rFonts w:hint="eastAsia"/>
                <w:sz w:val="18"/>
                <w:szCs w:val="18"/>
                <w:lang w:val="en-US" w:eastAsia="zh-CN"/>
              </w:rPr>
              <w:t>植物检疫评价项目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阻截疫情扩散</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szCs w:val="21"/>
              </w:rPr>
            </w:pPr>
            <w:r>
              <w:rPr>
                <w:rFonts w:hint="eastAsia"/>
                <w:sz w:val="18"/>
                <w:szCs w:val="18"/>
                <w:lang w:val="en-US" w:eastAsia="zh-CN"/>
              </w:rPr>
              <w:t>种子市场监管评价项目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严把种子市场质量关，从源头上杜绝坑农害农行为</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szCs w:val="21"/>
              </w:rPr>
            </w:pPr>
            <w:r>
              <w:rPr>
                <w:rFonts w:hint="eastAsia"/>
                <w:sz w:val="18"/>
                <w:szCs w:val="18"/>
                <w:lang w:val="en-US" w:eastAsia="zh-CN"/>
              </w:rPr>
              <w:t>金龙矿业种植结构调整评价项目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通过调整产业结构，治理污染，稳定社会</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tcBorders>
              <w:left w:val="single" w:color="auto" w:sz="4" w:space="0"/>
            </w:tcBorders>
            <w:vAlign w:val="center"/>
          </w:tcPr>
          <w:p>
            <w:pPr>
              <w:jc w:val="center"/>
              <w:rPr>
                <w:rFonts w:hint="eastAsia"/>
                <w:sz w:val="18"/>
                <w:szCs w:val="18"/>
              </w:rPr>
            </w:pPr>
            <w:r>
              <w:rPr>
                <w:rFonts w:hint="eastAsia"/>
                <w:sz w:val="18"/>
                <w:szCs w:val="18"/>
              </w:rPr>
              <w:t>生态效</w:t>
            </w:r>
          </w:p>
          <w:p>
            <w:pPr>
              <w:jc w:val="center"/>
              <w:rPr>
                <w:rFonts w:hint="eastAsia"/>
                <w:sz w:val="18"/>
                <w:szCs w:val="18"/>
              </w:rPr>
            </w:pPr>
            <w:r>
              <w:rPr>
                <w:rFonts w:hint="eastAsia"/>
                <w:sz w:val="18"/>
                <w:szCs w:val="18"/>
              </w:rPr>
              <w:t>益指标</w:t>
            </w:r>
          </w:p>
        </w:tc>
        <w:tc>
          <w:tcPr>
            <w:tcW w:w="1430" w:type="dxa"/>
            <w:gridSpan w:val="3"/>
            <w:vAlign w:val="center"/>
          </w:tcPr>
          <w:p>
            <w:pPr>
              <w:jc w:val="center"/>
              <w:rPr>
                <w:rFonts w:hint="default" w:eastAsiaTheme="minorEastAsia"/>
                <w:szCs w:val="21"/>
                <w:lang w:val="en-US" w:eastAsia="zh-CN"/>
              </w:rPr>
            </w:pPr>
            <w:r>
              <w:rPr>
                <w:rFonts w:hint="eastAsia"/>
                <w:sz w:val="18"/>
                <w:szCs w:val="18"/>
                <w:lang w:val="en-US" w:eastAsia="zh-CN"/>
              </w:rPr>
              <w:t>七个评价项目</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打造绿色农业，提升肥力地力，降低农药污染率</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restart"/>
            <w:tcBorders>
              <w:left w:val="single" w:color="auto" w:sz="4" w:space="0"/>
            </w:tcBorders>
            <w:vAlign w:val="center"/>
          </w:tcPr>
          <w:p>
            <w:pPr>
              <w:jc w:val="center"/>
              <w:rPr>
                <w:rFonts w:hint="eastAsia"/>
                <w:sz w:val="18"/>
                <w:szCs w:val="18"/>
              </w:rPr>
            </w:pPr>
            <w:r>
              <w:rPr>
                <w:rFonts w:hint="eastAsia"/>
                <w:sz w:val="18"/>
                <w:szCs w:val="18"/>
              </w:rPr>
              <w:t>可持续影</w:t>
            </w:r>
          </w:p>
          <w:p>
            <w:pPr>
              <w:jc w:val="center"/>
              <w:rPr>
                <w:rFonts w:hint="eastAsia"/>
                <w:sz w:val="18"/>
                <w:szCs w:val="18"/>
              </w:rPr>
            </w:pPr>
            <w:r>
              <w:rPr>
                <w:rFonts w:hint="eastAsia"/>
                <w:sz w:val="18"/>
                <w:szCs w:val="18"/>
              </w:rPr>
              <w:t>响指标</w:t>
            </w:r>
          </w:p>
        </w:tc>
        <w:tc>
          <w:tcPr>
            <w:tcW w:w="1430" w:type="dxa"/>
            <w:gridSpan w:val="3"/>
            <w:vAlign w:val="center"/>
          </w:tcPr>
          <w:p>
            <w:pPr>
              <w:jc w:val="center"/>
              <w:rPr>
                <w:rFonts w:hint="eastAsia"/>
                <w:szCs w:val="21"/>
              </w:rPr>
            </w:pPr>
          </w:p>
        </w:tc>
        <w:tc>
          <w:tcPr>
            <w:tcW w:w="1325" w:type="dxa"/>
            <w:gridSpan w:val="2"/>
            <w:tcBorders>
              <w:right w:val="single" w:color="auto" w:sz="4" w:space="0"/>
            </w:tcBorders>
            <w:vAlign w:val="center"/>
          </w:tcPr>
          <w:p>
            <w:pPr>
              <w:jc w:val="center"/>
              <w:rPr>
                <w:rFonts w:hint="eastAsia"/>
                <w:sz w:val="18"/>
                <w:szCs w:val="18"/>
              </w:rPr>
            </w:pP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8" w:type="dxa"/>
            <w:vMerge w:val="continue"/>
            <w:tcBorders>
              <w:right w:val="nil"/>
            </w:tcBorders>
            <w:vAlign w:val="center"/>
          </w:tcPr>
          <w:p>
            <w:pPr>
              <w:jc w:val="center"/>
              <w:rPr>
                <w:rFonts w:hint="eastAsia"/>
                <w:sz w:val="18"/>
                <w:szCs w:val="18"/>
              </w:rPr>
            </w:pPr>
          </w:p>
        </w:tc>
        <w:tc>
          <w:tcPr>
            <w:tcW w:w="989" w:type="dxa"/>
            <w:vMerge w:val="continue"/>
            <w:tcBorders>
              <w:right w:val="single" w:color="auto" w:sz="4" w:space="0"/>
            </w:tcBorders>
            <w:vAlign w:val="center"/>
          </w:tcPr>
          <w:p>
            <w:pPr>
              <w:jc w:val="center"/>
              <w:rPr>
                <w:rFonts w:hint="eastAsia"/>
                <w:sz w:val="18"/>
                <w:szCs w:val="18"/>
              </w:rPr>
            </w:pPr>
          </w:p>
        </w:tc>
        <w:tc>
          <w:tcPr>
            <w:tcW w:w="1365" w:type="dxa"/>
            <w:vMerge w:val="continue"/>
            <w:tcBorders>
              <w:left w:val="single" w:color="auto" w:sz="4" w:space="0"/>
            </w:tcBorders>
            <w:vAlign w:val="center"/>
          </w:tcPr>
          <w:p>
            <w:pPr>
              <w:jc w:val="center"/>
              <w:rPr>
                <w:rFonts w:hint="eastAsia"/>
                <w:sz w:val="18"/>
                <w:szCs w:val="18"/>
              </w:rPr>
            </w:pPr>
          </w:p>
        </w:tc>
        <w:tc>
          <w:tcPr>
            <w:tcW w:w="1430" w:type="dxa"/>
            <w:gridSpan w:val="3"/>
            <w:vAlign w:val="center"/>
          </w:tcPr>
          <w:p>
            <w:pPr>
              <w:jc w:val="center"/>
              <w:rPr>
                <w:rFonts w:hint="eastAsia"/>
                <w:szCs w:val="21"/>
              </w:rPr>
            </w:pPr>
          </w:p>
        </w:tc>
        <w:tc>
          <w:tcPr>
            <w:tcW w:w="1325" w:type="dxa"/>
            <w:gridSpan w:val="2"/>
            <w:tcBorders>
              <w:right w:val="single" w:color="auto" w:sz="4" w:space="0"/>
            </w:tcBorders>
            <w:vAlign w:val="center"/>
          </w:tcPr>
          <w:p>
            <w:pPr>
              <w:jc w:val="center"/>
              <w:rPr>
                <w:rFonts w:hint="eastAsia"/>
                <w:sz w:val="18"/>
                <w:szCs w:val="18"/>
              </w:rPr>
            </w:pP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1618" w:type="dxa"/>
            <w:vMerge w:val="continue"/>
            <w:tcBorders>
              <w:right w:val="nil"/>
            </w:tcBorders>
            <w:vAlign w:val="center"/>
          </w:tcPr>
          <w:p>
            <w:pPr>
              <w:jc w:val="center"/>
              <w:rPr>
                <w:rFonts w:hint="eastAsia"/>
                <w:sz w:val="18"/>
                <w:szCs w:val="18"/>
              </w:rPr>
            </w:pPr>
          </w:p>
        </w:tc>
        <w:tc>
          <w:tcPr>
            <w:tcW w:w="989" w:type="dxa"/>
            <w:vMerge w:val="continue"/>
            <w:tcBorders>
              <w:left w:val="nil"/>
              <w:right w:val="nil"/>
            </w:tcBorders>
            <w:vAlign w:val="center"/>
          </w:tcPr>
          <w:p>
            <w:pPr>
              <w:jc w:val="center"/>
              <w:rPr>
                <w:rFonts w:hint="eastAsia"/>
                <w:sz w:val="18"/>
                <w:szCs w:val="18"/>
              </w:rPr>
            </w:pPr>
          </w:p>
        </w:tc>
        <w:tc>
          <w:tcPr>
            <w:tcW w:w="1365" w:type="dxa"/>
            <w:tcBorders>
              <w:left w:val="single" w:color="auto" w:sz="4" w:space="0"/>
            </w:tcBorders>
            <w:vAlign w:val="center"/>
          </w:tcPr>
          <w:p>
            <w:pPr>
              <w:jc w:val="center"/>
              <w:rPr>
                <w:rFonts w:hint="eastAsia" w:eastAsiaTheme="minorEastAsia"/>
                <w:sz w:val="18"/>
                <w:szCs w:val="18"/>
                <w:lang w:eastAsia="zh-CN"/>
              </w:rPr>
            </w:pPr>
            <w:r>
              <w:rPr>
                <w:rFonts w:hint="eastAsia"/>
                <w:sz w:val="18"/>
                <w:szCs w:val="18"/>
                <w:lang w:eastAsia="zh-CN"/>
              </w:rPr>
              <w:t>社会公众或服务对象满意度</w:t>
            </w:r>
          </w:p>
        </w:tc>
        <w:tc>
          <w:tcPr>
            <w:tcW w:w="1430" w:type="dxa"/>
            <w:gridSpan w:val="3"/>
            <w:vAlign w:val="center"/>
          </w:tcPr>
          <w:p>
            <w:pPr>
              <w:jc w:val="center"/>
              <w:rPr>
                <w:rFonts w:hint="default" w:eastAsiaTheme="minorEastAsia"/>
                <w:szCs w:val="21"/>
                <w:lang w:val="en-US" w:eastAsia="zh-CN"/>
              </w:rPr>
            </w:pPr>
            <w:r>
              <w:rPr>
                <w:rFonts w:hint="eastAsia"/>
                <w:szCs w:val="21"/>
                <w:lang w:val="en-US" w:eastAsia="zh-CN"/>
              </w:rPr>
              <w:t>群众满意度</w:t>
            </w:r>
          </w:p>
        </w:tc>
        <w:tc>
          <w:tcPr>
            <w:tcW w:w="1325" w:type="dxa"/>
            <w:gridSpan w:val="2"/>
            <w:tcBorders>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95%以上</w:t>
            </w:r>
          </w:p>
        </w:tc>
        <w:tc>
          <w:tcPr>
            <w:tcW w:w="2346" w:type="dxa"/>
            <w:gridSpan w:val="2"/>
            <w:tcBorders>
              <w:left w:val="single" w:color="auto" w:sz="4" w:space="0"/>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9" w:type="dxa"/>
            <w:gridSpan w:val="9"/>
            <w:tcBorders>
              <w:left w:val="nil"/>
              <w:right w:val="nil"/>
            </w:tcBorders>
            <w:vAlign w:val="center"/>
          </w:tcPr>
          <w:p>
            <w:pPr>
              <w:jc w:val="center"/>
              <w:rPr>
                <w:rFonts w:hint="default" w:eastAsiaTheme="minorEastAsia"/>
                <w:sz w:val="18"/>
                <w:szCs w:val="18"/>
                <w:lang w:val="en-US" w:eastAsia="zh-CN"/>
              </w:rPr>
            </w:pPr>
          </w:p>
        </w:tc>
        <w:tc>
          <w:tcPr>
            <w:tcW w:w="1984" w:type="dxa"/>
            <w:tcBorders>
              <w:left w:val="nil"/>
              <w:right w:val="nil"/>
            </w:tcBorders>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9" w:type="dxa"/>
            <w:gridSpan w:val="9"/>
            <w:tcBorders>
              <w:left w:val="nil"/>
              <w:bottom w:val="nil"/>
              <w:right w:val="nil"/>
            </w:tcBorders>
            <w:vAlign w:val="center"/>
          </w:tcPr>
          <w:p>
            <w:pPr>
              <w:jc w:val="center"/>
              <w:rPr>
                <w:rFonts w:hint="default" w:eastAsiaTheme="minorEastAsia"/>
                <w:sz w:val="18"/>
                <w:szCs w:val="18"/>
                <w:lang w:val="en-US" w:eastAsia="zh-CN"/>
              </w:rPr>
            </w:pPr>
          </w:p>
        </w:tc>
        <w:tc>
          <w:tcPr>
            <w:tcW w:w="1984" w:type="dxa"/>
            <w:tcBorders>
              <w:left w:val="nil"/>
              <w:bottom w:val="nil"/>
              <w:right w:val="nil"/>
            </w:tcBorders>
            <w:vAlign w:val="center"/>
          </w:tcPr>
          <w:p>
            <w:pPr>
              <w:jc w:val="center"/>
              <w:rPr>
                <w:rFonts w:hint="eastAsia"/>
                <w:sz w:val="18"/>
                <w:szCs w:val="18"/>
              </w:rPr>
            </w:pPr>
          </w:p>
        </w:tc>
      </w:tr>
    </w:tbl>
    <w:p>
      <w:pPr>
        <w:tabs>
          <w:tab w:val="left" w:pos="639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18"/>
          <w:szCs w:val="18"/>
          <w:lang w:eastAsia="zh-CN"/>
        </w:rPr>
        <w:t>填表人</w:t>
      </w:r>
      <w:r>
        <w:rPr>
          <w:rFonts w:hint="eastAsia" w:asciiTheme="majorEastAsia" w:hAnsiTheme="majorEastAsia" w:eastAsiaTheme="majorEastAsia" w:cstheme="majorEastAsia"/>
          <w:sz w:val="18"/>
          <w:szCs w:val="18"/>
          <w:lang w:val="en-US" w:eastAsia="zh-CN"/>
        </w:rPr>
        <w:t>:  李金国  填报日期: 2021年5月13日  联系电话: 13203088613   单位负责人签字:</w:t>
      </w:r>
    </w:p>
    <w:p/>
    <w:p/>
    <w:sectPr>
      <w:pgSz w:w="11906" w:h="16838"/>
      <w:pgMar w:top="1270"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35E6D"/>
    <w:rsid w:val="00677E8E"/>
    <w:rsid w:val="189A6BC3"/>
    <w:rsid w:val="1EA62CD1"/>
    <w:rsid w:val="21335E6D"/>
    <w:rsid w:val="25C05EDA"/>
    <w:rsid w:val="2BB76ACA"/>
    <w:rsid w:val="31A071B5"/>
    <w:rsid w:val="327C64DC"/>
    <w:rsid w:val="3F012F38"/>
    <w:rsid w:val="498428D2"/>
    <w:rsid w:val="4A0C387C"/>
    <w:rsid w:val="52795F6E"/>
    <w:rsid w:val="52A4065A"/>
    <w:rsid w:val="53CE39FD"/>
    <w:rsid w:val="565E31D1"/>
    <w:rsid w:val="59CC0111"/>
    <w:rsid w:val="5A093700"/>
    <w:rsid w:val="5BCD2D20"/>
    <w:rsid w:val="5F234AF2"/>
    <w:rsid w:val="65C15D0C"/>
    <w:rsid w:val="663F49C6"/>
    <w:rsid w:val="669E25FF"/>
    <w:rsid w:val="67A542E3"/>
    <w:rsid w:val="67EF5F00"/>
    <w:rsid w:val="6B5D4D49"/>
    <w:rsid w:val="70E423B4"/>
    <w:rsid w:val="74947058"/>
    <w:rsid w:val="7A08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1311</Words>
  <Characters>1382</Characters>
  <Lines>0</Lines>
  <Paragraphs>0</Paragraphs>
  <TotalTime>16</TotalTime>
  <ScaleCrop>false</ScaleCrop>
  <LinksUpToDate>false</LinksUpToDate>
  <CharactersWithSpaces>1415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2021-04-25T03:07:00Z</dcterms:created>
  <dc:creator>Administrator</dc:creator>
  <cp:lastModifiedBy>ASUS</cp:lastModifiedBy>
  <dcterms:modified xsi:type="dcterms:W3CDTF">2022-09-05T04:48:32Z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52F25B109D6C4B16BE740F7DC2DFE8BB</vt:lpwstr>
  </property>
</Properties>
</file>