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hint="eastAsia" w:ascii="方正小标宋简体" w:hAnsi="仿宋_GB2312" w:eastAsia="方正小标宋简体"/>
          <w:sz w:val="30"/>
          <w:szCs w:val="30"/>
        </w:rPr>
      </w:pPr>
      <w:bookmarkStart w:id="0" w:name="_GoBack"/>
      <w:r>
        <w:rPr>
          <w:rFonts w:hint="eastAsia" w:ascii="黑体" w:hAnsi="黑体" w:eastAsia="黑体" w:cs="黑体"/>
          <w:sz w:val="30"/>
          <w:szCs w:val="30"/>
        </w:rPr>
        <w:t>附件1</w:t>
      </w:r>
    </w:p>
    <w:bookmarkEnd w:id="0"/>
    <w:p>
      <w:pPr>
        <w:pStyle w:val="13"/>
        <w:autoSpaceDN w:val="0"/>
        <w:spacing w:line="360" w:lineRule="exact"/>
        <w:jc w:val="center"/>
        <w:rPr>
          <w:rFonts w:hint="eastAsia" w:ascii="方正小标宋简体" w:hAnsi="仿宋_GB2312" w:eastAsia="方正小标宋简体"/>
          <w:sz w:val="36"/>
          <w:szCs w:val="36"/>
        </w:rPr>
      </w:pPr>
      <w:r>
        <w:rPr>
          <w:rFonts w:hint="eastAsia" w:ascii="方正小标宋简体" w:hAnsi="仿宋_GB2312" w:eastAsia="方正小标宋简体"/>
          <w:sz w:val="36"/>
          <w:szCs w:val="36"/>
        </w:rPr>
        <w:t>衡东县2022年公开招聘优秀高中教师岗位计划与条件表</w:t>
      </w:r>
    </w:p>
    <w:tbl>
      <w:tblPr>
        <w:tblStyle w:val="8"/>
        <w:tblpPr w:leftFromText="180" w:rightFromText="180" w:vertAnchor="text" w:horzAnchor="page" w:tblpXSpec="center" w:tblpY="27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757"/>
        <w:gridCol w:w="1667"/>
        <w:gridCol w:w="1478"/>
        <w:gridCol w:w="948"/>
        <w:gridCol w:w="706"/>
        <w:gridCol w:w="1151"/>
        <w:gridCol w:w="1152"/>
        <w:gridCol w:w="1468"/>
        <w:gridCol w:w="3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blHeader/>
          <w:jc w:val="center"/>
        </w:trPr>
        <w:tc>
          <w:tcPr>
            <w:tcW w:w="1091" w:type="dxa"/>
            <w:noWrap/>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岗位代码</w:t>
            </w:r>
          </w:p>
        </w:tc>
        <w:tc>
          <w:tcPr>
            <w:tcW w:w="1757" w:type="dxa"/>
            <w:noWrap/>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招聘单位</w:t>
            </w:r>
          </w:p>
        </w:tc>
        <w:tc>
          <w:tcPr>
            <w:tcW w:w="1667" w:type="dxa"/>
            <w:noWrap w:val="0"/>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招聘方式</w:t>
            </w:r>
          </w:p>
        </w:tc>
        <w:tc>
          <w:tcPr>
            <w:tcW w:w="1478" w:type="dxa"/>
            <w:noWrap w:val="0"/>
            <w:vAlign w:val="center"/>
          </w:tcPr>
          <w:p>
            <w:pPr>
              <w:widowControl/>
              <w:spacing w:line="240" w:lineRule="exact"/>
              <w:jc w:val="center"/>
              <w:rPr>
                <w:rFonts w:hint="eastAsia" w:ascii="宋体" w:hAnsi="宋体" w:cs="宋体"/>
                <w:b/>
                <w:bCs/>
                <w:kern w:val="0"/>
                <w:szCs w:val="21"/>
              </w:rPr>
            </w:pPr>
            <w:r>
              <w:rPr>
                <w:rFonts w:hint="eastAsia" w:ascii="宋体" w:hAnsi="宋体" w:cs="宋体"/>
                <w:b/>
                <w:bCs/>
                <w:kern w:val="0"/>
                <w:szCs w:val="21"/>
              </w:rPr>
              <w:t>岗位名称</w:t>
            </w:r>
          </w:p>
        </w:tc>
        <w:tc>
          <w:tcPr>
            <w:tcW w:w="948" w:type="dxa"/>
            <w:noWrap w:val="0"/>
            <w:vAlign w:val="center"/>
          </w:tcPr>
          <w:p>
            <w:pPr>
              <w:widowControl/>
              <w:spacing w:line="240" w:lineRule="exact"/>
              <w:jc w:val="center"/>
              <w:rPr>
                <w:rFonts w:hint="eastAsia" w:ascii="宋体" w:hAnsi="宋体" w:cs="宋体"/>
                <w:b/>
                <w:bCs/>
                <w:kern w:val="0"/>
                <w:szCs w:val="21"/>
              </w:rPr>
            </w:pPr>
            <w:r>
              <w:rPr>
                <w:rFonts w:hint="eastAsia" w:ascii="宋体" w:hAnsi="宋体" w:cs="宋体"/>
                <w:b/>
                <w:bCs/>
                <w:kern w:val="0"/>
                <w:szCs w:val="21"/>
              </w:rPr>
              <w:t>岗位</w:t>
            </w:r>
          </w:p>
          <w:p>
            <w:pPr>
              <w:widowControl/>
              <w:spacing w:line="240" w:lineRule="exact"/>
              <w:jc w:val="center"/>
              <w:rPr>
                <w:rFonts w:ascii="宋体" w:hAnsi="宋体" w:cs="宋体"/>
                <w:b/>
                <w:bCs/>
                <w:kern w:val="0"/>
                <w:szCs w:val="21"/>
              </w:rPr>
            </w:pPr>
            <w:r>
              <w:rPr>
                <w:rFonts w:hint="eastAsia" w:ascii="宋体" w:hAnsi="宋体" w:cs="宋体"/>
                <w:b/>
                <w:bCs/>
                <w:kern w:val="0"/>
                <w:szCs w:val="21"/>
              </w:rPr>
              <w:t>类别</w:t>
            </w:r>
          </w:p>
        </w:tc>
        <w:tc>
          <w:tcPr>
            <w:tcW w:w="706" w:type="dxa"/>
            <w:noWrap w:val="0"/>
            <w:vAlign w:val="center"/>
          </w:tcPr>
          <w:p>
            <w:pPr>
              <w:widowControl/>
              <w:spacing w:line="240" w:lineRule="exact"/>
              <w:jc w:val="center"/>
              <w:rPr>
                <w:rFonts w:hint="eastAsia" w:ascii="宋体" w:hAnsi="宋体" w:cs="宋体"/>
                <w:b/>
                <w:bCs/>
                <w:kern w:val="0"/>
                <w:szCs w:val="21"/>
              </w:rPr>
            </w:pPr>
            <w:r>
              <w:rPr>
                <w:rFonts w:hint="eastAsia" w:ascii="宋体" w:hAnsi="宋体" w:cs="宋体"/>
                <w:b/>
                <w:bCs/>
                <w:kern w:val="0"/>
                <w:szCs w:val="21"/>
              </w:rPr>
              <w:t>招聘</w:t>
            </w:r>
          </w:p>
          <w:p>
            <w:pPr>
              <w:widowControl/>
              <w:spacing w:line="240" w:lineRule="exact"/>
              <w:jc w:val="center"/>
              <w:rPr>
                <w:rFonts w:ascii="宋体" w:hAnsi="宋体" w:cs="宋体"/>
                <w:b/>
                <w:bCs/>
                <w:kern w:val="0"/>
                <w:szCs w:val="21"/>
              </w:rPr>
            </w:pPr>
            <w:r>
              <w:rPr>
                <w:rFonts w:hint="eastAsia" w:ascii="宋体" w:hAnsi="宋体" w:cs="宋体"/>
                <w:b/>
                <w:bCs/>
                <w:kern w:val="0"/>
                <w:szCs w:val="21"/>
              </w:rPr>
              <w:t>计划</w:t>
            </w:r>
          </w:p>
        </w:tc>
        <w:tc>
          <w:tcPr>
            <w:tcW w:w="1151" w:type="dxa"/>
            <w:noWrap w:val="0"/>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编制性质</w:t>
            </w:r>
          </w:p>
        </w:tc>
        <w:tc>
          <w:tcPr>
            <w:tcW w:w="1152" w:type="dxa"/>
            <w:noWrap w:val="0"/>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年龄要求</w:t>
            </w:r>
          </w:p>
        </w:tc>
        <w:tc>
          <w:tcPr>
            <w:tcW w:w="1468" w:type="dxa"/>
            <w:noWrap w:val="0"/>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教师资格证及专业要求</w:t>
            </w:r>
          </w:p>
        </w:tc>
        <w:tc>
          <w:tcPr>
            <w:tcW w:w="3315" w:type="dxa"/>
            <w:noWrap w:val="0"/>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“绿色通道”条件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1091" w:type="dxa"/>
            <w:noWrap w:val="0"/>
            <w:vAlign w:val="center"/>
          </w:tcPr>
          <w:p>
            <w:pPr>
              <w:widowControl/>
              <w:spacing w:line="240" w:lineRule="exact"/>
              <w:jc w:val="center"/>
              <w:textAlignment w:val="center"/>
              <w:rPr>
                <w:rFonts w:hint="eastAsia" w:ascii="宋体" w:hAnsi="宋体" w:cs="宋体"/>
                <w:kern w:val="0"/>
                <w:szCs w:val="21"/>
              </w:rPr>
            </w:pPr>
            <w:r>
              <w:rPr>
                <w:rFonts w:hint="eastAsia" w:ascii="宋体" w:hAnsi="宋体" w:cs="宋体"/>
                <w:b/>
                <w:bCs/>
                <w:color w:val="000000"/>
                <w:kern w:val="0"/>
                <w:sz w:val="22"/>
                <w:szCs w:val="22"/>
                <w:lang w:bidi="ar"/>
              </w:rPr>
              <w:t>001</w:t>
            </w:r>
          </w:p>
        </w:tc>
        <w:tc>
          <w:tcPr>
            <w:tcW w:w="1757" w:type="dxa"/>
            <w:vMerge w:val="restart"/>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衡东县第一中学</w:t>
            </w:r>
            <w:r>
              <w:rPr>
                <w:rFonts w:hint="eastAsia" w:ascii="宋体" w:hAnsi="宋体" w:cs="宋体"/>
                <w:kern w:val="0"/>
                <w:sz w:val="20"/>
                <w:szCs w:val="20"/>
              </w:rPr>
              <w:br w:type="textWrapping"/>
            </w:r>
            <w:r>
              <w:rPr>
                <w:rFonts w:hint="eastAsia" w:ascii="宋体" w:hAnsi="宋体" w:cs="宋体"/>
                <w:kern w:val="0"/>
                <w:sz w:val="20"/>
                <w:szCs w:val="20"/>
              </w:rPr>
              <w:t>（5人）</w:t>
            </w:r>
          </w:p>
        </w:tc>
        <w:tc>
          <w:tcPr>
            <w:tcW w:w="1667"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绿色通道招聘</w:t>
            </w:r>
          </w:p>
        </w:tc>
        <w:tc>
          <w:tcPr>
            <w:tcW w:w="1478"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高中物理</w:t>
            </w:r>
          </w:p>
        </w:tc>
        <w:tc>
          <w:tcPr>
            <w:tcW w:w="948"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专技岗</w:t>
            </w:r>
          </w:p>
        </w:tc>
        <w:tc>
          <w:tcPr>
            <w:tcW w:w="706"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w:t>
            </w:r>
          </w:p>
        </w:tc>
        <w:tc>
          <w:tcPr>
            <w:tcW w:w="1151"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1152" w:type="dxa"/>
            <w:vMerge w:val="restart"/>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本科毕业生年龄为30周岁及以下（1992年6月1日以后出生）；硕士研究生年龄为35周岁及以下（1987年6月1日以后出生）；在岗教师年龄为40岁周岁以下（1982年6月1日出生）。</w:t>
            </w:r>
          </w:p>
        </w:tc>
        <w:tc>
          <w:tcPr>
            <w:tcW w:w="1468" w:type="dxa"/>
            <w:vMerge w:val="restart"/>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高中及以上层次的教师资格证书，且教师资格证书的任教学科与招聘岗位的任教学科一致。所学专业须与招聘岗位所要求的专业一致（硕士研究生专业不限）。</w:t>
            </w:r>
          </w:p>
        </w:tc>
        <w:tc>
          <w:tcPr>
            <w:tcW w:w="3315" w:type="dxa"/>
            <w:vMerge w:val="restart"/>
            <w:noWrap w:val="0"/>
            <w:vAlign w:val="center"/>
          </w:tcPr>
          <w:p>
            <w:pPr>
              <w:widowControl/>
              <w:spacing w:line="240" w:lineRule="exact"/>
              <w:jc w:val="left"/>
              <w:rPr>
                <w:rFonts w:hint="eastAsia" w:ascii="宋体" w:hAnsi="宋体" w:cs="宋体"/>
                <w:kern w:val="0"/>
                <w:sz w:val="16"/>
                <w:szCs w:val="16"/>
              </w:rPr>
            </w:pPr>
            <w:r>
              <w:rPr>
                <w:rFonts w:hint="eastAsia" w:ascii="宋体" w:hAnsi="宋体" w:cs="宋体"/>
                <w:kern w:val="0"/>
                <w:sz w:val="16"/>
                <w:szCs w:val="16"/>
              </w:rPr>
              <w:t>应具备以下条件之一：</w:t>
            </w:r>
          </w:p>
          <w:p>
            <w:pPr>
              <w:widowControl/>
              <w:spacing w:line="240" w:lineRule="exact"/>
              <w:jc w:val="left"/>
              <w:rPr>
                <w:rFonts w:hint="eastAsia" w:ascii="宋体" w:hAnsi="宋体" w:cs="宋体"/>
                <w:kern w:val="0"/>
                <w:sz w:val="16"/>
                <w:szCs w:val="16"/>
              </w:rPr>
            </w:pPr>
            <w:r>
              <w:rPr>
                <w:rFonts w:hint="eastAsia" w:ascii="宋体" w:hAnsi="宋体" w:cs="宋体"/>
                <w:kern w:val="0"/>
                <w:sz w:val="16"/>
                <w:szCs w:val="16"/>
              </w:rPr>
              <w:t>①硕士研究生学历学位毕业生；</w:t>
            </w:r>
          </w:p>
          <w:p>
            <w:pPr>
              <w:widowControl/>
              <w:spacing w:line="240" w:lineRule="exact"/>
              <w:jc w:val="left"/>
              <w:rPr>
                <w:rFonts w:hint="eastAsia" w:ascii="宋体" w:hAnsi="宋体" w:cs="宋体"/>
                <w:kern w:val="0"/>
                <w:sz w:val="16"/>
                <w:szCs w:val="16"/>
              </w:rPr>
            </w:pPr>
            <w:r>
              <w:rPr>
                <w:rFonts w:hint="eastAsia" w:ascii="宋体" w:hAnsi="宋体" w:cs="宋体"/>
                <w:kern w:val="0"/>
                <w:sz w:val="16"/>
                <w:szCs w:val="16"/>
              </w:rPr>
              <w:t>②本科学历学士学位师范类优秀毕业生（具备以下任一条件即可）：国家、省级政府奖学金获得者；国家励志奖学金获得者；省级及以上普通高校师范生教学技能竞赛获奖者；校级及以上优秀毕业生、优秀学生党员、优秀学生干部（含优秀共青团干部）。音体美舞岗位具有省级及以上大学生体育比赛、普通高校音乐舞蹈本科专业学生“三独”比赛、普通高校美术与设计艺术作品评选获奖经历的本科及以上学历学士学位毕业生，其中大学生体育比赛获奖者须为国家级比赛获奖者或省级比赛集体项目（限篮球、排球、足球）前3名、个人项目前6名，“三独”比赛或普通高校美术与设计艺术作品评选获奖者须为一等奖，上述条件中赛事须为省级及以上党委、政府主办、教育行政部门主办或共同主办，奖项须为党委、政府或教育行政部门颁发。</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③ 获得市级及以上党委、政府授予荣誉称号者；市级及以上优秀教师、教学能手、有效任期内的学科带头人、重大赛事金牌（优秀）体育教练；指导中职学生参加省级及以上职业院校技能大赛获二等奖者、指导中小学生（含中职）学生参加省级以上“三独”比赛获二等奖者或省级以上建制班合唱比赛获一等奖者；赛事须为市级及以上党委、政府主办、教育行政部门主办或共同主办；奖项须为党委、政府或教育行政部门颁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1091" w:type="dxa"/>
            <w:noWrap w:val="0"/>
            <w:vAlign w:val="center"/>
          </w:tcPr>
          <w:p>
            <w:pPr>
              <w:widowControl/>
              <w:spacing w:line="240" w:lineRule="exact"/>
              <w:jc w:val="center"/>
              <w:textAlignment w:val="center"/>
              <w:rPr>
                <w:rFonts w:ascii="宋体" w:hAnsi="宋体" w:cs="宋体"/>
                <w:kern w:val="0"/>
                <w:szCs w:val="21"/>
              </w:rPr>
            </w:pPr>
            <w:r>
              <w:rPr>
                <w:rFonts w:hint="eastAsia" w:ascii="宋体" w:hAnsi="宋体" w:cs="宋体"/>
                <w:b/>
                <w:bCs/>
                <w:color w:val="000000"/>
                <w:kern w:val="0"/>
                <w:sz w:val="22"/>
                <w:szCs w:val="22"/>
                <w:lang w:bidi="ar"/>
              </w:rPr>
              <w:t>002</w:t>
            </w:r>
          </w:p>
        </w:tc>
        <w:tc>
          <w:tcPr>
            <w:tcW w:w="1757" w:type="dxa"/>
            <w:vMerge w:val="continue"/>
            <w:noWrap w:val="0"/>
            <w:vAlign w:val="center"/>
          </w:tcPr>
          <w:p>
            <w:pPr>
              <w:widowControl/>
              <w:spacing w:line="240" w:lineRule="exact"/>
              <w:jc w:val="center"/>
              <w:rPr>
                <w:rFonts w:ascii="宋体" w:hAnsi="宋体" w:cs="宋体"/>
                <w:kern w:val="0"/>
                <w:sz w:val="20"/>
                <w:szCs w:val="20"/>
              </w:rPr>
            </w:pPr>
          </w:p>
        </w:tc>
        <w:tc>
          <w:tcPr>
            <w:tcW w:w="1667"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绿色通道招聘</w:t>
            </w:r>
          </w:p>
        </w:tc>
        <w:tc>
          <w:tcPr>
            <w:tcW w:w="1478"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高中化学</w:t>
            </w:r>
          </w:p>
        </w:tc>
        <w:tc>
          <w:tcPr>
            <w:tcW w:w="948"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706"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w:t>
            </w:r>
          </w:p>
        </w:tc>
        <w:tc>
          <w:tcPr>
            <w:tcW w:w="1151"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1152" w:type="dxa"/>
            <w:vMerge w:val="continue"/>
            <w:noWrap w:val="0"/>
            <w:vAlign w:val="center"/>
          </w:tcPr>
          <w:p>
            <w:pPr>
              <w:widowControl/>
              <w:spacing w:line="240" w:lineRule="exact"/>
              <w:jc w:val="center"/>
              <w:rPr>
                <w:rFonts w:ascii="宋体" w:hAnsi="宋体" w:cs="宋体"/>
                <w:kern w:val="0"/>
                <w:szCs w:val="21"/>
              </w:rPr>
            </w:pPr>
          </w:p>
        </w:tc>
        <w:tc>
          <w:tcPr>
            <w:tcW w:w="1468" w:type="dxa"/>
            <w:vMerge w:val="continue"/>
            <w:noWrap w:val="0"/>
            <w:vAlign w:val="center"/>
          </w:tcPr>
          <w:p>
            <w:pPr>
              <w:widowControl/>
              <w:spacing w:line="240" w:lineRule="exact"/>
              <w:jc w:val="center"/>
              <w:rPr>
                <w:rFonts w:ascii="宋体" w:hAnsi="宋体" w:cs="宋体"/>
                <w:kern w:val="0"/>
                <w:szCs w:val="21"/>
              </w:rPr>
            </w:pPr>
          </w:p>
        </w:tc>
        <w:tc>
          <w:tcPr>
            <w:tcW w:w="3315" w:type="dxa"/>
            <w:vMerge w:val="continue"/>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1091" w:type="dxa"/>
            <w:noWrap w:val="0"/>
            <w:vAlign w:val="center"/>
          </w:tcPr>
          <w:p>
            <w:pPr>
              <w:widowControl/>
              <w:spacing w:line="240" w:lineRule="exact"/>
              <w:jc w:val="center"/>
              <w:textAlignment w:val="center"/>
              <w:rPr>
                <w:rFonts w:ascii="宋体" w:hAnsi="宋体" w:cs="宋体"/>
                <w:kern w:val="0"/>
                <w:szCs w:val="21"/>
              </w:rPr>
            </w:pPr>
            <w:r>
              <w:rPr>
                <w:rFonts w:hint="eastAsia" w:ascii="宋体" w:hAnsi="宋体" w:cs="宋体"/>
                <w:b/>
                <w:bCs/>
                <w:color w:val="000000"/>
                <w:kern w:val="0"/>
                <w:sz w:val="22"/>
                <w:szCs w:val="22"/>
                <w:lang w:bidi="ar"/>
              </w:rPr>
              <w:t>003</w:t>
            </w:r>
          </w:p>
        </w:tc>
        <w:tc>
          <w:tcPr>
            <w:tcW w:w="1757" w:type="dxa"/>
            <w:vMerge w:val="continue"/>
            <w:noWrap w:val="0"/>
            <w:vAlign w:val="center"/>
          </w:tcPr>
          <w:p>
            <w:pPr>
              <w:widowControl/>
              <w:spacing w:line="240" w:lineRule="exact"/>
              <w:jc w:val="center"/>
              <w:rPr>
                <w:rFonts w:ascii="宋体" w:hAnsi="宋体" w:cs="宋体"/>
                <w:kern w:val="0"/>
                <w:sz w:val="20"/>
                <w:szCs w:val="20"/>
              </w:rPr>
            </w:pPr>
          </w:p>
        </w:tc>
        <w:tc>
          <w:tcPr>
            <w:tcW w:w="1667"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绿色通道招聘</w:t>
            </w:r>
          </w:p>
        </w:tc>
        <w:tc>
          <w:tcPr>
            <w:tcW w:w="1478"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高中生物</w:t>
            </w:r>
          </w:p>
        </w:tc>
        <w:tc>
          <w:tcPr>
            <w:tcW w:w="948"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706"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w:t>
            </w:r>
          </w:p>
        </w:tc>
        <w:tc>
          <w:tcPr>
            <w:tcW w:w="1151"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1152" w:type="dxa"/>
            <w:vMerge w:val="continue"/>
            <w:noWrap w:val="0"/>
            <w:vAlign w:val="center"/>
          </w:tcPr>
          <w:p>
            <w:pPr>
              <w:widowControl/>
              <w:spacing w:line="240" w:lineRule="exact"/>
              <w:jc w:val="center"/>
              <w:rPr>
                <w:rFonts w:ascii="宋体" w:hAnsi="宋体" w:cs="宋体"/>
                <w:kern w:val="0"/>
                <w:szCs w:val="21"/>
              </w:rPr>
            </w:pPr>
          </w:p>
        </w:tc>
        <w:tc>
          <w:tcPr>
            <w:tcW w:w="1468" w:type="dxa"/>
            <w:vMerge w:val="continue"/>
            <w:noWrap w:val="0"/>
            <w:vAlign w:val="center"/>
          </w:tcPr>
          <w:p>
            <w:pPr>
              <w:widowControl/>
              <w:spacing w:line="240" w:lineRule="exact"/>
              <w:jc w:val="center"/>
              <w:rPr>
                <w:rFonts w:ascii="宋体" w:hAnsi="宋体" w:cs="宋体"/>
                <w:kern w:val="0"/>
                <w:szCs w:val="21"/>
              </w:rPr>
            </w:pPr>
          </w:p>
        </w:tc>
        <w:tc>
          <w:tcPr>
            <w:tcW w:w="3315" w:type="dxa"/>
            <w:vMerge w:val="continue"/>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1091" w:type="dxa"/>
            <w:noWrap w:val="0"/>
            <w:vAlign w:val="center"/>
          </w:tcPr>
          <w:p>
            <w:pPr>
              <w:widowControl/>
              <w:spacing w:line="240" w:lineRule="exact"/>
              <w:jc w:val="center"/>
              <w:textAlignment w:val="center"/>
              <w:rPr>
                <w:rFonts w:ascii="宋体" w:hAnsi="宋体" w:cs="宋体"/>
                <w:kern w:val="0"/>
                <w:szCs w:val="21"/>
              </w:rPr>
            </w:pPr>
            <w:r>
              <w:rPr>
                <w:rFonts w:hint="eastAsia" w:ascii="宋体" w:hAnsi="宋体" w:cs="宋体"/>
                <w:b/>
                <w:bCs/>
                <w:color w:val="000000"/>
                <w:kern w:val="0"/>
                <w:sz w:val="22"/>
                <w:szCs w:val="22"/>
                <w:lang w:bidi="ar"/>
              </w:rPr>
              <w:t>004</w:t>
            </w:r>
          </w:p>
        </w:tc>
        <w:tc>
          <w:tcPr>
            <w:tcW w:w="1757" w:type="dxa"/>
            <w:vMerge w:val="continue"/>
            <w:noWrap w:val="0"/>
            <w:vAlign w:val="center"/>
          </w:tcPr>
          <w:p>
            <w:pPr>
              <w:widowControl/>
              <w:spacing w:line="240" w:lineRule="exact"/>
              <w:jc w:val="center"/>
              <w:rPr>
                <w:rFonts w:ascii="宋体" w:hAnsi="宋体" w:cs="宋体"/>
                <w:kern w:val="0"/>
                <w:sz w:val="20"/>
                <w:szCs w:val="20"/>
              </w:rPr>
            </w:pPr>
          </w:p>
        </w:tc>
        <w:tc>
          <w:tcPr>
            <w:tcW w:w="1667"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绿色通道招聘</w:t>
            </w:r>
          </w:p>
        </w:tc>
        <w:tc>
          <w:tcPr>
            <w:tcW w:w="1478"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高中地理</w:t>
            </w:r>
          </w:p>
        </w:tc>
        <w:tc>
          <w:tcPr>
            <w:tcW w:w="948"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706"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w:t>
            </w:r>
          </w:p>
        </w:tc>
        <w:tc>
          <w:tcPr>
            <w:tcW w:w="1151"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1152" w:type="dxa"/>
            <w:vMerge w:val="continue"/>
            <w:noWrap w:val="0"/>
            <w:vAlign w:val="center"/>
          </w:tcPr>
          <w:p>
            <w:pPr>
              <w:widowControl/>
              <w:spacing w:line="240" w:lineRule="exact"/>
              <w:jc w:val="center"/>
              <w:rPr>
                <w:rFonts w:ascii="宋体" w:hAnsi="宋体" w:cs="宋体"/>
                <w:kern w:val="0"/>
                <w:szCs w:val="21"/>
              </w:rPr>
            </w:pPr>
          </w:p>
        </w:tc>
        <w:tc>
          <w:tcPr>
            <w:tcW w:w="1468" w:type="dxa"/>
            <w:vMerge w:val="continue"/>
            <w:noWrap w:val="0"/>
            <w:vAlign w:val="center"/>
          </w:tcPr>
          <w:p>
            <w:pPr>
              <w:widowControl/>
              <w:spacing w:line="240" w:lineRule="exact"/>
              <w:jc w:val="center"/>
              <w:rPr>
                <w:rFonts w:ascii="宋体" w:hAnsi="宋体" w:cs="宋体"/>
                <w:kern w:val="0"/>
                <w:szCs w:val="21"/>
              </w:rPr>
            </w:pPr>
          </w:p>
        </w:tc>
        <w:tc>
          <w:tcPr>
            <w:tcW w:w="3315" w:type="dxa"/>
            <w:vMerge w:val="continue"/>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1091" w:type="dxa"/>
            <w:noWrap w:val="0"/>
            <w:vAlign w:val="center"/>
          </w:tcPr>
          <w:p>
            <w:pPr>
              <w:widowControl/>
              <w:spacing w:line="240" w:lineRule="exact"/>
              <w:jc w:val="center"/>
              <w:textAlignment w:val="center"/>
              <w:rPr>
                <w:rFonts w:ascii="宋体" w:hAnsi="宋体" w:cs="宋体"/>
                <w:kern w:val="0"/>
                <w:szCs w:val="21"/>
              </w:rPr>
            </w:pPr>
            <w:r>
              <w:rPr>
                <w:rFonts w:hint="eastAsia" w:ascii="宋体" w:hAnsi="宋体" w:cs="宋体"/>
                <w:b/>
                <w:bCs/>
                <w:color w:val="000000"/>
                <w:kern w:val="0"/>
                <w:sz w:val="22"/>
                <w:szCs w:val="22"/>
                <w:lang w:bidi="ar"/>
              </w:rPr>
              <w:t>005</w:t>
            </w:r>
          </w:p>
        </w:tc>
        <w:tc>
          <w:tcPr>
            <w:tcW w:w="1757" w:type="dxa"/>
            <w:vMerge w:val="restart"/>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衡东县第二中学</w:t>
            </w:r>
          </w:p>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（6人）</w:t>
            </w:r>
            <w:r>
              <w:rPr>
                <w:rFonts w:hint="eastAsia" w:ascii="宋体" w:hAnsi="宋体" w:cs="宋体"/>
                <w:kern w:val="0"/>
                <w:sz w:val="20"/>
                <w:szCs w:val="20"/>
              </w:rPr>
              <w:br w:type="textWrapping"/>
            </w:r>
          </w:p>
          <w:p>
            <w:pPr>
              <w:widowControl/>
              <w:spacing w:line="240" w:lineRule="exact"/>
              <w:jc w:val="center"/>
              <w:rPr>
                <w:rFonts w:ascii="宋体" w:hAnsi="宋体" w:cs="宋体"/>
                <w:kern w:val="0"/>
                <w:sz w:val="20"/>
                <w:szCs w:val="20"/>
              </w:rPr>
            </w:pPr>
          </w:p>
        </w:tc>
        <w:tc>
          <w:tcPr>
            <w:tcW w:w="1667"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绿色通道招聘</w:t>
            </w:r>
          </w:p>
        </w:tc>
        <w:tc>
          <w:tcPr>
            <w:tcW w:w="1478"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高中语文</w:t>
            </w:r>
          </w:p>
        </w:tc>
        <w:tc>
          <w:tcPr>
            <w:tcW w:w="948"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706"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1</w:t>
            </w:r>
          </w:p>
        </w:tc>
        <w:tc>
          <w:tcPr>
            <w:tcW w:w="1151"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1152" w:type="dxa"/>
            <w:vMerge w:val="continue"/>
            <w:noWrap w:val="0"/>
            <w:vAlign w:val="center"/>
          </w:tcPr>
          <w:p>
            <w:pPr>
              <w:widowControl/>
              <w:spacing w:line="240" w:lineRule="exact"/>
              <w:jc w:val="center"/>
              <w:rPr>
                <w:rFonts w:ascii="宋体" w:hAnsi="宋体" w:cs="宋体"/>
                <w:kern w:val="0"/>
                <w:szCs w:val="21"/>
              </w:rPr>
            </w:pPr>
          </w:p>
        </w:tc>
        <w:tc>
          <w:tcPr>
            <w:tcW w:w="1468" w:type="dxa"/>
            <w:vMerge w:val="continue"/>
            <w:noWrap w:val="0"/>
            <w:vAlign w:val="center"/>
          </w:tcPr>
          <w:p>
            <w:pPr>
              <w:widowControl/>
              <w:spacing w:line="240" w:lineRule="exact"/>
              <w:jc w:val="center"/>
              <w:rPr>
                <w:rFonts w:ascii="宋体" w:hAnsi="宋体" w:cs="宋体"/>
                <w:kern w:val="0"/>
                <w:szCs w:val="21"/>
              </w:rPr>
            </w:pPr>
          </w:p>
        </w:tc>
        <w:tc>
          <w:tcPr>
            <w:tcW w:w="3315" w:type="dxa"/>
            <w:vMerge w:val="continue"/>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1091" w:type="dxa"/>
            <w:noWrap w:val="0"/>
            <w:vAlign w:val="center"/>
          </w:tcPr>
          <w:p>
            <w:pPr>
              <w:widowControl/>
              <w:spacing w:line="240" w:lineRule="exact"/>
              <w:jc w:val="center"/>
              <w:textAlignment w:val="center"/>
              <w:rPr>
                <w:rFonts w:ascii="宋体" w:hAnsi="宋体" w:cs="宋体"/>
                <w:kern w:val="0"/>
                <w:szCs w:val="21"/>
              </w:rPr>
            </w:pPr>
            <w:r>
              <w:rPr>
                <w:rFonts w:hint="eastAsia" w:ascii="宋体" w:hAnsi="宋体" w:cs="宋体"/>
                <w:b/>
                <w:bCs/>
                <w:color w:val="000000"/>
                <w:kern w:val="0"/>
                <w:sz w:val="22"/>
                <w:szCs w:val="22"/>
                <w:lang w:bidi="ar"/>
              </w:rPr>
              <w:t>006</w:t>
            </w:r>
          </w:p>
        </w:tc>
        <w:tc>
          <w:tcPr>
            <w:tcW w:w="1757" w:type="dxa"/>
            <w:vMerge w:val="continue"/>
            <w:noWrap w:val="0"/>
            <w:vAlign w:val="center"/>
          </w:tcPr>
          <w:p>
            <w:pPr>
              <w:widowControl/>
              <w:spacing w:line="240" w:lineRule="exact"/>
              <w:jc w:val="center"/>
              <w:rPr>
                <w:rFonts w:ascii="宋体" w:hAnsi="宋体" w:cs="宋体"/>
                <w:kern w:val="0"/>
                <w:sz w:val="20"/>
                <w:szCs w:val="20"/>
              </w:rPr>
            </w:pPr>
          </w:p>
        </w:tc>
        <w:tc>
          <w:tcPr>
            <w:tcW w:w="1667"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绿色通道招聘</w:t>
            </w:r>
          </w:p>
        </w:tc>
        <w:tc>
          <w:tcPr>
            <w:tcW w:w="1478"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高中英语</w:t>
            </w:r>
          </w:p>
        </w:tc>
        <w:tc>
          <w:tcPr>
            <w:tcW w:w="948"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706"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w:t>
            </w:r>
          </w:p>
        </w:tc>
        <w:tc>
          <w:tcPr>
            <w:tcW w:w="1151"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1152" w:type="dxa"/>
            <w:vMerge w:val="continue"/>
            <w:noWrap w:val="0"/>
            <w:vAlign w:val="center"/>
          </w:tcPr>
          <w:p>
            <w:pPr>
              <w:widowControl/>
              <w:spacing w:line="240" w:lineRule="exact"/>
              <w:jc w:val="center"/>
              <w:rPr>
                <w:rFonts w:ascii="宋体" w:hAnsi="宋体" w:cs="宋体"/>
                <w:kern w:val="0"/>
                <w:szCs w:val="21"/>
              </w:rPr>
            </w:pPr>
          </w:p>
        </w:tc>
        <w:tc>
          <w:tcPr>
            <w:tcW w:w="1468" w:type="dxa"/>
            <w:vMerge w:val="continue"/>
            <w:noWrap w:val="0"/>
            <w:vAlign w:val="center"/>
          </w:tcPr>
          <w:p>
            <w:pPr>
              <w:widowControl/>
              <w:spacing w:line="240" w:lineRule="exact"/>
              <w:jc w:val="center"/>
              <w:rPr>
                <w:rFonts w:ascii="宋体" w:hAnsi="宋体" w:cs="宋体"/>
                <w:kern w:val="0"/>
                <w:szCs w:val="21"/>
              </w:rPr>
            </w:pPr>
          </w:p>
        </w:tc>
        <w:tc>
          <w:tcPr>
            <w:tcW w:w="3315" w:type="dxa"/>
            <w:vMerge w:val="continue"/>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1091" w:type="dxa"/>
            <w:noWrap w:val="0"/>
            <w:vAlign w:val="center"/>
          </w:tcPr>
          <w:p>
            <w:pPr>
              <w:widowControl/>
              <w:spacing w:line="240" w:lineRule="exact"/>
              <w:jc w:val="center"/>
              <w:textAlignment w:val="center"/>
              <w:rPr>
                <w:rFonts w:ascii="宋体" w:hAnsi="宋体" w:cs="宋体"/>
                <w:kern w:val="0"/>
                <w:szCs w:val="21"/>
              </w:rPr>
            </w:pPr>
            <w:r>
              <w:rPr>
                <w:rFonts w:hint="eastAsia" w:ascii="宋体" w:hAnsi="宋体" w:cs="宋体"/>
                <w:b/>
                <w:bCs/>
                <w:color w:val="000000"/>
                <w:kern w:val="0"/>
                <w:sz w:val="22"/>
                <w:szCs w:val="22"/>
                <w:lang w:bidi="ar"/>
              </w:rPr>
              <w:t>007</w:t>
            </w:r>
          </w:p>
        </w:tc>
        <w:tc>
          <w:tcPr>
            <w:tcW w:w="1757" w:type="dxa"/>
            <w:vMerge w:val="continue"/>
            <w:noWrap w:val="0"/>
            <w:vAlign w:val="center"/>
          </w:tcPr>
          <w:p>
            <w:pPr>
              <w:widowControl/>
              <w:spacing w:line="240" w:lineRule="exact"/>
              <w:jc w:val="center"/>
              <w:rPr>
                <w:rFonts w:ascii="宋体" w:hAnsi="宋体" w:cs="宋体"/>
                <w:kern w:val="0"/>
                <w:sz w:val="20"/>
                <w:szCs w:val="20"/>
              </w:rPr>
            </w:pPr>
          </w:p>
        </w:tc>
        <w:tc>
          <w:tcPr>
            <w:tcW w:w="1667"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绿色通道招聘</w:t>
            </w:r>
          </w:p>
        </w:tc>
        <w:tc>
          <w:tcPr>
            <w:tcW w:w="1478"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高中生物</w:t>
            </w:r>
          </w:p>
        </w:tc>
        <w:tc>
          <w:tcPr>
            <w:tcW w:w="948"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706"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w:t>
            </w:r>
          </w:p>
        </w:tc>
        <w:tc>
          <w:tcPr>
            <w:tcW w:w="1151"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1152" w:type="dxa"/>
            <w:vMerge w:val="continue"/>
            <w:noWrap w:val="0"/>
            <w:vAlign w:val="center"/>
          </w:tcPr>
          <w:p>
            <w:pPr>
              <w:widowControl/>
              <w:spacing w:line="240" w:lineRule="exact"/>
              <w:jc w:val="center"/>
              <w:rPr>
                <w:rFonts w:ascii="宋体" w:hAnsi="宋体" w:cs="宋体"/>
                <w:kern w:val="0"/>
                <w:szCs w:val="21"/>
              </w:rPr>
            </w:pPr>
          </w:p>
        </w:tc>
        <w:tc>
          <w:tcPr>
            <w:tcW w:w="1468" w:type="dxa"/>
            <w:vMerge w:val="continue"/>
            <w:noWrap w:val="0"/>
            <w:vAlign w:val="center"/>
          </w:tcPr>
          <w:p>
            <w:pPr>
              <w:widowControl/>
              <w:spacing w:line="240" w:lineRule="exact"/>
              <w:jc w:val="center"/>
              <w:rPr>
                <w:rFonts w:ascii="宋体" w:hAnsi="宋体" w:cs="宋体"/>
                <w:kern w:val="0"/>
                <w:szCs w:val="21"/>
              </w:rPr>
            </w:pPr>
          </w:p>
        </w:tc>
        <w:tc>
          <w:tcPr>
            <w:tcW w:w="3315" w:type="dxa"/>
            <w:vMerge w:val="continue"/>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1091" w:type="dxa"/>
            <w:noWrap w:val="0"/>
            <w:vAlign w:val="center"/>
          </w:tcPr>
          <w:p>
            <w:pPr>
              <w:widowControl/>
              <w:spacing w:line="240" w:lineRule="exact"/>
              <w:jc w:val="center"/>
              <w:textAlignment w:val="center"/>
              <w:rPr>
                <w:rFonts w:ascii="宋体" w:hAnsi="宋体" w:cs="宋体"/>
                <w:kern w:val="0"/>
                <w:szCs w:val="21"/>
              </w:rPr>
            </w:pPr>
            <w:r>
              <w:rPr>
                <w:rFonts w:hint="eastAsia" w:ascii="宋体" w:hAnsi="宋体" w:cs="宋体"/>
                <w:b/>
                <w:bCs/>
                <w:color w:val="000000"/>
                <w:kern w:val="0"/>
                <w:sz w:val="22"/>
                <w:szCs w:val="22"/>
                <w:lang w:bidi="ar"/>
              </w:rPr>
              <w:t>008</w:t>
            </w:r>
          </w:p>
        </w:tc>
        <w:tc>
          <w:tcPr>
            <w:tcW w:w="1757" w:type="dxa"/>
            <w:vMerge w:val="continue"/>
            <w:noWrap w:val="0"/>
            <w:vAlign w:val="center"/>
          </w:tcPr>
          <w:p>
            <w:pPr>
              <w:widowControl/>
              <w:spacing w:line="240" w:lineRule="exact"/>
              <w:jc w:val="center"/>
              <w:rPr>
                <w:rFonts w:ascii="宋体" w:hAnsi="宋体" w:cs="宋体"/>
                <w:kern w:val="0"/>
                <w:sz w:val="20"/>
                <w:szCs w:val="20"/>
              </w:rPr>
            </w:pPr>
          </w:p>
        </w:tc>
        <w:tc>
          <w:tcPr>
            <w:tcW w:w="1667"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绿色通道招聘</w:t>
            </w:r>
          </w:p>
        </w:tc>
        <w:tc>
          <w:tcPr>
            <w:tcW w:w="1478"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高中地理</w:t>
            </w:r>
          </w:p>
        </w:tc>
        <w:tc>
          <w:tcPr>
            <w:tcW w:w="948"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706"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1</w:t>
            </w:r>
          </w:p>
        </w:tc>
        <w:tc>
          <w:tcPr>
            <w:tcW w:w="1151"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1152" w:type="dxa"/>
            <w:vMerge w:val="continue"/>
            <w:noWrap w:val="0"/>
            <w:vAlign w:val="center"/>
          </w:tcPr>
          <w:p>
            <w:pPr>
              <w:widowControl/>
              <w:spacing w:line="240" w:lineRule="exact"/>
              <w:jc w:val="center"/>
              <w:rPr>
                <w:rFonts w:ascii="宋体" w:hAnsi="宋体" w:cs="宋体"/>
                <w:kern w:val="0"/>
                <w:szCs w:val="21"/>
              </w:rPr>
            </w:pPr>
          </w:p>
        </w:tc>
        <w:tc>
          <w:tcPr>
            <w:tcW w:w="1468" w:type="dxa"/>
            <w:vMerge w:val="continue"/>
            <w:noWrap w:val="0"/>
            <w:vAlign w:val="center"/>
          </w:tcPr>
          <w:p>
            <w:pPr>
              <w:widowControl/>
              <w:spacing w:line="240" w:lineRule="exact"/>
              <w:jc w:val="center"/>
              <w:rPr>
                <w:rFonts w:ascii="宋体" w:hAnsi="宋体" w:cs="宋体"/>
                <w:kern w:val="0"/>
                <w:szCs w:val="21"/>
              </w:rPr>
            </w:pPr>
          </w:p>
        </w:tc>
        <w:tc>
          <w:tcPr>
            <w:tcW w:w="3315" w:type="dxa"/>
            <w:vMerge w:val="continue"/>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1091" w:type="dxa"/>
            <w:noWrap w:val="0"/>
            <w:vAlign w:val="center"/>
          </w:tcPr>
          <w:p>
            <w:pPr>
              <w:widowControl/>
              <w:spacing w:line="240" w:lineRule="exact"/>
              <w:jc w:val="center"/>
              <w:textAlignment w:val="center"/>
              <w:rPr>
                <w:rFonts w:ascii="宋体" w:hAnsi="宋体" w:cs="宋体"/>
                <w:kern w:val="0"/>
                <w:szCs w:val="21"/>
              </w:rPr>
            </w:pPr>
            <w:r>
              <w:rPr>
                <w:rFonts w:hint="eastAsia" w:ascii="宋体" w:hAnsi="宋体" w:cs="宋体"/>
                <w:b/>
                <w:bCs/>
                <w:color w:val="000000"/>
                <w:kern w:val="0"/>
                <w:sz w:val="22"/>
                <w:szCs w:val="22"/>
                <w:lang w:bidi="ar"/>
              </w:rPr>
              <w:t>009</w:t>
            </w:r>
          </w:p>
        </w:tc>
        <w:tc>
          <w:tcPr>
            <w:tcW w:w="1757" w:type="dxa"/>
            <w:vMerge w:val="continue"/>
            <w:noWrap w:val="0"/>
            <w:vAlign w:val="center"/>
          </w:tcPr>
          <w:p>
            <w:pPr>
              <w:widowControl/>
              <w:spacing w:line="240" w:lineRule="exact"/>
              <w:jc w:val="center"/>
              <w:rPr>
                <w:rFonts w:ascii="宋体" w:hAnsi="宋体" w:cs="宋体"/>
                <w:kern w:val="0"/>
                <w:sz w:val="20"/>
                <w:szCs w:val="20"/>
              </w:rPr>
            </w:pPr>
          </w:p>
        </w:tc>
        <w:tc>
          <w:tcPr>
            <w:tcW w:w="1667"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绿色通道招聘</w:t>
            </w:r>
          </w:p>
        </w:tc>
        <w:tc>
          <w:tcPr>
            <w:tcW w:w="1478"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高中思想政治</w:t>
            </w:r>
          </w:p>
        </w:tc>
        <w:tc>
          <w:tcPr>
            <w:tcW w:w="948"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706"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1</w:t>
            </w:r>
          </w:p>
        </w:tc>
        <w:tc>
          <w:tcPr>
            <w:tcW w:w="1151"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1152" w:type="dxa"/>
            <w:vMerge w:val="continue"/>
            <w:noWrap w:val="0"/>
            <w:vAlign w:val="center"/>
          </w:tcPr>
          <w:p>
            <w:pPr>
              <w:widowControl/>
              <w:spacing w:line="240" w:lineRule="exact"/>
              <w:jc w:val="center"/>
              <w:rPr>
                <w:rFonts w:ascii="宋体" w:hAnsi="宋体" w:cs="宋体"/>
                <w:kern w:val="0"/>
                <w:szCs w:val="21"/>
              </w:rPr>
            </w:pPr>
          </w:p>
        </w:tc>
        <w:tc>
          <w:tcPr>
            <w:tcW w:w="1468" w:type="dxa"/>
            <w:vMerge w:val="continue"/>
            <w:noWrap w:val="0"/>
            <w:vAlign w:val="center"/>
          </w:tcPr>
          <w:p>
            <w:pPr>
              <w:widowControl/>
              <w:spacing w:line="240" w:lineRule="exact"/>
              <w:jc w:val="center"/>
              <w:rPr>
                <w:rFonts w:ascii="宋体" w:hAnsi="宋体" w:cs="宋体"/>
                <w:kern w:val="0"/>
                <w:szCs w:val="21"/>
              </w:rPr>
            </w:pPr>
          </w:p>
        </w:tc>
        <w:tc>
          <w:tcPr>
            <w:tcW w:w="3315" w:type="dxa"/>
            <w:vMerge w:val="continue"/>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1091" w:type="dxa"/>
            <w:noWrap w:val="0"/>
            <w:vAlign w:val="center"/>
          </w:tcPr>
          <w:p>
            <w:pPr>
              <w:widowControl/>
              <w:spacing w:line="240" w:lineRule="exact"/>
              <w:jc w:val="center"/>
              <w:textAlignment w:val="center"/>
              <w:rPr>
                <w:rFonts w:ascii="宋体" w:hAnsi="宋体" w:cs="宋体"/>
                <w:kern w:val="0"/>
                <w:szCs w:val="21"/>
              </w:rPr>
            </w:pPr>
            <w:r>
              <w:rPr>
                <w:rFonts w:hint="eastAsia" w:ascii="宋体" w:hAnsi="宋体" w:cs="宋体"/>
                <w:b/>
                <w:bCs/>
                <w:color w:val="000000"/>
                <w:kern w:val="0"/>
                <w:sz w:val="22"/>
                <w:szCs w:val="22"/>
                <w:lang w:bidi="ar"/>
              </w:rPr>
              <w:t>010</w:t>
            </w:r>
          </w:p>
        </w:tc>
        <w:tc>
          <w:tcPr>
            <w:tcW w:w="1757" w:type="dxa"/>
            <w:vMerge w:val="restart"/>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衡东县第五中学</w:t>
            </w:r>
          </w:p>
          <w:p>
            <w:pPr>
              <w:widowControl/>
              <w:spacing w:line="240" w:lineRule="exact"/>
              <w:jc w:val="center"/>
              <w:rPr>
                <w:rFonts w:ascii="宋体" w:hAnsi="宋体" w:cs="宋体"/>
                <w:kern w:val="0"/>
                <w:sz w:val="20"/>
                <w:szCs w:val="20"/>
              </w:rPr>
            </w:pPr>
            <w:r>
              <w:rPr>
                <w:rFonts w:hint="eastAsia" w:ascii="宋体" w:hAnsi="宋体" w:cs="宋体"/>
                <w:kern w:val="0"/>
                <w:sz w:val="20"/>
                <w:szCs w:val="20"/>
              </w:rPr>
              <w:t>（5人）</w:t>
            </w:r>
          </w:p>
        </w:tc>
        <w:tc>
          <w:tcPr>
            <w:tcW w:w="1667"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绿色通道招聘</w:t>
            </w:r>
          </w:p>
        </w:tc>
        <w:tc>
          <w:tcPr>
            <w:tcW w:w="1478"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高中数学</w:t>
            </w:r>
          </w:p>
        </w:tc>
        <w:tc>
          <w:tcPr>
            <w:tcW w:w="948"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706"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w:t>
            </w:r>
          </w:p>
        </w:tc>
        <w:tc>
          <w:tcPr>
            <w:tcW w:w="1151"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1152" w:type="dxa"/>
            <w:vMerge w:val="continue"/>
            <w:noWrap w:val="0"/>
            <w:vAlign w:val="center"/>
          </w:tcPr>
          <w:p>
            <w:pPr>
              <w:widowControl/>
              <w:spacing w:line="240" w:lineRule="exact"/>
              <w:jc w:val="center"/>
              <w:rPr>
                <w:rFonts w:ascii="宋体" w:hAnsi="宋体" w:cs="宋体"/>
                <w:kern w:val="0"/>
                <w:szCs w:val="21"/>
              </w:rPr>
            </w:pPr>
          </w:p>
        </w:tc>
        <w:tc>
          <w:tcPr>
            <w:tcW w:w="1468" w:type="dxa"/>
            <w:vMerge w:val="continue"/>
            <w:noWrap w:val="0"/>
            <w:vAlign w:val="center"/>
          </w:tcPr>
          <w:p>
            <w:pPr>
              <w:widowControl/>
              <w:spacing w:line="240" w:lineRule="exact"/>
              <w:jc w:val="center"/>
              <w:rPr>
                <w:rFonts w:ascii="宋体" w:hAnsi="宋体" w:cs="宋体"/>
                <w:kern w:val="0"/>
                <w:szCs w:val="21"/>
              </w:rPr>
            </w:pPr>
          </w:p>
        </w:tc>
        <w:tc>
          <w:tcPr>
            <w:tcW w:w="3315" w:type="dxa"/>
            <w:vMerge w:val="continue"/>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1091" w:type="dxa"/>
            <w:noWrap w:val="0"/>
            <w:vAlign w:val="center"/>
          </w:tcPr>
          <w:p>
            <w:pPr>
              <w:widowControl/>
              <w:spacing w:line="240" w:lineRule="exact"/>
              <w:jc w:val="center"/>
              <w:textAlignment w:val="center"/>
              <w:rPr>
                <w:rFonts w:ascii="宋体" w:hAnsi="宋体" w:cs="宋体"/>
                <w:kern w:val="0"/>
                <w:szCs w:val="21"/>
              </w:rPr>
            </w:pPr>
            <w:r>
              <w:rPr>
                <w:rFonts w:hint="eastAsia" w:ascii="宋体" w:hAnsi="宋体" w:cs="宋体"/>
                <w:b/>
                <w:bCs/>
                <w:color w:val="000000"/>
                <w:kern w:val="0"/>
                <w:sz w:val="22"/>
                <w:szCs w:val="22"/>
                <w:lang w:bidi="ar"/>
              </w:rPr>
              <w:t>011</w:t>
            </w:r>
          </w:p>
        </w:tc>
        <w:tc>
          <w:tcPr>
            <w:tcW w:w="1757" w:type="dxa"/>
            <w:vMerge w:val="continue"/>
            <w:noWrap w:val="0"/>
            <w:vAlign w:val="center"/>
          </w:tcPr>
          <w:p>
            <w:pPr>
              <w:widowControl/>
              <w:spacing w:line="240" w:lineRule="exact"/>
              <w:jc w:val="center"/>
              <w:rPr>
                <w:rFonts w:ascii="宋体" w:hAnsi="宋体" w:cs="宋体"/>
                <w:kern w:val="0"/>
                <w:sz w:val="20"/>
                <w:szCs w:val="20"/>
              </w:rPr>
            </w:pPr>
          </w:p>
        </w:tc>
        <w:tc>
          <w:tcPr>
            <w:tcW w:w="1667"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绿色通道招聘</w:t>
            </w:r>
          </w:p>
        </w:tc>
        <w:tc>
          <w:tcPr>
            <w:tcW w:w="1478"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高中英语</w:t>
            </w:r>
          </w:p>
        </w:tc>
        <w:tc>
          <w:tcPr>
            <w:tcW w:w="948"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706"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1</w:t>
            </w:r>
          </w:p>
        </w:tc>
        <w:tc>
          <w:tcPr>
            <w:tcW w:w="1151"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1152" w:type="dxa"/>
            <w:vMerge w:val="continue"/>
            <w:noWrap w:val="0"/>
            <w:vAlign w:val="center"/>
          </w:tcPr>
          <w:p>
            <w:pPr>
              <w:widowControl/>
              <w:spacing w:line="240" w:lineRule="exact"/>
              <w:jc w:val="center"/>
              <w:rPr>
                <w:rFonts w:ascii="宋体" w:hAnsi="宋体" w:cs="宋体"/>
                <w:kern w:val="0"/>
                <w:szCs w:val="21"/>
              </w:rPr>
            </w:pPr>
          </w:p>
        </w:tc>
        <w:tc>
          <w:tcPr>
            <w:tcW w:w="1468" w:type="dxa"/>
            <w:vMerge w:val="continue"/>
            <w:noWrap w:val="0"/>
            <w:vAlign w:val="center"/>
          </w:tcPr>
          <w:p>
            <w:pPr>
              <w:widowControl/>
              <w:spacing w:line="240" w:lineRule="exact"/>
              <w:jc w:val="center"/>
              <w:rPr>
                <w:rFonts w:ascii="宋体" w:hAnsi="宋体" w:cs="宋体"/>
                <w:kern w:val="0"/>
                <w:szCs w:val="21"/>
              </w:rPr>
            </w:pPr>
          </w:p>
        </w:tc>
        <w:tc>
          <w:tcPr>
            <w:tcW w:w="3315" w:type="dxa"/>
            <w:vMerge w:val="continue"/>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1091" w:type="dxa"/>
            <w:noWrap w:val="0"/>
            <w:vAlign w:val="center"/>
          </w:tcPr>
          <w:p>
            <w:pPr>
              <w:widowControl/>
              <w:spacing w:line="240" w:lineRule="exact"/>
              <w:jc w:val="center"/>
              <w:textAlignment w:val="center"/>
              <w:rPr>
                <w:rFonts w:ascii="宋体" w:hAnsi="宋体" w:cs="宋体"/>
                <w:kern w:val="0"/>
                <w:szCs w:val="21"/>
              </w:rPr>
            </w:pPr>
            <w:r>
              <w:rPr>
                <w:rFonts w:hint="eastAsia" w:ascii="宋体" w:hAnsi="宋体" w:cs="宋体"/>
                <w:b/>
                <w:bCs/>
                <w:color w:val="000000"/>
                <w:kern w:val="0"/>
                <w:sz w:val="22"/>
                <w:szCs w:val="22"/>
                <w:lang w:bidi="ar"/>
              </w:rPr>
              <w:t>012</w:t>
            </w:r>
          </w:p>
        </w:tc>
        <w:tc>
          <w:tcPr>
            <w:tcW w:w="1757" w:type="dxa"/>
            <w:vMerge w:val="continue"/>
            <w:noWrap w:val="0"/>
            <w:vAlign w:val="center"/>
          </w:tcPr>
          <w:p>
            <w:pPr>
              <w:widowControl/>
              <w:spacing w:line="240" w:lineRule="exact"/>
              <w:jc w:val="center"/>
              <w:rPr>
                <w:rFonts w:ascii="宋体" w:hAnsi="宋体" w:cs="宋体"/>
                <w:kern w:val="0"/>
                <w:sz w:val="20"/>
                <w:szCs w:val="20"/>
              </w:rPr>
            </w:pPr>
          </w:p>
        </w:tc>
        <w:tc>
          <w:tcPr>
            <w:tcW w:w="1667"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绿色通道招聘</w:t>
            </w:r>
          </w:p>
        </w:tc>
        <w:tc>
          <w:tcPr>
            <w:tcW w:w="1478"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高中物理</w:t>
            </w:r>
          </w:p>
        </w:tc>
        <w:tc>
          <w:tcPr>
            <w:tcW w:w="948"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706"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w:t>
            </w:r>
          </w:p>
        </w:tc>
        <w:tc>
          <w:tcPr>
            <w:tcW w:w="1151"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1152" w:type="dxa"/>
            <w:vMerge w:val="continue"/>
            <w:noWrap w:val="0"/>
            <w:vAlign w:val="center"/>
          </w:tcPr>
          <w:p>
            <w:pPr>
              <w:widowControl/>
              <w:spacing w:line="240" w:lineRule="exact"/>
              <w:jc w:val="center"/>
              <w:rPr>
                <w:rFonts w:ascii="宋体" w:hAnsi="宋体" w:cs="宋体"/>
                <w:kern w:val="0"/>
                <w:szCs w:val="21"/>
              </w:rPr>
            </w:pPr>
          </w:p>
        </w:tc>
        <w:tc>
          <w:tcPr>
            <w:tcW w:w="1468" w:type="dxa"/>
            <w:vMerge w:val="continue"/>
            <w:noWrap w:val="0"/>
            <w:vAlign w:val="center"/>
          </w:tcPr>
          <w:p>
            <w:pPr>
              <w:widowControl/>
              <w:spacing w:line="240" w:lineRule="exact"/>
              <w:jc w:val="center"/>
              <w:rPr>
                <w:rFonts w:ascii="宋体" w:hAnsi="宋体" w:cs="宋体"/>
                <w:kern w:val="0"/>
                <w:szCs w:val="21"/>
              </w:rPr>
            </w:pPr>
          </w:p>
        </w:tc>
        <w:tc>
          <w:tcPr>
            <w:tcW w:w="3315" w:type="dxa"/>
            <w:vMerge w:val="continue"/>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1091" w:type="dxa"/>
            <w:noWrap w:val="0"/>
            <w:vAlign w:val="center"/>
          </w:tcPr>
          <w:p>
            <w:pPr>
              <w:widowControl/>
              <w:spacing w:line="240" w:lineRule="exact"/>
              <w:jc w:val="center"/>
              <w:textAlignment w:val="center"/>
              <w:rPr>
                <w:rFonts w:ascii="宋体" w:hAnsi="宋体" w:cs="宋体"/>
                <w:kern w:val="0"/>
                <w:szCs w:val="21"/>
              </w:rPr>
            </w:pPr>
            <w:r>
              <w:rPr>
                <w:rFonts w:hint="eastAsia" w:ascii="宋体" w:hAnsi="宋体" w:cs="宋体"/>
                <w:b/>
                <w:bCs/>
                <w:color w:val="000000"/>
                <w:kern w:val="0"/>
                <w:sz w:val="22"/>
                <w:szCs w:val="22"/>
                <w:lang w:bidi="ar"/>
              </w:rPr>
              <w:t>013</w:t>
            </w:r>
          </w:p>
        </w:tc>
        <w:tc>
          <w:tcPr>
            <w:tcW w:w="1757" w:type="dxa"/>
            <w:vMerge w:val="continue"/>
            <w:noWrap w:val="0"/>
            <w:vAlign w:val="center"/>
          </w:tcPr>
          <w:p>
            <w:pPr>
              <w:widowControl/>
              <w:spacing w:line="240" w:lineRule="exact"/>
              <w:jc w:val="center"/>
              <w:rPr>
                <w:rFonts w:ascii="宋体" w:hAnsi="宋体" w:cs="宋体"/>
                <w:kern w:val="0"/>
                <w:sz w:val="20"/>
                <w:szCs w:val="20"/>
              </w:rPr>
            </w:pPr>
          </w:p>
        </w:tc>
        <w:tc>
          <w:tcPr>
            <w:tcW w:w="1667"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绿色通道招聘</w:t>
            </w:r>
          </w:p>
        </w:tc>
        <w:tc>
          <w:tcPr>
            <w:tcW w:w="1478"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高中音乐</w:t>
            </w:r>
          </w:p>
        </w:tc>
        <w:tc>
          <w:tcPr>
            <w:tcW w:w="948"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706"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1</w:t>
            </w:r>
          </w:p>
        </w:tc>
        <w:tc>
          <w:tcPr>
            <w:tcW w:w="1151"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1152" w:type="dxa"/>
            <w:vMerge w:val="continue"/>
            <w:noWrap w:val="0"/>
            <w:vAlign w:val="center"/>
          </w:tcPr>
          <w:p>
            <w:pPr>
              <w:widowControl/>
              <w:spacing w:line="240" w:lineRule="exact"/>
              <w:jc w:val="center"/>
              <w:rPr>
                <w:rFonts w:ascii="宋体" w:hAnsi="宋体" w:cs="宋体"/>
                <w:kern w:val="0"/>
                <w:szCs w:val="21"/>
              </w:rPr>
            </w:pPr>
          </w:p>
        </w:tc>
        <w:tc>
          <w:tcPr>
            <w:tcW w:w="1468" w:type="dxa"/>
            <w:vMerge w:val="continue"/>
            <w:noWrap w:val="0"/>
            <w:vAlign w:val="center"/>
          </w:tcPr>
          <w:p>
            <w:pPr>
              <w:widowControl/>
              <w:spacing w:line="240" w:lineRule="exact"/>
              <w:jc w:val="center"/>
              <w:rPr>
                <w:rFonts w:ascii="宋体" w:hAnsi="宋体" w:cs="宋体"/>
                <w:kern w:val="0"/>
                <w:szCs w:val="21"/>
              </w:rPr>
            </w:pPr>
          </w:p>
        </w:tc>
        <w:tc>
          <w:tcPr>
            <w:tcW w:w="3315" w:type="dxa"/>
            <w:vMerge w:val="continue"/>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1091" w:type="dxa"/>
            <w:noWrap w:val="0"/>
            <w:vAlign w:val="center"/>
          </w:tcPr>
          <w:p>
            <w:pPr>
              <w:widowControl/>
              <w:spacing w:line="240" w:lineRule="exact"/>
              <w:jc w:val="center"/>
              <w:textAlignment w:val="center"/>
              <w:rPr>
                <w:rFonts w:ascii="宋体" w:hAnsi="宋体" w:cs="宋体"/>
                <w:kern w:val="0"/>
                <w:szCs w:val="21"/>
              </w:rPr>
            </w:pPr>
            <w:r>
              <w:rPr>
                <w:rFonts w:hint="eastAsia" w:ascii="宋体" w:hAnsi="宋体" w:cs="宋体"/>
                <w:b/>
                <w:bCs/>
                <w:color w:val="000000"/>
                <w:kern w:val="0"/>
                <w:sz w:val="22"/>
                <w:szCs w:val="22"/>
                <w:lang w:bidi="ar"/>
              </w:rPr>
              <w:t>014</w:t>
            </w:r>
          </w:p>
        </w:tc>
        <w:tc>
          <w:tcPr>
            <w:tcW w:w="1757" w:type="dxa"/>
            <w:vMerge w:val="continue"/>
            <w:noWrap w:val="0"/>
            <w:vAlign w:val="center"/>
          </w:tcPr>
          <w:p>
            <w:pPr>
              <w:widowControl/>
              <w:spacing w:line="240" w:lineRule="exact"/>
              <w:jc w:val="center"/>
              <w:rPr>
                <w:rFonts w:ascii="宋体" w:hAnsi="宋体" w:cs="宋体"/>
                <w:kern w:val="0"/>
                <w:sz w:val="20"/>
                <w:szCs w:val="20"/>
              </w:rPr>
            </w:pPr>
          </w:p>
        </w:tc>
        <w:tc>
          <w:tcPr>
            <w:tcW w:w="1667"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绿色通道招聘</w:t>
            </w:r>
          </w:p>
        </w:tc>
        <w:tc>
          <w:tcPr>
            <w:tcW w:w="1478"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俄语</w:t>
            </w:r>
          </w:p>
        </w:tc>
        <w:tc>
          <w:tcPr>
            <w:tcW w:w="948"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706"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1</w:t>
            </w:r>
          </w:p>
        </w:tc>
        <w:tc>
          <w:tcPr>
            <w:tcW w:w="1151"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1152" w:type="dxa"/>
            <w:vMerge w:val="continue"/>
            <w:noWrap w:val="0"/>
            <w:vAlign w:val="center"/>
          </w:tcPr>
          <w:p>
            <w:pPr>
              <w:widowControl/>
              <w:spacing w:line="240" w:lineRule="exact"/>
              <w:jc w:val="center"/>
              <w:rPr>
                <w:rFonts w:ascii="宋体" w:hAnsi="宋体" w:cs="宋体"/>
                <w:kern w:val="0"/>
                <w:szCs w:val="21"/>
              </w:rPr>
            </w:pPr>
          </w:p>
        </w:tc>
        <w:tc>
          <w:tcPr>
            <w:tcW w:w="1468" w:type="dxa"/>
            <w:vMerge w:val="continue"/>
            <w:noWrap w:val="0"/>
            <w:vAlign w:val="center"/>
          </w:tcPr>
          <w:p>
            <w:pPr>
              <w:widowControl/>
              <w:spacing w:line="240" w:lineRule="exact"/>
              <w:jc w:val="center"/>
              <w:rPr>
                <w:rFonts w:ascii="宋体" w:hAnsi="宋体" w:cs="宋体"/>
                <w:kern w:val="0"/>
                <w:szCs w:val="21"/>
              </w:rPr>
            </w:pPr>
          </w:p>
        </w:tc>
        <w:tc>
          <w:tcPr>
            <w:tcW w:w="3315" w:type="dxa"/>
            <w:vMerge w:val="continue"/>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1091" w:type="dxa"/>
            <w:noWrap w:val="0"/>
            <w:vAlign w:val="center"/>
          </w:tcPr>
          <w:p>
            <w:pPr>
              <w:widowControl/>
              <w:spacing w:line="240" w:lineRule="exact"/>
              <w:jc w:val="center"/>
              <w:textAlignment w:val="center"/>
              <w:rPr>
                <w:rFonts w:ascii="宋体" w:hAnsi="宋体" w:cs="宋体"/>
                <w:kern w:val="0"/>
                <w:szCs w:val="21"/>
              </w:rPr>
            </w:pPr>
            <w:r>
              <w:rPr>
                <w:rFonts w:hint="eastAsia" w:ascii="宋体" w:hAnsi="宋体" w:cs="宋体"/>
                <w:b/>
                <w:bCs/>
                <w:color w:val="000000"/>
                <w:kern w:val="0"/>
                <w:sz w:val="22"/>
                <w:szCs w:val="22"/>
                <w:lang w:bidi="ar"/>
              </w:rPr>
              <w:t>015</w:t>
            </w:r>
          </w:p>
        </w:tc>
        <w:tc>
          <w:tcPr>
            <w:tcW w:w="1757" w:type="dxa"/>
            <w:vMerge w:val="restart"/>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衡东县欧阳遇实验中学（4人）</w:t>
            </w:r>
          </w:p>
        </w:tc>
        <w:tc>
          <w:tcPr>
            <w:tcW w:w="1667"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绿色通道招聘</w:t>
            </w:r>
          </w:p>
        </w:tc>
        <w:tc>
          <w:tcPr>
            <w:tcW w:w="1478"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高中数学</w:t>
            </w:r>
          </w:p>
        </w:tc>
        <w:tc>
          <w:tcPr>
            <w:tcW w:w="948"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706"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1</w:t>
            </w:r>
          </w:p>
        </w:tc>
        <w:tc>
          <w:tcPr>
            <w:tcW w:w="1151" w:type="dxa"/>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全额事业</w:t>
            </w:r>
          </w:p>
        </w:tc>
        <w:tc>
          <w:tcPr>
            <w:tcW w:w="1152" w:type="dxa"/>
            <w:vMerge w:val="continue"/>
            <w:noWrap w:val="0"/>
            <w:vAlign w:val="center"/>
          </w:tcPr>
          <w:p>
            <w:pPr>
              <w:widowControl/>
              <w:spacing w:line="240" w:lineRule="exact"/>
              <w:jc w:val="center"/>
              <w:rPr>
                <w:rFonts w:hint="eastAsia" w:ascii="宋体" w:hAnsi="宋体" w:cs="宋体"/>
                <w:kern w:val="0"/>
                <w:szCs w:val="21"/>
              </w:rPr>
            </w:pPr>
          </w:p>
        </w:tc>
        <w:tc>
          <w:tcPr>
            <w:tcW w:w="1468" w:type="dxa"/>
            <w:vMerge w:val="continue"/>
            <w:noWrap w:val="0"/>
            <w:vAlign w:val="center"/>
          </w:tcPr>
          <w:p>
            <w:pPr>
              <w:widowControl/>
              <w:spacing w:line="240" w:lineRule="exact"/>
              <w:jc w:val="center"/>
              <w:rPr>
                <w:rFonts w:hint="eastAsia" w:ascii="宋体" w:hAnsi="宋体" w:cs="宋体"/>
                <w:kern w:val="0"/>
                <w:szCs w:val="21"/>
              </w:rPr>
            </w:pPr>
          </w:p>
        </w:tc>
        <w:tc>
          <w:tcPr>
            <w:tcW w:w="3315" w:type="dxa"/>
            <w:vMerge w:val="continue"/>
            <w:noWrap w:val="0"/>
            <w:vAlign w:val="center"/>
          </w:tcPr>
          <w:p>
            <w:pPr>
              <w:widowControl/>
              <w:spacing w:line="24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1091" w:type="dxa"/>
            <w:noWrap w:val="0"/>
            <w:vAlign w:val="center"/>
          </w:tcPr>
          <w:p>
            <w:pPr>
              <w:widowControl/>
              <w:spacing w:line="240" w:lineRule="exact"/>
              <w:jc w:val="center"/>
              <w:textAlignment w:val="center"/>
              <w:rPr>
                <w:rFonts w:ascii="宋体" w:hAnsi="宋体" w:cs="宋体"/>
                <w:kern w:val="0"/>
                <w:szCs w:val="21"/>
              </w:rPr>
            </w:pPr>
            <w:r>
              <w:rPr>
                <w:rFonts w:hint="eastAsia" w:ascii="宋体" w:hAnsi="宋体" w:cs="宋体"/>
                <w:b/>
                <w:bCs/>
                <w:color w:val="000000"/>
                <w:kern w:val="0"/>
                <w:sz w:val="22"/>
                <w:szCs w:val="22"/>
                <w:lang w:bidi="ar"/>
              </w:rPr>
              <w:t>016</w:t>
            </w:r>
          </w:p>
        </w:tc>
        <w:tc>
          <w:tcPr>
            <w:tcW w:w="1757" w:type="dxa"/>
            <w:vMerge w:val="continue"/>
            <w:noWrap w:val="0"/>
            <w:vAlign w:val="center"/>
          </w:tcPr>
          <w:p>
            <w:pPr>
              <w:widowControl/>
              <w:spacing w:line="240" w:lineRule="exact"/>
              <w:jc w:val="left"/>
              <w:rPr>
                <w:rFonts w:ascii="宋体" w:hAnsi="宋体" w:cs="宋体"/>
                <w:kern w:val="0"/>
                <w:sz w:val="20"/>
                <w:szCs w:val="20"/>
              </w:rPr>
            </w:pPr>
          </w:p>
        </w:tc>
        <w:tc>
          <w:tcPr>
            <w:tcW w:w="1667"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绿色通道招聘</w:t>
            </w:r>
          </w:p>
        </w:tc>
        <w:tc>
          <w:tcPr>
            <w:tcW w:w="1478"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高中生物</w:t>
            </w:r>
          </w:p>
        </w:tc>
        <w:tc>
          <w:tcPr>
            <w:tcW w:w="948"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706"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2</w:t>
            </w:r>
          </w:p>
        </w:tc>
        <w:tc>
          <w:tcPr>
            <w:tcW w:w="1151" w:type="dxa"/>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全额事业</w:t>
            </w:r>
          </w:p>
        </w:tc>
        <w:tc>
          <w:tcPr>
            <w:tcW w:w="1152" w:type="dxa"/>
            <w:vMerge w:val="continue"/>
            <w:noWrap w:val="0"/>
            <w:vAlign w:val="center"/>
          </w:tcPr>
          <w:p>
            <w:pPr>
              <w:widowControl/>
              <w:spacing w:line="240" w:lineRule="exact"/>
              <w:jc w:val="center"/>
              <w:rPr>
                <w:rFonts w:hint="eastAsia" w:ascii="宋体" w:hAnsi="宋体" w:cs="宋体"/>
                <w:kern w:val="0"/>
                <w:szCs w:val="21"/>
              </w:rPr>
            </w:pPr>
          </w:p>
        </w:tc>
        <w:tc>
          <w:tcPr>
            <w:tcW w:w="1468" w:type="dxa"/>
            <w:vMerge w:val="continue"/>
            <w:noWrap w:val="0"/>
            <w:vAlign w:val="center"/>
          </w:tcPr>
          <w:p>
            <w:pPr>
              <w:widowControl/>
              <w:spacing w:line="240" w:lineRule="exact"/>
              <w:jc w:val="center"/>
              <w:rPr>
                <w:rFonts w:hint="eastAsia" w:ascii="宋体" w:hAnsi="宋体" w:cs="宋体"/>
                <w:kern w:val="0"/>
                <w:szCs w:val="21"/>
              </w:rPr>
            </w:pPr>
          </w:p>
        </w:tc>
        <w:tc>
          <w:tcPr>
            <w:tcW w:w="3315" w:type="dxa"/>
            <w:vMerge w:val="continue"/>
            <w:noWrap w:val="0"/>
            <w:vAlign w:val="center"/>
          </w:tcPr>
          <w:p>
            <w:pPr>
              <w:widowControl/>
              <w:spacing w:line="240" w:lineRule="exac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1091" w:type="dxa"/>
            <w:noWrap w:val="0"/>
            <w:vAlign w:val="center"/>
          </w:tcPr>
          <w:p>
            <w:pPr>
              <w:widowControl/>
              <w:spacing w:line="240" w:lineRule="exact"/>
              <w:jc w:val="center"/>
              <w:textAlignment w:val="center"/>
              <w:rPr>
                <w:rFonts w:hint="eastAsia" w:ascii="宋体" w:hAnsi="宋体" w:cs="宋体"/>
                <w:kern w:val="0"/>
                <w:szCs w:val="21"/>
              </w:rPr>
            </w:pPr>
            <w:r>
              <w:rPr>
                <w:rFonts w:hint="eastAsia" w:ascii="宋体" w:hAnsi="宋体" w:cs="宋体"/>
                <w:b/>
                <w:bCs/>
                <w:color w:val="000000"/>
                <w:kern w:val="0"/>
                <w:sz w:val="22"/>
                <w:szCs w:val="22"/>
                <w:lang w:bidi="ar"/>
              </w:rPr>
              <w:t>017</w:t>
            </w:r>
          </w:p>
        </w:tc>
        <w:tc>
          <w:tcPr>
            <w:tcW w:w="1757" w:type="dxa"/>
            <w:vMerge w:val="continue"/>
            <w:noWrap w:val="0"/>
            <w:vAlign w:val="center"/>
          </w:tcPr>
          <w:p>
            <w:pPr>
              <w:widowControl/>
              <w:spacing w:line="240" w:lineRule="exact"/>
              <w:jc w:val="left"/>
              <w:rPr>
                <w:rFonts w:ascii="宋体" w:hAnsi="宋体" w:cs="宋体"/>
                <w:kern w:val="0"/>
                <w:sz w:val="20"/>
                <w:szCs w:val="20"/>
              </w:rPr>
            </w:pPr>
          </w:p>
        </w:tc>
        <w:tc>
          <w:tcPr>
            <w:tcW w:w="1667" w:type="dxa"/>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绿色通道招聘</w:t>
            </w:r>
          </w:p>
        </w:tc>
        <w:tc>
          <w:tcPr>
            <w:tcW w:w="1478"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高中思想政治</w:t>
            </w:r>
          </w:p>
        </w:tc>
        <w:tc>
          <w:tcPr>
            <w:tcW w:w="948"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706"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1</w:t>
            </w:r>
          </w:p>
        </w:tc>
        <w:tc>
          <w:tcPr>
            <w:tcW w:w="1151" w:type="dxa"/>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全额事业</w:t>
            </w:r>
          </w:p>
        </w:tc>
        <w:tc>
          <w:tcPr>
            <w:tcW w:w="1152" w:type="dxa"/>
            <w:vMerge w:val="continue"/>
            <w:noWrap w:val="0"/>
            <w:vAlign w:val="center"/>
          </w:tcPr>
          <w:p>
            <w:pPr>
              <w:widowControl/>
              <w:spacing w:line="240" w:lineRule="exact"/>
              <w:jc w:val="center"/>
              <w:rPr>
                <w:rFonts w:hint="eastAsia" w:ascii="宋体" w:hAnsi="宋体" w:cs="宋体"/>
                <w:kern w:val="0"/>
                <w:szCs w:val="21"/>
              </w:rPr>
            </w:pPr>
          </w:p>
        </w:tc>
        <w:tc>
          <w:tcPr>
            <w:tcW w:w="1468" w:type="dxa"/>
            <w:vMerge w:val="continue"/>
            <w:noWrap w:val="0"/>
            <w:vAlign w:val="center"/>
          </w:tcPr>
          <w:p>
            <w:pPr>
              <w:widowControl/>
              <w:spacing w:line="240" w:lineRule="exact"/>
              <w:jc w:val="center"/>
              <w:rPr>
                <w:rFonts w:hint="eastAsia" w:ascii="宋体" w:hAnsi="宋体" w:cs="宋体"/>
                <w:kern w:val="0"/>
                <w:szCs w:val="21"/>
              </w:rPr>
            </w:pPr>
          </w:p>
        </w:tc>
        <w:tc>
          <w:tcPr>
            <w:tcW w:w="3315" w:type="dxa"/>
            <w:vMerge w:val="continue"/>
            <w:noWrap w:val="0"/>
            <w:vAlign w:val="center"/>
          </w:tcPr>
          <w:p>
            <w:pPr>
              <w:widowControl/>
              <w:spacing w:line="240" w:lineRule="exact"/>
              <w:jc w:val="center"/>
              <w:rPr>
                <w:rFonts w:hint="eastAsia" w:ascii="宋体" w:hAnsi="宋体" w:cs="宋体"/>
                <w:kern w:val="0"/>
                <w:szCs w:val="21"/>
              </w:rPr>
            </w:pPr>
          </w:p>
        </w:tc>
      </w:tr>
    </w:tbl>
    <w:p>
      <w:r>
        <w:rPr>
          <w:rFonts w:hint="eastAsia" w:hAnsi="仿宋_GB2312" w:eastAsia="仿宋_GB2312"/>
          <w:sz w:val="32"/>
          <w:szCs w:val="32"/>
        </w:rPr>
        <w:br w:type="page"/>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NTllZDQxOGNhMzc4YjkyODMwMjZhOTZjNThhZTcifQ=="/>
  </w:docVars>
  <w:rsids>
    <w:rsidRoot w:val="44BF0807"/>
    <w:rsid w:val="05DD6C40"/>
    <w:rsid w:val="0C4146C1"/>
    <w:rsid w:val="15A3026B"/>
    <w:rsid w:val="39210264"/>
    <w:rsid w:val="44BF0807"/>
    <w:rsid w:val="4AA64086"/>
    <w:rsid w:val="71533372"/>
    <w:rsid w:val="71EE52B2"/>
    <w:rsid w:val="77DE357E"/>
    <w:rsid w:val="77ED6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Lines="0" w:beforeAutospacing="0" w:afterLines="0" w:afterAutospacing="0" w:line="560" w:lineRule="exact"/>
      <w:ind w:firstLine="883" w:firstLineChars="200"/>
      <w:jc w:val="left"/>
      <w:outlineLvl w:val="0"/>
    </w:pPr>
    <w:rPr>
      <w:rFonts w:ascii="黑体" w:hAnsi="黑体" w:eastAsia="黑体"/>
      <w:kern w:val="44"/>
    </w:rPr>
  </w:style>
  <w:style w:type="paragraph" w:styleId="3">
    <w:name w:val="heading 2"/>
    <w:basedOn w:val="1"/>
    <w:next w:val="1"/>
    <w:link w:val="11"/>
    <w:semiHidden/>
    <w:unhideWhenUsed/>
    <w:qFormat/>
    <w:uiPriority w:val="0"/>
    <w:pPr>
      <w:keepNext/>
      <w:keepLines/>
      <w:spacing w:beforeLines="0" w:beforeAutospacing="0" w:afterLines="0" w:afterAutospacing="0" w:line="560" w:lineRule="exact"/>
      <w:ind w:firstLine="883" w:firstLineChars="200"/>
      <w:jc w:val="left"/>
      <w:outlineLvl w:val="1"/>
    </w:pPr>
    <w:rPr>
      <w:rFonts w:ascii="Arial" w:hAnsi="Arial" w:eastAsia="楷体"/>
      <w:b/>
    </w:rPr>
  </w:style>
  <w:style w:type="paragraph" w:styleId="4">
    <w:name w:val="heading 3"/>
    <w:basedOn w:val="1"/>
    <w:next w:val="1"/>
    <w:link w:val="12"/>
    <w:semiHidden/>
    <w:unhideWhenUsed/>
    <w:qFormat/>
    <w:uiPriority w:val="0"/>
    <w:pPr>
      <w:keepNext/>
      <w:keepLines/>
      <w:spacing w:beforeLines="0" w:beforeAutospacing="0" w:afterLines="0" w:afterAutospacing="0" w:line="560" w:lineRule="exact"/>
      <w:ind w:firstLine="883" w:firstLineChars="200"/>
      <w:jc w:val="left"/>
      <w:outlineLvl w:val="2"/>
    </w:pPr>
    <w:rPr>
      <w:b/>
    </w:rPr>
  </w:style>
  <w:style w:type="paragraph" w:styleId="5">
    <w:name w:val="heading 4"/>
    <w:basedOn w:val="1"/>
    <w:next w:val="1"/>
    <w:semiHidden/>
    <w:unhideWhenUsed/>
    <w:qFormat/>
    <w:uiPriority w:val="0"/>
    <w:pPr>
      <w:keepNext/>
      <w:keepLines/>
      <w:spacing w:beforeLines="0" w:beforeAutospacing="0" w:afterLines="0" w:afterAutospacing="0" w:line="700" w:lineRule="exact"/>
      <w:ind w:firstLine="0" w:firstLineChars="0"/>
      <w:jc w:val="center"/>
      <w:outlineLvl w:val="3"/>
    </w:pPr>
    <w:rPr>
      <w:rFonts w:ascii="黑体" w:hAnsi="黑体" w:eastAsia="黑体" w:cs="黑体"/>
      <w:b/>
      <w:bCs/>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标题 1 Char"/>
    <w:link w:val="2"/>
    <w:qFormat/>
    <w:uiPriority w:val="0"/>
    <w:rPr>
      <w:rFonts w:ascii="黑体" w:hAnsi="黑体" w:eastAsia="黑体"/>
      <w:kern w:val="44"/>
    </w:rPr>
  </w:style>
  <w:style w:type="character" w:customStyle="1" w:styleId="11">
    <w:name w:val="标题 2 Char"/>
    <w:link w:val="3"/>
    <w:qFormat/>
    <w:uiPriority w:val="0"/>
    <w:rPr>
      <w:rFonts w:ascii="Arial" w:hAnsi="Arial" w:eastAsia="楷体"/>
      <w:b/>
    </w:rPr>
  </w:style>
  <w:style w:type="character" w:customStyle="1" w:styleId="12">
    <w:name w:val="标题 3 Char"/>
    <w:link w:val="4"/>
    <w:qFormat/>
    <w:uiPriority w:val="0"/>
    <w:rPr>
      <w:rFonts w:eastAsia="仿宋" w:asciiTheme="minorAscii" w:hAnsiTheme="minorAscii"/>
      <w:b/>
      <w:sz w:val="32"/>
    </w:rPr>
  </w:style>
  <w:style w:type="paragraph" w:customStyle="1" w:styleId="1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2022-06-16T03:00:00Z</dcterms:created>
  <dc:creator>Biubiubiu</dc:creator>
  <cp:lastModifiedBy>Biubiubiu</cp:lastModifiedBy>
  <dcterms:modified xsi:type="dcterms:W3CDTF">2022-06-16T03:00:49Z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3D18359E7FC545EAAE64EFAF9899B1E3</vt:lpwstr>
  </property>
</Properties>
</file>