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黑体" w:hAnsi="黑体" w:eastAsia="黑体" w:cs="黑体"/>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w:t>
      </w:r>
    </w:p>
    <w:tbl>
      <w:tblPr>
        <w:tblStyle w:val="5"/>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039"/>
        <w:gridCol w:w="236"/>
        <w:gridCol w:w="42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衡东县政府办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eastAsia"/>
                <w:sz w:val="18"/>
                <w:szCs w:val="18"/>
              </w:rPr>
            </w:pPr>
            <w:r>
              <w:rPr>
                <w:rFonts w:hint="eastAsia"/>
                <w:sz w:val="18"/>
                <w:szCs w:val="18"/>
                <w:lang w:eastAsia="zh-CN"/>
              </w:rPr>
              <w:t>资金总额：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79"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871.41</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871.41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eastAsia" w:eastAsiaTheme="minorEastAsia"/>
                <w:sz w:val="18"/>
                <w:szCs w:val="18"/>
                <w:lang w:eastAsia="zh-CN"/>
              </w:rPr>
            </w:pPr>
            <w:r>
              <w:rPr>
                <w:rFonts w:hint="eastAsia"/>
                <w:sz w:val="18"/>
                <w:szCs w:val="18"/>
                <w:lang w:eastAsia="zh-CN"/>
              </w:rPr>
              <w:t>项目支出：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eastAsia"/>
                <w:sz w:val="18"/>
                <w:szCs w:val="18"/>
              </w:rPr>
            </w:pPr>
            <w:r>
              <w:rPr>
                <w:rFonts w:hint="eastAsia"/>
                <w:sz w:val="18"/>
                <w:szCs w:val="18"/>
                <w:lang w:eastAsia="zh-CN"/>
              </w:rPr>
              <w:t>纳入专户管理的非税收入拨款：</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3"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jc w:val="left"/>
              <w:rPr>
                <w:rFonts w:ascii="仿宋_GB2312" w:eastAsia="仿宋_GB2312"/>
                <w:kern w:val="0"/>
                <w:sz w:val="21"/>
                <w:szCs w:val="21"/>
              </w:rPr>
            </w:pPr>
            <w:r>
              <w:rPr>
                <w:rFonts w:hint="eastAsia" w:ascii="仿宋_GB2312" w:eastAsia="仿宋_GB2312"/>
                <w:kern w:val="0"/>
                <w:sz w:val="21"/>
                <w:szCs w:val="21"/>
              </w:rPr>
              <w:t>（一）协助县政府领导同志审核或组织起草以县政府、县政府办公室名义发布的公文。指导全县行政机关公文处理工作。</w:t>
            </w:r>
          </w:p>
          <w:p>
            <w:pPr>
              <w:jc w:val="left"/>
              <w:rPr>
                <w:rFonts w:ascii="仿宋_GB2312" w:eastAsia="仿宋_GB2312"/>
                <w:kern w:val="0"/>
                <w:sz w:val="21"/>
                <w:szCs w:val="21"/>
              </w:rPr>
            </w:pPr>
            <w:r>
              <w:rPr>
                <w:rFonts w:hint="eastAsia" w:ascii="仿宋_GB2312" w:eastAsia="仿宋_GB2312"/>
                <w:kern w:val="0"/>
                <w:sz w:val="21"/>
                <w:szCs w:val="21"/>
              </w:rPr>
              <w:t>（二）研究县政府各部门和各乡镇人民政府请示、报告县政府的事项，提出审核意见，报县政府领导同志审批。</w:t>
            </w:r>
          </w:p>
          <w:p>
            <w:pPr>
              <w:jc w:val="left"/>
              <w:rPr>
                <w:rFonts w:ascii="仿宋_GB2312" w:eastAsia="仿宋_GB2312"/>
                <w:kern w:val="0"/>
                <w:sz w:val="21"/>
                <w:szCs w:val="21"/>
              </w:rPr>
            </w:pPr>
            <w:r>
              <w:rPr>
                <w:rFonts w:hint="eastAsia" w:ascii="仿宋_GB2312" w:eastAsia="仿宋_GB2312"/>
                <w:kern w:val="0"/>
                <w:sz w:val="21"/>
                <w:szCs w:val="21"/>
              </w:rPr>
              <w:t>（三）负责县政府会议的组织和服务工作，协助实施会议决定事项。</w:t>
            </w:r>
          </w:p>
          <w:p>
            <w:pPr>
              <w:jc w:val="left"/>
              <w:rPr>
                <w:rFonts w:ascii="仿宋_GB2312" w:eastAsia="仿宋_GB2312"/>
                <w:kern w:val="0"/>
                <w:sz w:val="21"/>
                <w:szCs w:val="21"/>
              </w:rPr>
            </w:pPr>
            <w:r>
              <w:rPr>
                <w:rFonts w:hint="eastAsia" w:ascii="仿宋_GB2312" w:eastAsia="仿宋_GB2312"/>
                <w:kern w:val="0"/>
                <w:sz w:val="21"/>
                <w:szCs w:val="21"/>
              </w:rPr>
              <w:t>（四）根据县政府领导同志的指示或工作需要，对有关问题进行协调，提出处理意见，报县政府领导同志决定。</w:t>
            </w:r>
          </w:p>
          <w:p>
            <w:pPr>
              <w:jc w:val="left"/>
              <w:rPr>
                <w:rFonts w:ascii="仿宋_GB2312" w:eastAsia="仿宋_GB2312"/>
                <w:kern w:val="0"/>
                <w:sz w:val="21"/>
                <w:szCs w:val="21"/>
              </w:rPr>
            </w:pPr>
            <w:r>
              <w:rPr>
                <w:rFonts w:hint="eastAsia" w:ascii="仿宋_GB2312" w:eastAsia="仿宋_GB2312"/>
                <w:kern w:val="0"/>
                <w:sz w:val="21"/>
                <w:szCs w:val="21"/>
              </w:rPr>
              <w:t>（五）办理中央、省、市和县政府领导同志的批示，并督促落实。督促检查县政府各部门和各乡镇人民政府对县政府决定事项的执行落实情况，及时向县政府报告。</w:t>
            </w:r>
          </w:p>
          <w:p>
            <w:pPr>
              <w:jc w:val="left"/>
              <w:rPr>
                <w:rFonts w:ascii="仿宋_GB2312" w:eastAsia="仿宋_GB2312"/>
                <w:kern w:val="0"/>
                <w:sz w:val="21"/>
                <w:szCs w:val="21"/>
              </w:rPr>
            </w:pPr>
            <w:r>
              <w:rPr>
                <w:rFonts w:hint="eastAsia" w:ascii="仿宋_GB2312" w:eastAsia="仿宋_GB2312"/>
                <w:kern w:val="0"/>
                <w:sz w:val="21"/>
                <w:szCs w:val="21"/>
              </w:rPr>
              <w:t>（六）组织开展人大代表建议、政协委员提案办理工作。</w:t>
            </w:r>
          </w:p>
          <w:p>
            <w:pPr>
              <w:jc w:val="left"/>
              <w:rPr>
                <w:rFonts w:ascii="仿宋_GB2312" w:eastAsia="仿宋_GB2312"/>
                <w:kern w:val="0"/>
                <w:sz w:val="21"/>
                <w:szCs w:val="21"/>
              </w:rPr>
            </w:pPr>
            <w:r>
              <w:rPr>
                <w:rFonts w:hint="eastAsia" w:ascii="仿宋_GB2312" w:eastAsia="仿宋_GB2312"/>
                <w:kern w:val="0"/>
                <w:sz w:val="21"/>
                <w:szCs w:val="21"/>
              </w:rPr>
              <w:t>（七）协助县政府领导同志做好需由县政府组织处理的突发事件应急处置工作；负责向国务院、省、市和县政府领导同志报告重要信息和情况；负责县政府值班工作。</w:t>
            </w:r>
          </w:p>
          <w:p>
            <w:pPr>
              <w:jc w:val="left"/>
              <w:rPr>
                <w:rFonts w:ascii="仿宋_GB2312" w:eastAsia="仿宋_GB2312"/>
                <w:kern w:val="0"/>
                <w:sz w:val="21"/>
                <w:szCs w:val="21"/>
              </w:rPr>
            </w:pPr>
            <w:r>
              <w:rPr>
                <w:rFonts w:hint="eastAsia" w:ascii="仿宋_GB2312" w:eastAsia="仿宋_GB2312"/>
                <w:kern w:val="0"/>
                <w:sz w:val="21"/>
                <w:szCs w:val="21"/>
              </w:rPr>
              <w:t>（八）负责县政府机关后勤保障工作。</w:t>
            </w:r>
          </w:p>
          <w:p>
            <w:pPr>
              <w:jc w:val="left"/>
              <w:rPr>
                <w:rFonts w:ascii="仿宋_GB2312" w:eastAsia="仿宋_GB2312"/>
                <w:kern w:val="0"/>
                <w:sz w:val="21"/>
                <w:szCs w:val="21"/>
              </w:rPr>
            </w:pPr>
            <w:r>
              <w:rPr>
                <w:rFonts w:hint="eastAsia" w:ascii="仿宋_GB2312" w:eastAsia="仿宋_GB2312"/>
                <w:kern w:val="0"/>
                <w:sz w:val="21"/>
                <w:szCs w:val="21"/>
              </w:rPr>
              <w:t>（九）指导起草《政府工作报告》，牵头组织县政府主要会议文件起草，参与县委重要会议的文件起草工作。</w:t>
            </w:r>
          </w:p>
          <w:p>
            <w:pPr>
              <w:jc w:val="left"/>
              <w:rPr>
                <w:rFonts w:ascii="仿宋_GB2312" w:eastAsia="仿宋_GB2312"/>
                <w:kern w:val="0"/>
                <w:sz w:val="21"/>
                <w:szCs w:val="21"/>
              </w:rPr>
            </w:pPr>
            <w:r>
              <w:rPr>
                <w:rFonts w:hint="eastAsia" w:ascii="仿宋_GB2312" w:eastAsia="仿宋_GB2312"/>
                <w:kern w:val="0"/>
                <w:sz w:val="21"/>
                <w:szCs w:val="21"/>
              </w:rPr>
              <w:t>（十）负责组织或参与对改革开放和经济社会发展中重大问题的调查研究、决策咨询，提出政策性建议和咨询意见。</w:t>
            </w:r>
          </w:p>
          <w:p>
            <w:pPr>
              <w:jc w:val="left"/>
              <w:rPr>
                <w:rFonts w:ascii="仿宋_GB2312" w:eastAsia="仿宋_GB2312"/>
                <w:kern w:val="0"/>
                <w:sz w:val="21"/>
                <w:szCs w:val="21"/>
              </w:rPr>
            </w:pPr>
            <w:r>
              <w:rPr>
                <w:rFonts w:hint="eastAsia" w:ascii="仿宋_GB2312" w:eastAsia="仿宋_GB2312"/>
                <w:kern w:val="0"/>
                <w:sz w:val="21"/>
                <w:szCs w:val="21"/>
              </w:rPr>
              <w:t>（十一）根据县政府领导同志指示，单独或组织、协同有关方面起草、修改县政府有关重要文件，起草县政府领导同志部分重要讲话等文稿，配合有关部门做好县政府重点工作新闻通报工作。</w:t>
            </w:r>
          </w:p>
          <w:p>
            <w:pPr>
              <w:jc w:val="left"/>
              <w:rPr>
                <w:rFonts w:ascii="仿宋_GB2312" w:eastAsia="仿宋_GB2312"/>
                <w:kern w:val="0"/>
                <w:sz w:val="21"/>
                <w:szCs w:val="21"/>
              </w:rPr>
            </w:pPr>
            <w:r>
              <w:rPr>
                <w:rFonts w:hint="eastAsia" w:ascii="仿宋_GB2312" w:eastAsia="仿宋_GB2312"/>
                <w:kern w:val="0"/>
                <w:sz w:val="21"/>
                <w:szCs w:val="21"/>
              </w:rPr>
              <w:t>（十二）负责全县禁毒、金融工作。</w:t>
            </w:r>
          </w:p>
          <w:p>
            <w:pPr>
              <w:jc w:val="left"/>
              <w:rPr>
                <w:rFonts w:hint="default" w:eastAsiaTheme="minorEastAsia"/>
                <w:sz w:val="18"/>
                <w:szCs w:val="18"/>
                <w:lang w:val="en-US" w:eastAsia="zh-CN"/>
              </w:rPr>
            </w:pPr>
            <w:r>
              <w:rPr>
                <w:rFonts w:hint="eastAsia" w:ascii="仿宋_GB2312" w:eastAsia="仿宋_GB2312"/>
                <w:kern w:val="0"/>
                <w:sz w:val="21"/>
                <w:szCs w:val="21"/>
              </w:rPr>
              <w:t>（十三）完成县政府和县政府领导同志交办的其他事项。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jc w:val="left"/>
              <w:rPr>
                <w:rFonts w:hint="eastAsia" w:ascii="仿宋_GB2312" w:eastAsia="仿宋_GB2312"/>
                <w:kern w:val="0"/>
                <w:sz w:val="21"/>
                <w:szCs w:val="21"/>
              </w:rPr>
            </w:pPr>
            <w:r>
              <w:rPr>
                <w:rFonts w:hint="eastAsia" w:ascii="仿宋_GB2312" w:eastAsia="仿宋_GB2312"/>
                <w:kern w:val="0"/>
                <w:sz w:val="21"/>
                <w:szCs w:val="21"/>
                <w:lang w:val="en-US" w:eastAsia="zh-CN"/>
              </w:rPr>
              <w:t>1、</w:t>
            </w:r>
            <w:r>
              <w:rPr>
                <w:rFonts w:hint="eastAsia" w:ascii="仿宋_GB2312" w:eastAsia="仿宋_GB2312"/>
                <w:kern w:val="0"/>
                <w:sz w:val="21"/>
                <w:szCs w:val="21"/>
              </w:rPr>
              <w:t>通过预算执行，保证本单位工作的正常运转。</w:t>
            </w:r>
          </w:p>
          <w:p>
            <w:pPr>
              <w:jc w:val="left"/>
              <w:rPr>
                <w:rFonts w:hint="eastAsia"/>
                <w:sz w:val="18"/>
                <w:szCs w:val="18"/>
              </w:rPr>
            </w:pPr>
            <w:r>
              <w:rPr>
                <w:rFonts w:hint="eastAsia" w:ascii="仿宋_GB2312" w:eastAsia="仿宋_GB2312"/>
                <w:kern w:val="0"/>
                <w:sz w:val="21"/>
                <w:szCs w:val="21"/>
              </w:rPr>
              <w:t>2、协调相关部门，保障县领导的指示落实到位，为县政府各项工作的推动服好务。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6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61" w:type="dxa"/>
            <w:gridSpan w:val="2"/>
            <w:vAlign w:val="center"/>
          </w:tcPr>
          <w:p>
            <w:pPr>
              <w:jc w:val="center"/>
              <w:rPr>
                <w:rFonts w:hint="eastAsia"/>
                <w:sz w:val="18"/>
                <w:szCs w:val="18"/>
              </w:rPr>
            </w:pPr>
            <w:r>
              <w:rPr>
                <w:rFonts w:hint="eastAsia" w:ascii="仿宋_GB2312" w:hAnsi="仿宋_GB2312" w:eastAsia="仿宋_GB2312" w:cs="仿宋_GB2312"/>
                <w:kern w:val="0"/>
                <w:szCs w:val="21"/>
              </w:rPr>
              <w:t>本单位财政供养人员</w:t>
            </w:r>
          </w:p>
        </w:tc>
        <w:tc>
          <w:tcPr>
            <w:tcW w:w="236" w:type="dxa"/>
            <w:tcBorders>
              <w:right w:val="nil"/>
            </w:tcBorders>
            <w:vAlign w:val="center"/>
          </w:tcPr>
          <w:p>
            <w:pPr>
              <w:jc w:val="center"/>
              <w:rPr>
                <w:rFonts w:hint="eastAsia"/>
                <w:sz w:val="18"/>
                <w:szCs w:val="18"/>
              </w:rPr>
            </w:pPr>
          </w:p>
        </w:tc>
        <w:tc>
          <w:tcPr>
            <w:tcW w:w="2404" w:type="dxa"/>
            <w:gridSpan w:val="2"/>
            <w:tcBorders>
              <w:top w:val="nil"/>
              <w:left w:val="nil"/>
              <w:right w:val="single" w:color="auto" w:sz="4" w:space="0"/>
            </w:tcBorders>
            <w:vAlign w:val="center"/>
          </w:tcPr>
          <w:p>
            <w:pPr>
              <w:jc w:val="center"/>
              <w:rPr>
                <w:rFonts w:hint="default" w:eastAsiaTheme="minorEastAsia"/>
                <w:sz w:val="18"/>
                <w:szCs w:val="18"/>
                <w:lang w:val="en-US" w:eastAsia="zh-CN"/>
              </w:rPr>
            </w:pPr>
            <w:r>
              <w:rPr>
                <w:rFonts w:hint="eastAsia"/>
                <w:sz w:val="18"/>
                <w:szCs w:val="18"/>
                <w:lang w:eastAsia="zh-CN"/>
              </w:rPr>
              <w:t>在职人员</w:t>
            </w:r>
            <w:r>
              <w:rPr>
                <w:rFonts w:hint="eastAsia"/>
                <w:sz w:val="18"/>
                <w:szCs w:val="18"/>
                <w:lang w:val="en-US" w:eastAsia="zh-CN"/>
              </w:rPr>
              <w:t>64人，退休41人。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Cs w:val="21"/>
              </w:rPr>
            </w:pPr>
            <w:r>
              <w:rPr>
                <w:rFonts w:hint="eastAsia" w:ascii="仿宋_GB2312" w:hAnsi="仿宋_GB2312" w:eastAsia="仿宋_GB2312" w:cs="仿宋_GB2312"/>
                <w:kern w:val="0"/>
                <w:szCs w:val="21"/>
              </w:rPr>
              <w:t>部门单位履职、运转</w:t>
            </w:r>
          </w:p>
        </w:tc>
        <w:tc>
          <w:tcPr>
            <w:tcW w:w="2640" w:type="dxa"/>
            <w:gridSpan w:val="3"/>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61" w:type="dxa"/>
            <w:gridSpan w:val="2"/>
            <w:vAlign w:val="center"/>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在职人员控制率</w:t>
            </w:r>
          </w:p>
        </w:tc>
        <w:tc>
          <w:tcPr>
            <w:tcW w:w="2640" w:type="dxa"/>
            <w:gridSpan w:val="3"/>
            <w:tcBorders>
              <w:top w:val="single" w:color="auto" w:sz="4" w:space="0"/>
              <w:bottom w:val="single" w:color="auto" w:sz="4" w:space="0"/>
            </w:tcBorders>
            <w:vAlign w:val="center"/>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公用经费控制率</w:t>
            </w:r>
          </w:p>
        </w:tc>
        <w:tc>
          <w:tcPr>
            <w:tcW w:w="2640" w:type="dxa"/>
            <w:gridSpan w:val="3"/>
            <w:tcBorders>
              <w:top w:val="single" w:color="auto" w:sz="4" w:space="0"/>
            </w:tcBorders>
            <w:vAlign w:val="center"/>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161" w:type="dxa"/>
            <w:gridSpan w:val="2"/>
            <w:vAlign w:val="center"/>
          </w:tcPr>
          <w:p>
            <w:pPr>
              <w:jc w:val="center"/>
              <w:rPr>
                <w:rFonts w:hint="eastAsia"/>
                <w:szCs w:val="21"/>
              </w:rPr>
            </w:pPr>
            <w:r>
              <w:rPr>
                <w:rFonts w:hint="eastAsia" w:ascii="仿宋_GB2312" w:hAnsi="仿宋_GB2312" w:eastAsia="仿宋_GB2312" w:cs="仿宋_GB2312"/>
                <w:kern w:val="0"/>
                <w:szCs w:val="21"/>
              </w:rPr>
              <w:t>人员经费</w:t>
            </w:r>
          </w:p>
        </w:tc>
        <w:tc>
          <w:tcPr>
            <w:tcW w:w="2640" w:type="dxa"/>
            <w:gridSpan w:val="3"/>
            <w:vAlign w:val="center"/>
          </w:tcPr>
          <w:p>
            <w:pPr>
              <w:jc w:val="center"/>
              <w:rPr>
                <w:rFonts w:hint="default" w:eastAsiaTheme="minorEastAsia"/>
                <w:sz w:val="18"/>
                <w:szCs w:val="18"/>
                <w:lang w:val="en-US" w:eastAsia="zh-CN"/>
              </w:rPr>
            </w:pPr>
            <w:r>
              <w:rPr>
                <w:rFonts w:hint="eastAsia"/>
                <w:sz w:val="18"/>
                <w:szCs w:val="18"/>
                <w:lang w:val="en-US" w:eastAsia="zh-CN"/>
              </w:rPr>
              <w:t>754.2万元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Cs w:val="21"/>
              </w:rPr>
            </w:pPr>
            <w:r>
              <w:rPr>
                <w:rFonts w:hint="eastAsia" w:ascii="仿宋_GB2312" w:hAnsi="仿宋_GB2312" w:eastAsia="仿宋_GB2312" w:cs="仿宋_GB2312"/>
                <w:kern w:val="0"/>
                <w:szCs w:val="21"/>
              </w:rPr>
              <w:t>公用经费</w:t>
            </w:r>
          </w:p>
        </w:tc>
        <w:tc>
          <w:tcPr>
            <w:tcW w:w="2640" w:type="dxa"/>
            <w:gridSpan w:val="3"/>
            <w:vAlign w:val="center"/>
          </w:tcPr>
          <w:p>
            <w:pPr>
              <w:jc w:val="center"/>
              <w:rPr>
                <w:rFonts w:hint="default" w:eastAsiaTheme="minorEastAsia"/>
                <w:sz w:val="18"/>
                <w:szCs w:val="18"/>
                <w:lang w:val="en-US" w:eastAsia="zh-CN"/>
              </w:rPr>
            </w:pPr>
            <w:r>
              <w:rPr>
                <w:rFonts w:hint="eastAsia"/>
                <w:sz w:val="18"/>
                <w:szCs w:val="18"/>
                <w:lang w:val="en-US" w:eastAsia="zh-CN"/>
              </w:rPr>
              <w:t>117.21万元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61" w:type="dxa"/>
            <w:gridSpan w:val="2"/>
            <w:vAlign w:val="center"/>
          </w:tcPr>
          <w:p>
            <w:pPr>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年度内及时完成县委、县政府交办的各项任务</w:t>
            </w:r>
          </w:p>
        </w:tc>
        <w:tc>
          <w:tcPr>
            <w:tcW w:w="2640" w:type="dxa"/>
            <w:gridSpan w:val="3"/>
            <w:vAlign w:val="center"/>
          </w:tcPr>
          <w:p>
            <w:pPr>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2161" w:type="dxa"/>
            <w:gridSpan w:val="2"/>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人民群众幸福指数</w:t>
            </w:r>
          </w:p>
        </w:tc>
        <w:tc>
          <w:tcPr>
            <w:tcW w:w="2640" w:type="dxa"/>
            <w:gridSpan w:val="3"/>
            <w:vAlign w:val="center"/>
          </w:tcPr>
          <w:p>
            <w:pPr>
              <w:widowControl/>
              <w:ind w:firstLine="420" w:firstLineChars="200"/>
              <w:jc w:val="center"/>
              <w:rPr>
                <w:rFonts w:hint="eastAsia" w:ascii="仿宋" w:hAnsi="仿宋" w:eastAsia="仿宋" w:cs="仿宋"/>
                <w:kern w:val="0"/>
                <w:sz w:val="21"/>
                <w:szCs w:val="21"/>
              </w:rPr>
            </w:pPr>
            <w:r>
              <w:rPr>
                <w:rFonts w:hint="eastAsia" w:ascii="仿宋" w:hAnsi="仿宋" w:eastAsia="仿宋" w:cs="仿宋"/>
                <w:sz w:val="21"/>
                <w:szCs w:val="21"/>
              </w:rPr>
              <w:t>≧90%</w:t>
            </w:r>
          </w:p>
          <w:p>
            <w:pPr>
              <w:jc w:val="center"/>
              <w:rPr>
                <w:rFonts w:hint="eastAsia" w:ascii="仿宋" w:hAnsi="仿宋" w:eastAsia="仿宋" w:cs="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161" w:type="dxa"/>
            <w:gridSpan w:val="2"/>
            <w:vAlign w:val="center"/>
          </w:tcPr>
          <w:p>
            <w:pPr>
              <w:pStyle w:val="3"/>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居民满意率</w:t>
            </w:r>
          </w:p>
          <w:p>
            <w:pPr>
              <w:jc w:val="center"/>
              <w:rPr>
                <w:rFonts w:hint="eastAsia" w:ascii="仿宋" w:hAnsi="仿宋" w:eastAsia="仿宋" w:cs="仿宋"/>
                <w:kern w:val="0"/>
                <w:sz w:val="21"/>
                <w:szCs w:val="21"/>
                <w:lang w:val="en-US" w:eastAsia="zh-CN" w:bidi="ar-SA"/>
              </w:rPr>
            </w:pPr>
          </w:p>
        </w:tc>
        <w:tc>
          <w:tcPr>
            <w:tcW w:w="2640" w:type="dxa"/>
            <w:gridSpan w:val="3"/>
            <w:vAlign w:val="center"/>
          </w:tcPr>
          <w:p>
            <w:pPr>
              <w:widowControl/>
              <w:ind w:firstLine="420" w:firstLineChars="200"/>
              <w:jc w:val="center"/>
              <w:rPr>
                <w:rFonts w:hint="eastAsia" w:ascii="仿宋" w:hAnsi="仿宋" w:eastAsia="仿宋" w:cs="仿宋"/>
                <w:kern w:val="0"/>
                <w:sz w:val="21"/>
                <w:szCs w:val="21"/>
              </w:rPr>
            </w:pPr>
            <w:r>
              <w:rPr>
                <w:rFonts w:hint="eastAsia" w:ascii="仿宋" w:hAnsi="仿宋" w:eastAsia="仿宋" w:cs="仿宋"/>
                <w:sz w:val="21"/>
                <w:szCs w:val="21"/>
              </w:rPr>
              <w:t>≧90%</w:t>
            </w:r>
          </w:p>
          <w:p>
            <w:pPr>
              <w:pStyle w:val="3"/>
              <w:ind w:left="420" w:leftChars="200" w:firstLine="420" w:firstLineChars="200"/>
              <w:jc w:val="center"/>
              <w:rPr>
                <w:rFonts w:hint="eastAsia" w:ascii="仿宋" w:hAnsi="仿宋" w:eastAsia="仿宋" w:cs="仿宋"/>
                <w:kern w:val="2"/>
                <w:sz w:val="21"/>
                <w:szCs w:val="21"/>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         联系电话:         填报日期:         单位负责人签字:</w:t>
      </w:r>
    </w:p>
    <w:p>
      <w:bookmarkStart w:id="0" w:name="_GoBack"/>
      <w:bookmarkEnd w:id="0"/>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25E26C38"/>
    <w:rsid w:val="076E386F"/>
    <w:rsid w:val="186C16C7"/>
    <w:rsid w:val="1E8A0B98"/>
    <w:rsid w:val="25E26C38"/>
    <w:rsid w:val="498F588A"/>
    <w:rsid w:val="4DBE5EA9"/>
    <w:rsid w:val="65F761A5"/>
    <w:rsid w:val="661D16EB"/>
    <w:rsid w:val="6BCE2727"/>
    <w:rsid w:val="6CBD1E1F"/>
    <w:rsid w:val="71BD102D"/>
    <w:rsid w:val="728B26C7"/>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976</Words>
  <Characters>1010</Characters>
  <Lines>0</Lines>
  <Paragraphs>0</Paragraphs>
  <TotalTime>0</TotalTime>
  <ScaleCrop>false</ScaleCrop>
  <LinksUpToDate>false</LinksUpToDate>
  <CharactersWithSpaces>1039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jiao</cp:lastModifiedBy>
  <dcterms:modified xsi:type="dcterms:W3CDTF">2023-09-01T02:49:03Z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A1386B9AF68542199A17BB56DB8657F4</vt:lpwstr>
  </property>
</Properties>
</file>