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Arial" w:hAnsi="Arial" w:eastAsia="黑体" w:cs="Arial"/>
          <w:sz w:val="36"/>
          <w:szCs w:val="36"/>
        </w:rPr>
      </w:pPr>
    </w:p>
    <w:p>
      <w:pPr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2022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年项目</w:t>
      </w:r>
      <w:r>
        <w:rPr>
          <w:rFonts w:hint="eastAsia" w:ascii="黑体" w:hAnsi="黑体" w:eastAsia="黑体"/>
          <w:sz w:val="36"/>
          <w:szCs w:val="36"/>
        </w:rPr>
        <w:t>支出绩效</w:t>
      </w:r>
      <w:r>
        <w:rPr>
          <w:rFonts w:hint="eastAsia" w:ascii="黑体" w:hAnsi="黑体" w:eastAsia="黑体"/>
          <w:sz w:val="36"/>
          <w:szCs w:val="36"/>
          <w:lang w:eastAsia="zh-CN"/>
        </w:rPr>
        <w:t>目标</w:t>
      </w:r>
      <w:r>
        <w:rPr>
          <w:rFonts w:hint="eastAsia" w:ascii="黑体" w:hAnsi="黑体" w:eastAsia="黑体"/>
          <w:sz w:val="36"/>
          <w:szCs w:val="36"/>
        </w:rPr>
        <w:t>表</w:t>
      </w:r>
    </w:p>
    <w:p>
      <w:pPr>
        <w:jc w:val="center"/>
        <w:rPr>
          <w:rFonts w:hint="eastAsia" w:ascii="黑体" w:hAnsi="黑体" w:eastAsia="黑体"/>
          <w:sz w:val="36"/>
          <w:szCs w:val="36"/>
        </w:rPr>
      </w:pPr>
    </w:p>
    <w:p>
      <w:pPr>
        <w:jc w:val="left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填报单位：（盖章）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     单位：万元</w:t>
      </w:r>
    </w:p>
    <w:tbl>
      <w:tblPr>
        <w:tblStyle w:val="5"/>
        <w:tblW w:w="9073" w:type="dxa"/>
        <w:tblInd w:w="-31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8"/>
        <w:gridCol w:w="989"/>
        <w:gridCol w:w="1020"/>
        <w:gridCol w:w="530"/>
        <w:gridCol w:w="15"/>
        <w:gridCol w:w="1645"/>
        <w:gridCol w:w="375"/>
        <w:gridCol w:w="897"/>
        <w:gridCol w:w="228"/>
        <w:gridCol w:w="175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618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项目支出</w:t>
            </w:r>
            <w:r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2554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项目经费</w:t>
            </w:r>
          </w:p>
        </w:tc>
        <w:tc>
          <w:tcPr>
            <w:tcW w:w="164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预算部门</w:t>
            </w:r>
          </w:p>
        </w:tc>
        <w:tc>
          <w:tcPr>
            <w:tcW w:w="3256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衡东县政府办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618" w:type="dxa"/>
            <w:vAlign w:val="center"/>
          </w:tcPr>
          <w:p>
            <w:pPr>
              <w:jc w:val="center"/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年度本级</w:t>
            </w:r>
          </w:p>
          <w:p>
            <w:pPr>
              <w:jc w:val="center"/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预算金额</w:t>
            </w:r>
          </w:p>
        </w:tc>
        <w:tc>
          <w:tcPr>
            <w:tcW w:w="2539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195.8万元</w:t>
            </w:r>
          </w:p>
        </w:tc>
        <w:tc>
          <w:tcPr>
            <w:tcW w:w="203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该项目支出上级资金</w:t>
            </w:r>
          </w:p>
        </w:tc>
        <w:tc>
          <w:tcPr>
            <w:tcW w:w="2881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 （分级填报）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61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项目支出实施期</w:t>
            </w:r>
          </w:p>
        </w:tc>
        <w:tc>
          <w:tcPr>
            <w:tcW w:w="7455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825"/>
              </w:tabs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2022年1-12月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实施期绩效目标</w:t>
            </w:r>
          </w:p>
        </w:tc>
        <w:tc>
          <w:tcPr>
            <w:tcW w:w="7455" w:type="dxa"/>
            <w:gridSpan w:val="9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通过预算执行，确保各项工作任务落实到位。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161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本年度绩效目标</w:t>
            </w:r>
          </w:p>
        </w:tc>
        <w:tc>
          <w:tcPr>
            <w:tcW w:w="7455" w:type="dxa"/>
            <w:gridSpan w:val="9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通过预算执行，确保各项工作任务落实到位。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618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本年度绩效指标</w:t>
            </w:r>
          </w:p>
        </w:tc>
        <w:tc>
          <w:tcPr>
            <w:tcW w:w="98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一级指标</w:t>
            </w:r>
          </w:p>
        </w:tc>
        <w:tc>
          <w:tcPr>
            <w:tcW w:w="102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二级指标</w:t>
            </w:r>
          </w:p>
        </w:tc>
        <w:tc>
          <w:tcPr>
            <w:tcW w:w="2190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三级</w:t>
            </w:r>
            <w:r>
              <w:rPr>
                <w:rFonts w:hint="eastAsia"/>
                <w:sz w:val="18"/>
                <w:szCs w:val="18"/>
                <w:lang w:eastAsia="zh-CN"/>
              </w:rPr>
              <w:t>指标</w:t>
            </w:r>
          </w:p>
        </w:tc>
        <w:tc>
          <w:tcPr>
            <w:tcW w:w="150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指标值及单位</w:t>
            </w:r>
          </w:p>
        </w:tc>
        <w:tc>
          <w:tcPr>
            <w:tcW w:w="175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绩效标准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产出</w:t>
            </w:r>
            <w:r>
              <w:rPr>
                <w:rFonts w:hint="eastAsia"/>
                <w:sz w:val="18"/>
                <w:szCs w:val="18"/>
              </w:rPr>
              <w:t>指标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20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数量指标</w:t>
            </w:r>
          </w:p>
        </w:tc>
        <w:tc>
          <w:tcPr>
            <w:tcW w:w="219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应急处理经费</w:t>
            </w:r>
          </w:p>
        </w:tc>
        <w:tc>
          <w:tcPr>
            <w:tcW w:w="150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1-2次/年</w:t>
            </w:r>
          </w:p>
        </w:tc>
        <w:tc>
          <w:tcPr>
            <w:tcW w:w="175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及时处理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2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9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为民办实事</w:t>
            </w:r>
          </w:p>
        </w:tc>
        <w:tc>
          <w:tcPr>
            <w:tcW w:w="1500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15-20项/年</w:t>
            </w:r>
          </w:p>
        </w:tc>
        <w:tc>
          <w:tcPr>
            <w:tcW w:w="175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按时落实到位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2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9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企业改制</w:t>
            </w:r>
          </w:p>
        </w:tc>
        <w:tc>
          <w:tcPr>
            <w:tcW w:w="1500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1-2个/年</w:t>
            </w:r>
          </w:p>
        </w:tc>
        <w:tc>
          <w:tcPr>
            <w:tcW w:w="175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年度内完成改制及改制后服务工作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2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9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保卫科维稳</w:t>
            </w:r>
          </w:p>
        </w:tc>
        <w:tc>
          <w:tcPr>
            <w:tcW w:w="1500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常态化</w:t>
            </w:r>
          </w:p>
        </w:tc>
        <w:tc>
          <w:tcPr>
            <w:tcW w:w="175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及时处理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2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9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衡东政务报、湖南年鉴、衡阳年鉴</w:t>
            </w:r>
          </w:p>
        </w:tc>
        <w:tc>
          <w:tcPr>
            <w:tcW w:w="1500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3份/年</w:t>
            </w:r>
          </w:p>
        </w:tc>
        <w:tc>
          <w:tcPr>
            <w:tcW w:w="175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年度内订阅完成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2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9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视频会议系统维护</w:t>
            </w:r>
          </w:p>
        </w:tc>
        <w:tc>
          <w:tcPr>
            <w:tcW w:w="1500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4次/年</w:t>
            </w:r>
          </w:p>
        </w:tc>
        <w:tc>
          <w:tcPr>
            <w:tcW w:w="175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及时维护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2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9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人大、政协“两案”办理</w:t>
            </w:r>
          </w:p>
        </w:tc>
        <w:tc>
          <w:tcPr>
            <w:tcW w:w="1500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130件/年</w:t>
            </w:r>
          </w:p>
        </w:tc>
        <w:tc>
          <w:tcPr>
            <w:tcW w:w="175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按时落实到位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2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9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金融办工作</w:t>
            </w:r>
          </w:p>
        </w:tc>
        <w:tc>
          <w:tcPr>
            <w:tcW w:w="1500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打击和防范非法集资宣传印刷5万份/年,媒体宣传5次/年,车队宣传3次/年；创建金融安全区会议及宣传5次/年;信用体系建设;政银企对接活动4次/年。</w:t>
            </w:r>
          </w:p>
        </w:tc>
        <w:tc>
          <w:tcPr>
            <w:tcW w:w="175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年度内完成不同形式宣传及政银企对接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2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9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政务督查工作</w:t>
            </w:r>
          </w:p>
        </w:tc>
        <w:tc>
          <w:tcPr>
            <w:tcW w:w="1500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00次/年</w:t>
            </w:r>
          </w:p>
        </w:tc>
        <w:tc>
          <w:tcPr>
            <w:tcW w:w="175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日常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2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9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国防动员委员会综合办工作</w:t>
            </w:r>
          </w:p>
        </w:tc>
        <w:tc>
          <w:tcPr>
            <w:tcW w:w="1500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日常</w:t>
            </w:r>
          </w:p>
        </w:tc>
        <w:tc>
          <w:tcPr>
            <w:tcW w:w="175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常态化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2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9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老年支部活动经费</w:t>
            </w:r>
          </w:p>
        </w:tc>
        <w:tc>
          <w:tcPr>
            <w:tcW w:w="1500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1-3次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/年</w:t>
            </w:r>
          </w:p>
        </w:tc>
        <w:tc>
          <w:tcPr>
            <w:tcW w:w="175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年度内开展支部活动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20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质量指标</w:t>
            </w:r>
          </w:p>
        </w:tc>
        <w:tc>
          <w:tcPr>
            <w:tcW w:w="219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突发事件应急物资储备到位率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100%</w:t>
            </w: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2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9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农改厕、住房改造、棚户改造、农村安全饮水、残疾人补贴、妇女补贴等项目，人民群众满意率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≧90%</w:t>
            </w: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2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9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企业改制及改制后企业管理服务满意率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≧90%</w:t>
            </w: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2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9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协助机关大院门卫室,承担县政府(办)维稳工作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100%</w:t>
            </w: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2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9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年度报刊订阅工作完成率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100%</w:t>
            </w: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2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9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视频会议系统维护验收合格率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100%</w:t>
            </w: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2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9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提案办理群众满意率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100%</w:t>
            </w: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2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9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防范非法集资宣传知晓率及银企服务满意率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≧90%</w:t>
            </w: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2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9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政务督查落实率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100%</w:t>
            </w: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2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9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国防动员工作完成率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100%</w:t>
            </w: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2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9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支部活动开展完成率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100%</w:t>
            </w: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2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时效指标</w:t>
            </w:r>
          </w:p>
        </w:tc>
        <w:tc>
          <w:tcPr>
            <w:tcW w:w="219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年度内及时完成县委、县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政府交办的各项任务</w:t>
            </w:r>
          </w:p>
        </w:tc>
        <w:tc>
          <w:tcPr>
            <w:tcW w:w="150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年度内及时完成</w:t>
            </w:r>
          </w:p>
        </w:tc>
        <w:tc>
          <w:tcPr>
            <w:tcW w:w="175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20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成本指标</w:t>
            </w:r>
          </w:p>
        </w:tc>
        <w:tc>
          <w:tcPr>
            <w:tcW w:w="219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应急处理经费</w:t>
            </w:r>
          </w:p>
        </w:tc>
        <w:tc>
          <w:tcPr>
            <w:tcW w:w="150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≤40万元</w:t>
            </w:r>
          </w:p>
        </w:tc>
        <w:tc>
          <w:tcPr>
            <w:tcW w:w="175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2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9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为民办实事</w:t>
            </w:r>
          </w:p>
        </w:tc>
        <w:tc>
          <w:tcPr>
            <w:tcW w:w="150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≤20万元</w:t>
            </w:r>
          </w:p>
        </w:tc>
        <w:tc>
          <w:tcPr>
            <w:tcW w:w="175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2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9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改制工作经费</w:t>
            </w:r>
          </w:p>
        </w:tc>
        <w:tc>
          <w:tcPr>
            <w:tcW w:w="150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≤8万元</w:t>
            </w:r>
          </w:p>
        </w:tc>
        <w:tc>
          <w:tcPr>
            <w:tcW w:w="175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2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9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保卫科经费</w:t>
            </w:r>
          </w:p>
        </w:tc>
        <w:tc>
          <w:tcPr>
            <w:tcW w:w="150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≤15万元</w:t>
            </w:r>
          </w:p>
        </w:tc>
        <w:tc>
          <w:tcPr>
            <w:tcW w:w="175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2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9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衡东政务报、湖南年鉴、衡阳年鉴</w:t>
            </w:r>
          </w:p>
        </w:tc>
        <w:tc>
          <w:tcPr>
            <w:tcW w:w="150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≤6万元</w:t>
            </w:r>
          </w:p>
        </w:tc>
        <w:tc>
          <w:tcPr>
            <w:tcW w:w="175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2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9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视频会议系统维护</w:t>
            </w:r>
          </w:p>
        </w:tc>
        <w:tc>
          <w:tcPr>
            <w:tcW w:w="150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≤40万元</w:t>
            </w:r>
          </w:p>
        </w:tc>
        <w:tc>
          <w:tcPr>
            <w:tcW w:w="175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2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9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人大代表、政协委员“两案”办理经费</w:t>
            </w:r>
          </w:p>
        </w:tc>
        <w:tc>
          <w:tcPr>
            <w:tcW w:w="150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≤10万元</w:t>
            </w:r>
          </w:p>
        </w:tc>
        <w:tc>
          <w:tcPr>
            <w:tcW w:w="175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2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9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金融办工作经费</w:t>
            </w:r>
          </w:p>
        </w:tc>
        <w:tc>
          <w:tcPr>
            <w:tcW w:w="150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≤20万元</w:t>
            </w:r>
          </w:p>
        </w:tc>
        <w:tc>
          <w:tcPr>
            <w:tcW w:w="175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2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9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政务督查工作经费</w:t>
            </w:r>
          </w:p>
        </w:tc>
        <w:tc>
          <w:tcPr>
            <w:tcW w:w="150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≤30万元</w:t>
            </w:r>
          </w:p>
        </w:tc>
        <w:tc>
          <w:tcPr>
            <w:tcW w:w="175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2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9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国防动员委员会综合办经费</w:t>
            </w:r>
          </w:p>
        </w:tc>
        <w:tc>
          <w:tcPr>
            <w:tcW w:w="150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≤3万元</w:t>
            </w:r>
          </w:p>
        </w:tc>
        <w:tc>
          <w:tcPr>
            <w:tcW w:w="175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2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9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老年支部活动经费</w:t>
            </w:r>
          </w:p>
        </w:tc>
        <w:tc>
          <w:tcPr>
            <w:tcW w:w="150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≤3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.8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万元</w:t>
            </w:r>
          </w:p>
        </w:tc>
        <w:tc>
          <w:tcPr>
            <w:tcW w:w="175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效益指标</w:t>
            </w:r>
          </w:p>
        </w:tc>
        <w:tc>
          <w:tcPr>
            <w:tcW w:w="102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社会效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益指标</w:t>
            </w:r>
          </w:p>
        </w:tc>
        <w:tc>
          <w:tcPr>
            <w:tcW w:w="219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切实提高人民群众幸福指数。</w:t>
            </w:r>
          </w:p>
        </w:tc>
        <w:tc>
          <w:tcPr>
            <w:tcW w:w="150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ind w:firstLine="440" w:firstLineChars="200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≧90%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5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20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社会公众或服务对象满意度</w:t>
            </w:r>
          </w:p>
        </w:tc>
        <w:tc>
          <w:tcPr>
            <w:tcW w:w="2190" w:type="dxa"/>
            <w:gridSpan w:val="3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人大代表建议、政协委员提案办理满意率和基本满意率。</w:t>
            </w:r>
          </w:p>
          <w:p>
            <w:pP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0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100%</w:t>
            </w:r>
          </w:p>
          <w:p>
            <w:pPr>
              <w:pStyle w:val="3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pStyle w:val="3"/>
              <w:ind w:left="420" w:leftChars="200" w:firstLine="420" w:firstLineChars="200"/>
              <w:rPr>
                <w:rFonts w:hint="eastAsia" w:ascii="仿宋_GB2312" w:hAnsi="仿宋_GB2312" w:eastAsia="仿宋_GB2312" w:cs="仿宋_GB2312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75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618" w:type="dxa"/>
            <w:vMerge w:val="continue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2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90" w:type="dxa"/>
            <w:gridSpan w:val="3"/>
            <w:vAlign w:val="center"/>
          </w:tcPr>
          <w:p>
            <w:pPr>
              <w:pStyle w:val="3"/>
              <w:ind w:left="0" w:leftChars="0" w:firstLine="0" w:firstLineChars="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居民满意率</w:t>
            </w:r>
          </w:p>
          <w:p>
            <w:pP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0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ind w:firstLine="440" w:firstLineChars="200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≧90%</w:t>
            </w:r>
          </w:p>
          <w:p>
            <w:pPr>
              <w:pStyle w:val="3"/>
              <w:ind w:left="420" w:leftChars="200" w:firstLine="420" w:firstLineChars="200"/>
              <w:rPr>
                <w:rFonts w:hint="eastAsia" w:ascii="仿宋_GB2312" w:hAnsi="仿宋_GB2312" w:eastAsia="仿宋_GB2312" w:cs="仿宋_GB2312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75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9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98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</w:tbl>
    <w:p>
      <w:pPr>
        <w:tabs>
          <w:tab w:val="left" w:pos="6396"/>
        </w:tabs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填表人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:         填报日期:         联系电话:         单位负责人签字:</w:t>
      </w:r>
    </w:p>
    <w:p/>
    <w:p/>
    <w:sectPr>
      <w:pgSz w:w="11906" w:h="16838"/>
      <w:pgMar w:top="646" w:right="1800" w:bottom="42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wYzgyNWUyNzZjYTk0YzE0Y2U0Yzc1MmE3NTM5NDEifQ=="/>
  </w:docVars>
  <w:rsids>
    <w:rsidRoot w:val="21335E6D"/>
    <w:rsid w:val="081B6D81"/>
    <w:rsid w:val="13AD3601"/>
    <w:rsid w:val="14475320"/>
    <w:rsid w:val="162065F0"/>
    <w:rsid w:val="162E0B79"/>
    <w:rsid w:val="21335E6D"/>
    <w:rsid w:val="26B67985"/>
    <w:rsid w:val="334135A9"/>
    <w:rsid w:val="3F703557"/>
    <w:rsid w:val="45E86804"/>
    <w:rsid w:val="498428D2"/>
    <w:rsid w:val="54691096"/>
    <w:rsid w:val="597935D8"/>
    <w:rsid w:val="6D6C2CB8"/>
    <w:rsid w:val="74272252"/>
    <w:rsid w:val="7494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</w:style>
  <w:style w:type="paragraph" w:styleId="3">
    <w:name w:val="Body Text First Indent 2"/>
    <w:basedOn w:val="2"/>
    <w:qFormat/>
    <w:uiPriority w:val="0"/>
    <w:pPr>
      <w:ind w:firstLine="420" w:firstLineChars="200"/>
    </w:p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1010</Words>
  <Characters>1084</Characters>
  <Lines>0</Lines>
  <Paragraphs>0</Paragraphs>
  <TotalTime>0</TotalTime>
  <ScaleCrop>false</ScaleCrop>
  <LinksUpToDate>false</LinksUpToDate>
  <CharactersWithSpaces>1145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2021-04-25T03:07:00Z</dcterms:created>
  <dc:creator>Administrator</dc:creator>
  <cp:lastModifiedBy>jiao</cp:lastModifiedBy>
  <dcterms:modified xsi:type="dcterms:W3CDTF">2023-09-01T02:49:41Z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AF80D4918E954826B5D19BB25FECB79D</vt:lpwstr>
  </property>
</Properties>
</file>